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079D" w14:textId="06DA7024" w:rsidR="0018295A" w:rsidRPr="008021A2" w:rsidRDefault="00124DDD" w:rsidP="007A7DA3">
      <w:pPr>
        <w:pStyle w:val="Pagedecouverture"/>
        <w:rPr>
          <w:noProof/>
        </w:rPr>
      </w:pPr>
      <w:bookmarkStart w:id="0" w:name="LW_BM_COVERPAGE"/>
      <w:r>
        <w:rPr>
          <w:noProof/>
        </w:rPr>
        <w:pict w14:anchorId="7136A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4BB2885-D732-451B-AC05-4A4A9FFFC6C2" style="width:455pt;height:296pt">
            <v:imagedata r:id="rId10" o:title=""/>
          </v:shape>
        </w:pict>
      </w:r>
    </w:p>
    <w:bookmarkEnd w:id="0"/>
    <w:p w14:paraId="09DBB859" w14:textId="77777777" w:rsidR="0018295A" w:rsidRPr="008021A2" w:rsidRDefault="0018295A" w:rsidP="0018295A">
      <w:pPr>
        <w:rPr>
          <w:rFonts w:ascii="Times New Roman" w:hAnsi="Times New Roman" w:cs="Times New Roman"/>
          <w:noProof/>
        </w:rPr>
        <w:sectPr w:rsidR="0018295A" w:rsidRPr="008021A2" w:rsidSect="007A7DA3">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sdt>
      <w:sdtPr>
        <w:rPr>
          <w:rFonts w:asciiTheme="minorHAnsi" w:eastAsiaTheme="minorHAnsi" w:hAnsiTheme="minorHAnsi" w:cs="Times New Roman"/>
          <w:b w:val="0"/>
          <w:caps w:val="0"/>
          <w:noProof/>
          <w:spacing w:val="0"/>
          <w:sz w:val="20"/>
        </w:rPr>
        <w:id w:val="-202016665"/>
        <w:docPartObj>
          <w:docPartGallery w:val="Table of Contents"/>
          <w:docPartUnique/>
        </w:docPartObj>
      </w:sdtPr>
      <w:sdtEndPr>
        <w:rPr>
          <w:sz w:val="22"/>
        </w:rPr>
      </w:sdtEndPr>
      <w:sdtContent>
        <w:p w14:paraId="0BF9B1FB" w14:textId="77777777" w:rsidR="0018295A" w:rsidRPr="008021A2" w:rsidRDefault="0018295A" w:rsidP="000839C4">
          <w:pPr>
            <w:pStyle w:val="Nagwekspisutreci"/>
            <w:framePr w:wrap="notBeside"/>
            <w:numPr>
              <w:ilvl w:val="0"/>
              <w:numId w:val="0"/>
            </w:numPr>
            <w:ind w:left="360"/>
            <w:jc w:val="both"/>
            <w:rPr>
              <w:rFonts w:cs="Times New Roman"/>
              <w:noProof/>
            </w:rPr>
          </w:pPr>
          <w:r>
            <w:rPr>
              <w:noProof/>
            </w:rPr>
            <w:t>Spis treści</w:t>
          </w:r>
        </w:p>
        <w:p w14:paraId="0BFC50EB" w14:textId="71D769EB" w:rsidR="00613BA1" w:rsidRDefault="0018295A">
          <w:pPr>
            <w:pStyle w:val="Spistreci1"/>
            <w:rPr>
              <w:rFonts w:cstheme="minorBidi"/>
              <w:b w:val="0"/>
              <w:noProof/>
              <w:kern w:val="2"/>
              <w:sz w:val="22"/>
              <w:szCs w:val="22"/>
              <w14:ligatures w14:val="standardContextual"/>
            </w:rPr>
          </w:pPr>
          <w:r>
            <w:rPr>
              <w:rFonts w:ascii="Times New Roman" w:hAnsi="Times New Roman"/>
              <w:noProof/>
            </w:rPr>
            <w:fldChar w:fldCharType="begin"/>
          </w:r>
          <w:r>
            <w:rPr>
              <w:rFonts w:ascii="Times New Roman" w:hAnsi="Times New Roman"/>
              <w:noProof/>
            </w:rPr>
            <w:instrText xml:space="preserve"> TOC \o "1-3" \h \z \u </w:instrText>
          </w:r>
          <w:r>
            <w:rPr>
              <w:rFonts w:ascii="Times New Roman" w:hAnsi="Times New Roman"/>
              <w:noProof/>
            </w:rPr>
            <w:fldChar w:fldCharType="separate"/>
          </w:r>
          <w:hyperlink w:anchor="_Toc150504437" w:history="1">
            <w:r w:rsidR="00613BA1" w:rsidRPr="00943267">
              <w:rPr>
                <w:rStyle w:val="Hipercze"/>
                <w:noProof/>
              </w:rPr>
              <w:t>1</w:t>
            </w:r>
            <w:r w:rsidR="00613BA1">
              <w:rPr>
                <w:rFonts w:cstheme="minorBidi"/>
                <w:b w:val="0"/>
                <w:noProof/>
                <w:kern w:val="2"/>
                <w:sz w:val="22"/>
                <w:szCs w:val="22"/>
                <w14:ligatures w14:val="standardContextual"/>
              </w:rPr>
              <w:tab/>
            </w:r>
            <w:r w:rsidR="00613BA1" w:rsidRPr="00943267">
              <w:rPr>
                <w:rStyle w:val="Hipercze"/>
                <w:noProof/>
              </w:rPr>
              <w:t>WPROWADZENIE</w:t>
            </w:r>
            <w:r w:rsidR="00613BA1">
              <w:rPr>
                <w:noProof/>
                <w:webHidden/>
              </w:rPr>
              <w:tab/>
            </w:r>
            <w:r w:rsidR="00613BA1">
              <w:rPr>
                <w:noProof/>
                <w:webHidden/>
              </w:rPr>
              <w:fldChar w:fldCharType="begin"/>
            </w:r>
            <w:r w:rsidR="00613BA1">
              <w:rPr>
                <w:noProof/>
                <w:webHidden/>
              </w:rPr>
              <w:instrText xml:space="preserve"> PAGEREF _Toc150504437 \h </w:instrText>
            </w:r>
            <w:r w:rsidR="00613BA1">
              <w:rPr>
                <w:noProof/>
                <w:webHidden/>
              </w:rPr>
            </w:r>
            <w:r w:rsidR="00613BA1">
              <w:rPr>
                <w:noProof/>
                <w:webHidden/>
              </w:rPr>
              <w:fldChar w:fldCharType="separate"/>
            </w:r>
            <w:r w:rsidR="00613BA1">
              <w:rPr>
                <w:noProof/>
                <w:webHidden/>
              </w:rPr>
              <w:t>2</w:t>
            </w:r>
            <w:r w:rsidR="00613BA1">
              <w:rPr>
                <w:noProof/>
                <w:webHidden/>
              </w:rPr>
              <w:fldChar w:fldCharType="end"/>
            </w:r>
          </w:hyperlink>
        </w:p>
        <w:p w14:paraId="69B90170" w14:textId="3A0FC585" w:rsidR="00613BA1" w:rsidRDefault="00000000">
          <w:pPr>
            <w:pStyle w:val="Spistreci1"/>
            <w:rPr>
              <w:rFonts w:cstheme="minorBidi"/>
              <w:b w:val="0"/>
              <w:noProof/>
              <w:kern w:val="2"/>
              <w:sz w:val="22"/>
              <w:szCs w:val="22"/>
              <w14:ligatures w14:val="standardContextual"/>
            </w:rPr>
          </w:pPr>
          <w:hyperlink w:anchor="_Toc150504438" w:history="1">
            <w:r w:rsidR="00613BA1" w:rsidRPr="00943267">
              <w:rPr>
                <w:rStyle w:val="Hipercze"/>
                <w:noProof/>
              </w:rPr>
              <w:t>2</w:t>
            </w:r>
            <w:r w:rsidR="00613BA1">
              <w:rPr>
                <w:rFonts w:cstheme="minorBidi"/>
                <w:b w:val="0"/>
                <w:noProof/>
                <w:kern w:val="2"/>
                <w:sz w:val="22"/>
                <w:szCs w:val="22"/>
                <w14:ligatures w14:val="standardContextual"/>
              </w:rPr>
              <w:tab/>
            </w:r>
            <w:r w:rsidR="00613BA1" w:rsidRPr="00943267">
              <w:rPr>
                <w:rStyle w:val="Hipercze"/>
                <w:noProof/>
              </w:rPr>
              <w:t>KLUCZOWE KAMIENIE MILOWE FUNDUSZU INNOWACYJNEGO W 2022 R.</w:t>
            </w:r>
            <w:r w:rsidR="00613BA1">
              <w:rPr>
                <w:noProof/>
                <w:webHidden/>
              </w:rPr>
              <w:tab/>
            </w:r>
            <w:r w:rsidR="00613BA1">
              <w:rPr>
                <w:noProof/>
                <w:webHidden/>
              </w:rPr>
              <w:fldChar w:fldCharType="begin"/>
            </w:r>
            <w:r w:rsidR="00613BA1">
              <w:rPr>
                <w:noProof/>
                <w:webHidden/>
              </w:rPr>
              <w:instrText xml:space="preserve"> PAGEREF _Toc150504438 \h </w:instrText>
            </w:r>
            <w:r w:rsidR="00613BA1">
              <w:rPr>
                <w:noProof/>
                <w:webHidden/>
              </w:rPr>
            </w:r>
            <w:r w:rsidR="00613BA1">
              <w:rPr>
                <w:noProof/>
                <w:webHidden/>
              </w:rPr>
              <w:fldChar w:fldCharType="separate"/>
            </w:r>
            <w:r w:rsidR="00613BA1">
              <w:rPr>
                <w:noProof/>
                <w:webHidden/>
              </w:rPr>
              <w:t>10</w:t>
            </w:r>
            <w:r w:rsidR="00613BA1">
              <w:rPr>
                <w:noProof/>
                <w:webHidden/>
              </w:rPr>
              <w:fldChar w:fldCharType="end"/>
            </w:r>
          </w:hyperlink>
        </w:p>
        <w:p w14:paraId="79791D1F" w14:textId="1E9B9431" w:rsidR="00613BA1" w:rsidRDefault="00000000">
          <w:pPr>
            <w:pStyle w:val="Spistreci1"/>
            <w:rPr>
              <w:rFonts w:cstheme="minorBidi"/>
              <w:b w:val="0"/>
              <w:noProof/>
              <w:kern w:val="2"/>
              <w:sz w:val="22"/>
              <w:szCs w:val="22"/>
              <w14:ligatures w14:val="standardContextual"/>
            </w:rPr>
          </w:pPr>
          <w:hyperlink w:anchor="_Toc150504439" w:history="1">
            <w:r w:rsidR="00613BA1" w:rsidRPr="00943267">
              <w:rPr>
                <w:rStyle w:val="Hipercze"/>
                <w:noProof/>
              </w:rPr>
              <w:t>3</w:t>
            </w:r>
            <w:r w:rsidR="00613BA1">
              <w:rPr>
                <w:rFonts w:cstheme="minorBidi"/>
                <w:b w:val="0"/>
                <w:noProof/>
                <w:kern w:val="2"/>
                <w:sz w:val="22"/>
                <w:szCs w:val="22"/>
                <w14:ligatures w14:val="standardContextual"/>
              </w:rPr>
              <w:tab/>
            </w:r>
            <w:r w:rsidR="00613BA1" w:rsidRPr="00943267">
              <w:rPr>
                <w:rStyle w:val="Hipercze"/>
                <w:noProof/>
              </w:rPr>
              <w:t>DRUGIE ZAPROSZENIE DO SKŁADANIA WNIOSKÓW DOTYCZĄCYCH PROJEKTÓW NA DUŻĄ SKALĘ (LSC-2021)</w:t>
            </w:r>
            <w:r w:rsidR="00613BA1">
              <w:rPr>
                <w:noProof/>
                <w:webHidden/>
              </w:rPr>
              <w:tab/>
            </w:r>
            <w:r w:rsidR="00613BA1">
              <w:rPr>
                <w:noProof/>
                <w:webHidden/>
              </w:rPr>
              <w:fldChar w:fldCharType="begin"/>
            </w:r>
            <w:r w:rsidR="00613BA1">
              <w:rPr>
                <w:noProof/>
                <w:webHidden/>
              </w:rPr>
              <w:instrText xml:space="preserve"> PAGEREF _Toc150504439 \h </w:instrText>
            </w:r>
            <w:r w:rsidR="00613BA1">
              <w:rPr>
                <w:noProof/>
                <w:webHidden/>
              </w:rPr>
            </w:r>
            <w:r w:rsidR="00613BA1">
              <w:rPr>
                <w:noProof/>
                <w:webHidden/>
              </w:rPr>
              <w:fldChar w:fldCharType="separate"/>
            </w:r>
            <w:r w:rsidR="00613BA1">
              <w:rPr>
                <w:noProof/>
                <w:webHidden/>
              </w:rPr>
              <w:t>11</w:t>
            </w:r>
            <w:r w:rsidR="00613BA1">
              <w:rPr>
                <w:noProof/>
                <w:webHidden/>
              </w:rPr>
              <w:fldChar w:fldCharType="end"/>
            </w:r>
          </w:hyperlink>
        </w:p>
        <w:p w14:paraId="365F1CA2" w14:textId="7762BF1E" w:rsidR="00613BA1" w:rsidRDefault="00000000">
          <w:pPr>
            <w:pStyle w:val="Spistreci2"/>
            <w:tabs>
              <w:tab w:val="left" w:pos="880"/>
              <w:tab w:val="right" w:leader="dot" w:pos="9016"/>
            </w:tabs>
            <w:rPr>
              <w:noProof/>
              <w:kern w:val="2"/>
              <w:sz w:val="22"/>
              <w:szCs w:val="22"/>
              <w14:ligatures w14:val="standardContextual"/>
            </w:rPr>
          </w:pPr>
          <w:hyperlink w:anchor="_Toc150504440" w:history="1">
            <w:r w:rsidR="00613BA1" w:rsidRPr="00943267">
              <w:rPr>
                <w:rStyle w:val="Hipercze"/>
                <w:rFonts w:cs="Times New Roman"/>
                <w:b/>
                <w:noProof/>
              </w:rPr>
              <w:t>3.1</w:t>
            </w:r>
            <w:r w:rsidR="00613BA1">
              <w:rPr>
                <w:noProof/>
                <w:kern w:val="2"/>
                <w:sz w:val="22"/>
                <w:szCs w:val="22"/>
                <w14:ligatures w14:val="standardContextual"/>
              </w:rPr>
              <w:tab/>
            </w:r>
            <w:r w:rsidR="00613BA1" w:rsidRPr="00943267">
              <w:rPr>
                <w:rStyle w:val="Hipercze"/>
                <w:b/>
                <w:noProof/>
              </w:rPr>
              <w:t>Zgłaszanie projektów</w:t>
            </w:r>
            <w:r w:rsidR="0076371C" w:rsidRPr="00943267">
              <w:rPr>
                <w:rStyle w:val="Hipercze"/>
                <w:b/>
                <w:noProof/>
              </w:rPr>
              <w:t xml:space="preserve"> w</w:t>
            </w:r>
            <w:r w:rsidR="0076371C">
              <w:rPr>
                <w:rStyle w:val="Hipercze"/>
                <w:b/>
                <w:noProof/>
              </w:rPr>
              <w:t> </w:t>
            </w:r>
            <w:r w:rsidR="0076371C" w:rsidRPr="00943267">
              <w:rPr>
                <w:rStyle w:val="Hipercze"/>
                <w:b/>
                <w:noProof/>
              </w:rPr>
              <w:t>ram</w:t>
            </w:r>
            <w:r w:rsidR="00613BA1" w:rsidRPr="00943267">
              <w:rPr>
                <w:rStyle w:val="Hipercze"/>
                <w:b/>
                <w:noProof/>
              </w:rPr>
              <w:t>ach zaproszenia do składania wniosków</w:t>
            </w:r>
            <w:r w:rsidR="00613BA1">
              <w:rPr>
                <w:noProof/>
                <w:webHidden/>
              </w:rPr>
              <w:tab/>
            </w:r>
            <w:r w:rsidR="00613BA1">
              <w:rPr>
                <w:noProof/>
                <w:webHidden/>
              </w:rPr>
              <w:fldChar w:fldCharType="begin"/>
            </w:r>
            <w:r w:rsidR="00613BA1">
              <w:rPr>
                <w:noProof/>
                <w:webHidden/>
              </w:rPr>
              <w:instrText xml:space="preserve"> PAGEREF _Toc150504440 \h </w:instrText>
            </w:r>
            <w:r w:rsidR="00613BA1">
              <w:rPr>
                <w:noProof/>
                <w:webHidden/>
              </w:rPr>
            </w:r>
            <w:r w:rsidR="00613BA1">
              <w:rPr>
                <w:noProof/>
                <w:webHidden/>
              </w:rPr>
              <w:fldChar w:fldCharType="separate"/>
            </w:r>
            <w:r w:rsidR="00613BA1">
              <w:rPr>
                <w:noProof/>
                <w:webHidden/>
              </w:rPr>
              <w:t>12</w:t>
            </w:r>
            <w:r w:rsidR="00613BA1">
              <w:rPr>
                <w:noProof/>
                <w:webHidden/>
              </w:rPr>
              <w:fldChar w:fldCharType="end"/>
            </w:r>
          </w:hyperlink>
        </w:p>
        <w:p w14:paraId="79DA3BC1" w14:textId="593B6DDE" w:rsidR="00613BA1" w:rsidRDefault="00000000">
          <w:pPr>
            <w:pStyle w:val="Spistreci2"/>
            <w:tabs>
              <w:tab w:val="left" w:pos="880"/>
              <w:tab w:val="right" w:leader="dot" w:pos="9016"/>
            </w:tabs>
            <w:rPr>
              <w:noProof/>
              <w:kern w:val="2"/>
              <w:sz w:val="22"/>
              <w:szCs w:val="22"/>
              <w14:ligatures w14:val="standardContextual"/>
            </w:rPr>
          </w:pPr>
          <w:hyperlink w:anchor="_Toc150504441" w:history="1">
            <w:r w:rsidR="00613BA1" w:rsidRPr="00943267">
              <w:rPr>
                <w:rStyle w:val="Hipercze"/>
                <w:rFonts w:cs="Times New Roman"/>
                <w:b/>
                <w:noProof/>
              </w:rPr>
              <w:t>3.2</w:t>
            </w:r>
            <w:r w:rsidR="00613BA1">
              <w:rPr>
                <w:noProof/>
                <w:kern w:val="2"/>
                <w:sz w:val="22"/>
                <w:szCs w:val="22"/>
                <w14:ligatures w14:val="standardContextual"/>
              </w:rPr>
              <w:tab/>
            </w:r>
            <w:r w:rsidR="00613BA1" w:rsidRPr="00943267">
              <w:rPr>
                <w:rStyle w:val="Hipercze"/>
                <w:b/>
                <w:noProof/>
              </w:rPr>
              <w:t>Budżet zaproszenia do składania wniosków</w:t>
            </w:r>
            <w:r w:rsidR="0076371C" w:rsidRPr="00943267">
              <w:rPr>
                <w:rStyle w:val="Hipercze"/>
                <w:b/>
                <w:noProof/>
              </w:rPr>
              <w:t xml:space="preserve"> i</w:t>
            </w:r>
            <w:r w:rsidR="0076371C">
              <w:rPr>
                <w:rStyle w:val="Hipercze"/>
                <w:b/>
                <w:noProof/>
              </w:rPr>
              <w:t> </w:t>
            </w:r>
            <w:r w:rsidR="0076371C" w:rsidRPr="00943267">
              <w:rPr>
                <w:rStyle w:val="Hipercze"/>
                <w:b/>
                <w:noProof/>
              </w:rPr>
              <w:t>wni</w:t>
            </w:r>
            <w:r w:rsidR="00613BA1" w:rsidRPr="00943267">
              <w:rPr>
                <w:rStyle w:val="Hipercze"/>
                <w:b/>
                <w:noProof/>
              </w:rPr>
              <w:t>oskowane wsparcie finansowe</w:t>
            </w:r>
            <w:r w:rsidR="00613BA1">
              <w:rPr>
                <w:noProof/>
                <w:webHidden/>
              </w:rPr>
              <w:tab/>
            </w:r>
            <w:r w:rsidR="00613BA1">
              <w:rPr>
                <w:noProof/>
                <w:webHidden/>
              </w:rPr>
              <w:fldChar w:fldCharType="begin"/>
            </w:r>
            <w:r w:rsidR="00613BA1">
              <w:rPr>
                <w:noProof/>
                <w:webHidden/>
              </w:rPr>
              <w:instrText xml:space="preserve"> PAGEREF _Toc150504441 \h </w:instrText>
            </w:r>
            <w:r w:rsidR="00613BA1">
              <w:rPr>
                <w:noProof/>
                <w:webHidden/>
              </w:rPr>
            </w:r>
            <w:r w:rsidR="00613BA1">
              <w:rPr>
                <w:noProof/>
                <w:webHidden/>
              </w:rPr>
              <w:fldChar w:fldCharType="separate"/>
            </w:r>
            <w:r w:rsidR="00613BA1">
              <w:rPr>
                <w:noProof/>
                <w:webHidden/>
              </w:rPr>
              <w:t>13</w:t>
            </w:r>
            <w:r w:rsidR="00613BA1">
              <w:rPr>
                <w:noProof/>
                <w:webHidden/>
              </w:rPr>
              <w:fldChar w:fldCharType="end"/>
            </w:r>
          </w:hyperlink>
        </w:p>
        <w:p w14:paraId="44335133" w14:textId="7E7C51A1" w:rsidR="00613BA1" w:rsidRDefault="00000000">
          <w:pPr>
            <w:pStyle w:val="Spistreci2"/>
            <w:tabs>
              <w:tab w:val="left" w:pos="880"/>
              <w:tab w:val="right" w:leader="dot" w:pos="9016"/>
            </w:tabs>
            <w:rPr>
              <w:noProof/>
              <w:kern w:val="2"/>
              <w:sz w:val="22"/>
              <w:szCs w:val="22"/>
              <w14:ligatures w14:val="standardContextual"/>
            </w:rPr>
          </w:pPr>
          <w:hyperlink w:anchor="_Toc150504442" w:history="1">
            <w:r w:rsidR="00613BA1" w:rsidRPr="00943267">
              <w:rPr>
                <w:rStyle w:val="Hipercze"/>
                <w:rFonts w:cs="Times New Roman"/>
                <w:b/>
                <w:noProof/>
              </w:rPr>
              <w:t>3.3</w:t>
            </w:r>
            <w:r w:rsidR="00613BA1">
              <w:rPr>
                <w:noProof/>
                <w:kern w:val="2"/>
                <w:sz w:val="22"/>
                <w:szCs w:val="22"/>
                <w14:ligatures w14:val="standardContextual"/>
              </w:rPr>
              <w:tab/>
            </w:r>
            <w:r w:rsidR="00613BA1" w:rsidRPr="00943267">
              <w:rPr>
                <w:rStyle w:val="Hipercze"/>
                <w:b/>
                <w:noProof/>
              </w:rPr>
              <w:t>Charakterystyka projektów, które zakwalifikowano do finansowania</w:t>
            </w:r>
            <w:r w:rsidR="00613BA1">
              <w:rPr>
                <w:noProof/>
                <w:webHidden/>
              </w:rPr>
              <w:tab/>
            </w:r>
            <w:r w:rsidR="00613BA1">
              <w:rPr>
                <w:noProof/>
                <w:webHidden/>
              </w:rPr>
              <w:fldChar w:fldCharType="begin"/>
            </w:r>
            <w:r w:rsidR="00613BA1">
              <w:rPr>
                <w:noProof/>
                <w:webHidden/>
              </w:rPr>
              <w:instrText xml:space="preserve"> PAGEREF _Toc150504442 \h </w:instrText>
            </w:r>
            <w:r w:rsidR="00613BA1">
              <w:rPr>
                <w:noProof/>
                <w:webHidden/>
              </w:rPr>
            </w:r>
            <w:r w:rsidR="00613BA1">
              <w:rPr>
                <w:noProof/>
                <w:webHidden/>
              </w:rPr>
              <w:fldChar w:fldCharType="separate"/>
            </w:r>
            <w:r w:rsidR="00613BA1">
              <w:rPr>
                <w:noProof/>
                <w:webHidden/>
              </w:rPr>
              <w:t>14</w:t>
            </w:r>
            <w:r w:rsidR="00613BA1">
              <w:rPr>
                <w:noProof/>
                <w:webHidden/>
              </w:rPr>
              <w:fldChar w:fldCharType="end"/>
            </w:r>
          </w:hyperlink>
        </w:p>
        <w:p w14:paraId="7FBEF58E" w14:textId="26BF88CD" w:rsidR="00613BA1" w:rsidRDefault="00000000">
          <w:pPr>
            <w:pStyle w:val="Spistreci3"/>
            <w:rPr>
              <w:noProof/>
              <w:kern w:val="2"/>
              <w:sz w:val="22"/>
              <w:szCs w:val="22"/>
              <w14:ligatures w14:val="standardContextual"/>
            </w:rPr>
          </w:pPr>
          <w:hyperlink w:anchor="_Toc150504443" w:history="1">
            <w:r w:rsidR="00613BA1" w:rsidRPr="00943267">
              <w:rPr>
                <w:rStyle w:val="Hipercze"/>
                <w:rFonts w:cs="Times New Roman"/>
                <w:i/>
                <w:noProof/>
              </w:rPr>
              <w:t>3.3.1</w:t>
            </w:r>
            <w:r w:rsidR="00613BA1">
              <w:rPr>
                <w:noProof/>
                <w:kern w:val="2"/>
                <w:sz w:val="22"/>
                <w:szCs w:val="22"/>
                <w14:ligatures w14:val="standardContextual"/>
              </w:rPr>
              <w:tab/>
            </w:r>
            <w:r w:rsidR="00613BA1" w:rsidRPr="00943267">
              <w:rPr>
                <w:rStyle w:val="Hipercze"/>
                <w:i/>
                <w:noProof/>
              </w:rPr>
              <w:t>Sektory</w:t>
            </w:r>
            <w:r w:rsidR="00613BA1">
              <w:rPr>
                <w:noProof/>
                <w:webHidden/>
              </w:rPr>
              <w:tab/>
            </w:r>
            <w:r w:rsidR="00613BA1">
              <w:rPr>
                <w:noProof/>
                <w:webHidden/>
              </w:rPr>
              <w:fldChar w:fldCharType="begin"/>
            </w:r>
            <w:r w:rsidR="00613BA1">
              <w:rPr>
                <w:noProof/>
                <w:webHidden/>
              </w:rPr>
              <w:instrText xml:space="preserve"> PAGEREF _Toc150504443 \h </w:instrText>
            </w:r>
            <w:r w:rsidR="00613BA1">
              <w:rPr>
                <w:noProof/>
                <w:webHidden/>
              </w:rPr>
            </w:r>
            <w:r w:rsidR="00613BA1">
              <w:rPr>
                <w:noProof/>
                <w:webHidden/>
              </w:rPr>
              <w:fldChar w:fldCharType="separate"/>
            </w:r>
            <w:r w:rsidR="00613BA1">
              <w:rPr>
                <w:noProof/>
                <w:webHidden/>
              </w:rPr>
              <w:t>14</w:t>
            </w:r>
            <w:r w:rsidR="00613BA1">
              <w:rPr>
                <w:noProof/>
                <w:webHidden/>
              </w:rPr>
              <w:fldChar w:fldCharType="end"/>
            </w:r>
          </w:hyperlink>
        </w:p>
        <w:p w14:paraId="5BDF353B" w14:textId="0F34752A" w:rsidR="00613BA1" w:rsidRDefault="00000000">
          <w:pPr>
            <w:pStyle w:val="Spistreci3"/>
            <w:rPr>
              <w:noProof/>
              <w:kern w:val="2"/>
              <w:sz w:val="22"/>
              <w:szCs w:val="22"/>
              <w14:ligatures w14:val="standardContextual"/>
            </w:rPr>
          </w:pPr>
          <w:hyperlink w:anchor="_Toc150504444" w:history="1">
            <w:r w:rsidR="00613BA1" w:rsidRPr="00943267">
              <w:rPr>
                <w:rStyle w:val="Hipercze"/>
                <w:rFonts w:cs="Times New Roman"/>
                <w:i/>
                <w:noProof/>
              </w:rPr>
              <w:t>3.3.2</w:t>
            </w:r>
            <w:r w:rsidR="00613BA1">
              <w:rPr>
                <w:noProof/>
                <w:kern w:val="2"/>
                <w:sz w:val="22"/>
                <w:szCs w:val="22"/>
                <w14:ligatures w14:val="standardContextual"/>
              </w:rPr>
              <w:tab/>
            </w:r>
            <w:r w:rsidR="00613BA1" w:rsidRPr="00943267">
              <w:rPr>
                <w:rStyle w:val="Hipercze"/>
                <w:i/>
                <w:noProof/>
              </w:rPr>
              <w:t>Rozkład geograficzny</w:t>
            </w:r>
            <w:r w:rsidR="00613BA1">
              <w:rPr>
                <w:noProof/>
                <w:webHidden/>
              </w:rPr>
              <w:tab/>
            </w:r>
            <w:r w:rsidR="00613BA1">
              <w:rPr>
                <w:noProof/>
                <w:webHidden/>
              </w:rPr>
              <w:fldChar w:fldCharType="begin"/>
            </w:r>
            <w:r w:rsidR="00613BA1">
              <w:rPr>
                <w:noProof/>
                <w:webHidden/>
              </w:rPr>
              <w:instrText xml:space="preserve"> PAGEREF _Toc150504444 \h </w:instrText>
            </w:r>
            <w:r w:rsidR="00613BA1">
              <w:rPr>
                <w:noProof/>
                <w:webHidden/>
              </w:rPr>
            </w:r>
            <w:r w:rsidR="00613BA1">
              <w:rPr>
                <w:noProof/>
                <w:webHidden/>
              </w:rPr>
              <w:fldChar w:fldCharType="separate"/>
            </w:r>
            <w:r w:rsidR="00613BA1">
              <w:rPr>
                <w:noProof/>
                <w:webHidden/>
              </w:rPr>
              <w:t>15</w:t>
            </w:r>
            <w:r w:rsidR="00613BA1">
              <w:rPr>
                <w:noProof/>
                <w:webHidden/>
              </w:rPr>
              <w:fldChar w:fldCharType="end"/>
            </w:r>
          </w:hyperlink>
        </w:p>
        <w:p w14:paraId="1D0A00F6" w14:textId="2A1B053C" w:rsidR="00613BA1" w:rsidRDefault="00000000">
          <w:pPr>
            <w:pStyle w:val="Spistreci3"/>
            <w:rPr>
              <w:noProof/>
              <w:kern w:val="2"/>
              <w:sz w:val="22"/>
              <w:szCs w:val="22"/>
              <w14:ligatures w14:val="standardContextual"/>
            </w:rPr>
          </w:pPr>
          <w:hyperlink w:anchor="_Toc150504445" w:history="1">
            <w:r w:rsidR="00613BA1" w:rsidRPr="00943267">
              <w:rPr>
                <w:rStyle w:val="Hipercze"/>
                <w:rFonts w:cs="Times New Roman"/>
                <w:i/>
                <w:noProof/>
              </w:rPr>
              <w:t>3.3.3</w:t>
            </w:r>
            <w:r w:rsidR="00613BA1">
              <w:rPr>
                <w:noProof/>
                <w:kern w:val="2"/>
                <w:sz w:val="22"/>
                <w:szCs w:val="22"/>
                <w14:ligatures w14:val="standardContextual"/>
              </w:rPr>
              <w:tab/>
            </w:r>
            <w:r w:rsidR="00613BA1" w:rsidRPr="00943267">
              <w:rPr>
                <w:rStyle w:val="Hipercze"/>
                <w:i/>
                <w:noProof/>
              </w:rPr>
              <w:t>Potencjał redukcji emisji gazów cieplarnianych</w:t>
            </w:r>
            <w:r w:rsidR="00613BA1">
              <w:rPr>
                <w:noProof/>
                <w:webHidden/>
              </w:rPr>
              <w:tab/>
            </w:r>
            <w:r w:rsidR="00613BA1">
              <w:rPr>
                <w:noProof/>
                <w:webHidden/>
              </w:rPr>
              <w:fldChar w:fldCharType="begin"/>
            </w:r>
            <w:r w:rsidR="00613BA1">
              <w:rPr>
                <w:noProof/>
                <w:webHidden/>
              </w:rPr>
              <w:instrText xml:space="preserve"> PAGEREF _Toc150504445 \h </w:instrText>
            </w:r>
            <w:r w:rsidR="00613BA1">
              <w:rPr>
                <w:noProof/>
                <w:webHidden/>
              </w:rPr>
            </w:r>
            <w:r w:rsidR="00613BA1">
              <w:rPr>
                <w:noProof/>
                <w:webHidden/>
              </w:rPr>
              <w:fldChar w:fldCharType="separate"/>
            </w:r>
            <w:r w:rsidR="00613BA1">
              <w:rPr>
                <w:noProof/>
                <w:webHidden/>
              </w:rPr>
              <w:t>16</w:t>
            </w:r>
            <w:r w:rsidR="00613BA1">
              <w:rPr>
                <w:noProof/>
                <w:webHidden/>
              </w:rPr>
              <w:fldChar w:fldCharType="end"/>
            </w:r>
          </w:hyperlink>
        </w:p>
        <w:p w14:paraId="23D39FC1" w14:textId="1E97178D" w:rsidR="00613BA1" w:rsidRDefault="00000000">
          <w:pPr>
            <w:pStyle w:val="Spistreci3"/>
            <w:rPr>
              <w:noProof/>
              <w:kern w:val="2"/>
              <w:sz w:val="22"/>
              <w:szCs w:val="22"/>
              <w14:ligatures w14:val="standardContextual"/>
            </w:rPr>
          </w:pPr>
          <w:hyperlink w:anchor="_Toc150504446" w:history="1">
            <w:r w:rsidR="00613BA1" w:rsidRPr="00943267">
              <w:rPr>
                <w:rStyle w:val="Hipercze"/>
                <w:rFonts w:cs="Times New Roman"/>
                <w:i/>
                <w:noProof/>
              </w:rPr>
              <w:t>3.3.4</w:t>
            </w:r>
            <w:r w:rsidR="00613BA1">
              <w:rPr>
                <w:noProof/>
                <w:kern w:val="2"/>
                <w:sz w:val="22"/>
                <w:szCs w:val="22"/>
                <w14:ligatures w14:val="standardContextual"/>
              </w:rPr>
              <w:tab/>
            </w:r>
            <w:r w:rsidR="00613BA1" w:rsidRPr="00943267">
              <w:rPr>
                <w:rStyle w:val="Hipercze"/>
                <w:i/>
                <w:noProof/>
              </w:rPr>
              <w:t>Poziom zaawansowania</w:t>
            </w:r>
            <w:r w:rsidR="00613BA1">
              <w:rPr>
                <w:noProof/>
                <w:webHidden/>
              </w:rPr>
              <w:tab/>
            </w:r>
            <w:r w:rsidR="00613BA1">
              <w:rPr>
                <w:noProof/>
                <w:webHidden/>
              </w:rPr>
              <w:fldChar w:fldCharType="begin"/>
            </w:r>
            <w:r w:rsidR="00613BA1">
              <w:rPr>
                <w:noProof/>
                <w:webHidden/>
              </w:rPr>
              <w:instrText xml:space="preserve"> PAGEREF _Toc150504446 \h </w:instrText>
            </w:r>
            <w:r w:rsidR="00613BA1">
              <w:rPr>
                <w:noProof/>
                <w:webHidden/>
              </w:rPr>
            </w:r>
            <w:r w:rsidR="00613BA1">
              <w:rPr>
                <w:noProof/>
                <w:webHidden/>
              </w:rPr>
              <w:fldChar w:fldCharType="separate"/>
            </w:r>
            <w:r w:rsidR="00613BA1">
              <w:rPr>
                <w:noProof/>
                <w:webHidden/>
              </w:rPr>
              <w:t>16</w:t>
            </w:r>
            <w:r w:rsidR="00613BA1">
              <w:rPr>
                <w:noProof/>
                <w:webHidden/>
              </w:rPr>
              <w:fldChar w:fldCharType="end"/>
            </w:r>
          </w:hyperlink>
        </w:p>
        <w:p w14:paraId="08A48669" w14:textId="7D3D64E5" w:rsidR="00613BA1" w:rsidRDefault="00000000">
          <w:pPr>
            <w:pStyle w:val="Spistreci3"/>
            <w:rPr>
              <w:noProof/>
              <w:kern w:val="2"/>
              <w:sz w:val="22"/>
              <w:szCs w:val="22"/>
              <w14:ligatures w14:val="standardContextual"/>
            </w:rPr>
          </w:pPr>
          <w:hyperlink w:anchor="_Toc150504447" w:history="1">
            <w:r w:rsidR="00613BA1" w:rsidRPr="00943267">
              <w:rPr>
                <w:rStyle w:val="Hipercze"/>
                <w:rFonts w:cs="Times New Roman"/>
                <w:i/>
                <w:noProof/>
              </w:rPr>
              <w:t>3.3.5</w:t>
            </w:r>
            <w:r w:rsidR="00613BA1">
              <w:rPr>
                <w:noProof/>
                <w:kern w:val="2"/>
                <w:sz w:val="22"/>
                <w:szCs w:val="22"/>
                <w14:ligatures w14:val="standardContextual"/>
              </w:rPr>
              <w:tab/>
            </w:r>
            <w:r w:rsidR="00613BA1" w:rsidRPr="00943267">
              <w:rPr>
                <w:rStyle w:val="Hipercze"/>
                <w:i/>
                <w:noProof/>
              </w:rPr>
              <w:t>Poziom innowacyjności</w:t>
            </w:r>
            <w:r w:rsidR="0076371C" w:rsidRPr="00943267">
              <w:rPr>
                <w:rStyle w:val="Hipercze"/>
                <w:i/>
                <w:noProof/>
              </w:rPr>
              <w:t xml:space="preserve"> i</w:t>
            </w:r>
            <w:r w:rsidR="0076371C">
              <w:rPr>
                <w:rStyle w:val="Hipercze"/>
                <w:i/>
                <w:noProof/>
              </w:rPr>
              <w:t> </w:t>
            </w:r>
            <w:r w:rsidR="0076371C" w:rsidRPr="00943267">
              <w:rPr>
                <w:rStyle w:val="Hipercze"/>
                <w:i/>
                <w:noProof/>
              </w:rPr>
              <w:t>pot</w:t>
            </w:r>
            <w:r w:rsidR="00613BA1" w:rsidRPr="00943267">
              <w:rPr>
                <w:rStyle w:val="Hipercze"/>
                <w:i/>
                <w:noProof/>
              </w:rPr>
              <w:t>encjał skalowalności</w:t>
            </w:r>
            <w:r w:rsidR="00613BA1">
              <w:rPr>
                <w:noProof/>
                <w:webHidden/>
              </w:rPr>
              <w:tab/>
            </w:r>
            <w:r w:rsidR="00613BA1">
              <w:rPr>
                <w:noProof/>
                <w:webHidden/>
              </w:rPr>
              <w:fldChar w:fldCharType="begin"/>
            </w:r>
            <w:r w:rsidR="00613BA1">
              <w:rPr>
                <w:noProof/>
                <w:webHidden/>
              </w:rPr>
              <w:instrText xml:space="preserve"> PAGEREF _Toc150504447 \h </w:instrText>
            </w:r>
            <w:r w:rsidR="00613BA1">
              <w:rPr>
                <w:noProof/>
                <w:webHidden/>
              </w:rPr>
            </w:r>
            <w:r w:rsidR="00613BA1">
              <w:rPr>
                <w:noProof/>
                <w:webHidden/>
              </w:rPr>
              <w:fldChar w:fldCharType="separate"/>
            </w:r>
            <w:r w:rsidR="00613BA1">
              <w:rPr>
                <w:noProof/>
                <w:webHidden/>
              </w:rPr>
              <w:t>17</w:t>
            </w:r>
            <w:r w:rsidR="00613BA1">
              <w:rPr>
                <w:noProof/>
                <w:webHidden/>
              </w:rPr>
              <w:fldChar w:fldCharType="end"/>
            </w:r>
          </w:hyperlink>
        </w:p>
        <w:p w14:paraId="2AC50EB6" w14:textId="4D466872" w:rsidR="00613BA1" w:rsidRDefault="00000000">
          <w:pPr>
            <w:pStyle w:val="Spistreci1"/>
            <w:rPr>
              <w:rFonts w:cstheme="minorBidi"/>
              <w:b w:val="0"/>
              <w:noProof/>
              <w:kern w:val="2"/>
              <w:sz w:val="22"/>
              <w:szCs w:val="22"/>
              <w14:ligatures w14:val="standardContextual"/>
            </w:rPr>
          </w:pPr>
          <w:hyperlink w:anchor="_Toc150504448" w:history="1">
            <w:r w:rsidR="00613BA1" w:rsidRPr="00943267">
              <w:rPr>
                <w:rStyle w:val="Hipercze"/>
                <w:noProof/>
              </w:rPr>
              <w:t>4</w:t>
            </w:r>
            <w:r w:rsidR="00613BA1">
              <w:rPr>
                <w:rFonts w:cstheme="minorBidi"/>
                <w:b w:val="0"/>
                <w:noProof/>
                <w:kern w:val="2"/>
                <w:sz w:val="22"/>
                <w:szCs w:val="22"/>
                <w14:ligatures w14:val="standardContextual"/>
              </w:rPr>
              <w:tab/>
            </w:r>
            <w:r w:rsidR="00613BA1" w:rsidRPr="00943267">
              <w:rPr>
                <w:rStyle w:val="Hipercze"/>
                <w:noProof/>
              </w:rPr>
              <w:t>DRUGIE ZAPROSZENIE DO SKŁADANIA WNIOSKÓW DOTYCZĄCYCH PROJEKTÓW NA MAŁĄ SKALĘ (SSC-2021)</w:t>
            </w:r>
            <w:r w:rsidR="00613BA1">
              <w:rPr>
                <w:noProof/>
                <w:webHidden/>
              </w:rPr>
              <w:tab/>
            </w:r>
            <w:r w:rsidR="00613BA1">
              <w:rPr>
                <w:noProof/>
                <w:webHidden/>
              </w:rPr>
              <w:fldChar w:fldCharType="begin"/>
            </w:r>
            <w:r w:rsidR="00613BA1">
              <w:rPr>
                <w:noProof/>
                <w:webHidden/>
              </w:rPr>
              <w:instrText xml:space="preserve"> PAGEREF _Toc150504448 \h </w:instrText>
            </w:r>
            <w:r w:rsidR="00613BA1">
              <w:rPr>
                <w:noProof/>
                <w:webHidden/>
              </w:rPr>
            </w:r>
            <w:r w:rsidR="00613BA1">
              <w:rPr>
                <w:noProof/>
                <w:webHidden/>
              </w:rPr>
              <w:fldChar w:fldCharType="separate"/>
            </w:r>
            <w:r w:rsidR="00613BA1">
              <w:rPr>
                <w:noProof/>
                <w:webHidden/>
              </w:rPr>
              <w:t>18</w:t>
            </w:r>
            <w:r w:rsidR="00613BA1">
              <w:rPr>
                <w:noProof/>
                <w:webHidden/>
              </w:rPr>
              <w:fldChar w:fldCharType="end"/>
            </w:r>
          </w:hyperlink>
        </w:p>
        <w:p w14:paraId="64D2282B" w14:textId="7A6F2832" w:rsidR="00613BA1" w:rsidRDefault="00000000">
          <w:pPr>
            <w:pStyle w:val="Spistreci2"/>
            <w:tabs>
              <w:tab w:val="left" w:pos="880"/>
              <w:tab w:val="right" w:leader="dot" w:pos="9016"/>
            </w:tabs>
            <w:rPr>
              <w:noProof/>
              <w:kern w:val="2"/>
              <w:sz w:val="22"/>
              <w:szCs w:val="22"/>
              <w14:ligatures w14:val="standardContextual"/>
            </w:rPr>
          </w:pPr>
          <w:hyperlink w:anchor="_Toc150504449" w:history="1">
            <w:r w:rsidR="00613BA1" w:rsidRPr="00943267">
              <w:rPr>
                <w:rStyle w:val="Hipercze"/>
                <w:rFonts w:cs="Times New Roman"/>
                <w:b/>
                <w:noProof/>
              </w:rPr>
              <w:t>4.1</w:t>
            </w:r>
            <w:r w:rsidR="00613BA1">
              <w:rPr>
                <w:noProof/>
                <w:kern w:val="2"/>
                <w:sz w:val="22"/>
                <w:szCs w:val="22"/>
                <w14:ligatures w14:val="standardContextual"/>
              </w:rPr>
              <w:tab/>
            </w:r>
            <w:r w:rsidR="00613BA1" w:rsidRPr="00943267">
              <w:rPr>
                <w:rStyle w:val="Hipercze"/>
                <w:b/>
                <w:noProof/>
              </w:rPr>
              <w:t>Budżet zaproszenia do składania wniosków</w:t>
            </w:r>
            <w:r w:rsidR="0076371C" w:rsidRPr="00943267">
              <w:rPr>
                <w:rStyle w:val="Hipercze"/>
                <w:b/>
                <w:noProof/>
              </w:rPr>
              <w:t xml:space="preserve"> i</w:t>
            </w:r>
            <w:r w:rsidR="0076371C">
              <w:rPr>
                <w:rStyle w:val="Hipercze"/>
                <w:b/>
                <w:noProof/>
              </w:rPr>
              <w:t> </w:t>
            </w:r>
            <w:r w:rsidR="0076371C" w:rsidRPr="00943267">
              <w:rPr>
                <w:rStyle w:val="Hipercze"/>
                <w:b/>
                <w:noProof/>
              </w:rPr>
              <w:t>wni</w:t>
            </w:r>
            <w:r w:rsidR="00613BA1" w:rsidRPr="00943267">
              <w:rPr>
                <w:rStyle w:val="Hipercze"/>
                <w:b/>
                <w:noProof/>
              </w:rPr>
              <w:t>oskowane wsparcie finansowe</w:t>
            </w:r>
            <w:r w:rsidR="00613BA1">
              <w:rPr>
                <w:noProof/>
                <w:webHidden/>
              </w:rPr>
              <w:tab/>
            </w:r>
            <w:r w:rsidR="00613BA1">
              <w:rPr>
                <w:noProof/>
                <w:webHidden/>
              </w:rPr>
              <w:fldChar w:fldCharType="begin"/>
            </w:r>
            <w:r w:rsidR="00613BA1">
              <w:rPr>
                <w:noProof/>
                <w:webHidden/>
              </w:rPr>
              <w:instrText xml:space="preserve"> PAGEREF _Toc150504449 \h </w:instrText>
            </w:r>
            <w:r w:rsidR="00613BA1">
              <w:rPr>
                <w:noProof/>
                <w:webHidden/>
              </w:rPr>
            </w:r>
            <w:r w:rsidR="00613BA1">
              <w:rPr>
                <w:noProof/>
                <w:webHidden/>
              </w:rPr>
              <w:fldChar w:fldCharType="separate"/>
            </w:r>
            <w:r w:rsidR="00613BA1">
              <w:rPr>
                <w:noProof/>
                <w:webHidden/>
              </w:rPr>
              <w:t>19</w:t>
            </w:r>
            <w:r w:rsidR="00613BA1">
              <w:rPr>
                <w:noProof/>
                <w:webHidden/>
              </w:rPr>
              <w:fldChar w:fldCharType="end"/>
            </w:r>
          </w:hyperlink>
        </w:p>
        <w:p w14:paraId="6D5BE178" w14:textId="6CDCC094" w:rsidR="00613BA1" w:rsidRDefault="00000000">
          <w:pPr>
            <w:pStyle w:val="Spistreci2"/>
            <w:tabs>
              <w:tab w:val="left" w:pos="880"/>
              <w:tab w:val="right" w:leader="dot" w:pos="9016"/>
            </w:tabs>
            <w:rPr>
              <w:noProof/>
              <w:kern w:val="2"/>
              <w:sz w:val="22"/>
              <w:szCs w:val="22"/>
              <w14:ligatures w14:val="standardContextual"/>
            </w:rPr>
          </w:pPr>
          <w:hyperlink w:anchor="_Toc150504450" w:history="1">
            <w:r w:rsidR="00613BA1" w:rsidRPr="00943267">
              <w:rPr>
                <w:rStyle w:val="Hipercze"/>
                <w:rFonts w:cs="Times New Roman"/>
                <w:b/>
                <w:noProof/>
              </w:rPr>
              <w:t>4.2</w:t>
            </w:r>
            <w:r w:rsidR="00613BA1">
              <w:rPr>
                <w:noProof/>
                <w:kern w:val="2"/>
                <w:sz w:val="22"/>
                <w:szCs w:val="22"/>
                <w14:ligatures w14:val="standardContextual"/>
              </w:rPr>
              <w:tab/>
            </w:r>
            <w:r w:rsidR="00613BA1" w:rsidRPr="00943267">
              <w:rPr>
                <w:rStyle w:val="Hipercze"/>
                <w:b/>
                <w:noProof/>
              </w:rPr>
              <w:t>Charakterystyka projektów, które zakwalifikowano do finansowania</w:t>
            </w:r>
            <w:r w:rsidR="00613BA1">
              <w:rPr>
                <w:noProof/>
                <w:webHidden/>
              </w:rPr>
              <w:tab/>
            </w:r>
            <w:r w:rsidR="00613BA1">
              <w:rPr>
                <w:noProof/>
                <w:webHidden/>
              </w:rPr>
              <w:fldChar w:fldCharType="begin"/>
            </w:r>
            <w:r w:rsidR="00613BA1">
              <w:rPr>
                <w:noProof/>
                <w:webHidden/>
              </w:rPr>
              <w:instrText xml:space="preserve"> PAGEREF _Toc150504450 \h </w:instrText>
            </w:r>
            <w:r w:rsidR="00613BA1">
              <w:rPr>
                <w:noProof/>
                <w:webHidden/>
              </w:rPr>
            </w:r>
            <w:r w:rsidR="00613BA1">
              <w:rPr>
                <w:noProof/>
                <w:webHidden/>
              </w:rPr>
              <w:fldChar w:fldCharType="separate"/>
            </w:r>
            <w:r w:rsidR="00613BA1">
              <w:rPr>
                <w:noProof/>
                <w:webHidden/>
              </w:rPr>
              <w:t>19</w:t>
            </w:r>
            <w:r w:rsidR="00613BA1">
              <w:rPr>
                <w:noProof/>
                <w:webHidden/>
              </w:rPr>
              <w:fldChar w:fldCharType="end"/>
            </w:r>
          </w:hyperlink>
        </w:p>
        <w:p w14:paraId="78E5AF5A" w14:textId="56E727BE" w:rsidR="00613BA1" w:rsidRDefault="00000000">
          <w:pPr>
            <w:pStyle w:val="Spistreci3"/>
            <w:rPr>
              <w:noProof/>
              <w:kern w:val="2"/>
              <w:sz w:val="22"/>
              <w:szCs w:val="22"/>
              <w14:ligatures w14:val="standardContextual"/>
            </w:rPr>
          </w:pPr>
          <w:hyperlink w:anchor="_Toc150504451" w:history="1">
            <w:r w:rsidR="00613BA1" w:rsidRPr="00943267">
              <w:rPr>
                <w:rStyle w:val="Hipercze"/>
                <w:rFonts w:cs="Times New Roman"/>
                <w:i/>
                <w:noProof/>
              </w:rPr>
              <w:t>4.2.1</w:t>
            </w:r>
            <w:r w:rsidR="00613BA1">
              <w:rPr>
                <w:noProof/>
                <w:kern w:val="2"/>
                <w:sz w:val="22"/>
                <w:szCs w:val="22"/>
                <w14:ligatures w14:val="standardContextual"/>
              </w:rPr>
              <w:tab/>
            </w:r>
            <w:r w:rsidR="00613BA1" w:rsidRPr="00943267">
              <w:rPr>
                <w:rStyle w:val="Hipercze"/>
                <w:i/>
                <w:noProof/>
              </w:rPr>
              <w:t>Sektory</w:t>
            </w:r>
            <w:r w:rsidR="00613BA1">
              <w:rPr>
                <w:noProof/>
                <w:webHidden/>
              </w:rPr>
              <w:tab/>
            </w:r>
            <w:r w:rsidR="00613BA1">
              <w:rPr>
                <w:noProof/>
                <w:webHidden/>
              </w:rPr>
              <w:fldChar w:fldCharType="begin"/>
            </w:r>
            <w:r w:rsidR="00613BA1">
              <w:rPr>
                <w:noProof/>
                <w:webHidden/>
              </w:rPr>
              <w:instrText xml:space="preserve"> PAGEREF _Toc150504451 \h </w:instrText>
            </w:r>
            <w:r w:rsidR="00613BA1">
              <w:rPr>
                <w:noProof/>
                <w:webHidden/>
              </w:rPr>
            </w:r>
            <w:r w:rsidR="00613BA1">
              <w:rPr>
                <w:noProof/>
                <w:webHidden/>
              </w:rPr>
              <w:fldChar w:fldCharType="separate"/>
            </w:r>
            <w:r w:rsidR="00613BA1">
              <w:rPr>
                <w:noProof/>
                <w:webHidden/>
              </w:rPr>
              <w:t>19</w:t>
            </w:r>
            <w:r w:rsidR="00613BA1">
              <w:rPr>
                <w:noProof/>
                <w:webHidden/>
              </w:rPr>
              <w:fldChar w:fldCharType="end"/>
            </w:r>
          </w:hyperlink>
        </w:p>
        <w:p w14:paraId="1E850C27" w14:textId="50F302A4" w:rsidR="00613BA1" w:rsidRDefault="00000000">
          <w:pPr>
            <w:pStyle w:val="Spistreci3"/>
            <w:rPr>
              <w:noProof/>
              <w:kern w:val="2"/>
              <w:sz w:val="22"/>
              <w:szCs w:val="22"/>
              <w14:ligatures w14:val="standardContextual"/>
            </w:rPr>
          </w:pPr>
          <w:hyperlink w:anchor="_Toc150504452" w:history="1">
            <w:r w:rsidR="00613BA1" w:rsidRPr="00943267">
              <w:rPr>
                <w:rStyle w:val="Hipercze"/>
                <w:rFonts w:cs="Times New Roman"/>
                <w:i/>
                <w:noProof/>
              </w:rPr>
              <w:t>4.2.2</w:t>
            </w:r>
            <w:r w:rsidR="00613BA1">
              <w:rPr>
                <w:noProof/>
                <w:kern w:val="2"/>
                <w:sz w:val="22"/>
                <w:szCs w:val="22"/>
                <w14:ligatures w14:val="standardContextual"/>
              </w:rPr>
              <w:tab/>
            </w:r>
            <w:r w:rsidR="00613BA1" w:rsidRPr="00943267">
              <w:rPr>
                <w:rStyle w:val="Hipercze"/>
                <w:i/>
                <w:noProof/>
              </w:rPr>
              <w:t>Rozkład geograficzny</w:t>
            </w:r>
            <w:r w:rsidR="00613BA1">
              <w:rPr>
                <w:noProof/>
                <w:webHidden/>
              </w:rPr>
              <w:tab/>
            </w:r>
            <w:r w:rsidR="00613BA1">
              <w:rPr>
                <w:noProof/>
                <w:webHidden/>
              </w:rPr>
              <w:fldChar w:fldCharType="begin"/>
            </w:r>
            <w:r w:rsidR="00613BA1">
              <w:rPr>
                <w:noProof/>
                <w:webHidden/>
              </w:rPr>
              <w:instrText xml:space="preserve"> PAGEREF _Toc150504452 \h </w:instrText>
            </w:r>
            <w:r w:rsidR="00613BA1">
              <w:rPr>
                <w:noProof/>
                <w:webHidden/>
              </w:rPr>
            </w:r>
            <w:r w:rsidR="00613BA1">
              <w:rPr>
                <w:noProof/>
                <w:webHidden/>
              </w:rPr>
              <w:fldChar w:fldCharType="separate"/>
            </w:r>
            <w:r w:rsidR="00613BA1">
              <w:rPr>
                <w:noProof/>
                <w:webHidden/>
              </w:rPr>
              <w:t>20</w:t>
            </w:r>
            <w:r w:rsidR="00613BA1">
              <w:rPr>
                <w:noProof/>
                <w:webHidden/>
              </w:rPr>
              <w:fldChar w:fldCharType="end"/>
            </w:r>
          </w:hyperlink>
        </w:p>
        <w:p w14:paraId="713002C4" w14:textId="43383C88" w:rsidR="00613BA1" w:rsidRDefault="00000000">
          <w:pPr>
            <w:pStyle w:val="Spistreci3"/>
            <w:rPr>
              <w:noProof/>
              <w:kern w:val="2"/>
              <w:sz w:val="22"/>
              <w:szCs w:val="22"/>
              <w14:ligatures w14:val="standardContextual"/>
            </w:rPr>
          </w:pPr>
          <w:hyperlink w:anchor="_Toc150504453" w:history="1">
            <w:r w:rsidR="00613BA1" w:rsidRPr="00943267">
              <w:rPr>
                <w:rStyle w:val="Hipercze"/>
                <w:rFonts w:cs="Times New Roman"/>
                <w:i/>
                <w:noProof/>
              </w:rPr>
              <w:t>4.2.3</w:t>
            </w:r>
            <w:r w:rsidR="00613BA1">
              <w:rPr>
                <w:noProof/>
                <w:kern w:val="2"/>
                <w:sz w:val="22"/>
                <w:szCs w:val="22"/>
                <w14:ligatures w14:val="standardContextual"/>
              </w:rPr>
              <w:tab/>
            </w:r>
            <w:r w:rsidR="00613BA1" w:rsidRPr="00943267">
              <w:rPr>
                <w:rStyle w:val="Hipercze"/>
                <w:i/>
                <w:noProof/>
              </w:rPr>
              <w:t>Potencjał redukcji emisji gazów cieplarnianych</w:t>
            </w:r>
            <w:r w:rsidR="00613BA1">
              <w:rPr>
                <w:noProof/>
                <w:webHidden/>
              </w:rPr>
              <w:tab/>
            </w:r>
            <w:r w:rsidR="00613BA1">
              <w:rPr>
                <w:noProof/>
                <w:webHidden/>
              </w:rPr>
              <w:fldChar w:fldCharType="begin"/>
            </w:r>
            <w:r w:rsidR="00613BA1">
              <w:rPr>
                <w:noProof/>
                <w:webHidden/>
              </w:rPr>
              <w:instrText xml:space="preserve"> PAGEREF _Toc150504453 \h </w:instrText>
            </w:r>
            <w:r w:rsidR="00613BA1">
              <w:rPr>
                <w:noProof/>
                <w:webHidden/>
              </w:rPr>
            </w:r>
            <w:r w:rsidR="00613BA1">
              <w:rPr>
                <w:noProof/>
                <w:webHidden/>
              </w:rPr>
              <w:fldChar w:fldCharType="separate"/>
            </w:r>
            <w:r w:rsidR="00613BA1">
              <w:rPr>
                <w:noProof/>
                <w:webHidden/>
              </w:rPr>
              <w:t>21</w:t>
            </w:r>
            <w:r w:rsidR="00613BA1">
              <w:rPr>
                <w:noProof/>
                <w:webHidden/>
              </w:rPr>
              <w:fldChar w:fldCharType="end"/>
            </w:r>
          </w:hyperlink>
        </w:p>
        <w:p w14:paraId="59E707CC" w14:textId="3A226346" w:rsidR="00613BA1" w:rsidRDefault="00000000">
          <w:pPr>
            <w:pStyle w:val="Spistreci3"/>
            <w:rPr>
              <w:noProof/>
              <w:kern w:val="2"/>
              <w:sz w:val="22"/>
              <w:szCs w:val="22"/>
              <w14:ligatures w14:val="standardContextual"/>
            </w:rPr>
          </w:pPr>
          <w:hyperlink w:anchor="_Toc150504454" w:history="1">
            <w:r w:rsidR="00613BA1" w:rsidRPr="00943267">
              <w:rPr>
                <w:rStyle w:val="Hipercze"/>
                <w:rFonts w:cs="Times New Roman"/>
                <w:i/>
                <w:noProof/>
              </w:rPr>
              <w:t>4.2.4</w:t>
            </w:r>
            <w:r w:rsidR="00613BA1">
              <w:rPr>
                <w:noProof/>
                <w:kern w:val="2"/>
                <w:sz w:val="22"/>
                <w:szCs w:val="22"/>
                <w14:ligatures w14:val="standardContextual"/>
              </w:rPr>
              <w:tab/>
            </w:r>
            <w:r w:rsidR="00613BA1" w:rsidRPr="00943267">
              <w:rPr>
                <w:rStyle w:val="Hipercze"/>
                <w:i/>
                <w:noProof/>
              </w:rPr>
              <w:t>Poziom zaawansowania</w:t>
            </w:r>
            <w:r w:rsidR="00613BA1">
              <w:rPr>
                <w:noProof/>
                <w:webHidden/>
              </w:rPr>
              <w:tab/>
            </w:r>
            <w:r w:rsidR="00613BA1">
              <w:rPr>
                <w:noProof/>
                <w:webHidden/>
              </w:rPr>
              <w:fldChar w:fldCharType="begin"/>
            </w:r>
            <w:r w:rsidR="00613BA1">
              <w:rPr>
                <w:noProof/>
                <w:webHidden/>
              </w:rPr>
              <w:instrText xml:space="preserve"> PAGEREF _Toc150504454 \h </w:instrText>
            </w:r>
            <w:r w:rsidR="00613BA1">
              <w:rPr>
                <w:noProof/>
                <w:webHidden/>
              </w:rPr>
            </w:r>
            <w:r w:rsidR="00613BA1">
              <w:rPr>
                <w:noProof/>
                <w:webHidden/>
              </w:rPr>
              <w:fldChar w:fldCharType="separate"/>
            </w:r>
            <w:r w:rsidR="00613BA1">
              <w:rPr>
                <w:noProof/>
                <w:webHidden/>
              </w:rPr>
              <w:t>21</w:t>
            </w:r>
            <w:r w:rsidR="00613BA1">
              <w:rPr>
                <w:noProof/>
                <w:webHidden/>
              </w:rPr>
              <w:fldChar w:fldCharType="end"/>
            </w:r>
          </w:hyperlink>
        </w:p>
        <w:p w14:paraId="0F22FAD9" w14:textId="021F1385" w:rsidR="00613BA1" w:rsidRDefault="00000000">
          <w:pPr>
            <w:pStyle w:val="Spistreci3"/>
            <w:rPr>
              <w:noProof/>
              <w:kern w:val="2"/>
              <w:sz w:val="22"/>
              <w:szCs w:val="22"/>
              <w14:ligatures w14:val="standardContextual"/>
            </w:rPr>
          </w:pPr>
          <w:hyperlink w:anchor="_Toc150504455" w:history="1">
            <w:r w:rsidR="00613BA1" w:rsidRPr="00943267">
              <w:rPr>
                <w:rStyle w:val="Hipercze"/>
                <w:rFonts w:cs="Times New Roman"/>
                <w:i/>
                <w:noProof/>
              </w:rPr>
              <w:t>4.2.5</w:t>
            </w:r>
            <w:r w:rsidR="00613BA1">
              <w:rPr>
                <w:noProof/>
                <w:kern w:val="2"/>
                <w:sz w:val="22"/>
                <w:szCs w:val="22"/>
                <w14:ligatures w14:val="standardContextual"/>
              </w:rPr>
              <w:tab/>
            </w:r>
            <w:r w:rsidR="00613BA1" w:rsidRPr="00943267">
              <w:rPr>
                <w:rStyle w:val="Hipercze"/>
                <w:i/>
                <w:noProof/>
              </w:rPr>
              <w:t>Poziom innowacyjności</w:t>
            </w:r>
            <w:r w:rsidR="0076371C" w:rsidRPr="00943267">
              <w:rPr>
                <w:rStyle w:val="Hipercze"/>
                <w:i/>
                <w:noProof/>
              </w:rPr>
              <w:t xml:space="preserve"> i</w:t>
            </w:r>
            <w:r w:rsidR="0076371C">
              <w:rPr>
                <w:rStyle w:val="Hipercze"/>
                <w:i/>
                <w:noProof/>
              </w:rPr>
              <w:t> </w:t>
            </w:r>
            <w:r w:rsidR="0076371C" w:rsidRPr="00943267">
              <w:rPr>
                <w:rStyle w:val="Hipercze"/>
                <w:i/>
                <w:noProof/>
              </w:rPr>
              <w:t>pot</w:t>
            </w:r>
            <w:r w:rsidR="00613BA1" w:rsidRPr="00943267">
              <w:rPr>
                <w:rStyle w:val="Hipercze"/>
                <w:i/>
                <w:noProof/>
              </w:rPr>
              <w:t>encjał skalowalności</w:t>
            </w:r>
            <w:r w:rsidR="00613BA1">
              <w:rPr>
                <w:noProof/>
                <w:webHidden/>
              </w:rPr>
              <w:tab/>
            </w:r>
            <w:r w:rsidR="00613BA1">
              <w:rPr>
                <w:noProof/>
                <w:webHidden/>
              </w:rPr>
              <w:fldChar w:fldCharType="begin"/>
            </w:r>
            <w:r w:rsidR="00613BA1">
              <w:rPr>
                <w:noProof/>
                <w:webHidden/>
              </w:rPr>
              <w:instrText xml:space="preserve"> PAGEREF _Toc150504455 \h </w:instrText>
            </w:r>
            <w:r w:rsidR="00613BA1">
              <w:rPr>
                <w:noProof/>
                <w:webHidden/>
              </w:rPr>
            </w:r>
            <w:r w:rsidR="00613BA1">
              <w:rPr>
                <w:noProof/>
                <w:webHidden/>
              </w:rPr>
              <w:fldChar w:fldCharType="separate"/>
            </w:r>
            <w:r w:rsidR="00613BA1">
              <w:rPr>
                <w:noProof/>
                <w:webHidden/>
              </w:rPr>
              <w:t>22</w:t>
            </w:r>
            <w:r w:rsidR="00613BA1">
              <w:rPr>
                <w:noProof/>
                <w:webHidden/>
              </w:rPr>
              <w:fldChar w:fldCharType="end"/>
            </w:r>
          </w:hyperlink>
        </w:p>
        <w:p w14:paraId="4BFE1339" w14:textId="5006FA2B" w:rsidR="00613BA1" w:rsidRDefault="00000000">
          <w:pPr>
            <w:pStyle w:val="Spistreci1"/>
            <w:rPr>
              <w:rFonts w:cstheme="minorBidi"/>
              <w:b w:val="0"/>
              <w:noProof/>
              <w:kern w:val="2"/>
              <w:sz w:val="22"/>
              <w:szCs w:val="22"/>
              <w14:ligatures w14:val="standardContextual"/>
            </w:rPr>
          </w:pPr>
          <w:hyperlink w:anchor="_Toc150504456" w:history="1">
            <w:r w:rsidR="00613BA1" w:rsidRPr="00943267">
              <w:rPr>
                <w:rStyle w:val="Hipercze"/>
                <w:noProof/>
              </w:rPr>
              <w:t>5</w:t>
            </w:r>
            <w:r w:rsidR="00613BA1">
              <w:rPr>
                <w:rFonts w:cstheme="minorBidi"/>
                <w:b w:val="0"/>
                <w:noProof/>
                <w:kern w:val="2"/>
                <w:sz w:val="22"/>
                <w:szCs w:val="22"/>
                <w14:ligatures w14:val="standardContextual"/>
              </w:rPr>
              <w:tab/>
            </w:r>
            <w:r w:rsidR="00613BA1" w:rsidRPr="00943267">
              <w:rPr>
                <w:rStyle w:val="Hipercze"/>
                <w:noProof/>
              </w:rPr>
              <w:t>SKUMULOWANE WYNIKI FUNDUSZU INNOWACYJNEGO DO KOŃCA 2022 R.</w:t>
            </w:r>
            <w:r w:rsidR="00613BA1">
              <w:rPr>
                <w:noProof/>
                <w:webHidden/>
              </w:rPr>
              <w:tab/>
            </w:r>
            <w:r w:rsidR="00613BA1">
              <w:rPr>
                <w:noProof/>
                <w:webHidden/>
              </w:rPr>
              <w:fldChar w:fldCharType="begin"/>
            </w:r>
            <w:r w:rsidR="00613BA1">
              <w:rPr>
                <w:noProof/>
                <w:webHidden/>
              </w:rPr>
              <w:instrText xml:space="preserve"> PAGEREF _Toc150504456 \h </w:instrText>
            </w:r>
            <w:r w:rsidR="00613BA1">
              <w:rPr>
                <w:noProof/>
                <w:webHidden/>
              </w:rPr>
            </w:r>
            <w:r w:rsidR="00613BA1">
              <w:rPr>
                <w:noProof/>
                <w:webHidden/>
              </w:rPr>
              <w:fldChar w:fldCharType="separate"/>
            </w:r>
            <w:r w:rsidR="00613BA1">
              <w:rPr>
                <w:noProof/>
                <w:webHidden/>
              </w:rPr>
              <w:t>22</w:t>
            </w:r>
            <w:r w:rsidR="00613BA1">
              <w:rPr>
                <w:noProof/>
                <w:webHidden/>
              </w:rPr>
              <w:fldChar w:fldCharType="end"/>
            </w:r>
          </w:hyperlink>
        </w:p>
        <w:p w14:paraId="6D345AFB" w14:textId="555F1A9C" w:rsidR="00613BA1" w:rsidRDefault="00000000">
          <w:pPr>
            <w:pStyle w:val="Spistreci2"/>
            <w:tabs>
              <w:tab w:val="left" w:pos="880"/>
              <w:tab w:val="right" w:leader="dot" w:pos="9016"/>
            </w:tabs>
            <w:rPr>
              <w:noProof/>
              <w:kern w:val="2"/>
              <w:sz w:val="22"/>
              <w:szCs w:val="22"/>
              <w14:ligatures w14:val="standardContextual"/>
            </w:rPr>
          </w:pPr>
          <w:hyperlink w:anchor="_Toc150504457" w:history="1">
            <w:r w:rsidR="00613BA1" w:rsidRPr="00943267">
              <w:rPr>
                <w:rStyle w:val="Hipercze"/>
                <w:rFonts w:cs="Times New Roman"/>
                <w:b/>
                <w:noProof/>
              </w:rPr>
              <w:t>5.1</w:t>
            </w:r>
            <w:r w:rsidR="00613BA1">
              <w:rPr>
                <w:noProof/>
                <w:kern w:val="2"/>
                <w:sz w:val="22"/>
                <w:szCs w:val="22"/>
                <w14:ligatures w14:val="standardContextual"/>
              </w:rPr>
              <w:tab/>
            </w:r>
            <w:r w:rsidR="00613BA1" w:rsidRPr="00943267">
              <w:rPr>
                <w:rStyle w:val="Hipercze"/>
                <w:b/>
                <w:noProof/>
              </w:rPr>
              <w:t>Zgłaszanie projektów</w:t>
            </w:r>
            <w:r w:rsidR="0076371C" w:rsidRPr="00943267">
              <w:rPr>
                <w:rStyle w:val="Hipercze"/>
                <w:b/>
                <w:noProof/>
              </w:rPr>
              <w:t xml:space="preserve"> w</w:t>
            </w:r>
            <w:r w:rsidR="0076371C">
              <w:rPr>
                <w:rStyle w:val="Hipercze"/>
                <w:b/>
                <w:noProof/>
              </w:rPr>
              <w:t> </w:t>
            </w:r>
            <w:r w:rsidR="0076371C" w:rsidRPr="00943267">
              <w:rPr>
                <w:rStyle w:val="Hipercze"/>
                <w:b/>
                <w:noProof/>
              </w:rPr>
              <w:t>ram</w:t>
            </w:r>
            <w:r w:rsidR="00613BA1" w:rsidRPr="00943267">
              <w:rPr>
                <w:rStyle w:val="Hipercze"/>
                <w:b/>
                <w:noProof/>
              </w:rPr>
              <w:t>ach zaproszenia do składania wniosków</w:t>
            </w:r>
            <w:r w:rsidR="00613BA1">
              <w:rPr>
                <w:noProof/>
                <w:webHidden/>
              </w:rPr>
              <w:tab/>
            </w:r>
            <w:r w:rsidR="00613BA1">
              <w:rPr>
                <w:noProof/>
                <w:webHidden/>
              </w:rPr>
              <w:fldChar w:fldCharType="begin"/>
            </w:r>
            <w:r w:rsidR="00613BA1">
              <w:rPr>
                <w:noProof/>
                <w:webHidden/>
              </w:rPr>
              <w:instrText xml:space="preserve"> PAGEREF _Toc150504457 \h </w:instrText>
            </w:r>
            <w:r w:rsidR="00613BA1">
              <w:rPr>
                <w:noProof/>
                <w:webHidden/>
              </w:rPr>
            </w:r>
            <w:r w:rsidR="00613BA1">
              <w:rPr>
                <w:noProof/>
                <w:webHidden/>
              </w:rPr>
              <w:fldChar w:fldCharType="separate"/>
            </w:r>
            <w:r w:rsidR="00613BA1">
              <w:rPr>
                <w:noProof/>
                <w:webHidden/>
              </w:rPr>
              <w:t>23</w:t>
            </w:r>
            <w:r w:rsidR="00613BA1">
              <w:rPr>
                <w:noProof/>
                <w:webHidden/>
              </w:rPr>
              <w:fldChar w:fldCharType="end"/>
            </w:r>
          </w:hyperlink>
        </w:p>
        <w:p w14:paraId="0C9330E5" w14:textId="4E772638" w:rsidR="00613BA1" w:rsidRDefault="00000000">
          <w:pPr>
            <w:pStyle w:val="Spistreci2"/>
            <w:tabs>
              <w:tab w:val="left" w:pos="880"/>
              <w:tab w:val="right" w:leader="dot" w:pos="9016"/>
            </w:tabs>
            <w:rPr>
              <w:noProof/>
              <w:kern w:val="2"/>
              <w:sz w:val="22"/>
              <w:szCs w:val="22"/>
              <w14:ligatures w14:val="standardContextual"/>
            </w:rPr>
          </w:pPr>
          <w:hyperlink w:anchor="_Toc150504458" w:history="1">
            <w:r w:rsidR="00613BA1" w:rsidRPr="00943267">
              <w:rPr>
                <w:rStyle w:val="Hipercze"/>
                <w:rFonts w:cs="Times New Roman"/>
                <w:b/>
                <w:noProof/>
              </w:rPr>
              <w:t>5.2</w:t>
            </w:r>
            <w:r w:rsidR="00613BA1">
              <w:rPr>
                <w:noProof/>
                <w:kern w:val="2"/>
                <w:sz w:val="22"/>
                <w:szCs w:val="22"/>
                <w14:ligatures w14:val="standardContextual"/>
              </w:rPr>
              <w:tab/>
            </w:r>
            <w:r w:rsidR="00613BA1" w:rsidRPr="00943267">
              <w:rPr>
                <w:rStyle w:val="Hipercze"/>
                <w:b/>
                <w:noProof/>
              </w:rPr>
              <w:t>Budżet zaproszenia do składania wniosków</w:t>
            </w:r>
            <w:r w:rsidR="0076371C" w:rsidRPr="00943267">
              <w:rPr>
                <w:rStyle w:val="Hipercze"/>
                <w:b/>
                <w:noProof/>
              </w:rPr>
              <w:t xml:space="preserve"> i</w:t>
            </w:r>
            <w:r w:rsidR="0076371C">
              <w:rPr>
                <w:rStyle w:val="Hipercze"/>
                <w:b/>
                <w:noProof/>
              </w:rPr>
              <w:t> </w:t>
            </w:r>
            <w:r w:rsidR="0076371C" w:rsidRPr="00943267">
              <w:rPr>
                <w:rStyle w:val="Hipercze"/>
                <w:b/>
                <w:noProof/>
              </w:rPr>
              <w:t>wni</w:t>
            </w:r>
            <w:r w:rsidR="00613BA1" w:rsidRPr="00943267">
              <w:rPr>
                <w:rStyle w:val="Hipercze"/>
                <w:b/>
                <w:noProof/>
              </w:rPr>
              <w:t>oskowane wsparcie finansowe</w:t>
            </w:r>
            <w:r w:rsidR="00613BA1">
              <w:rPr>
                <w:noProof/>
                <w:webHidden/>
              </w:rPr>
              <w:tab/>
            </w:r>
            <w:r w:rsidR="00613BA1">
              <w:rPr>
                <w:noProof/>
                <w:webHidden/>
              </w:rPr>
              <w:fldChar w:fldCharType="begin"/>
            </w:r>
            <w:r w:rsidR="00613BA1">
              <w:rPr>
                <w:noProof/>
                <w:webHidden/>
              </w:rPr>
              <w:instrText xml:space="preserve"> PAGEREF _Toc150504458 \h </w:instrText>
            </w:r>
            <w:r w:rsidR="00613BA1">
              <w:rPr>
                <w:noProof/>
                <w:webHidden/>
              </w:rPr>
            </w:r>
            <w:r w:rsidR="00613BA1">
              <w:rPr>
                <w:noProof/>
                <w:webHidden/>
              </w:rPr>
              <w:fldChar w:fldCharType="separate"/>
            </w:r>
            <w:r w:rsidR="00613BA1">
              <w:rPr>
                <w:noProof/>
                <w:webHidden/>
              </w:rPr>
              <w:t>24</w:t>
            </w:r>
            <w:r w:rsidR="00613BA1">
              <w:rPr>
                <w:noProof/>
                <w:webHidden/>
              </w:rPr>
              <w:fldChar w:fldCharType="end"/>
            </w:r>
          </w:hyperlink>
        </w:p>
        <w:p w14:paraId="05C76F47" w14:textId="672CA1B3" w:rsidR="00613BA1" w:rsidRDefault="00000000">
          <w:pPr>
            <w:pStyle w:val="Spistreci2"/>
            <w:tabs>
              <w:tab w:val="left" w:pos="880"/>
              <w:tab w:val="right" w:leader="dot" w:pos="9016"/>
            </w:tabs>
            <w:rPr>
              <w:noProof/>
              <w:kern w:val="2"/>
              <w:sz w:val="22"/>
              <w:szCs w:val="22"/>
              <w14:ligatures w14:val="standardContextual"/>
            </w:rPr>
          </w:pPr>
          <w:hyperlink w:anchor="_Toc150504459" w:history="1">
            <w:r w:rsidR="00613BA1" w:rsidRPr="00943267">
              <w:rPr>
                <w:rStyle w:val="Hipercze"/>
                <w:rFonts w:cs="Times New Roman"/>
                <w:b/>
                <w:noProof/>
              </w:rPr>
              <w:t>5.3</w:t>
            </w:r>
            <w:r w:rsidR="00613BA1">
              <w:rPr>
                <w:noProof/>
                <w:kern w:val="2"/>
                <w:sz w:val="22"/>
                <w:szCs w:val="22"/>
                <w14:ligatures w14:val="standardContextual"/>
              </w:rPr>
              <w:tab/>
            </w:r>
            <w:r w:rsidR="00613BA1" w:rsidRPr="00943267">
              <w:rPr>
                <w:rStyle w:val="Hipercze"/>
                <w:b/>
                <w:noProof/>
              </w:rPr>
              <w:t>Charakterystyka projektów, które zakwalifikowano do finansowania</w:t>
            </w:r>
            <w:r w:rsidR="00613BA1">
              <w:rPr>
                <w:noProof/>
                <w:webHidden/>
              </w:rPr>
              <w:tab/>
            </w:r>
            <w:r w:rsidR="00613BA1">
              <w:rPr>
                <w:noProof/>
                <w:webHidden/>
              </w:rPr>
              <w:fldChar w:fldCharType="begin"/>
            </w:r>
            <w:r w:rsidR="00613BA1">
              <w:rPr>
                <w:noProof/>
                <w:webHidden/>
              </w:rPr>
              <w:instrText xml:space="preserve"> PAGEREF _Toc150504459 \h </w:instrText>
            </w:r>
            <w:r w:rsidR="00613BA1">
              <w:rPr>
                <w:noProof/>
                <w:webHidden/>
              </w:rPr>
            </w:r>
            <w:r w:rsidR="00613BA1">
              <w:rPr>
                <w:noProof/>
                <w:webHidden/>
              </w:rPr>
              <w:fldChar w:fldCharType="separate"/>
            </w:r>
            <w:r w:rsidR="00613BA1">
              <w:rPr>
                <w:noProof/>
                <w:webHidden/>
              </w:rPr>
              <w:t>26</w:t>
            </w:r>
            <w:r w:rsidR="00613BA1">
              <w:rPr>
                <w:noProof/>
                <w:webHidden/>
              </w:rPr>
              <w:fldChar w:fldCharType="end"/>
            </w:r>
          </w:hyperlink>
        </w:p>
        <w:p w14:paraId="4F049F1B" w14:textId="7EB08048" w:rsidR="00613BA1" w:rsidRDefault="00000000">
          <w:pPr>
            <w:pStyle w:val="Spistreci3"/>
            <w:rPr>
              <w:noProof/>
              <w:kern w:val="2"/>
              <w:sz w:val="22"/>
              <w:szCs w:val="22"/>
              <w14:ligatures w14:val="standardContextual"/>
            </w:rPr>
          </w:pPr>
          <w:hyperlink w:anchor="_Toc150504460" w:history="1">
            <w:r w:rsidR="00613BA1" w:rsidRPr="00943267">
              <w:rPr>
                <w:rStyle w:val="Hipercze"/>
                <w:rFonts w:cs="Times New Roman"/>
                <w:noProof/>
              </w:rPr>
              <w:t>5.3.1</w:t>
            </w:r>
            <w:r w:rsidR="00613BA1">
              <w:rPr>
                <w:noProof/>
                <w:kern w:val="2"/>
                <w:sz w:val="22"/>
                <w:szCs w:val="22"/>
                <w14:ligatures w14:val="standardContextual"/>
              </w:rPr>
              <w:tab/>
            </w:r>
            <w:r w:rsidR="00613BA1" w:rsidRPr="00943267">
              <w:rPr>
                <w:rStyle w:val="Hipercze"/>
                <w:noProof/>
              </w:rPr>
              <w:t>Kategorie</w:t>
            </w:r>
            <w:r w:rsidR="0076371C" w:rsidRPr="00943267">
              <w:rPr>
                <w:rStyle w:val="Hipercze"/>
                <w:noProof/>
              </w:rPr>
              <w:t xml:space="preserve"> i</w:t>
            </w:r>
            <w:r w:rsidR="0076371C">
              <w:rPr>
                <w:rStyle w:val="Hipercze"/>
                <w:noProof/>
              </w:rPr>
              <w:t> </w:t>
            </w:r>
            <w:r w:rsidR="0076371C" w:rsidRPr="00943267">
              <w:rPr>
                <w:rStyle w:val="Hipercze"/>
                <w:noProof/>
              </w:rPr>
              <w:t>sek</w:t>
            </w:r>
            <w:r w:rsidR="00613BA1" w:rsidRPr="00943267">
              <w:rPr>
                <w:rStyle w:val="Hipercze"/>
                <w:noProof/>
              </w:rPr>
              <w:t>tory</w:t>
            </w:r>
            <w:r w:rsidR="00613BA1">
              <w:rPr>
                <w:noProof/>
                <w:webHidden/>
              </w:rPr>
              <w:tab/>
            </w:r>
            <w:r w:rsidR="00613BA1">
              <w:rPr>
                <w:noProof/>
                <w:webHidden/>
              </w:rPr>
              <w:fldChar w:fldCharType="begin"/>
            </w:r>
            <w:r w:rsidR="00613BA1">
              <w:rPr>
                <w:noProof/>
                <w:webHidden/>
              </w:rPr>
              <w:instrText xml:space="preserve"> PAGEREF _Toc150504460 \h </w:instrText>
            </w:r>
            <w:r w:rsidR="00613BA1">
              <w:rPr>
                <w:noProof/>
                <w:webHidden/>
              </w:rPr>
            </w:r>
            <w:r w:rsidR="00613BA1">
              <w:rPr>
                <w:noProof/>
                <w:webHidden/>
              </w:rPr>
              <w:fldChar w:fldCharType="separate"/>
            </w:r>
            <w:r w:rsidR="00613BA1">
              <w:rPr>
                <w:noProof/>
                <w:webHidden/>
              </w:rPr>
              <w:t>26</w:t>
            </w:r>
            <w:r w:rsidR="00613BA1">
              <w:rPr>
                <w:noProof/>
                <w:webHidden/>
              </w:rPr>
              <w:fldChar w:fldCharType="end"/>
            </w:r>
          </w:hyperlink>
        </w:p>
        <w:p w14:paraId="7F589E01" w14:textId="60CA494E" w:rsidR="00613BA1" w:rsidRDefault="00000000">
          <w:pPr>
            <w:pStyle w:val="Spistreci3"/>
            <w:rPr>
              <w:noProof/>
              <w:kern w:val="2"/>
              <w:sz w:val="22"/>
              <w:szCs w:val="22"/>
              <w14:ligatures w14:val="standardContextual"/>
            </w:rPr>
          </w:pPr>
          <w:hyperlink w:anchor="_Toc150504461" w:history="1">
            <w:r w:rsidR="00613BA1" w:rsidRPr="00943267">
              <w:rPr>
                <w:rStyle w:val="Hipercze"/>
                <w:rFonts w:cs="Times New Roman"/>
                <w:i/>
                <w:noProof/>
              </w:rPr>
              <w:t>5.3.2</w:t>
            </w:r>
            <w:r w:rsidR="00613BA1">
              <w:rPr>
                <w:noProof/>
                <w:kern w:val="2"/>
                <w:sz w:val="22"/>
                <w:szCs w:val="22"/>
                <w14:ligatures w14:val="standardContextual"/>
              </w:rPr>
              <w:tab/>
            </w:r>
            <w:r w:rsidR="00613BA1" w:rsidRPr="00943267">
              <w:rPr>
                <w:rStyle w:val="Hipercze"/>
                <w:i/>
                <w:noProof/>
              </w:rPr>
              <w:t>Rozkład geograficzny</w:t>
            </w:r>
            <w:r w:rsidR="00613BA1">
              <w:rPr>
                <w:noProof/>
                <w:webHidden/>
              </w:rPr>
              <w:tab/>
            </w:r>
            <w:r w:rsidR="00613BA1">
              <w:rPr>
                <w:noProof/>
                <w:webHidden/>
              </w:rPr>
              <w:fldChar w:fldCharType="begin"/>
            </w:r>
            <w:r w:rsidR="00613BA1">
              <w:rPr>
                <w:noProof/>
                <w:webHidden/>
              </w:rPr>
              <w:instrText xml:space="preserve"> PAGEREF _Toc150504461 \h </w:instrText>
            </w:r>
            <w:r w:rsidR="00613BA1">
              <w:rPr>
                <w:noProof/>
                <w:webHidden/>
              </w:rPr>
            </w:r>
            <w:r w:rsidR="00613BA1">
              <w:rPr>
                <w:noProof/>
                <w:webHidden/>
              </w:rPr>
              <w:fldChar w:fldCharType="separate"/>
            </w:r>
            <w:r w:rsidR="00613BA1">
              <w:rPr>
                <w:noProof/>
                <w:webHidden/>
              </w:rPr>
              <w:t>28</w:t>
            </w:r>
            <w:r w:rsidR="00613BA1">
              <w:rPr>
                <w:noProof/>
                <w:webHidden/>
              </w:rPr>
              <w:fldChar w:fldCharType="end"/>
            </w:r>
          </w:hyperlink>
        </w:p>
        <w:p w14:paraId="05B28C58" w14:textId="59C2B39C" w:rsidR="00613BA1" w:rsidRDefault="00000000">
          <w:pPr>
            <w:pStyle w:val="Spistreci3"/>
            <w:rPr>
              <w:noProof/>
              <w:kern w:val="2"/>
              <w:sz w:val="22"/>
              <w:szCs w:val="22"/>
              <w14:ligatures w14:val="standardContextual"/>
            </w:rPr>
          </w:pPr>
          <w:hyperlink w:anchor="_Toc150504462" w:history="1">
            <w:r w:rsidR="00613BA1" w:rsidRPr="00943267">
              <w:rPr>
                <w:rStyle w:val="Hipercze"/>
                <w:rFonts w:cs="Times New Roman"/>
                <w:i/>
                <w:noProof/>
              </w:rPr>
              <w:t>5.3.3</w:t>
            </w:r>
            <w:r w:rsidR="00613BA1">
              <w:rPr>
                <w:noProof/>
                <w:kern w:val="2"/>
                <w:sz w:val="22"/>
                <w:szCs w:val="22"/>
                <w14:ligatures w14:val="standardContextual"/>
              </w:rPr>
              <w:tab/>
            </w:r>
            <w:r w:rsidR="00613BA1" w:rsidRPr="00943267">
              <w:rPr>
                <w:rStyle w:val="Hipercze"/>
                <w:i/>
                <w:noProof/>
              </w:rPr>
              <w:t>Potencjał redukcji emisji gazów cieplarnianych</w:t>
            </w:r>
            <w:r w:rsidR="00613BA1">
              <w:rPr>
                <w:noProof/>
                <w:webHidden/>
              </w:rPr>
              <w:tab/>
            </w:r>
            <w:r w:rsidR="00613BA1">
              <w:rPr>
                <w:noProof/>
                <w:webHidden/>
              </w:rPr>
              <w:fldChar w:fldCharType="begin"/>
            </w:r>
            <w:r w:rsidR="00613BA1">
              <w:rPr>
                <w:noProof/>
                <w:webHidden/>
              </w:rPr>
              <w:instrText xml:space="preserve"> PAGEREF _Toc150504462 \h </w:instrText>
            </w:r>
            <w:r w:rsidR="00613BA1">
              <w:rPr>
                <w:noProof/>
                <w:webHidden/>
              </w:rPr>
            </w:r>
            <w:r w:rsidR="00613BA1">
              <w:rPr>
                <w:noProof/>
                <w:webHidden/>
              </w:rPr>
              <w:fldChar w:fldCharType="separate"/>
            </w:r>
            <w:r w:rsidR="00613BA1">
              <w:rPr>
                <w:noProof/>
                <w:webHidden/>
              </w:rPr>
              <w:t>30</w:t>
            </w:r>
            <w:r w:rsidR="00613BA1">
              <w:rPr>
                <w:noProof/>
                <w:webHidden/>
              </w:rPr>
              <w:fldChar w:fldCharType="end"/>
            </w:r>
          </w:hyperlink>
        </w:p>
        <w:p w14:paraId="2DBEC8BD" w14:textId="61364FA3" w:rsidR="00613BA1" w:rsidRDefault="00000000">
          <w:pPr>
            <w:pStyle w:val="Spistreci3"/>
            <w:rPr>
              <w:noProof/>
              <w:kern w:val="2"/>
              <w:sz w:val="22"/>
              <w:szCs w:val="22"/>
              <w14:ligatures w14:val="standardContextual"/>
            </w:rPr>
          </w:pPr>
          <w:hyperlink w:anchor="_Toc150504463" w:history="1">
            <w:r w:rsidR="00613BA1" w:rsidRPr="00943267">
              <w:rPr>
                <w:rStyle w:val="Hipercze"/>
                <w:rFonts w:cs="Times New Roman"/>
                <w:i/>
                <w:noProof/>
              </w:rPr>
              <w:t>5.3.4</w:t>
            </w:r>
            <w:r w:rsidR="00613BA1">
              <w:rPr>
                <w:noProof/>
                <w:kern w:val="2"/>
                <w:sz w:val="22"/>
                <w:szCs w:val="22"/>
                <w14:ligatures w14:val="standardContextual"/>
              </w:rPr>
              <w:tab/>
            </w:r>
            <w:r w:rsidR="00613BA1" w:rsidRPr="00943267">
              <w:rPr>
                <w:rStyle w:val="Hipercze"/>
                <w:i/>
                <w:noProof/>
              </w:rPr>
              <w:t>Poziom zaawansowania</w:t>
            </w:r>
            <w:r w:rsidR="00613BA1">
              <w:rPr>
                <w:noProof/>
                <w:webHidden/>
              </w:rPr>
              <w:tab/>
            </w:r>
            <w:r w:rsidR="00613BA1">
              <w:rPr>
                <w:noProof/>
                <w:webHidden/>
              </w:rPr>
              <w:fldChar w:fldCharType="begin"/>
            </w:r>
            <w:r w:rsidR="00613BA1">
              <w:rPr>
                <w:noProof/>
                <w:webHidden/>
              </w:rPr>
              <w:instrText xml:space="preserve"> PAGEREF _Toc150504463 \h </w:instrText>
            </w:r>
            <w:r w:rsidR="00613BA1">
              <w:rPr>
                <w:noProof/>
                <w:webHidden/>
              </w:rPr>
            </w:r>
            <w:r w:rsidR="00613BA1">
              <w:rPr>
                <w:noProof/>
                <w:webHidden/>
              </w:rPr>
              <w:fldChar w:fldCharType="separate"/>
            </w:r>
            <w:r w:rsidR="00613BA1">
              <w:rPr>
                <w:noProof/>
                <w:webHidden/>
              </w:rPr>
              <w:t>31</w:t>
            </w:r>
            <w:r w:rsidR="00613BA1">
              <w:rPr>
                <w:noProof/>
                <w:webHidden/>
              </w:rPr>
              <w:fldChar w:fldCharType="end"/>
            </w:r>
          </w:hyperlink>
        </w:p>
        <w:p w14:paraId="0B27BA0E" w14:textId="02EB2670" w:rsidR="00613BA1" w:rsidRDefault="00000000">
          <w:pPr>
            <w:pStyle w:val="Spistreci2"/>
            <w:tabs>
              <w:tab w:val="left" w:pos="880"/>
              <w:tab w:val="right" w:leader="dot" w:pos="9016"/>
            </w:tabs>
            <w:rPr>
              <w:noProof/>
              <w:kern w:val="2"/>
              <w:sz w:val="22"/>
              <w:szCs w:val="22"/>
              <w14:ligatures w14:val="standardContextual"/>
            </w:rPr>
          </w:pPr>
          <w:hyperlink w:anchor="_Toc150504464" w:history="1">
            <w:r w:rsidR="00613BA1" w:rsidRPr="00943267">
              <w:rPr>
                <w:rStyle w:val="Hipercze"/>
                <w:rFonts w:cs="Times New Roman"/>
                <w:b/>
                <w:noProof/>
              </w:rPr>
              <w:t>5.4</w:t>
            </w:r>
            <w:r w:rsidR="00613BA1">
              <w:rPr>
                <w:noProof/>
                <w:kern w:val="2"/>
                <w:sz w:val="22"/>
                <w:szCs w:val="22"/>
                <w14:ligatures w14:val="standardContextual"/>
              </w:rPr>
              <w:tab/>
            </w:r>
            <w:r w:rsidR="00613BA1" w:rsidRPr="00943267">
              <w:rPr>
                <w:rStyle w:val="Hipercze"/>
                <w:b/>
                <w:noProof/>
              </w:rPr>
              <w:t>Wspierane innowacyjne technologie</w:t>
            </w:r>
            <w:r w:rsidR="00613BA1">
              <w:rPr>
                <w:noProof/>
                <w:webHidden/>
              </w:rPr>
              <w:tab/>
            </w:r>
            <w:r w:rsidR="00613BA1">
              <w:rPr>
                <w:noProof/>
                <w:webHidden/>
              </w:rPr>
              <w:fldChar w:fldCharType="begin"/>
            </w:r>
            <w:r w:rsidR="00613BA1">
              <w:rPr>
                <w:noProof/>
                <w:webHidden/>
              </w:rPr>
              <w:instrText xml:space="preserve"> PAGEREF _Toc150504464 \h </w:instrText>
            </w:r>
            <w:r w:rsidR="00613BA1">
              <w:rPr>
                <w:noProof/>
                <w:webHidden/>
              </w:rPr>
            </w:r>
            <w:r w:rsidR="00613BA1">
              <w:rPr>
                <w:noProof/>
                <w:webHidden/>
              </w:rPr>
              <w:fldChar w:fldCharType="separate"/>
            </w:r>
            <w:r w:rsidR="00613BA1">
              <w:rPr>
                <w:noProof/>
                <w:webHidden/>
              </w:rPr>
              <w:t>33</w:t>
            </w:r>
            <w:r w:rsidR="00613BA1">
              <w:rPr>
                <w:noProof/>
                <w:webHidden/>
              </w:rPr>
              <w:fldChar w:fldCharType="end"/>
            </w:r>
          </w:hyperlink>
        </w:p>
        <w:p w14:paraId="0E1951D4" w14:textId="4F3147E4" w:rsidR="00613BA1" w:rsidRDefault="00000000">
          <w:pPr>
            <w:pStyle w:val="Spistreci2"/>
            <w:tabs>
              <w:tab w:val="left" w:pos="880"/>
              <w:tab w:val="right" w:leader="dot" w:pos="9016"/>
            </w:tabs>
            <w:rPr>
              <w:noProof/>
              <w:kern w:val="2"/>
              <w:sz w:val="22"/>
              <w:szCs w:val="22"/>
              <w14:ligatures w14:val="standardContextual"/>
            </w:rPr>
          </w:pPr>
          <w:hyperlink w:anchor="_Toc150504465" w:history="1">
            <w:r w:rsidR="00613BA1" w:rsidRPr="00943267">
              <w:rPr>
                <w:rStyle w:val="Hipercze"/>
                <w:rFonts w:cs="Times New Roman"/>
                <w:b/>
                <w:noProof/>
              </w:rPr>
              <w:t>5.5</w:t>
            </w:r>
            <w:r w:rsidR="00613BA1">
              <w:rPr>
                <w:noProof/>
                <w:kern w:val="2"/>
                <w:sz w:val="22"/>
                <w:szCs w:val="22"/>
                <w14:ligatures w14:val="standardContextual"/>
              </w:rPr>
              <w:tab/>
            </w:r>
            <w:r w:rsidR="00613BA1" w:rsidRPr="00943267">
              <w:rPr>
                <w:rStyle w:val="Hipercze"/>
                <w:b/>
                <w:noProof/>
              </w:rPr>
              <w:t>Wkład</w:t>
            </w:r>
            <w:r w:rsidR="0076371C" w:rsidRPr="00943267">
              <w:rPr>
                <w:rStyle w:val="Hipercze"/>
                <w:b/>
                <w:noProof/>
              </w:rPr>
              <w:t xml:space="preserve"> w</w:t>
            </w:r>
            <w:r w:rsidR="0076371C">
              <w:rPr>
                <w:rStyle w:val="Hipercze"/>
                <w:b/>
                <w:noProof/>
              </w:rPr>
              <w:t> </w:t>
            </w:r>
            <w:r w:rsidR="0076371C" w:rsidRPr="00943267">
              <w:rPr>
                <w:rStyle w:val="Hipercze"/>
                <w:b/>
                <w:noProof/>
              </w:rPr>
              <w:t>rea</w:t>
            </w:r>
            <w:r w:rsidR="00613BA1" w:rsidRPr="00943267">
              <w:rPr>
                <w:rStyle w:val="Hipercze"/>
                <w:b/>
                <w:noProof/>
              </w:rPr>
              <w:t>lizację innych celów polityki UE</w:t>
            </w:r>
            <w:r w:rsidR="00613BA1">
              <w:rPr>
                <w:noProof/>
                <w:webHidden/>
              </w:rPr>
              <w:tab/>
            </w:r>
            <w:r w:rsidR="00613BA1">
              <w:rPr>
                <w:noProof/>
                <w:webHidden/>
              </w:rPr>
              <w:fldChar w:fldCharType="begin"/>
            </w:r>
            <w:r w:rsidR="00613BA1">
              <w:rPr>
                <w:noProof/>
                <w:webHidden/>
              </w:rPr>
              <w:instrText xml:space="preserve"> PAGEREF _Toc150504465 \h </w:instrText>
            </w:r>
            <w:r w:rsidR="00613BA1">
              <w:rPr>
                <w:noProof/>
                <w:webHidden/>
              </w:rPr>
            </w:r>
            <w:r w:rsidR="00613BA1">
              <w:rPr>
                <w:noProof/>
                <w:webHidden/>
              </w:rPr>
              <w:fldChar w:fldCharType="separate"/>
            </w:r>
            <w:r w:rsidR="00613BA1">
              <w:rPr>
                <w:noProof/>
                <w:webHidden/>
              </w:rPr>
              <w:t>34</w:t>
            </w:r>
            <w:r w:rsidR="00613BA1">
              <w:rPr>
                <w:noProof/>
                <w:webHidden/>
              </w:rPr>
              <w:fldChar w:fldCharType="end"/>
            </w:r>
          </w:hyperlink>
        </w:p>
        <w:p w14:paraId="7C64E1F7" w14:textId="48756E19" w:rsidR="00613BA1" w:rsidRDefault="00000000">
          <w:pPr>
            <w:pStyle w:val="Spistreci3"/>
            <w:rPr>
              <w:noProof/>
              <w:kern w:val="2"/>
              <w:sz w:val="22"/>
              <w:szCs w:val="22"/>
              <w14:ligatures w14:val="standardContextual"/>
            </w:rPr>
          </w:pPr>
          <w:hyperlink w:anchor="_Toc150504466" w:history="1">
            <w:r w:rsidR="00613BA1" w:rsidRPr="00943267">
              <w:rPr>
                <w:rStyle w:val="Hipercze"/>
                <w:rFonts w:cs="Times New Roman"/>
                <w:i/>
                <w:noProof/>
              </w:rPr>
              <w:t>5.5.1</w:t>
            </w:r>
            <w:r w:rsidR="00613BA1">
              <w:rPr>
                <w:noProof/>
                <w:kern w:val="2"/>
                <w:sz w:val="22"/>
                <w:szCs w:val="22"/>
                <w14:ligatures w14:val="standardContextual"/>
              </w:rPr>
              <w:tab/>
            </w:r>
            <w:r w:rsidR="00613BA1" w:rsidRPr="00943267">
              <w:rPr>
                <w:rStyle w:val="Hipercze"/>
                <w:i/>
                <w:noProof/>
              </w:rPr>
              <w:t>Synergia</w:t>
            </w:r>
            <w:r w:rsidR="0076371C" w:rsidRPr="00943267">
              <w:rPr>
                <w:rStyle w:val="Hipercze"/>
                <w:i/>
                <w:noProof/>
              </w:rPr>
              <w:t xml:space="preserve"> z</w:t>
            </w:r>
            <w:r w:rsidR="0076371C">
              <w:rPr>
                <w:rStyle w:val="Hipercze"/>
                <w:i/>
                <w:noProof/>
              </w:rPr>
              <w:t> </w:t>
            </w:r>
            <w:r w:rsidR="0076371C" w:rsidRPr="00943267">
              <w:rPr>
                <w:rStyle w:val="Hipercze"/>
                <w:i/>
                <w:noProof/>
              </w:rPr>
              <w:t>inn</w:t>
            </w:r>
            <w:r w:rsidR="00613BA1" w:rsidRPr="00943267">
              <w:rPr>
                <w:rStyle w:val="Hipercze"/>
                <w:i/>
                <w:noProof/>
              </w:rPr>
              <w:t>ymi instrumentami finansowania</w:t>
            </w:r>
            <w:r w:rsidR="00613BA1">
              <w:rPr>
                <w:noProof/>
                <w:webHidden/>
              </w:rPr>
              <w:tab/>
            </w:r>
            <w:r w:rsidR="00613BA1">
              <w:rPr>
                <w:noProof/>
                <w:webHidden/>
              </w:rPr>
              <w:fldChar w:fldCharType="begin"/>
            </w:r>
            <w:r w:rsidR="00613BA1">
              <w:rPr>
                <w:noProof/>
                <w:webHidden/>
              </w:rPr>
              <w:instrText xml:space="preserve"> PAGEREF _Toc150504466 \h </w:instrText>
            </w:r>
            <w:r w:rsidR="00613BA1">
              <w:rPr>
                <w:noProof/>
                <w:webHidden/>
              </w:rPr>
            </w:r>
            <w:r w:rsidR="00613BA1">
              <w:rPr>
                <w:noProof/>
                <w:webHidden/>
              </w:rPr>
              <w:fldChar w:fldCharType="separate"/>
            </w:r>
            <w:r w:rsidR="00613BA1">
              <w:rPr>
                <w:noProof/>
                <w:webHidden/>
              </w:rPr>
              <w:t>35</w:t>
            </w:r>
            <w:r w:rsidR="00613BA1">
              <w:rPr>
                <w:noProof/>
                <w:webHidden/>
              </w:rPr>
              <w:fldChar w:fldCharType="end"/>
            </w:r>
          </w:hyperlink>
        </w:p>
        <w:p w14:paraId="453DCA86" w14:textId="32BF0C21" w:rsidR="00613BA1" w:rsidRDefault="00000000">
          <w:pPr>
            <w:pStyle w:val="Spistreci3"/>
            <w:rPr>
              <w:noProof/>
              <w:kern w:val="2"/>
              <w:sz w:val="22"/>
              <w:szCs w:val="22"/>
              <w14:ligatures w14:val="standardContextual"/>
            </w:rPr>
          </w:pPr>
          <w:hyperlink w:anchor="_Toc150504467" w:history="1">
            <w:r w:rsidR="00613BA1" w:rsidRPr="00943267">
              <w:rPr>
                <w:rStyle w:val="Hipercze"/>
                <w:rFonts w:cs="Times New Roman"/>
                <w:i/>
                <w:noProof/>
              </w:rPr>
              <w:t>5.5.2</w:t>
            </w:r>
            <w:r w:rsidR="00613BA1">
              <w:rPr>
                <w:noProof/>
                <w:kern w:val="2"/>
                <w:sz w:val="22"/>
                <w:szCs w:val="22"/>
                <w14:ligatures w14:val="standardContextual"/>
              </w:rPr>
              <w:tab/>
            </w:r>
            <w:r w:rsidR="00613BA1" w:rsidRPr="00943267">
              <w:rPr>
                <w:rStyle w:val="Hipercze"/>
                <w:i/>
                <w:noProof/>
              </w:rPr>
              <w:t>Dzielenie się wiedzą na temat rozwiązań</w:t>
            </w:r>
            <w:r w:rsidR="0076371C" w:rsidRPr="00943267">
              <w:rPr>
                <w:rStyle w:val="Hipercze"/>
                <w:i/>
                <w:noProof/>
              </w:rPr>
              <w:t xml:space="preserve"> w</w:t>
            </w:r>
            <w:r w:rsidR="0076371C">
              <w:rPr>
                <w:rStyle w:val="Hipercze"/>
                <w:i/>
                <w:noProof/>
              </w:rPr>
              <w:t> </w:t>
            </w:r>
            <w:r w:rsidR="0076371C" w:rsidRPr="00943267">
              <w:rPr>
                <w:rStyle w:val="Hipercze"/>
                <w:i/>
                <w:noProof/>
              </w:rPr>
              <w:t>zak</w:t>
            </w:r>
            <w:r w:rsidR="00613BA1" w:rsidRPr="00943267">
              <w:rPr>
                <w:rStyle w:val="Hipercze"/>
                <w:i/>
                <w:noProof/>
              </w:rPr>
              <w:t>resie czystych technologii</w:t>
            </w:r>
            <w:r w:rsidR="00613BA1">
              <w:rPr>
                <w:noProof/>
                <w:webHidden/>
              </w:rPr>
              <w:tab/>
            </w:r>
            <w:r w:rsidR="00613BA1">
              <w:rPr>
                <w:noProof/>
                <w:webHidden/>
              </w:rPr>
              <w:fldChar w:fldCharType="begin"/>
            </w:r>
            <w:r w:rsidR="00613BA1">
              <w:rPr>
                <w:noProof/>
                <w:webHidden/>
              </w:rPr>
              <w:instrText xml:space="preserve"> PAGEREF _Toc150504467 \h </w:instrText>
            </w:r>
            <w:r w:rsidR="00613BA1">
              <w:rPr>
                <w:noProof/>
                <w:webHidden/>
              </w:rPr>
            </w:r>
            <w:r w:rsidR="00613BA1">
              <w:rPr>
                <w:noProof/>
                <w:webHidden/>
              </w:rPr>
              <w:fldChar w:fldCharType="separate"/>
            </w:r>
            <w:r w:rsidR="00613BA1">
              <w:rPr>
                <w:noProof/>
                <w:webHidden/>
              </w:rPr>
              <w:t>36</w:t>
            </w:r>
            <w:r w:rsidR="00613BA1">
              <w:rPr>
                <w:noProof/>
                <w:webHidden/>
              </w:rPr>
              <w:fldChar w:fldCharType="end"/>
            </w:r>
          </w:hyperlink>
        </w:p>
        <w:p w14:paraId="6E8F5204" w14:textId="7B4F00E1" w:rsidR="00613BA1" w:rsidRDefault="00000000">
          <w:pPr>
            <w:pStyle w:val="Spistreci1"/>
            <w:rPr>
              <w:rFonts w:cstheme="minorBidi"/>
              <w:b w:val="0"/>
              <w:noProof/>
              <w:kern w:val="2"/>
              <w:sz w:val="22"/>
              <w:szCs w:val="22"/>
              <w14:ligatures w14:val="standardContextual"/>
            </w:rPr>
          </w:pPr>
          <w:hyperlink w:anchor="_Toc150504468" w:history="1">
            <w:r w:rsidR="00613BA1" w:rsidRPr="00943267">
              <w:rPr>
                <w:rStyle w:val="Hipercze"/>
                <w:noProof/>
              </w:rPr>
              <w:t>6</w:t>
            </w:r>
            <w:r w:rsidR="00613BA1">
              <w:rPr>
                <w:rFonts w:cstheme="minorBidi"/>
                <w:b w:val="0"/>
                <w:noProof/>
                <w:kern w:val="2"/>
                <w:sz w:val="22"/>
                <w:szCs w:val="22"/>
                <w14:ligatures w14:val="standardContextual"/>
              </w:rPr>
              <w:tab/>
            </w:r>
            <w:r w:rsidR="00613BA1" w:rsidRPr="00943267">
              <w:rPr>
                <w:rStyle w:val="Hipercze"/>
                <w:noProof/>
              </w:rPr>
              <w:t>POMOC W ZAKRESIE OPRACOWYWANIA PROJEKTU W PRZYPADKU MNIEJ ZAAWANSOWANYCH PROJEKTÓW</w:t>
            </w:r>
            <w:r w:rsidR="00613BA1">
              <w:rPr>
                <w:noProof/>
                <w:webHidden/>
              </w:rPr>
              <w:tab/>
            </w:r>
            <w:r w:rsidR="00613BA1">
              <w:rPr>
                <w:noProof/>
                <w:webHidden/>
              </w:rPr>
              <w:fldChar w:fldCharType="begin"/>
            </w:r>
            <w:r w:rsidR="00613BA1">
              <w:rPr>
                <w:noProof/>
                <w:webHidden/>
              </w:rPr>
              <w:instrText xml:space="preserve"> PAGEREF _Toc150504468 \h </w:instrText>
            </w:r>
            <w:r w:rsidR="00613BA1">
              <w:rPr>
                <w:noProof/>
                <w:webHidden/>
              </w:rPr>
            </w:r>
            <w:r w:rsidR="00613BA1">
              <w:rPr>
                <w:noProof/>
                <w:webHidden/>
              </w:rPr>
              <w:fldChar w:fldCharType="separate"/>
            </w:r>
            <w:r w:rsidR="00613BA1">
              <w:rPr>
                <w:noProof/>
                <w:webHidden/>
              </w:rPr>
              <w:t>37</w:t>
            </w:r>
            <w:r w:rsidR="00613BA1">
              <w:rPr>
                <w:noProof/>
                <w:webHidden/>
              </w:rPr>
              <w:fldChar w:fldCharType="end"/>
            </w:r>
          </w:hyperlink>
        </w:p>
        <w:p w14:paraId="0B4A4D68" w14:textId="2A2B68E7" w:rsidR="00613BA1" w:rsidRDefault="00000000">
          <w:pPr>
            <w:pStyle w:val="Spistreci1"/>
            <w:rPr>
              <w:rFonts w:cstheme="minorBidi"/>
              <w:b w:val="0"/>
              <w:noProof/>
              <w:kern w:val="2"/>
              <w:sz w:val="22"/>
              <w:szCs w:val="22"/>
              <w14:ligatures w14:val="standardContextual"/>
            </w:rPr>
          </w:pPr>
          <w:hyperlink w:anchor="_Toc150504469" w:history="1">
            <w:r w:rsidR="00613BA1" w:rsidRPr="00943267">
              <w:rPr>
                <w:rStyle w:val="Hipercze"/>
                <w:noProof/>
              </w:rPr>
              <w:t>7</w:t>
            </w:r>
            <w:r w:rsidR="00613BA1">
              <w:rPr>
                <w:rFonts w:cstheme="minorBidi"/>
                <w:b w:val="0"/>
                <w:noProof/>
                <w:kern w:val="2"/>
                <w:sz w:val="22"/>
                <w:szCs w:val="22"/>
                <w14:ligatures w14:val="standardContextual"/>
              </w:rPr>
              <w:tab/>
            </w:r>
            <w:r w:rsidR="00613BA1" w:rsidRPr="00943267">
              <w:rPr>
                <w:rStyle w:val="Hipercze"/>
                <w:noProof/>
              </w:rPr>
              <w:t>WNIOSKI I DALSZE DZIAŁANIA</w:t>
            </w:r>
            <w:r w:rsidR="00613BA1">
              <w:rPr>
                <w:noProof/>
                <w:webHidden/>
              </w:rPr>
              <w:tab/>
            </w:r>
            <w:r w:rsidR="00613BA1">
              <w:rPr>
                <w:noProof/>
                <w:webHidden/>
              </w:rPr>
              <w:fldChar w:fldCharType="begin"/>
            </w:r>
            <w:r w:rsidR="00613BA1">
              <w:rPr>
                <w:noProof/>
                <w:webHidden/>
              </w:rPr>
              <w:instrText xml:space="preserve"> PAGEREF _Toc150504469 \h </w:instrText>
            </w:r>
            <w:r w:rsidR="00613BA1">
              <w:rPr>
                <w:noProof/>
                <w:webHidden/>
              </w:rPr>
            </w:r>
            <w:r w:rsidR="00613BA1">
              <w:rPr>
                <w:noProof/>
                <w:webHidden/>
              </w:rPr>
              <w:fldChar w:fldCharType="separate"/>
            </w:r>
            <w:r w:rsidR="00613BA1">
              <w:rPr>
                <w:noProof/>
                <w:webHidden/>
              </w:rPr>
              <w:t>38</w:t>
            </w:r>
            <w:r w:rsidR="00613BA1">
              <w:rPr>
                <w:noProof/>
                <w:webHidden/>
              </w:rPr>
              <w:fldChar w:fldCharType="end"/>
            </w:r>
          </w:hyperlink>
        </w:p>
        <w:p w14:paraId="4013CE24" w14:textId="3C883C43" w:rsidR="0018295A" w:rsidRPr="008021A2" w:rsidRDefault="0018295A" w:rsidP="0018295A">
          <w:pPr>
            <w:jc w:val="both"/>
            <w:rPr>
              <w:rFonts w:ascii="Times New Roman" w:hAnsi="Times New Roman" w:cs="Times New Roman"/>
              <w:noProof/>
            </w:rPr>
          </w:pPr>
          <w:r>
            <w:rPr>
              <w:rFonts w:ascii="Times New Roman" w:hAnsi="Times New Roman" w:cs="Times New Roman"/>
              <w:b/>
              <w:noProof/>
            </w:rPr>
            <w:lastRenderedPageBreak/>
            <w:fldChar w:fldCharType="end"/>
          </w:r>
        </w:p>
      </w:sdtContent>
    </w:sdt>
    <w:p w14:paraId="4AA22BB3" w14:textId="59253003" w:rsidR="00D02238" w:rsidRPr="008021A2" w:rsidRDefault="00D02238">
      <w:pPr>
        <w:rPr>
          <w:rFonts w:ascii="Times New Roman" w:hAnsi="Times New Roman" w:cs="Times New Roman"/>
          <w:noProof/>
        </w:rPr>
      </w:pPr>
    </w:p>
    <w:p w14:paraId="273E258E" w14:textId="6BFFAD24" w:rsidR="0018295A" w:rsidRPr="008021A2" w:rsidRDefault="0018295A" w:rsidP="0018295A">
      <w:pPr>
        <w:pStyle w:val="Nagwek1"/>
        <w:framePr w:wrap="notBeside"/>
        <w:jc w:val="both"/>
        <w:rPr>
          <w:rFonts w:cs="Times New Roman"/>
          <w:noProof/>
        </w:rPr>
      </w:pPr>
      <w:bookmarkStart w:id="1" w:name="_Toc150504437"/>
      <w:r>
        <w:rPr>
          <w:caps w:val="0"/>
          <w:noProof/>
        </w:rPr>
        <w:t>WPROWADZENIE</w:t>
      </w:r>
      <w:bookmarkEnd w:id="1"/>
    </w:p>
    <w:p w14:paraId="16338ED5" w14:textId="77777777" w:rsidR="0018295A" w:rsidRPr="008021A2" w:rsidRDefault="0018295A" w:rsidP="0018295A">
      <w:pPr>
        <w:pStyle w:val="Tekstpodstawowy"/>
        <w:jc w:val="both"/>
        <w:rPr>
          <w:rFonts w:ascii="Times New Roman" w:hAnsi="Times New Roman" w:cs="Times New Roman"/>
          <w:noProof/>
          <w:sz w:val="24"/>
        </w:rPr>
      </w:pPr>
    </w:p>
    <w:p w14:paraId="52FB377A" w14:textId="09753FD9" w:rsidR="0018295A" w:rsidRPr="008021A2" w:rsidRDefault="0018295A" w:rsidP="00282CBF">
      <w:pPr>
        <w:pStyle w:val="Akapitzlist"/>
        <w:numPr>
          <w:ilvl w:val="1"/>
          <w:numId w:val="5"/>
        </w:numPr>
        <w:jc w:val="both"/>
        <w:rPr>
          <w:rFonts w:ascii="Times New Roman" w:hAnsi="Times New Roman" w:cs="Times New Roman"/>
          <w:b/>
          <w:noProof/>
          <w:sz w:val="24"/>
        </w:rPr>
      </w:pPr>
      <w:r>
        <w:rPr>
          <w:rFonts w:ascii="Times New Roman" w:hAnsi="Times New Roman"/>
          <w:b/>
          <w:noProof/>
          <w:sz w:val="24"/>
        </w:rPr>
        <w:t>Kontekst</w:t>
      </w:r>
      <w:r w:rsidR="0076371C">
        <w:rPr>
          <w:rFonts w:ascii="Times New Roman" w:hAnsi="Times New Roman"/>
          <w:b/>
          <w:noProof/>
          <w:sz w:val="24"/>
        </w:rPr>
        <w:t xml:space="preserve"> i cel</w:t>
      </w:r>
      <w:r>
        <w:rPr>
          <w:rFonts w:ascii="Times New Roman" w:hAnsi="Times New Roman"/>
          <w:b/>
          <w:noProof/>
          <w:sz w:val="24"/>
        </w:rPr>
        <w:t>e funduszu innowacyjnego</w:t>
      </w:r>
    </w:p>
    <w:tbl>
      <w:tblPr>
        <w:tblStyle w:val="Tabela-Siatka"/>
        <w:tblW w:w="0" w:type="auto"/>
        <w:tblLook w:val="04A0" w:firstRow="1" w:lastRow="0" w:firstColumn="1" w:lastColumn="0" w:noHBand="0" w:noVBand="1"/>
      </w:tblPr>
      <w:tblGrid>
        <w:gridCol w:w="9016"/>
      </w:tblGrid>
      <w:tr w:rsidR="0018295A" w:rsidRPr="008021A2" w14:paraId="3D1C35FF" w14:textId="77777777" w:rsidTr="00B96AF8">
        <w:tc>
          <w:tcPr>
            <w:tcW w:w="0" w:type="auto"/>
          </w:tcPr>
          <w:p w14:paraId="0A8C22B5" w14:textId="1DADDC9E" w:rsidR="0018295A" w:rsidRPr="008021A2" w:rsidRDefault="0018295A" w:rsidP="00B96AF8">
            <w:pPr>
              <w:pStyle w:val="Tekstpodstawowy"/>
              <w:jc w:val="both"/>
              <w:rPr>
                <w:rFonts w:ascii="Times New Roman" w:hAnsi="Times New Roman" w:cs="Times New Roman"/>
                <w:i/>
                <w:noProof/>
                <w:sz w:val="24"/>
              </w:rPr>
            </w:pPr>
            <w:r>
              <w:rPr>
                <w:rFonts w:ascii="Times New Roman" w:hAnsi="Times New Roman"/>
                <w:i/>
                <w:noProof/>
                <w:sz w:val="24"/>
              </w:rPr>
              <w:t>Fundusz innowacyjny jest jednym</w:t>
            </w:r>
            <w:r w:rsidR="0076371C">
              <w:rPr>
                <w:rFonts w:ascii="Times New Roman" w:hAnsi="Times New Roman"/>
                <w:i/>
                <w:noProof/>
                <w:sz w:val="24"/>
              </w:rPr>
              <w:t xml:space="preserve"> z naj</w:t>
            </w:r>
            <w:r>
              <w:rPr>
                <w:rFonts w:ascii="Times New Roman" w:hAnsi="Times New Roman"/>
                <w:i/>
                <w:noProof/>
                <w:sz w:val="24"/>
              </w:rPr>
              <w:t>większych na świecie programów finansowania demonstracji innowacyjnych technologii niskowęglowych. Jest on finansowany</w:t>
            </w:r>
            <w:r w:rsidR="0076371C">
              <w:rPr>
                <w:rFonts w:ascii="Times New Roman" w:hAnsi="Times New Roman"/>
                <w:i/>
                <w:noProof/>
                <w:sz w:val="24"/>
              </w:rPr>
              <w:t xml:space="preserve"> z uni</w:t>
            </w:r>
            <w:r>
              <w:rPr>
                <w:rFonts w:ascii="Times New Roman" w:hAnsi="Times New Roman"/>
                <w:i/>
                <w:noProof/>
                <w:sz w:val="24"/>
              </w:rPr>
              <w:t>jnego systemu handlu uprawnieniami do emisji</w:t>
            </w:r>
            <w:r w:rsidR="0076371C">
              <w:rPr>
                <w:rFonts w:ascii="Times New Roman" w:hAnsi="Times New Roman"/>
                <w:i/>
                <w:noProof/>
                <w:sz w:val="24"/>
              </w:rPr>
              <w:t xml:space="preserve"> i prz</w:t>
            </w:r>
            <w:r>
              <w:rPr>
                <w:rFonts w:ascii="Times New Roman" w:hAnsi="Times New Roman"/>
                <w:i/>
                <w:noProof/>
                <w:sz w:val="24"/>
              </w:rPr>
              <w:t xml:space="preserve">yczynia się do realizacji celu Unii Europejskiej, jakim jest osiągnięcie neutralności klimatycznej </w:t>
            </w:r>
            <w:r w:rsidRPr="002001C0">
              <w:rPr>
                <w:rFonts w:ascii="Times New Roman" w:hAnsi="Times New Roman"/>
                <w:i/>
                <w:noProof/>
                <w:sz w:val="24"/>
              </w:rPr>
              <w:t>do</w:t>
            </w:r>
            <w:r w:rsidR="002001C0" w:rsidRPr="002001C0">
              <w:rPr>
                <w:rFonts w:ascii="Times New Roman" w:hAnsi="Times New Roman"/>
                <w:i/>
                <w:noProof/>
                <w:sz w:val="24"/>
              </w:rPr>
              <w:t> </w:t>
            </w:r>
            <w:r w:rsidRPr="002001C0">
              <w:rPr>
                <w:rFonts w:ascii="Times New Roman" w:hAnsi="Times New Roman"/>
                <w:i/>
                <w:noProof/>
                <w:sz w:val="24"/>
              </w:rPr>
              <w:t>2</w:t>
            </w:r>
            <w:r>
              <w:rPr>
                <w:rFonts w:ascii="Times New Roman" w:hAnsi="Times New Roman"/>
                <w:i/>
                <w:noProof/>
                <w:sz w:val="24"/>
              </w:rPr>
              <w:t>0</w:t>
            </w:r>
            <w:r w:rsidRPr="002001C0">
              <w:rPr>
                <w:rFonts w:ascii="Times New Roman" w:hAnsi="Times New Roman"/>
                <w:i/>
                <w:noProof/>
                <w:sz w:val="24"/>
              </w:rPr>
              <w:t>50</w:t>
            </w:r>
            <w:r w:rsidR="002001C0" w:rsidRPr="002001C0">
              <w:rPr>
                <w:rFonts w:ascii="Times New Roman" w:hAnsi="Times New Roman"/>
                <w:i/>
                <w:noProof/>
                <w:sz w:val="24"/>
              </w:rPr>
              <w:t> </w:t>
            </w:r>
            <w:r w:rsidRPr="002001C0">
              <w:rPr>
                <w:rFonts w:ascii="Times New Roman" w:hAnsi="Times New Roman"/>
                <w:i/>
                <w:noProof/>
                <w:sz w:val="24"/>
              </w:rPr>
              <w:t>r.</w:t>
            </w:r>
          </w:p>
        </w:tc>
      </w:tr>
    </w:tbl>
    <w:p w14:paraId="7E5052F9" w14:textId="77777777" w:rsidR="0018295A" w:rsidRPr="008021A2" w:rsidRDefault="0018295A" w:rsidP="0018295A">
      <w:pPr>
        <w:pStyle w:val="Tekstpodstawowy"/>
        <w:jc w:val="both"/>
        <w:rPr>
          <w:rFonts w:ascii="Times New Roman" w:hAnsi="Times New Roman" w:cs="Times New Roman"/>
          <w:noProof/>
          <w:sz w:val="24"/>
        </w:rPr>
      </w:pPr>
    </w:p>
    <w:p w14:paraId="6A8C0467" w14:textId="75B982AD"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Unia Europejska (UE) zobowiązała się do redukcji emisji gazów cieplarnianych</w:t>
      </w:r>
      <w:r w:rsidR="0076371C">
        <w:rPr>
          <w:rFonts w:ascii="Times New Roman" w:hAnsi="Times New Roman"/>
          <w:noProof/>
          <w:sz w:val="24"/>
        </w:rPr>
        <w:t xml:space="preserve"> i łag</w:t>
      </w:r>
      <w:r>
        <w:rPr>
          <w:rFonts w:ascii="Times New Roman" w:hAnsi="Times New Roman"/>
          <w:noProof/>
          <w:sz w:val="24"/>
        </w:rPr>
        <w:t>odzenia skutków zmiany klimatu. W 20</w:t>
      </w:r>
      <w:r w:rsidRPr="002001C0">
        <w:rPr>
          <w:rFonts w:ascii="Times New Roman" w:hAnsi="Times New Roman"/>
          <w:noProof/>
          <w:sz w:val="24"/>
        </w:rPr>
        <w:t>21</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zatwierdzono Europejskie prawo</w:t>
      </w:r>
      <w:r w:rsidR="0076371C">
        <w:rPr>
          <w:rFonts w:ascii="Times New Roman" w:hAnsi="Times New Roman"/>
          <w:noProof/>
          <w:sz w:val="24"/>
        </w:rPr>
        <w:t xml:space="preserve"> o kli</w:t>
      </w:r>
      <w:r>
        <w:rPr>
          <w:rFonts w:ascii="Times New Roman" w:hAnsi="Times New Roman"/>
          <w:noProof/>
          <w:sz w:val="24"/>
        </w:rPr>
        <w:t>macie</w:t>
      </w:r>
      <w:r>
        <w:rPr>
          <w:rStyle w:val="Odwoanieprzypisudolnego"/>
          <w:rFonts w:ascii="Times New Roman" w:hAnsi="Times New Roman" w:cs="Times New Roman"/>
          <w:noProof/>
          <w:sz w:val="24"/>
        </w:rPr>
        <w:footnoteReference w:id="2"/>
      </w:r>
      <w:r>
        <w:rPr>
          <w:rFonts w:ascii="Times New Roman" w:hAnsi="Times New Roman"/>
          <w:noProof/>
          <w:sz w:val="24"/>
        </w:rPr>
        <w:t xml:space="preserve"> będące jedną</w:t>
      </w:r>
      <w:r w:rsidR="0076371C">
        <w:rPr>
          <w:rFonts w:ascii="Times New Roman" w:hAnsi="Times New Roman"/>
          <w:noProof/>
          <w:sz w:val="24"/>
        </w:rPr>
        <w:t xml:space="preserve"> z pod</w:t>
      </w:r>
      <w:r>
        <w:rPr>
          <w:rFonts w:ascii="Times New Roman" w:hAnsi="Times New Roman"/>
          <w:noProof/>
          <w:sz w:val="24"/>
        </w:rPr>
        <w:t xml:space="preserve">stawowych inicjatyw służących realizacji Europejskiego Zielonego Ładu, która wyznacza ambitne cele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30</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tak</w:t>
      </w:r>
      <w:r>
        <w:rPr>
          <w:rFonts w:ascii="Times New Roman" w:hAnsi="Times New Roman"/>
          <w:noProof/>
          <w:sz w:val="24"/>
        </w:rPr>
        <w:t>ich obszarach, jak: redukcja emisji gazów cieplarnianych, wdrażanie technologii energii odnawialnej</w:t>
      </w:r>
      <w:r w:rsidR="0076371C">
        <w:rPr>
          <w:rFonts w:ascii="Times New Roman" w:hAnsi="Times New Roman"/>
          <w:noProof/>
          <w:sz w:val="24"/>
        </w:rPr>
        <w:t xml:space="preserve"> i efe</w:t>
      </w:r>
      <w:r>
        <w:rPr>
          <w:rFonts w:ascii="Times New Roman" w:hAnsi="Times New Roman"/>
          <w:noProof/>
          <w:sz w:val="24"/>
        </w:rPr>
        <w:t xml:space="preserve">ktywność energetyczna. Celem tego rozporządzenia jest osiągnięcie neutralności klimatycznej w UE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50</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Osiągnięcie tego celu będzie wymagało podjęcia znacznych starań,</w:t>
      </w:r>
      <w:r w:rsidR="0076371C">
        <w:rPr>
          <w:rFonts w:ascii="Times New Roman" w:hAnsi="Times New Roman"/>
          <w:noProof/>
          <w:sz w:val="24"/>
        </w:rPr>
        <w:t xml:space="preserve"> w tym</w:t>
      </w:r>
      <w:r>
        <w:rPr>
          <w:rFonts w:ascii="Times New Roman" w:hAnsi="Times New Roman"/>
          <w:noProof/>
          <w:sz w:val="24"/>
        </w:rPr>
        <w:t xml:space="preserve"> wsparcia regulacyjnego</w:t>
      </w:r>
      <w:r w:rsidR="0076371C">
        <w:rPr>
          <w:rFonts w:ascii="Times New Roman" w:hAnsi="Times New Roman"/>
          <w:noProof/>
          <w:sz w:val="24"/>
        </w:rPr>
        <w:t xml:space="preserve"> i wsp</w:t>
      </w:r>
      <w:r>
        <w:rPr>
          <w:rFonts w:ascii="Times New Roman" w:hAnsi="Times New Roman"/>
          <w:noProof/>
          <w:sz w:val="24"/>
        </w:rPr>
        <w:t>arcia ze strony sektora publicznego, aby promować innowacje</w:t>
      </w:r>
      <w:r w:rsidR="0076371C">
        <w:rPr>
          <w:rFonts w:ascii="Times New Roman" w:hAnsi="Times New Roman"/>
          <w:noProof/>
          <w:sz w:val="24"/>
        </w:rPr>
        <w:t xml:space="preserve"> i prz</w:t>
      </w:r>
      <w:r>
        <w:rPr>
          <w:rFonts w:ascii="Times New Roman" w:hAnsi="Times New Roman"/>
          <w:noProof/>
          <w:sz w:val="24"/>
        </w:rPr>
        <w:t>yspieszyć wprowadzanie na rynek rozwiązań bezemisyjnych</w:t>
      </w:r>
      <w:r w:rsidR="0076371C">
        <w:rPr>
          <w:rFonts w:ascii="Times New Roman" w:hAnsi="Times New Roman"/>
          <w:noProof/>
          <w:sz w:val="24"/>
        </w:rPr>
        <w:t xml:space="preserve"> i nis</w:t>
      </w:r>
      <w:r>
        <w:rPr>
          <w:rFonts w:ascii="Times New Roman" w:hAnsi="Times New Roman"/>
          <w:noProof/>
          <w:sz w:val="24"/>
        </w:rPr>
        <w:t xml:space="preserve">kowęglowych. </w:t>
      </w:r>
    </w:p>
    <w:p w14:paraId="1891DDA1" w14:textId="64C29484"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Unijny system handlu uprawnieniami do emisji (EU ETS) stanowi podstawę unijnej polityki przeciwdziałania zmianie klimatu</w:t>
      </w:r>
      <w:r w:rsidR="0076371C">
        <w:rPr>
          <w:rFonts w:ascii="Times New Roman" w:hAnsi="Times New Roman"/>
          <w:noProof/>
          <w:sz w:val="24"/>
        </w:rPr>
        <w:t xml:space="preserve"> i jes</w:t>
      </w:r>
      <w:r>
        <w:rPr>
          <w:rFonts w:ascii="Times New Roman" w:hAnsi="Times New Roman"/>
          <w:noProof/>
          <w:sz w:val="24"/>
        </w:rPr>
        <w:t>t głównym narzędziem służącym do zmniejszania emisji gazów cieplarnianych</w:t>
      </w:r>
      <w:r w:rsidR="0076371C">
        <w:rPr>
          <w:rFonts w:ascii="Times New Roman" w:hAnsi="Times New Roman"/>
          <w:noProof/>
          <w:sz w:val="24"/>
        </w:rPr>
        <w:t xml:space="preserve"> w spo</w:t>
      </w:r>
      <w:r>
        <w:rPr>
          <w:rFonts w:ascii="Times New Roman" w:hAnsi="Times New Roman"/>
          <w:noProof/>
          <w:sz w:val="24"/>
        </w:rPr>
        <w:t>sób opłacalny. Powstał</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05</w:t>
      </w:r>
      <w:r w:rsidR="002001C0" w:rsidRPr="002001C0">
        <w:rPr>
          <w:rFonts w:ascii="Times New Roman" w:hAnsi="Times New Roman"/>
          <w:noProof/>
          <w:sz w:val="24"/>
        </w:rPr>
        <w:t> </w:t>
      </w:r>
      <w:r w:rsidRPr="002001C0">
        <w:rPr>
          <w:rFonts w:ascii="Times New Roman" w:hAnsi="Times New Roman"/>
          <w:noProof/>
          <w:sz w:val="24"/>
        </w:rPr>
        <w:t>r.</w:t>
      </w:r>
      <w:r>
        <w:rPr>
          <w:rStyle w:val="Odwoanieprzypisudolnego"/>
          <w:rFonts w:ascii="Times New Roman" w:hAnsi="Times New Roman" w:cs="Times New Roman"/>
          <w:noProof/>
          <w:sz w:val="24"/>
        </w:rPr>
        <w:footnoteReference w:id="3"/>
      </w:r>
      <w:r w:rsidR="0076371C">
        <w:rPr>
          <w:rFonts w:ascii="Times New Roman" w:hAnsi="Times New Roman"/>
          <w:noProof/>
          <w:sz w:val="24"/>
        </w:rPr>
        <w:t xml:space="preserve"> i jes</w:t>
      </w:r>
      <w:r>
        <w:rPr>
          <w:rFonts w:ascii="Times New Roman" w:hAnsi="Times New Roman"/>
          <w:noProof/>
          <w:sz w:val="24"/>
        </w:rPr>
        <w:t>t pierwszym na świecie –</w:t>
      </w:r>
      <w:r w:rsidR="0076371C">
        <w:rPr>
          <w:rFonts w:ascii="Times New Roman" w:hAnsi="Times New Roman"/>
          <w:noProof/>
          <w:sz w:val="24"/>
        </w:rPr>
        <w:t xml:space="preserve"> a obe</w:t>
      </w:r>
      <w:r>
        <w:rPr>
          <w:rFonts w:ascii="Times New Roman" w:hAnsi="Times New Roman"/>
          <w:noProof/>
          <w:sz w:val="24"/>
        </w:rPr>
        <w:t>cnie największym</w:t>
      </w:r>
      <w:r w:rsidR="0076371C">
        <w:rPr>
          <w:rFonts w:ascii="Times New Roman" w:hAnsi="Times New Roman"/>
          <w:noProof/>
          <w:sz w:val="24"/>
        </w:rPr>
        <w:t xml:space="preserve"> w ska</w:t>
      </w:r>
      <w:r>
        <w:rPr>
          <w:rFonts w:ascii="Times New Roman" w:hAnsi="Times New Roman"/>
          <w:noProof/>
          <w:sz w:val="24"/>
        </w:rPr>
        <w:t>li światowej – rynkiem uprawnień do emisji dwutlenku węgla, obejmującym około 4</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emisji gazów cieplarnianych w UE. W 20</w:t>
      </w:r>
      <w:r w:rsidRPr="002001C0">
        <w:rPr>
          <w:rFonts w:ascii="Times New Roman" w:hAnsi="Times New Roman"/>
          <w:noProof/>
          <w:sz w:val="24"/>
        </w:rPr>
        <w:t>18</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na mocy zmienionej dyrektywy EU ETS utworzono fundusz innowacyjny służący do wykorzystywania dochodów, które pochodzą ze sprzedaży na aukcji 450 mln uprawnień do emisji, do wspierania innowacji</w:t>
      </w:r>
      <w:r w:rsidR="0076371C">
        <w:rPr>
          <w:rFonts w:ascii="Times New Roman" w:hAnsi="Times New Roman"/>
          <w:noProof/>
          <w:sz w:val="24"/>
        </w:rPr>
        <w:t xml:space="preserve"> w zak</w:t>
      </w:r>
      <w:r>
        <w:rPr>
          <w:rFonts w:ascii="Times New Roman" w:hAnsi="Times New Roman"/>
          <w:noProof/>
          <w:sz w:val="24"/>
        </w:rPr>
        <w:t>resie technologii</w:t>
      </w:r>
      <w:r w:rsidR="0076371C">
        <w:rPr>
          <w:rFonts w:ascii="Times New Roman" w:hAnsi="Times New Roman"/>
          <w:noProof/>
          <w:sz w:val="24"/>
        </w:rPr>
        <w:t xml:space="preserve"> i pro</w:t>
      </w:r>
      <w:r>
        <w:rPr>
          <w:rFonts w:ascii="Times New Roman" w:hAnsi="Times New Roman"/>
          <w:noProof/>
          <w:sz w:val="24"/>
        </w:rPr>
        <w:t>cesów niskowęglowych</w:t>
      </w:r>
      <w:r w:rsidR="0076371C">
        <w:rPr>
          <w:rFonts w:ascii="Times New Roman" w:hAnsi="Times New Roman"/>
          <w:noProof/>
          <w:sz w:val="24"/>
        </w:rPr>
        <w:t xml:space="preserve"> w sek</w:t>
      </w:r>
      <w:r>
        <w:rPr>
          <w:rFonts w:ascii="Times New Roman" w:hAnsi="Times New Roman"/>
          <w:noProof/>
          <w:sz w:val="24"/>
        </w:rPr>
        <w:t>torach objętych EU ETS. W 20</w:t>
      </w:r>
      <w:r w:rsidRPr="002001C0">
        <w:rPr>
          <w:rFonts w:ascii="Times New Roman" w:hAnsi="Times New Roman"/>
          <w:noProof/>
          <w:sz w:val="24"/>
        </w:rPr>
        <w:t>19</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wraz</w:t>
      </w:r>
      <w:r w:rsidR="0076371C">
        <w:rPr>
          <w:rFonts w:ascii="Times New Roman" w:hAnsi="Times New Roman"/>
          <w:noProof/>
          <w:sz w:val="24"/>
        </w:rPr>
        <w:t xml:space="preserve"> z prz</w:t>
      </w:r>
      <w:r>
        <w:rPr>
          <w:rFonts w:ascii="Times New Roman" w:hAnsi="Times New Roman"/>
          <w:noProof/>
          <w:sz w:val="24"/>
        </w:rPr>
        <w:t>yjęciem rozporządzenia delegowanego dotyczącego funduszu innowacyjnego</w:t>
      </w:r>
      <w:r>
        <w:rPr>
          <w:rStyle w:val="Odwoanieprzypisudolnego"/>
          <w:rFonts w:ascii="Times New Roman" w:hAnsi="Times New Roman" w:cs="Times New Roman"/>
          <w:noProof/>
          <w:sz w:val="24"/>
        </w:rPr>
        <w:footnoteReference w:id="4"/>
      </w:r>
      <w:r>
        <w:rPr>
          <w:rFonts w:ascii="Times New Roman" w:hAnsi="Times New Roman"/>
          <w:noProof/>
          <w:sz w:val="24"/>
        </w:rPr>
        <w:t>, fundusz ten oficjalnie rozpoczął działalność polegającą na zapewnianiu dotacji</w:t>
      </w:r>
      <w:r w:rsidR="0076371C">
        <w:rPr>
          <w:rFonts w:ascii="Times New Roman" w:hAnsi="Times New Roman"/>
          <w:noProof/>
          <w:sz w:val="24"/>
        </w:rPr>
        <w:t xml:space="preserve"> i wkł</w:t>
      </w:r>
      <w:r>
        <w:rPr>
          <w:rFonts w:ascii="Times New Roman" w:hAnsi="Times New Roman"/>
          <w:noProof/>
          <w:sz w:val="24"/>
        </w:rPr>
        <w:t>adów</w:t>
      </w:r>
      <w:r w:rsidR="0076371C">
        <w:rPr>
          <w:rFonts w:ascii="Times New Roman" w:hAnsi="Times New Roman"/>
          <w:noProof/>
          <w:sz w:val="24"/>
        </w:rPr>
        <w:t xml:space="preserve"> w dzi</w:t>
      </w:r>
      <w:r>
        <w:rPr>
          <w:rFonts w:ascii="Times New Roman" w:hAnsi="Times New Roman"/>
          <w:noProof/>
          <w:sz w:val="24"/>
        </w:rPr>
        <w:t>ałania łączone</w:t>
      </w:r>
      <w:r w:rsidR="0076371C">
        <w:rPr>
          <w:rFonts w:ascii="Times New Roman" w:hAnsi="Times New Roman"/>
          <w:noProof/>
          <w:sz w:val="24"/>
        </w:rPr>
        <w:t xml:space="preserve"> w cel</w:t>
      </w:r>
      <w:r>
        <w:rPr>
          <w:rFonts w:ascii="Times New Roman" w:hAnsi="Times New Roman"/>
          <w:noProof/>
          <w:sz w:val="24"/>
        </w:rPr>
        <w:t>u wspierania odpowiednich kosztów projektów kwalifikowalnych.</w:t>
      </w:r>
    </w:p>
    <w:p w14:paraId="2EF026C8" w14:textId="31D51F43" w:rsidR="0018295A" w:rsidRPr="008021A2" w:rsidRDefault="001E7896" w:rsidP="0018295A">
      <w:pPr>
        <w:pStyle w:val="Tekstpodstawowy"/>
        <w:jc w:val="both"/>
        <w:rPr>
          <w:rFonts w:ascii="Times New Roman" w:hAnsi="Times New Roman" w:cs="Times New Roman"/>
          <w:noProof/>
          <w:sz w:val="24"/>
        </w:rPr>
      </w:pPr>
      <w:r>
        <w:rPr>
          <w:rFonts w:ascii="Times New Roman" w:hAnsi="Times New Roman"/>
          <w:noProof/>
          <w:sz w:val="24"/>
        </w:rPr>
        <w:lastRenderedPageBreak/>
        <w:t>Fundusz innowacyjny jest jednym</w:t>
      </w:r>
      <w:r w:rsidR="0076371C">
        <w:rPr>
          <w:rFonts w:ascii="Times New Roman" w:hAnsi="Times New Roman"/>
          <w:noProof/>
          <w:sz w:val="24"/>
        </w:rPr>
        <w:t xml:space="preserve"> z naj</w:t>
      </w:r>
      <w:r>
        <w:rPr>
          <w:rFonts w:ascii="Times New Roman" w:hAnsi="Times New Roman"/>
          <w:noProof/>
          <w:sz w:val="24"/>
        </w:rPr>
        <w:t>większych na świecie programów finansowania komercyjnej demonstracji innowacyjnych technologii zeroemisyjnych</w:t>
      </w:r>
      <w:r w:rsidR="0076371C">
        <w:rPr>
          <w:rFonts w:ascii="Times New Roman" w:hAnsi="Times New Roman"/>
          <w:noProof/>
          <w:sz w:val="24"/>
        </w:rPr>
        <w:t xml:space="preserve"> i nis</w:t>
      </w:r>
      <w:r>
        <w:rPr>
          <w:rFonts w:ascii="Times New Roman" w:hAnsi="Times New Roman"/>
          <w:noProof/>
          <w:sz w:val="24"/>
        </w:rPr>
        <w:t>kowęglowych, którego celem jest wprowadzenie na rynek rozwiązań przemysłowych służących obniżeniu emisyjności</w:t>
      </w:r>
      <w:r w:rsidR="0076371C">
        <w:rPr>
          <w:rFonts w:ascii="Times New Roman" w:hAnsi="Times New Roman"/>
          <w:noProof/>
          <w:sz w:val="24"/>
        </w:rPr>
        <w:t xml:space="preserve"> w Eur</w:t>
      </w:r>
      <w:r>
        <w:rPr>
          <w:rFonts w:ascii="Times New Roman" w:hAnsi="Times New Roman"/>
          <w:noProof/>
          <w:sz w:val="24"/>
        </w:rPr>
        <w:t>opie</w:t>
      </w:r>
      <w:r w:rsidR="0076371C">
        <w:rPr>
          <w:rFonts w:ascii="Times New Roman" w:hAnsi="Times New Roman"/>
          <w:noProof/>
          <w:sz w:val="24"/>
        </w:rPr>
        <w:t xml:space="preserve"> i wsp</w:t>
      </w:r>
      <w:r>
        <w:rPr>
          <w:rFonts w:ascii="Times New Roman" w:hAnsi="Times New Roman"/>
          <w:noProof/>
          <w:sz w:val="24"/>
        </w:rPr>
        <w:t>ieraniu transformacji tego kontynentu</w:t>
      </w:r>
      <w:r w:rsidR="0076371C">
        <w:rPr>
          <w:rFonts w:ascii="Times New Roman" w:hAnsi="Times New Roman"/>
          <w:noProof/>
          <w:sz w:val="24"/>
        </w:rPr>
        <w:t xml:space="preserve"> w kie</w:t>
      </w:r>
      <w:r>
        <w:rPr>
          <w:rFonts w:ascii="Times New Roman" w:hAnsi="Times New Roman"/>
          <w:noProof/>
          <w:sz w:val="24"/>
        </w:rPr>
        <w:t>runku neutralności klimatycznej. Fundusz innowacyjny zapewnia finansowanie</w:t>
      </w:r>
      <w:r w:rsidR="0076371C">
        <w:rPr>
          <w:rFonts w:ascii="Times New Roman" w:hAnsi="Times New Roman"/>
          <w:noProof/>
          <w:sz w:val="24"/>
        </w:rPr>
        <w:t xml:space="preserve"> w pię</w:t>
      </w:r>
      <w:r>
        <w:rPr>
          <w:rFonts w:ascii="Times New Roman" w:hAnsi="Times New Roman"/>
          <w:noProof/>
          <w:sz w:val="24"/>
        </w:rPr>
        <w:t>ciu kluczowych obszarach, którymi są</w:t>
      </w:r>
      <w:r w:rsidRPr="002001C0">
        <w:rPr>
          <w:rFonts w:ascii="Times New Roman" w:hAnsi="Times New Roman"/>
          <w:noProof/>
          <w:sz w:val="24"/>
        </w:rPr>
        <w:t>:</w:t>
      </w:r>
      <w:r w:rsidR="002001C0" w:rsidRPr="002001C0">
        <w:rPr>
          <w:rFonts w:ascii="Times New Roman" w:hAnsi="Times New Roman"/>
          <w:noProof/>
          <w:sz w:val="24"/>
        </w:rPr>
        <w:t xml:space="preserve"> </w:t>
      </w:r>
      <w:r w:rsidRPr="002001C0">
        <w:rPr>
          <w:rFonts w:ascii="Times New Roman" w:hAnsi="Times New Roman"/>
          <w:noProof/>
          <w:sz w:val="24"/>
        </w:rPr>
        <w:t>(</w:t>
      </w:r>
      <w:r>
        <w:rPr>
          <w:rFonts w:ascii="Times New Roman" w:hAnsi="Times New Roman"/>
          <w:noProof/>
          <w:sz w:val="24"/>
        </w:rPr>
        <w:t>i) sektory energochłonne, (ii) technologie energii odnawialnej, (iii) wychwytywanie</w:t>
      </w:r>
      <w:r w:rsidR="0076371C">
        <w:rPr>
          <w:rFonts w:ascii="Times New Roman" w:hAnsi="Times New Roman"/>
          <w:noProof/>
          <w:sz w:val="24"/>
        </w:rPr>
        <w:t xml:space="preserve"> i geo</w:t>
      </w:r>
      <w:r>
        <w:rPr>
          <w:rFonts w:ascii="Times New Roman" w:hAnsi="Times New Roman"/>
          <w:noProof/>
          <w:sz w:val="24"/>
        </w:rPr>
        <w:t>logiczne składowanie dwutlenku węgla (CCS), (iv) magazynowanie energii oraz (v) mobilność neutralna emisyjnie</w:t>
      </w:r>
      <w:r w:rsidR="0076371C">
        <w:rPr>
          <w:rFonts w:ascii="Times New Roman" w:hAnsi="Times New Roman"/>
          <w:noProof/>
          <w:sz w:val="24"/>
        </w:rPr>
        <w:t xml:space="preserve"> i bud</w:t>
      </w:r>
      <w:r>
        <w:rPr>
          <w:rFonts w:ascii="Times New Roman" w:hAnsi="Times New Roman"/>
          <w:noProof/>
          <w:sz w:val="24"/>
        </w:rPr>
        <w:t>ynki.</w:t>
      </w:r>
    </w:p>
    <w:p w14:paraId="4E0C9076" w14:textId="361CF50E"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W lipcu 20</w:t>
      </w:r>
      <w:r w:rsidRPr="002001C0">
        <w:rPr>
          <w:rFonts w:ascii="Times New Roman" w:hAnsi="Times New Roman"/>
          <w:noProof/>
          <w:sz w:val="24"/>
        </w:rPr>
        <w:t>21</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Komisja Europejska przyjęła rewizję dyrektywy EU ETS</w:t>
      </w:r>
      <w:r w:rsidRPr="002001C0">
        <w:rPr>
          <w:rStyle w:val="Odwoanieprzypisudolnego"/>
          <w:rFonts w:ascii="Times New Roman" w:hAnsi="Times New Roman" w:cs="Times New Roman"/>
          <w:noProof/>
          <w:sz w:val="24"/>
        </w:rPr>
        <w:footnoteReference w:id="5"/>
      </w:r>
      <w:r w:rsidR="0076371C" w:rsidRPr="002001C0">
        <w:rPr>
          <w:rStyle w:val="Odwoanieprzypisudolnego"/>
          <w:rFonts w:ascii="Times New Roman" w:hAnsi="Times New Roman" w:cs="Times New Roman"/>
          <w:noProof/>
          <w:sz w:val="24"/>
        </w:rPr>
        <w:t xml:space="preserve"> </w:t>
      </w:r>
      <w:r w:rsidR="0076371C" w:rsidRPr="002001C0">
        <w:rPr>
          <w:rFonts w:ascii="Times New Roman" w:hAnsi="Times New Roman"/>
          <w:noProof/>
          <w:sz w:val="24"/>
        </w:rPr>
        <w:t>w</w:t>
      </w:r>
      <w:r w:rsidR="0076371C">
        <w:rPr>
          <w:rStyle w:val="Odwoanieprzypisudolnego"/>
          <w:rFonts w:ascii="Times New Roman" w:hAnsi="Times New Roman" w:cs="Times New Roman"/>
          <w:noProof/>
          <w:sz w:val="24"/>
        </w:rPr>
        <w:t> </w:t>
      </w:r>
      <w:r w:rsidR="0076371C">
        <w:rPr>
          <w:rFonts w:ascii="Times New Roman" w:hAnsi="Times New Roman"/>
          <w:noProof/>
          <w:sz w:val="24"/>
        </w:rPr>
        <w:t>ram</w:t>
      </w:r>
      <w:r>
        <w:rPr>
          <w:rFonts w:ascii="Times New Roman" w:hAnsi="Times New Roman"/>
          <w:noProof/>
          <w:sz w:val="24"/>
        </w:rPr>
        <w:t xml:space="preserve">ach pakietu środków ustawodawczych „Gotowi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5</w:t>
      </w:r>
      <w:r>
        <w:rPr>
          <w:rFonts w:ascii="Times New Roman" w:hAnsi="Times New Roman"/>
          <w:noProof/>
          <w:sz w:val="24"/>
        </w:rPr>
        <w:t xml:space="preserve">5”, który służy osiągnięciu ambitniejszych celów klimatycznych UE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30</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Ten pakiet środków obejmował zmianę przepisów regulujących fundusz innowacyjny. Miała ona trzy główne aspekty, które przedstawiono</w:t>
      </w:r>
      <w:r w:rsidR="0076371C">
        <w:rPr>
          <w:rFonts w:ascii="Times New Roman" w:hAnsi="Times New Roman"/>
          <w:noProof/>
          <w:sz w:val="24"/>
        </w:rPr>
        <w:t xml:space="preserve"> w pod</w:t>
      </w:r>
      <w:r>
        <w:rPr>
          <w:rFonts w:ascii="Times New Roman" w:hAnsi="Times New Roman"/>
          <w:noProof/>
          <w:sz w:val="24"/>
        </w:rPr>
        <w:t>punktach poniżej:</w:t>
      </w:r>
    </w:p>
    <w:p w14:paraId="530ED57C" w14:textId="5C6BC8D8" w:rsidR="0018295A" w:rsidRPr="008021A2" w:rsidRDefault="006F09AC" w:rsidP="00282CBF">
      <w:pPr>
        <w:pStyle w:val="Tekstpodstawowy"/>
        <w:numPr>
          <w:ilvl w:val="0"/>
          <w:numId w:val="8"/>
        </w:numPr>
        <w:jc w:val="both"/>
        <w:rPr>
          <w:rFonts w:ascii="Times New Roman" w:hAnsi="Times New Roman" w:cs="Times New Roman"/>
          <w:noProof/>
          <w:sz w:val="24"/>
        </w:rPr>
      </w:pPr>
      <w:r>
        <w:rPr>
          <w:rFonts w:ascii="Times New Roman" w:hAnsi="Times New Roman"/>
          <w:noProof/>
          <w:sz w:val="24"/>
        </w:rPr>
        <w:t>przydzielenie funduszowi innowacyjnemu więcej uprawnień</w:t>
      </w:r>
      <w:r w:rsidR="0076371C">
        <w:rPr>
          <w:rFonts w:ascii="Times New Roman" w:hAnsi="Times New Roman"/>
          <w:noProof/>
          <w:sz w:val="24"/>
        </w:rPr>
        <w:t xml:space="preserve"> w ram</w:t>
      </w:r>
      <w:r>
        <w:rPr>
          <w:rFonts w:ascii="Times New Roman" w:hAnsi="Times New Roman"/>
          <w:noProof/>
          <w:sz w:val="24"/>
        </w:rPr>
        <w:t>ach EU ETS: wzrost</w:t>
      </w:r>
      <w:r w:rsidR="0076371C">
        <w:rPr>
          <w:rFonts w:ascii="Times New Roman" w:hAnsi="Times New Roman"/>
          <w:noProof/>
          <w:sz w:val="24"/>
        </w:rPr>
        <w:t xml:space="preserve"> z 4</w:t>
      </w:r>
      <w:r>
        <w:rPr>
          <w:rFonts w:ascii="Times New Roman" w:hAnsi="Times New Roman"/>
          <w:noProof/>
          <w:sz w:val="24"/>
        </w:rPr>
        <w:t>50 mln do około 530 mln. Oznacza to, że</w:t>
      </w:r>
      <w:r w:rsidR="0076371C">
        <w:rPr>
          <w:rFonts w:ascii="Times New Roman" w:hAnsi="Times New Roman"/>
          <w:noProof/>
          <w:sz w:val="24"/>
        </w:rPr>
        <w:t xml:space="preserve"> w lat</w:t>
      </w:r>
      <w:r>
        <w:rPr>
          <w:rFonts w:ascii="Times New Roman" w:hAnsi="Times New Roman"/>
          <w:noProof/>
          <w:sz w:val="24"/>
        </w:rPr>
        <w:t>ach 2020–2030</w:t>
      </w:r>
      <w:r w:rsidR="0076371C">
        <w:rPr>
          <w:rFonts w:ascii="Times New Roman" w:hAnsi="Times New Roman"/>
          <w:noProof/>
          <w:sz w:val="24"/>
        </w:rPr>
        <w:t xml:space="preserve"> z fun</w:t>
      </w:r>
      <w:r>
        <w:rPr>
          <w:rFonts w:ascii="Times New Roman" w:hAnsi="Times New Roman"/>
          <w:noProof/>
          <w:sz w:val="24"/>
        </w:rPr>
        <w:t>duszu innowacyjnego udostępnione zostanie – według oszacowań – 40 mld EUR na inwestycje</w:t>
      </w:r>
      <w:r>
        <w:rPr>
          <w:rStyle w:val="Odwoanieprzypisudolnego"/>
          <w:rFonts w:ascii="Times New Roman" w:hAnsi="Times New Roman" w:cs="Times New Roman"/>
          <w:noProof/>
          <w:sz w:val="24"/>
        </w:rPr>
        <w:footnoteReference w:id="6"/>
      </w:r>
      <w:r>
        <w:rPr>
          <w:rFonts w:ascii="Times New Roman" w:hAnsi="Times New Roman"/>
          <w:noProof/>
          <w:sz w:val="24"/>
        </w:rPr>
        <w:t>;</w:t>
      </w:r>
    </w:p>
    <w:p w14:paraId="7B20CEFC" w14:textId="2294B350" w:rsidR="0018295A" w:rsidRPr="008021A2" w:rsidRDefault="0018295A" w:rsidP="00282CBF">
      <w:pPr>
        <w:pStyle w:val="Tekstpodstawowy"/>
        <w:numPr>
          <w:ilvl w:val="0"/>
          <w:numId w:val="8"/>
        </w:numPr>
        <w:jc w:val="both"/>
        <w:rPr>
          <w:rFonts w:ascii="Times New Roman" w:hAnsi="Times New Roman" w:cs="Times New Roman"/>
          <w:noProof/>
          <w:sz w:val="24"/>
        </w:rPr>
      </w:pPr>
      <w:r>
        <w:rPr>
          <w:rFonts w:ascii="Times New Roman" w:hAnsi="Times New Roman"/>
          <w:noProof/>
          <w:sz w:val="24"/>
        </w:rPr>
        <w:t>rozszerzony zakres finansowania zarówno pod względem sektorów (które obecnie obejmują również transport morski, lotnictwo, budynki</w:t>
      </w:r>
      <w:r w:rsidR="0076371C">
        <w:rPr>
          <w:rFonts w:ascii="Times New Roman" w:hAnsi="Times New Roman"/>
          <w:noProof/>
          <w:sz w:val="24"/>
        </w:rPr>
        <w:t xml:space="preserve"> i tra</w:t>
      </w:r>
      <w:r>
        <w:rPr>
          <w:rFonts w:ascii="Times New Roman" w:hAnsi="Times New Roman"/>
          <w:noProof/>
          <w:sz w:val="24"/>
        </w:rPr>
        <w:t>nsport drogowy), jak</w:t>
      </w:r>
      <w:r w:rsidR="0076371C">
        <w:rPr>
          <w:rFonts w:ascii="Times New Roman" w:hAnsi="Times New Roman"/>
          <w:noProof/>
          <w:sz w:val="24"/>
        </w:rPr>
        <w:t xml:space="preserve"> i pod</w:t>
      </w:r>
      <w:r>
        <w:rPr>
          <w:rFonts w:ascii="Times New Roman" w:hAnsi="Times New Roman"/>
          <w:noProof/>
          <w:sz w:val="24"/>
        </w:rPr>
        <w:t xml:space="preserve"> względem poziomu innowacji, przy czym obecnie kwalifikują się technologie</w:t>
      </w:r>
      <w:r w:rsidR="0076371C">
        <w:rPr>
          <w:rFonts w:ascii="Times New Roman" w:hAnsi="Times New Roman"/>
          <w:noProof/>
          <w:sz w:val="24"/>
        </w:rPr>
        <w:t xml:space="preserve"> o wyż</w:t>
      </w:r>
      <w:r>
        <w:rPr>
          <w:rFonts w:ascii="Times New Roman" w:hAnsi="Times New Roman"/>
          <w:noProof/>
          <w:sz w:val="24"/>
        </w:rPr>
        <w:t>szym stopniu dojrzałości;</w:t>
      </w:r>
    </w:p>
    <w:p w14:paraId="332BD4B8" w14:textId="1994834A" w:rsidR="00FF6049" w:rsidRPr="008021A2" w:rsidRDefault="0018295A" w:rsidP="00FF6049">
      <w:pPr>
        <w:pStyle w:val="Tekstpodstawowy"/>
        <w:numPr>
          <w:ilvl w:val="0"/>
          <w:numId w:val="8"/>
        </w:numPr>
        <w:jc w:val="both"/>
        <w:rPr>
          <w:rFonts w:ascii="Times New Roman" w:hAnsi="Times New Roman" w:cs="Times New Roman"/>
          <w:noProof/>
          <w:sz w:val="24"/>
        </w:rPr>
      </w:pPr>
      <w:r>
        <w:rPr>
          <w:rFonts w:ascii="Times New Roman" w:hAnsi="Times New Roman"/>
          <w:noProof/>
          <w:sz w:val="24"/>
        </w:rPr>
        <w:t>nowy mechanizm wsparcia, za pomocą którego projekty wybierane są</w:t>
      </w:r>
      <w:r w:rsidR="0076371C">
        <w:rPr>
          <w:rFonts w:ascii="Times New Roman" w:hAnsi="Times New Roman"/>
          <w:noProof/>
          <w:sz w:val="24"/>
        </w:rPr>
        <w:t xml:space="preserve"> w dro</w:t>
      </w:r>
      <w:r>
        <w:rPr>
          <w:rFonts w:ascii="Times New Roman" w:hAnsi="Times New Roman"/>
          <w:noProof/>
          <w:sz w:val="24"/>
        </w:rPr>
        <w:t>dze</w:t>
      </w:r>
      <w:r>
        <w:rPr>
          <w:noProof/>
        </w:rPr>
        <w:t xml:space="preserve"> </w:t>
      </w:r>
      <w:r>
        <w:rPr>
          <w:noProof/>
        </w:rPr>
        <w:br/>
      </w:r>
      <w:r>
        <w:rPr>
          <w:rFonts w:ascii="Times New Roman" w:hAnsi="Times New Roman"/>
          <w:noProof/>
          <w:sz w:val="24"/>
        </w:rPr>
        <w:t xml:space="preserve">przetargu konkurencyjnego (tj. aukcji). Umożliwia to wdrożenie systemów wsparcia, takich jak: kontrakty na stałą premię, kontrakty na transakcje różnicowe lub kontrakty na transakcje różnicowe dotyczące dwutlenku węgla, pokrywające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0</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ich odpowiednich kosztów.</w:t>
      </w:r>
    </w:p>
    <w:p w14:paraId="1A226692" w14:textId="5952DD33" w:rsidR="0018295A" w:rsidRPr="00C31AF5" w:rsidRDefault="0018295A" w:rsidP="0018295A">
      <w:pPr>
        <w:pStyle w:val="Legenda"/>
        <w:keepNext/>
        <w:jc w:val="both"/>
        <w:rPr>
          <w:rFonts w:cs="Times New Roman"/>
          <w:bCs/>
          <w:i/>
          <w:noProof/>
          <w:szCs w:val="16"/>
        </w:rPr>
      </w:pPr>
      <w:r w:rsidRPr="00C31AF5">
        <w:rPr>
          <w:bCs/>
          <w:i/>
          <w:noProof/>
          <w:szCs w:val="16"/>
        </w:rPr>
        <w:lastRenderedPageBreak/>
        <w:t xml:space="preserve">Rys. </w:t>
      </w:r>
      <w:r w:rsidRPr="00C31AF5">
        <w:rPr>
          <w:rFonts w:cs="Times New Roman"/>
          <w:bCs/>
          <w:i/>
          <w:noProof/>
          <w:szCs w:val="16"/>
        </w:rPr>
        <w:fldChar w:fldCharType="begin"/>
      </w:r>
      <w:r w:rsidRPr="00C31AF5">
        <w:rPr>
          <w:rFonts w:cs="Times New Roman"/>
          <w:bCs/>
          <w:i/>
          <w:noProof/>
          <w:szCs w:val="16"/>
        </w:rPr>
        <w:instrText xml:space="preserve"> SEQ Figure \* ARABIC </w:instrText>
      </w:r>
      <w:r w:rsidRPr="00C31AF5">
        <w:rPr>
          <w:rFonts w:cs="Times New Roman"/>
          <w:bCs/>
          <w:i/>
          <w:noProof/>
          <w:szCs w:val="16"/>
        </w:rPr>
        <w:fldChar w:fldCharType="separate"/>
      </w:r>
      <w:r w:rsidR="00574F36" w:rsidRPr="00C31AF5">
        <w:rPr>
          <w:rFonts w:cs="Times New Roman"/>
          <w:bCs/>
          <w:i/>
          <w:noProof/>
          <w:szCs w:val="16"/>
        </w:rPr>
        <w:t>1</w:t>
      </w:r>
      <w:r w:rsidRPr="00C31AF5">
        <w:rPr>
          <w:rFonts w:cs="Times New Roman"/>
          <w:bCs/>
          <w:i/>
          <w:noProof/>
          <w:szCs w:val="16"/>
        </w:rPr>
        <w:fldChar w:fldCharType="end"/>
      </w:r>
      <w:r w:rsidRPr="00C31AF5">
        <w:rPr>
          <w:bCs/>
          <w:i/>
          <w:noProof/>
          <w:szCs w:val="16"/>
        </w:rPr>
        <w:t>:</w:t>
      </w:r>
      <w:r w:rsidR="00C31AF5" w:rsidRPr="00C31AF5">
        <w:rPr>
          <w:bCs/>
          <w:i/>
          <w:noProof/>
          <w:szCs w:val="16"/>
        </w:rPr>
        <w:t xml:space="preserve"> </w:t>
      </w:r>
      <w:r w:rsidRPr="00C31AF5">
        <w:rPr>
          <w:bCs/>
          <w:i/>
          <w:noProof/>
          <w:szCs w:val="16"/>
        </w:rPr>
        <w:t>Kluczowe aspekty funduszu innowacyjnego po rewizji EU ETS</w:t>
      </w:r>
    </w:p>
    <w:p w14:paraId="34C5A058" w14:textId="297004C9" w:rsidR="0018295A" w:rsidRPr="008021A2" w:rsidRDefault="00574F36" w:rsidP="0018295A">
      <w:pPr>
        <w:pStyle w:val="Tekstpodstawowy"/>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0C99104F" wp14:editId="7C86E53B">
            <wp:extent cx="5731510" cy="3435350"/>
            <wp:effectExtent l="0" t="0" r="2540" b="0"/>
            <wp:docPr id="788587747" name="Obraz 1" descr="Obraz zawierający tekst, zrzut ekranu, Czcionk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87747" name="Obraz 1" descr="Obraz zawierający tekst, zrzut ekranu, Czcionka, diagram&#10;&#10;Opis wygenerowany automatycznie"/>
                    <pic:cNvPicPr/>
                  </pic:nvPicPr>
                  <pic:blipFill>
                    <a:blip r:embed="rId17"/>
                    <a:stretch>
                      <a:fillRect/>
                    </a:stretch>
                  </pic:blipFill>
                  <pic:spPr>
                    <a:xfrm>
                      <a:off x="0" y="0"/>
                      <a:ext cx="5731510" cy="3435350"/>
                    </a:xfrm>
                    <a:prstGeom prst="rect">
                      <a:avLst/>
                    </a:prstGeom>
                  </pic:spPr>
                </pic:pic>
              </a:graphicData>
            </a:graphic>
          </wp:inline>
        </w:drawing>
      </w:r>
    </w:p>
    <w:p w14:paraId="047E9BB0" w14:textId="6334E580"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Komisja pracuje nad zmianą ram prawnych funduszu innowacyjnego</w:t>
      </w:r>
      <w:r>
        <w:rPr>
          <w:rStyle w:val="Odwoanieprzypisudolnego"/>
          <w:rFonts w:ascii="Times New Roman" w:hAnsi="Times New Roman" w:cs="Times New Roman"/>
          <w:noProof/>
          <w:sz w:val="24"/>
        </w:rPr>
        <w:footnoteReference w:id="7"/>
      </w:r>
      <w:r w:rsidR="0076371C">
        <w:rPr>
          <w:rFonts w:ascii="Times New Roman" w:hAnsi="Times New Roman"/>
          <w:noProof/>
          <w:sz w:val="24"/>
        </w:rPr>
        <w:t xml:space="preserve"> w cel</w:t>
      </w:r>
      <w:r>
        <w:rPr>
          <w:rFonts w:ascii="Times New Roman" w:hAnsi="Times New Roman"/>
          <w:noProof/>
          <w:sz w:val="24"/>
        </w:rPr>
        <w:t>u zapewnienia, aby: (i) były one</w:t>
      </w:r>
      <w:r w:rsidR="0076371C">
        <w:rPr>
          <w:rFonts w:ascii="Times New Roman" w:hAnsi="Times New Roman"/>
          <w:noProof/>
          <w:sz w:val="24"/>
        </w:rPr>
        <w:t xml:space="preserve"> w peł</w:t>
      </w:r>
      <w:r>
        <w:rPr>
          <w:rFonts w:ascii="Times New Roman" w:hAnsi="Times New Roman"/>
          <w:noProof/>
          <w:sz w:val="24"/>
        </w:rPr>
        <w:t>ni zgodne</w:t>
      </w:r>
      <w:r w:rsidR="0076371C">
        <w:rPr>
          <w:rFonts w:ascii="Times New Roman" w:hAnsi="Times New Roman"/>
          <w:noProof/>
          <w:sz w:val="24"/>
        </w:rPr>
        <w:t xml:space="preserve"> z naj</w:t>
      </w:r>
      <w:r>
        <w:rPr>
          <w:rFonts w:ascii="Times New Roman" w:hAnsi="Times New Roman"/>
          <w:noProof/>
          <w:sz w:val="24"/>
        </w:rPr>
        <w:t>nowszymi zmianami dyrektywy EU ETS; oraz (ii) opierały się na doświadczeniach zdobytych</w:t>
      </w:r>
      <w:r w:rsidR="0076371C">
        <w:rPr>
          <w:rFonts w:ascii="Times New Roman" w:hAnsi="Times New Roman"/>
          <w:noProof/>
          <w:sz w:val="24"/>
        </w:rPr>
        <w:t xml:space="preserve"> w pie</w:t>
      </w:r>
      <w:r>
        <w:rPr>
          <w:rFonts w:ascii="Times New Roman" w:hAnsi="Times New Roman"/>
          <w:noProof/>
          <w:sz w:val="24"/>
        </w:rPr>
        <w:t>rwszych latach wdrażania. Przyjęcie ostatecznej wersji rozporządzenia delegowanego zaplanowano na koniec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p>
    <w:p w14:paraId="5E58C17A" w14:textId="27C2B300" w:rsidR="00D01049" w:rsidRPr="008021A2" w:rsidRDefault="00D01049" w:rsidP="0018295A">
      <w:pPr>
        <w:pStyle w:val="Tekstpodstawowy"/>
        <w:jc w:val="both"/>
        <w:rPr>
          <w:rFonts w:ascii="Times New Roman" w:hAnsi="Times New Roman" w:cs="Times New Roman"/>
          <w:noProof/>
          <w:sz w:val="24"/>
        </w:rPr>
      </w:pPr>
      <w:r>
        <w:rPr>
          <w:rFonts w:ascii="Times New Roman" w:hAnsi="Times New Roman"/>
          <w:noProof/>
          <w:sz w:val="24"/>
        </w:rPr>
        <w:t>Zgodnie</w:t>
      </w:r>
      <w:r w:rsidR="0076371C">
        <w:rPr>
          <w:rFonts w:ascii="Times New Roman" w:hAnsi="Times New Roman"/>
          <w:noProof/>
          <w:sz w:val="24"/>
        </w:rPr>
        <w:t xml:space="preserve"> z dyr</w:t>
      </w:r>
      <w:r>
        <w:rPr>
          <w:rFonts w:ascii="Times New Roman" w:hAnsi="Times New Roman"/>
          <w:noProof/>
          <w:sz w:val="24"/>
        </w:rPr>
        <w:t>ektywą EU ETS</w:t>
      </w:r>
      <w:r>
        <w:rPr>
          <w:rStyle w:val="Odwoanieprzypisudolnego"/>
          <w:rFonts w:ascii="Times New Roman" w:hAnsi="Times New Roman" w:cs="Times New Roman"/>
          <w:noProof/>
          <w:sz w:val="24"/>
        </w:rPr>
        <w:footnoteReference w:id="8"/>
      </w:r>
      <w:r>
        <w:rPr>
          <w:rFonts w:ascii="Times New Roman" w:hAnsi="Times New Roman"/>
          <w:noProof/>
          <w:sz w:val="24"/>
        </w:rPr>
        <w:t xml:space="preserve"> do dnia 31 grudnia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nas</w:t>
      </w:r>
      <w:r>
        <w:rPr>
          <w:rFonts w:ascii="Times New Roman" w:hAnsi="Times New Roman"/>
          <w:noProof/>
          <w:sz w:val="24"/>
        </w:rPr>
        <w:t>tępnie co roku, Komisja składa Komitetowi ds. Zmian Klimatu sprawozdanie</w:t>
      </w:r>
      <w:r w:rsidR="0076371C">
        <w:rPr>
          <w:rFonts w:ascii="Times New Roman" w:hAnsi="Times New Roman"/>
          <w:noProof/>
          <w:sz w:val="24"/>
        </w:rPr>
        <w:t xml:space="preserve"> z wdr</w:t>
      </w:r>
      <w:r>
        <w:rPr>
          <w:rFonts w:ascii="Times New Roman" w:hAnsi="Times New Roman"/>
          <w:noProof/>
          <w:sz w:val="24"/>
        </w:rPr>
        <w:t>ażania funduszu innowacyjnego.</w:t>
      </w:r>
    </w:p>
    <w:p w14:paraId="0827724D" w14:textId="77777777" w:rsidR="0018295A" w:rsidRPr="008021A2" w:rsidRDefault="0018295A" w:rsidP="0018295A">
      <w:pPr>
        <w:pStyle w:val="Tekstpodstawowy"/>
        <w:jc w:val="both"/>
        <w:rPr>
          <w:rFonts w:ascii="Times New Roman" w:hAnsi="Times New Roman" w:cs="Times New Roman"/>
          <w:noProof/>
          <w:sz w:val="24"/>
        </w:rPr>
      </w:pPr>
    </w:p>
    <w:p w14:paraId="6C58B2C3" w14:textId="59972422" w:rsidR="0018295A" w:rsidRPr="008021A2" w:rsidRDefault="0018295A" w:rsidP="00282CBF">
      <w:pPr>
        <w:pStyle w:val="Akapitzlist"/>
        <w:numPr>
          <w:ilvl w:val="1"/>
          <w:numId w:val="5"/>
        </w:numPr>
        <w:jc w:val="both"/>
        <w:rPr>
          <w:rFonts w:ascii="Times New Roman" w:hAnsi="Times New Roman" w:cs="Times New Roman"/>
          <w:b/>
          <w:noProof/>
          <w:sz w:val="24"/>
        </w:rPr>
      </w:pPr>
      <w:r>
        <w:rPr>
          <w:rFonts w:ascii="Times New Roman" w:hAnsi="Times New Roman"/>
          <w:b/>
          <w:noProof/>
          <w:sz w:val="24"/>
        </w:rPr>
        <w:t>Przegląd funkcjonowania funduszu innowacyjnego</w:t>
      </w:r>
    </w:p>
    <w:tbl>
      <w:tblPr>
        <w:tblStyle w:val="Tabela-Siatka"/>
        <w:tblW w:w="0" w:type="auto"/>
        <w:tblLook w:val="04A0" w:firstRow="1" w:lastRow="0" w:firstColumn="1" w:lastColumn="0" w:noHBand="0" w:noVBand="1"/>
      </w:tblPr>
      <w:tblGrid>
        <w:gridCol w:w="9016"/>
      </w:tblGrid>
      <w:tr w:rsidR="0018295A" w:rsidRPr="008021A2" w14:paraId="146562BC" w14:textId="77777777" w:rsidTr="00B96AF8">
        <w:tc>
          <w:tcPr>
            <w:tcW w:w="0" w:type="auto"/>
          </w:tcPr>
          <w:p w14:paraId="21CEC4EC" w14:textId="3EA18B5F" w:rsidR="0018295A" w:rsidRPr="008021A2" w:rsidRDefault="0018295A" w:rsidP="00B96AF8">
            <w:pPr>
              <w:pStyle w:val="Tekstpodstawowy"/>
              <w:jc w:val="both"/>
              <w:rPr>
                <w:rFonts w:ascii="Times New Roman" w:hAnsi="Times New Roman" w:cs="Times New Roman"/>
                <w:i/>
                <w:noProof/>
                <w:sz w:val="24"/>
              </w:rPr>
            </w:pPr>
            <w:r>
              <w:rPr>
                <w:rFonts w:ascii="Times New Roman" w:hAnsi="Times New Roman"/>
                <w:i/>
                <w:noProof/>
                <w:sz w:val="24"/>
              </w:rPr>
              <w:t>Celem funduszu innowacyjnego jest wspieranie innowacyjnych technologii, technik</w:t>
            </w:r>
            <w:r w:rsidR="0076371C">
              <w:rPr>
                <w:rFonts w:ascii="Times New Roman" w:hAnsi="Times New Roman"/>
                <w:i/>
                <w:noProof/>
                <w:sz w:val="24"/>
              </w:rPr>
              <w:t xml:space="preserve"> i pro</w:t>
            </w:r>
            <w:r>
              <w:rPr>
                <w:rFonts w:ascii="Times New Roman" w:hAnsi="Times New Roman"/>
                <w:i/>
                <w:noProof/>
                <w:sz w:val="24"/>
              </w:rPr>
              <w:t>cesów, które: (i) wykazują potencjał znacznej redukcji emisji gazów cieplarnianych</w:t>
            </w:r>
            <w:r w:rsidR="0076371C">
              <w:rPr>
                <w:rFonts w:ascii="Times New Roman" w:hAnsi="Times New Roman"/>
                <w:i/>
                <w:noProof/>
                <w:sz w:val="24"/>
              </w:rPr>
              <w:t xml:space="preserve"> w sek</w:t>
            </w:r>
            <w:r>
              <w:rPr>
                <w:rFonts w:ascii="Times New Roman" w:hAnsi="Times New Roman"/>
                <w:i/>
                <w:noProof/>
                <w:sz w:val="24"/>
              </w:rPr>
              <w:t xml:space="preserve">torach objętych EU ETS; (ii) wykazują potencjał powszechnego ponownego zastosowania na rynku; oraz (iii) są </w:t>
            </w:r>
            <w:r w:rsidR="00A1639C">
              <w:rPr>
                <w:rFonts w:ascii="Times New Roman" w:hAnsi="Times New Roman"/>
                <w:i/>
                <w:noProof/>
                <w:sz w:val="24"/>
              </w:rPr>
              <w:t>racjonalne pod względem kosztów</w:t>
            </w:r>
            <w:r>
              <w:rPr>
                <w:rFonts w:ascii="Times New Roman" w:hAnsi="Times New Roman"/>
                <w:i/>
                <w:noProof/>
                <w:sz w:val="24"/>
              </w:rPr>
              <w:t>. Fundusz innowacyjny wspiera niwelowanie luki</w:t>
            </w:r>
            <w:r w:rsidR="0076371C">
              <w:rPr>
                <w:rFonts w:ascii="Times New Roman" w:hAnsi="Times New Roman"/>
                <w:i/>
                <w:noProof/>
                <w:sz w:val="24"/>
              </w:rPr>
              <w:t xml:space="preserve"> w fin</w:t>
            </w:r>
            <w:r>
              <w:rPr>
                <w:rFonts w:ascii="Times New Roman" w:hAnsi="Times New Roman"/>
                <w:i/>
                <w:noProof/>
                <w:sz w:val="24"/>
              </w:rPr>
              <w:t>ansowaniu poprzez: (i) dotacje przyznawane</w:t>
            </w:r>
            <w:r w:rsidR="0076371C">
              <w:rPr>
                <w:rFonts w:ascii="Times New Roman" w:hAnsi="Times New Roman"/>
                <w:i/>
                <w:noProof/>
                <w:sz w:val="24"/>
              </w:rPr>
              <w:t xml:space="preserve"> w dro</w:t>
            </w:r>
            <w:r>
              <w:rPr>
                <w:rFonts w:ascii="Times New Roman" w:hAnsi="Times New Roman"/>
                <w:i/>
                <w:noProof/>
                <w:sz w:val="24"/>
              </w:rPr>
              <w:t>dze zaproszeń do składania wniosków lub</w:t>
            </w:r>
            <w:r w:rsidR="0076371C">
              <w:rPr>
                <w:rFonts w:ascii="Times New Roman" w:hAnsi="Times New Roman"/>
                <w:i/>
                <w:noProof/>
                <w:sz w:val="24"/>
              </w:rPr>
              <w:t xml:space="preserve"> w dro</w:t>
            </w:r>
            <w:r>
              <w:rPr>
                <w:rFonts w:ascii="Times New Roman" w:hAnsi="Times New Roman"/>
                <w:i/>
                <w:noProof/>
                <w:sz w:val="24"/>
              </w:rPr>
              <w:t>dze aukcji; (ii) inne formy strukturyzacji finansowej takie jak wkład</w:t>
            </w:r>
            <w:r w:rsidR="0076371C">
              <w:rPr>
                <w:rFonts w:ascii="Times New Roman" w:hAnsi="Times New Roman"/>
                <w:i/>
                <w:noProof/>
                <w:sz w:val="24"/>
              </w:rPr>
              <w:t xml:space="preserve"> w dzi</w:t>
            </w:r>
            <w:r>
              <w:rPr>
                <w:rFonts w:ascii="Times New Roman" w:hAnsi="Times New Roman"/>
                <w:i/>
                <w:noProof/>
                <w:sz w:val="24"/>
              </w:rPr>
              <w:t>ałania łączone; oraz (iii) wsparcie techniczne</w:t>
            </w:r>
            <w:r w:rsidR="0076371C">
              <w:rPr>
                <w:rFonts w:ascii="Times New Roman" w:hAnsi="Times New Roman"/>
                <w:i/>
                <w:noProof/>
                <w:sz w:val="24"/>
              </w:rPr>
              <w:t xml:space="preserve"> i fin</w:t>
            </w:r>
            <w:r>
              <w:rPr>
                <w:rFonts w:ascii="Times New Roman" w:hAnsi="Times New Roman"/>
                <w:i/>
                <w:noProof/>
                <w:sz w:val="24"/>
              </w:rPr>
              <w:t>ansowe</w:t>
            </w:r>
            <w:r w:rsidR="0076371C">
              <w:rPr>
                <w:rFonts w:ascii="Times New Roman" w:hAnsi="Times New Roman"/>
                <w:i/>
                <w:noProof/>
                <w:sz w:val="24"/>
              </w:rPr>
              <w:t xml:space="preserve"> w for</w:t>
            </w:r>
            <w:r>
              <w:rPr>
                <w:rFonts w:ascii="Times New Roman" w:hAnsi="Times New Roman"/>
                <w:i/>
                <w:noProof/>
                <w:sz w:val="24"/>
              </w:rPr>
              <w:t>mie doradztwa</w:t>
            </w:r>
            <w:r w:rsidR="0076371C">
              <w:rPr>
                <w:rFonts w:ascii="Times New Roman" w:hAnsi="Times New Roman"/>
                <w:i/>
                <w:noProof/>
                <w:sz w:val="24"/>
              </w:rPr>
              <w:t xml:space="preserve"> w ram</w:t>
            </w:r>
            <w:r>
              <w:rPr>
                <w:rFonts w:ascii="Times New Roman" w:hAnsi="Times New Roman"/>
                <w:i/>
                <w:noProof/>
                <w:sz w:val="24"/>
              </w:rPr>
              <w:t>ach programu pomocy</w:t>
            </w:r>
            <w:r w:rsidR="0076371C">
              <w:rPr>
                <w:rFonts w:ascii="Times New Roman" w:hAnsi="Times New Roman"/>
                <w:i/>
                <w:noProof/>
                <w:sz w:val="24"/>
              </w:rPr>
              <w:t xml:space="preserve"> w zak</w:t>
            </w:r>
            <w:r>
              <w:rPr>
                <w:rFonts w:ascii="Times New Roman" w:hAnsi="Times New Roman"/>
                <w:i/>
                <w:noProof/>
                <w:sz w:val="24"/>
              </w:rPr>
              <w:t xml:space="preserve">resie opracowywania projektu. </w:t>
            </w:r>
          </w:p>
        </w:tc>
      </w:tr>
    </w:tbl>
    <w:p w14:paraId="10898756" w14:textId="77777777" w:rsidR="0018295A" w:rsidRPr="008021A2" w:rsidRDefault="0018295A" w:rsidP="0018295A">
      <w:pPr>
        <w:pStyle w:val="Tekstpodstawowy"/>
        <w:jc w:val="both"/>
        <w:rPr>
          <w:rFonts w:ascii="Times New Roman" w:hAnsi="Times New Roman" w:cs="Times New Roman"/>
          <w:noProof/>
          <w:sz w:val="24"/>
        </w:rPr>
      </w:pPr>
    </w:p>
    <w:p w14:paraId="0719BB33" w14:textId="38016B27"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lastRenderedPageBreak/>
        <w:t>Celem funduszu innowacyjnego jest zapewnienie wsparcia finansowego na projekty demonstrujące wysoce innowacyjne technologie, procesy lub produkty, które wykazują znaczący potencjał redukcji emisji gazów cieplarnianych. Wsparcie to udzielane jest głównie</w:t>
      </w:r>
      <w:r w:rsidR="0076371C">
        <w:rPr>
          <w:rFonts w:ascii="Times New Roman" w:hAnsi="Times New Roman"/>
          <w:noProof/>
          <w:sz w:val="24"/>
        </w:rPr>
        <w:t xml:space="preserve"> w for</w:t>
      </w:r>
      <w:r>
        <w:rPr>
          <w:rFonts w:ascii="Times New Roman" w:hAnsi="Times New Roman"/>
          <w:noProof/>
          <w:sz w:val="24"/>
        </w:rPr>
        <w:t>mie dotacji, chociaż może ono przybierać również inne formy, takie jak wkłady</w:t>
      </w:r>
      <w:r w:rsidR="0076371C">
        <w:rPr>
          <w:rFonts w:ascii="Times New Roman" w:hAnsi="Times New Roman"/>
          <w:noProof/>
          <w:sz w:val="24"/>
        </w:rPr>
        <w:t xml:space="preserve"> w dzi</w:t>
      </w:r>
      <w:r>
        <w:rPr>
          <w:rFonts w:ascii="Times New Roman" w:hAnsi="Times New Roman"/>
          <w:noProof/>
          <w:sz w:val="24"/>
        </w:rPr>
        <w:t>ałania łączone</w:t>
      </w:r>
      <w:r w:rsidR="0076371C">
        <w:rPr>
          <w:rFonts w:ascii="Times New Roman" w:hAnsi="Times New Roman"/>
          <w:noProof/>
          <w:sz w:val="24"/>
        </w:rPr>
        <w:t xml:space="preserve"> w ram</w:t>
      </w:r>
      <w:r>
        <w:rPr>
          <w:rFonts w:ascii="Times New Roman" w:hAnsi="Times New Roman"/>
          <w:noProof/>
          <w:sz w:val="24"/>
        </w:rPr>
        <w:t>ach innych unijnych instrumentów wsparcia inwestycji lub wsparcie doradcze</w:t>
      </w:r>
      <w:r w:rsidR="0076371C">
        <w:rPr>
          <w:rFonts w:ascii="Times New Roman" w:hAnsi="Times New Roman"/>
          <w:noProof/>
          <w:sz w:val="24"/>
        </w:rPr>
        <w:t xml:space="preserve"> w ram</w:t>
      </w:r>
      <w:r>
        <w:rPr>
          <w:rFonts w:ascii="Times New Roman" w:hAnsi="Times New Roman"/>
          <w:noProof/>
          <w:sz w:val="24"/>
        </w:rPr>
        <w:t>ach programu pomocy</w:t>
      </w:r>
      <w:r w:rsidR="0076371C">
        <w:rPr>
          <w:rFonts w:ascii="Times New Roman" w:hAnsi="Times New Roman"/>
          <w:noProof/>
          <w:sz w:val="24"/>
        </w:rPr>
        <w:t xml:space="preserve"> w zak</w:t>
      </w:r>
      <w:r>
        <w:rPr>
          <w:rFonts w:ascii="Times New Roman" w:hAnsi="Times New Roman"/>
          <w:noProof/>
          <w:sz w:val="24"/>
        </w:rPr>
        <w:t>resie opracowywania projektu – instrumenty określone</w:t>
      </w:r>
      <w:r w:rsidR="0076371C">
        <w:rPr>
          <w:rFonts w:ascii="Times New Roman" w:hAnsi="Times New Roman"/>
          <w:noProof/>
          <w:sz w:val="24"/>
        </w:rPr>
        <w:t xml:space="preserve"> w akc</w:t>
      </w:r>
      <w:r>
        <w:rPr>
          <w:rFonts w:ascii="Times New Roman" w:hAnsi="Times New Roman"/>
          <w:noProof/>
          <w:sz w:val="24"/>
        </w:rPr>
        <w:t>ie delegowanym dotyczącym funduszu innowacyjnego. Dotacje udzielane</w:t>
      </w:r>
      <w:r w:rsidR="0076371C">
        <w:rPr>
          <w:rFonts w:ascii="Times New Roman" w:hAnsi="Times New Roman"/>
          <w:noProof/>
          <w:sz w:val="24"/>
        </w:rPr>
        <w:t xml:space="preserve"> z fun</w:t>
      </w:r>
      <w:r>
        <w:rPr>
          <w:rFonts w:ascii="Times New Roman" w:hAnsi="Times New Roman"/>
          <w:noProof/>
          <w:sz w:val="24"/>
        </w:rPr>
        <w:t xml:space="preserve">duszu innowacyjnego mogą pokrywać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60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odnośnych kosztów</w:t>
      </w:r>
      <w:r>
        <w:rPr>
          <w:rStyle w:val="Odwoanieprzypisudolnego"/>
          <w:rFonts w:ascii="Times New Roman" w:hAnsi="Times New Roman" w:cs="Times New Roman"/>
          <w:noProof/>
          <w:sz w:val="24"/>
        </w:rPr>
        <w:footnoteReference w:id="9"/>
      </w:r>
      <w:r>
        <w:rPr>
          <w:rFonts w:ascii="Times New Roman" w:hAnsi="Times New Roman"/>
          <w:noProof/>
          <w:sz w:val="24"/>
        </w:rPr>
        <w:t xml:space="preserve"> projektu, jeżeli dotacje przyznaje się</w:t>
      </w:r>
      <w:r w:rsidR="0076371C">
        <w:rPr>
          <w:rFonts w:ascii="Times New Roman" w:hAnsi="Times New Roman"/>
          <w:noProof/>
          <w:sz w:val="24"/>
        </w:rPr>
        <w:t xml:space="preserve"> w dro</w:t>
      </w:r>
      <w:r>
        <w:rPr>
          <w:rFonts w:ascii="Times New Roman" w:hAnsi="Times New Roman"/>
          <w:noProof/>
          <w:sz w:val="24"/>
        </w:rPr>
        <w:t xml:space="preserve">dze zwykłego zaproszenia do składania wniosków, lub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0</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sidR="0076371C">
        <w:rPr>
          <w:rFonts w:ascii="Times New Roman" w:hAnsi="Times New Roman"/>
          <w:noProof/>
          <w:sz w:val="24"/>
        </w:rPr>
        <w:t xml:space="preserve"> w prz</w:t>
      </w:r>
      <w:r>
        <w:rPr>
          <w:rFonts w:ascii="Times New Roman" w:hAnsi="Times New Roman"/>
          <w:noProof/>
          <w:sz w:val="24"/>
        </w:rPr>
        <w:t>ypadku przyznawania</w:t>
      </w:r>
      <w:r w:rsidR="0076371C">
        <w:rPr>
          <w:rFonts w:ascii="Times New Roman" w:hAnsi="Times New Roman"/>
          <w:noProof/>
          <w:sz w:val="24"/>
        </w:rPr>
        <w:t xml:space="preserve"> w ram</w:t>
      </w:r>
      <w:r>
        <w:rPr>
          <w:rFonts w:ascii="Times New Roman" w:hAnsi="Times New Roman"/>
          <w:noProof/>
          <w:sz w:val="24"/>
        </w:rPr>
        <w:t>ach mechanizmu przetargu konkurencyjnego. Rozwiązanie to zapewnia zarówno alokację wsparcia racjonalną pod względem kosztów, jak</w:t>
      </w:r>
      <w:r w:rsidR="0076371C">
        <w:rPr>
          <w:rFonts w:ascii="Times New Roman" w:hAnsi="Times New Roman"/>
          <w:noProof/>
          <w:sz w:val="24"/>
        </w:rPr>
        <w:t xml:space="preserve"> i mob</w:t>
      </w:r>
      <w:r>
        <w:rPr>
          <w:rFonts w:ascii="Times New Roman" w:hAnsi="Times New Roman"/>
          <w:noProof/>
          <w:sz w:val="24"/>
        </w:rPr>
        <w:t>ilizację inwestycji prywatnych.</w:t>
      </w:r>
    </w:p>
    <w:p w14:paraId="012F358D" w14:textId="396EF033"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 xml:space="preserve">Pod koniec okresu sprawozdawczego, którego dotyczy niniejsze sprawozdanie, obejmującego </w:t>
      </w:r>
      <w:r w:rsidRPr="002001C0">
        <w:rPr>
          <w:rFonts w:ascii="Times New Roman" w:hAnsi="Times New Roman"/>
          <w:noProof/>
          <w:sz w:val="24"/>
        </w:rPr>
        <w:t>rok</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022, głównym mechanizmem przyznawania dotacji wykorzystywanym</w:t>
      </w:r>
      <w:r w:rsidR="0076371C">
        <w:rPr>
          <w:rFonts w:ascii="Times New Roman" w:hAnsi="Times New Roman"/>
          <w:noProof/>
          <w:sz w:val="24"/>
        </w:rPr>
        <w:t xml:space="preserve"> w fun</w:t>
      </w:r>
      <w:r>
        <w:rPr>
          <w:rFonts w:ascii="Times New Roman" w:hAnsi="Times New Roman"/>
          <w:noProof/>
          <w:sz w:val="24"/>
        </w:rPr>
        <w:t>duszu innowacyjnym były otwarte zaproszenia do składania wniosków. Te zaproszenia ogłaszano oddzielnie dla dwóch kategorii projektów: projektów, których szacowane wydatki kapitałowe nie przekraczają 7,5 mln EUR (projekty na małą skalę), oraz projektów, których szacowane wydatki kapitałowe przekraczają 7,5 mln EUR (projekty na dużą skalę). Niezależnie od tego, czy chodzi</w:t>
      </w:r>
      <w:r w:rsidR="0076371C">
        <w:rPr>
          <w:rFonts w:ascii="Times New Roman" w:hAnsi="Times New Roman"/>
          <w:noProof/>
          <w:sz w:val="24"/>
        </w:rPr>
        <w:t xml:space="preserve"> o pro</w:t>
      </w:r>
      <w:r>
        <w:rPr>
          <w:rFonts w:ascii="Times New Roman" w:hAnsi="Times New Roman"/>
          <w:noProof/>
          <w:sz w:val="24"/>
        </w:rPr>
        <w:t>jekty na dużą, czy na małą skalę, finansowanie przyznaje się bez dyskryminacji pod względem rodzaju technologii proponowanej</w:t>
      </w:r>
      <w:r w:rsidR="0076371C">
        <w:rPr>
          <w:rFonts w:ascii="Times New Roman" w:hAnsi="Times New Roman"/>
          <w:noProof/>
          <w:sz w:val="24"/>
        </w:rPr>
        <w:t xml:space="preserve"> w pro</w:t>
      </w:r>
      <w:r>
        <w:rPr>
          <w:rFonts w:ascii="Times New Roman" w:hAnsi="Times New Roman"/>
          <w:noProof/>
          <w:sz w:val="24"/>
        </w:rPr>
        <w:t>jekcie, pod warunkiem że projekt dotyczy jednego</w:t>
      </w:r>
      <w:r w:rsidR="0076371C">
        <w:rPr>
          <w:rFonts w:ascii="Times New Roman" w:hAnsi="Times New Roman"/>
          <w:noProof/>
          <w:sz w:val="24"/>
        </w:rPr>
        <w:t xml:space="preserve"> z sek</w:t>
      </w:r>
      <w:r>
        <w:rPr>
          <w:rFonts w:ascii="Times New Roman" w:hAnsi="Times New Roman"/>
          <w:noProof/>
          <w:sz w:val="24"/>
        </w:rPr>
        <w:t>torów kwalifikujących się do wsparcia</w:t>
      </w:r>
      <w:r w:rsidR="0076371C">
        <w:rPr>
          <w:rFonts w:ascii="Times New Roman" w:hAnsi="Times New Roman"/>
          <w:noProof/>
          <w:sz w:val="24"/>
        </w:rPr>
        <w:t xml:space="preserve"> z fun</w:t>
      </w:r>
      <w:r>
        <w:rPr>
          <w:rFonts w:ascii="Times New Roman" w:hAnsi="Times New Roman"/>
          <w:noProof/>
          <w:sz w:val="24"/>
        </w:rPr>
        <w:t xml:space="preserve">duszu innowacyjnego. </w:t>
      </w:r>
    </w:p>
    <w:p w14:paraId="0B26012C" w14:textId="32FC98D1"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Wnioski oceniane są</w:t>
      </w:r>
      <w:r w:rsidR="0076371C">
        <w:rPr>
          <w:rFonts w:ascii="Times New Roman" w:hAnsi="Times New Roman"/>
          <w:noProof/>
          <w:sz w:val="24"/>
        </w:rPr>
        <w:t xml:space="preserve"> w opa</w:t>
      </w:r>
      <w:r>
        <w:rPr>
          <w:rFonts w:ascii="Times New Roman" w:hAnsi="Times New Roman"/>
          <w:noProof/>
          <w:sz w:val="24"/>
        </w:rPr>
        <w:t>rciu</w:t>
      </w:r>
      <w:r w:rsidR="0076371C">
        <w:rPr>
          <w:rFonts w:ascii="Times New Roman" w:hAnsi="Times New Roman"/>
          <w:noProof/>
          <w:sz w:val="24"/>
        </w:rPr>
        <w:t xml:space="preserve"> o pię</w:t>
      </w:r>
      <w:r>
        <w:rPr>
          <w:rFonts w:ascii="Times New Roman" w:hAnsi="Times New Roman"/>
          <w:noProof/>
          <w:sz w:val="24"/>
        </w:rPr>
        <w:t>ć kryteriów: (i) unikanie emisji gazów cieplarnianych, (ii) stopień innowacyjności; (iii) stopień zaawansowania na poziomie technicznym, finansowym</w:t>
      </w:r>
      <w:r w:rsidR="0076371C">
        <w:rPr>
          <w:rFonts w:ascii="Times New Roman" w:hAnsi="Times New Roman"/>
          <w:noProof/>
          <w:sz w:val="24"/>
        </w:rPr>
        <w:t xml:space="preserve"> i ope</w:t>
      </w:r>
      <w:r>
        <w:rPr>
          <w:rFonts w:ascii="Times New Roman" w:hAnsi="Times New Roman"/>
          <w:noProof/>
          <w:sz w:val="24"/>
        </w:rPr>
        <w:t>racyjnym; (iv) potencjał skalowalności; oraz (v) skuteczność</w:t>
      </w:r>
      <w:r w:rsidR="0076371C">
        <w:rPr>
          <w:rFonts w:ascii="Times New Roman" w:hAnsi="Times New Roman"/>
          <w:noProof/>
          <w:sz w:val="24"/>
        </w:rPr>
        <w:t xml:space="preserve"> w zak</w:t>
      </w:r>
      <w:r>
        <w:rPr>
          <w:rFonts w:ascii="Times New Roman" w:hAnsi="Times New Roman"/>
          <w:noProof/>
          <w:sz w:val="24"/>
        </w:rPr>
        <w:t>resie kosztów pod względem unikania emisji gazów cieplarnianych.</w:t>
      </w:r>
      <w:r>
        <w:rPr>
          <w:rFonts w:ascii="Times New Roman" w:hAnsi="Times New Roman"/>
          <w:noProof/>
        </w:rPr>
        <w:t xml:space="preserve"> </w:t>
      </w:r>
      <w:r>
        <w:rPr>
          <w:rFonts w:ascii="Times New Roman" w:hAnsi="Times New Roman"/>
          <w:noProof/>
          <w:sz w:val="24"/>
        </w:rPr>
        <w:t>Fundusz innowacyjny wspiera wysoce innowacyjne projekty, które ułatwiają kompleksową transformację ekosystemów przemysłowych</w:t>
      </w:r>
      <w:r w:rsidR="0076371C">
        <w:rPr>
          <w:rFonts w:ascii="Times New Roman" w:hAnsi="Times New Roman"/>
          <w:noProof/>
          <w:sz w:val="24"/>
        </w:rPr>
        <w:t xml:space="preserve"> w kie</w:t>
      </w:r>
      <w:r>
        <w:rPr>
          <w:rFonts w:ascii="Times New Roman" w:hAnsi="Times New Roman"/>
          <w:noProof/>
          <w:sz w:val="24"/>
        </w:rPr>
        <w:t>runku neutralności klimatycznej. Aby projekty zostały wzięte pod uwagę przy przyznawaniu finansowania, muszą one oferować więcej niż stopniowe innowacje</w:t>
      </w:r>
      <w:r w:rsidR="0076371C">
        <w:rPr>
          <w:rFonts w:ascii="Times New Roman" w:hAnsi="Times New Roman"/>
          <w:noProof/>
          <w:sz w:val="24"/>
        </w:rPr>
        <w:t xml:space="preserve"> w por</w:t>
      </w:r>
      <w:r>
        <w:rPr>
          <w:rFonts w:ascii="Times New Roman" w:hAnsi="Times New Roman"/>
          <w:noProof/>
          <w:sz w:val="24"/>
        </w:rPr>
        <w:t>ównaniu</w:t>
      </w:r>
      <w:r w:rsidR="0076371C">
        <w:rPr>
          <w:rFonts w:ascii="Times New Roman" w:hAnsi="Times New Roman"/>
          <w:noProof/>
          <w:sz w:val="24"/>
        </w:rPr>
        <w:t xml:space="preserve"> z naj</w:t>
      </w:r>
      <w:r>
        <w:rPr>
          <w:rFonts w:ascii="Times New Roman" w:hAnsi="Times New Roman"/>
          <w:noProof/>
          <w:sz w:val="24"/>
        </w:rPr>
        <w:t>nowocześniejszymi rozwiązaniami w UE. Zazwyczaj wybrane projekty są oceniane jako stanowiące bardzo silne albo przełomowe innowacje. Projekty te wykazują również wysoki stopień zaawansowania technologicznego</w:t>
      </w:r>
      <w:r w:rsidR="0076371C">
        <w:rPr>
          <w:rFonts w:ascii="Times New Roman" w:hAnsi="Times New Roman"/>
          <w:noProof/>
          <w:sz w:val="24"/>
        </w:rPr>
        <w:t xml:space="preserve"> i zna</w:t>
      </w:r>
      <w:r>
        <w:rPr>
          <w:rFonts w:ascii="Times New Roman" w:hAnsi="Times New Roman"/>
          <w:noProof/>
          <w:sz w:val="24"/>
        </w:rPr>
        <w:t>czny potencjał skalowalności, tj. zarówno: (i) umożliwiają osiągnięcie dalszej redukcji emisji gazów cieplarnianych dzięki transferowi technologii lub zastosowaniu jej</w:t>
      </w:r>
      <w:r w:rsidR="0076371C">
        <w:rPr>
          <w:rFonts w:ascii="Times New Roman" w:hAnsi="Times New Roman"/>
          <w:noProof/>
          <w:sz w:val="24"/>
        </w:rPr>
        <w:t xml:space="preserve"> w inn</w:t>
      </w:r>
      <w:r>
        <w:rPr>
          <w:rFonts w:ascii="Times New Roman" w:hAnsi="Times New Roman"/>
          <w:noProof/>
          <w:sz w:val="24"/>
        </w:rPr>
        <w:t>ych lokalizacjach</w:t>
      </w:r>
      <w:r w:rsidR="0076371C">
        <w:rPr>
          <w:rFonts w:ascii="Times New Roman" w:hAnsi="Times New Roman"/>
          <w:noProof/>
          <w:sz w:val="24"/>
        </w:rPr>
        <w:t xml:space="preserve"> i sek</w:t>
      </w:r>
      <w:r>
        <w:rPr>
          <w:rFonts w:ascii="Times New Roman" w:hAnsi="Times New Roman"/>
          <w:noProof/>
          <w:sz w:val="24"/>
        </w:rPr>
        <w:t>torach; oraz (ii) wiążą się ze współpracą różnych podmiotów</w:t>
      </w:r>
      <w:r w:rsidR="0076371C">
        <w:rPr>
          <w:rFonts w:ascii="Times New Roman" w:hAnsi="Times New Roman"/>
          <w:noProof/>
          <w:sz w:val="24"/>
        </w:rPr>
        <w:t xml:space="preserve"> w gos</w:t>
      </w:r>
      <w:r>
        <w:rPr>
          <w:rFonts w:ascii="Times New Roman" w:hAnsi="Times New Roman"/>
          <w:noProof/>
          <w:sz w:val="24"/>
        </w:rPr>
        <w:t>podarce regionalnej</w:t>
      </w:r>
      <w:r w:rsidR="0076371C">
        <w:rPr>
          <w:rFonts w:ascii="Times New Roman" w:hAnsi="Times New Roman"/>
          <w:noProof/>
          <w:sz w:val="24"/>
        </w:rPr>
        <w:t xml:space="preserve"> i eur</w:t>
      </w:r>
      <w:r>
        <w:rPr>
          <w:rFonts w:ascii="Times New Roman" w:hAnsi="Times New Roman"/>
          <w:noProof/>
          <w:sz w:val="24"/>
        </w:rPr>
        <w:t>opejskiej. Fundusz innowacyjny wspiera zatem wysoce innowacyjne projekty, które ułatwią kompleksową transformację ekosystemów przemysłowych</w:t>
      </w:r>
      <w:r w:rsidR="0076371C">
        <w:rPr>
          <w:rFonts w:ascii="Times New Roman" w:hAnsi="Times New Roman"/>
          <w:noProof/>
          <w:sz w:val="24"/>
        </w:rPr>
        <w:t xml:space="preserve"> w kie</w:t>
      </w:r>
      <w:r>
        <w:rPr>
          <w:rFonts w:ascii="Times New Roman" w:hAnsi="Times New Roman"/>
          <w:noProof/>
          <w:sz w:val="24"/>
        </w:rPr>
        <w:t>runku neutralności klimatycznej.</w:t>
      </w:r>
    </w:p>
    <w:p w14:paraId="4C07A923" w14:textId="12CE4F9A"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Fundusz innowacyjny zapewnia również, za pośrednictwem swojego programu pomocy</w:t>
      </w:r>
      <w:r w:rsidR="0076371C">
        <w:rPr>
          <w:rFonts w:ascii="Times New Roman" w:hAnsi="Times New Roman"/>
          <w:noProof/>
          <w:sz w:val="24"/>
        </w:rPr>
        <w:t xml:space="preserve"> w zak</w:t>
      </w:r>
      <w:r>
        <w:rPr>
          <w:rFonts w:ascii="Times New Roman" w:hAnsi="Times New Roman"/>
          <w:noProof/>
          <w:sz w:val="24"/>
        </w:rPr>
        <w:t>resie opracowywania projektu, dostosowane do potrzeb wsparcie –</w:t>
      </w:r>
      <w:r w:rsidR="0076371C">
        <w:rPr>
          <w:rFonts w:ascii="Times New Roman" w:hAnsi="Times New Roman"/>
          <w:noProof/>
          <w:sz w:val="24"/>
        </w:rPr>
        <w:t xml:space="preserve"> w for</w:t>
      </w:r>
      <w:r>
        <w:rPr>
          <w:rFonts w:ascii="Times New Roman" w:hAnsi="Times New Roman"/>
          <w:noProof/>
          <w:sz w:val="24"/>
        </w:rPr>
        <w:t>mie dotacji</w:t>
      </w:r>
      <w:r w:rsidR="0076371C">
        <w:rPr>
          <w:rFonts w:ascii="Times New Roman" w:hAnsi="Times New Roman"/>
          <w:noProof/>
          <w:sz w:val="24"/>
        </w:rPr>
        <w:t xml:space="preserve"> </w:t>
      </w:r>
      <w:r w:rsidR="0076371C">
        <w:rPr>
          <w:rFonts w:ascii="Times New Roman" w:hAnsi="Times New Roman"/>
          <w:noProof/>
          <w:sz w:val="24"/>
        </w:rPr>
        <w:lastRenderedPageBreak/>
        <w:t>i pom</w:t>
      </w:r>
      <w:r>
        <w:rPr>
          <w:rFonts w:ascii="Times New Roman" w:hAnsi="Times New Roman"/>
          <w:noProof/>
          <w:sz w:val="24"/>
        </w:rPr>
        <w:t>ocy technicznej – obiecujących projektów, których nie można było wybrać</w:t>
      </w:r>
      <w:r w:rsidR="0076371C">
        <w:rPr>
          <w:rFonts w:ascii="Times New Roman" w:hAnsi="Times New Roman"/>
          <w:noProof/>
          <w:sz w:val="24"/>
        </w:rPr>
        <w:t xml:space="preserve"> w ram</w:t>
      </w:r>
      <w:r>
        <w:rPr>
          <w:rFonts w:ascii="Times New Roman" w:hAnsi="Times New Roman"/>
          <w:noProof/>
          <w:sz w:val="24"/>
        </w:rPr>
        <w:t>ach zaproszenia ze względu na niewystarczający stopień zaawansowania. Celem tej pomocy jest podniesienie poziomu zaawansowania tych odrzuconych projektów</w:t>
      </w:r>
      <w:r w:rsidR="0076371C">
        <w:rPr>
          <w:rFonts w:ascii="Times New Roman" w:hAnsi="Times New Roman"/>
          <w:noProof/>
          <w:sz w:val="24"/>
        </w:rPr>
        <w:t xml:space="preserve"> i zwi</w:t>
      </w:r>
      <w:r>
        <w:rPr>
          <w:rFonts w:ascii="Times New Roman" w:hAnsi="Times New Roman"/>
          <w:noProof/>
          <w:sz w:val="24"/>
        </w:rPr>
        <w:t>ększenie ich szans powodzenia</w:t>
      </w:r>
      <w:r w:rsidR="0076371C">
        <w:rPr>
          <w:rFonts w:ascii="Times New Roman" w:hAnsi="Times New Roman"/>
          <w:noProof/>
          <w:sz w:val="24"/>
        </w:rPr>
        <w:t xml:space="preserve"> w kol</w:t>
      </w:r>
      <w:r>
        <w:rPr>
          <w:rFonts w:ascii="Times New Roman" w:hAnsi="Times New Roman"/>
          <w:noProof/>
          <w:sz w:val="24"/>
        </w:rPr>
        <w:t>ejnych zaproszeniach do składania wniosków</w:t>
      </w:r>
      <w:r w:rsidR="0076371C">
        <w:rPr>
          <w:rFonts w:ascii="Times New Roman" w:hAnsi="Times New Roman"/>
          <w:noProof/>
          <w:sz w:val="24"/>
        </w:rPr>
        <w:t xml:space="preserve"> w ram</w:t>
      </w:r>
      <w:r>
        <w:rPr>
          <w:rFonts w:ascii="Times New Roman" w:hAnsi="Times New Roman"/>
          <w:noProof/>
          <w:sz w:val="24"/>
        </w:rPr>
        <w:t>ach funduszu innowacyjnego.</w:t>
      </w:r>
    </w:p>
    <w:p w14:paraId="5CF072E0" w14:textId="35395E5F"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Fundusz innowacyjny działa</w:t>
      </w:r>
      <w:r w:rsidR="0076371C">
        <w:rPr>
          <w:rFonts w:ascii="Times New Roman" w:hAnsi="Times New Roman"/>
          <w:noProof/>
          <w:sz w:val="24"/>
        </w:rPr>
        <w:t xml:space="preserve"> w dro</w:t>
      </w:r>
      <w:r>
        <w:rPr>
          <w:rFonts w:ascii="Times New Roman" w:hAnsi="Times New Roman"/>
          <w:noProof/>
          <w:sz w:val="24"/>
        </w:rPr>
        <w:t>dze skoordynowanych prac czterech głównych podmiotów. Wkład każdego</w:t>
      </w:r>
      <w:r w:rsidR="0076371C">
        <w:rPr>
          <w:rFonts w:ascii="Times New Roman" w:hAnsi="Times New Roman"/>
          <w:noProof/>
          <w:sz w:val="24"/>
        </w:rPr>
        <w:t xml:space="preserve"> z tyc</w:t>
      </w:r>
      <w:r>
        <w:rPr>
          <w:rFonts w:ascii="Times New Roman" w:hAnsi="Times New Roman"/>
          <w:noProof/>
          <w:sz w:val="24"/>
        </w:rPr>
        <w:t>h podmiotów jest omówiony</w:t>
      </w:r>
      <w:r w:rsidR="0076371C">
        <w:rPr>
          <w:rFonts w:ascii="Times New Roman" w:hAnsi="Times New Roman"/>
          <w:noProof/>
          <w:sz w:val="24"/>
        </w:rPr>
        <w:t xml:space="preserve"> w pun</w:t>
      </w:r>
      <w:r>
        <w:rPr>
          <w:rFonts w:ascii="Times New Roman" w:hAnsi="Times New Roman"/>
          <w:noProof/>
          <w:sz w:val="24"/>
        </w:rPr>
        <w:t>ktach poniżej.</w:t>
      </w:r>
    </w:p>
    <w:p w14:paraId="0F73E4BA" w14:textId="37ACFCE8" w:rsidR="0018295A" w:rsidRPr="008021A2" w:rsidRDefault="0018295A" w:rsidP="00282CBF">
      <w:pPr>
        <w:pStyle w:val="Tekstpodstawowy"/>
        <w:numPr>
          <w:ilvl w:val="0"/>
          <w:numId w:val="10"/>
        </w:numPr>
        <w:jc w:val="both"/>
        <w:rPr>
          <w:rFonts w:ascii="Times New Roman" w:hAnsi="Times New Roman" w:cs="Times New Roman"/>
          <w:noProof/>
          <w:sz w:val="24"/>
        </w:rPr>
      </w:pPr>
      <w:r>
        <w:rPr>
          <w:rFonts w:ascii="Times New Roman" w:hAnsi="Times New Roman"/>
          <w:noProof/>
          <w:sz w:val="24"/>
        </w:rPr>
        <w:t>Dyrekcja Generalna Komisji Europejskiej ds. Działań</w:t>
      </w:r>
      <w:r w:rsidR="0076371C">
        <w:rPr>
          <w:rFonts w:ascii="Times New Roman" w:hAnsi="Times New Roman"/>
          <w:noProof/>
          <w:sz w:val="24"/>
        </w:rPr>
        <w:t xml:space="preserve"> w dzi</w:t>
      </w:r>
      <w:r>
        <w:rPr>
          <w:rFonts w:ascii="Times New Roman" w:hAnsi="Times New Roman"/>
          <w:noProof/>
          <w:sz w:val="24"/>
        </w:rPr>
        <w:t>edzinie Klimatu (DG CLIMA) ponosi ogólną odpowiedzialność za wdrażanie funduszu innowacyjnego,</w:t>
      </w:r>
      <w:r w:rsidR="0076371C">
        <w:rPr>
          <w:rFonts w:ascii="Times New Roman" w:hAnsi="Times New Roman"/>
          <w:noProof/>
          <w:sz w:val="24"/>
        </w:rPr>
        <w:t xml:space="preserve"> w tym</w:t>
      </w:r>
      <w:r>
        <w:rPr>
          <w:rFonts w:ascii="Times New Roman" w:hAnsi="Times New Roman"/>
          <w:noProof/>
          <w:sz w:val="24"/>
        </w:rPr>
        <w:t xml:space="preserve"> za decyzje dotyczące kwoty pomocy finansowej, priorytetów polityki</w:t>
      </w:r>
      <w:r w:rsidR="0076371C">
        <w:rPr>
          <w:rFonts w:ascii="Times New Roman" w:hAnsi="Times New Roman"/>
          <w:noProof/>
          <w:sz w:val="24"/>
        </w:rPr>
        <w:t xml:space="preserve"> i ist</w:t>
      </w:r>
      <w:r>
        <w:rPr>
          <w:rFonts w:ascii="Times New Roman" w:hAnsi="Times New Roman"/>
          <w:noProof/>
          <w:sz w:val="24"/>
        </w:rPr>
        <w:t>otnych elementów każdego zaproszenia do składania wniosków. DG CLIMA ponosi również ogólną odpowiedzialność za przyjmowanie decyzji</w:t>
      </w:r>
      <w:r w:rsidR="0076371C">
        <w:rPr>
          <w:rFonts w:ascii="Times New Roman" w:hAnsi="Times New Roman"/>
          <w:noProof/>
          <w:sz w:val="24"/>
        </w:rPr>
        <w:t xml:space="preserve"> o prz</w:t>
      </w:r>
      <w:r>
        <w:rPr>
          <w:rFonts w:ascii="Times New Roman" w:hAnsi="Times New Roman"/>
          <w:noProof/>
          <w:sz w:val="24"/>
        </w:rPr>
        <w:t>yznaniu wsparcia.</w:t>
      </w:r>
    </w:p>
    <w:p w14:paraId="6C1A75E1" w14:textId="2C35FDD7" w:rsidR="0018295A" w:rsidRPr="008021A2" w:rsidRDefault="0018295A" w:rsidP="00282CBF">
      <w:pPr>
        <w:pStyle w:val="Tekstpodstawowy"/>
        <w:numPr>
          <w:ilvl w:val="0"/>
          <w:numId w:val="10"/>
        </w:numPr>
        <w:jc w:val="both"/>
        <w:rPr>
          <w:rFonts w:ascii="Times New Roman" w:hAnsi="Times New Roman" w:cs="Times New Roman"/>
          <w:noProof/>
          <w:sz w:val="24"/>
        </w:rPr>
      </w:pPr>
      <w:r>
        <w:rPr>
          <w:rFonts w:ascii="Times New Roman" w:hAnsi="Times New Roman"/>
          <w:noProof/>
          <w:sz w:val="24"/>
        </w:rPr>
        <w:t>Europejska Agencja Wykonawcza ds. Klimatu, Infrastruktury</w:t>
      </w:r>
      <w:r w:rsidR="0076371C">
        <w:rPr>
          <w:rFonts w:ascii="Times New Roman" w:hAnsi="Times New Roman"/>
          <w:noProof/>
          <w:sz w:val="24"/>
        </w:rPr>
        <w:t xml:space="preserve"> i Śro</w:t>
      </w:r>
      <w:r>
        <w:rPr>
          <w:rFonts w:ascii="Times New Roman" w:hAnsi="Times New Roman"/>
          <w:noProof/>
          <w:sz w:val="24"/>
        </w:rPr>
        <w:t>dowiska (CINEA) odpowiada za: (i) ogłaszanie zaproszeń do składania wniosków; (ii) ocenę wniosków; (iii) przygotowanie</w:t>
      </w:r>
      <w:r w:rsidR="0076371C">
        <w:rPr>
          <w:rFonts w:ascii="Times New Roman" w:hAnsi="Times New Roman"/>
          <w:noProof/>
          <w:sz w:val="24"/>
        </w:rPr>
        <w:t xml:space="preserve"> i sfo</w:t>
      </w:r>
      <w:r>
        <w:rPr>
          <w:rFonts w:ascii="Times New Roman" w:hAnsi="Times New Roman"/>
          <w:noProof/>
          <w:sz w:val="24"/>
        </w:rPr>
        <w:t>rmalizowanie umów</w:t>
      </w:r>
      <w:r w:rsidR="0076371C">
        <w:rPr>
          <w:rFonts w:ascii="Times New Roman" w:hAnsi="Times New Roman"/>
          <w:noProof/>
          <w:sz w:val="24"/>
        </w:rPr>
        <w:t xml:space="preserve"> o udz</w:t>
      </w:r>
      <w:r>
        <w:rPr>
          <w:rFonts w:ascii="Times New Roman" w:hAnsi="Times New Roman"/>
          <w:noProof/>
          <w:sz w:val="24"/>
        </w:rPr>
        <w:t>ielenie dotacji; oraz (iv) monitorowanie, nadzór</w:t>
      </w:r>
      <w:r w:rsidR="0076371C">
        <w:rPr>
          <w:rFonts w:ascii="Times New Roman" w:hAnsi="Times New Roman"/>
          <w:noProof/>
          <w:sz w:val="24"/>
        </w:rPr>
        <w:t xml:space="preserve"> i pła</w:t>
      </w:r>
      <w:r>
        <w:rPr>
          <w:rFonts w:ascii="Times New Roman" w:hAnsi="Times New Roman"/>
          <w:noProof/>
          <w:sz w:val="24"/>
        </w:rPr>
        <w:t>tności</w:t>
      </w:r>
      <w:r w:rsidR="0076371C">
        <w:rPr>
          <w:rFonts w:ascii="Times New Roman" w:hAnsi="Times New Roman"/>
          <w:noProof/>
          <w:sz w:val="24"/>
        </w:rPr>
        <w:t xml:space="preserve"> w tra</w:t>
      </w:r>
      <w:r>
        <w:rPr>
          <w:rFonts w:ascii="Times New Roman" w:hAnsi="Times New Roman"/>
          <w:noProof/>
          <w:sz w:val="24"/>
        </w:rPr>
        <w:t>kcie realizacji projektów.</w:t>
      </w:r>
    </w:p>
    <w:p w14:paraId="4E292F6D" w14:textId="21184C63" w:rsidR="0018295A" w:rsidRPr="008021A2" w:rsidRDefault="0018295A" w:rsidP="00282CBF">
      <w:pPr>
        <w:pStyle w:val="Tekstpodstawowy"/>
        <w:numPr>
          <w:ilvl w:val="0"/>
          <w:numId w:val="10"/>
        </w:numPr>
        <w:jc w:val="both"/>
        <w:rPr>
          <w:rFonts w:ascii="Times New Roman" w:hAnsi="Times New Roman" w:cs="Times New Roman"/>
          <w:noProof/>
          <w:sz w:val="24"/>
        </w:rPr>
      </w:pPr>
      <w:r>
        <w:rPr>
          <w:rFonts w:ascii="Times New Roman" w:hAnsi="Times New Roman"/>
          <w:noProof/>
          <w:sz w:val="24"/>
        </w:rPr>
        <w:t>Europejski Bank Inwestycyjny (EBI) odpowiada za udzielanie wybranym projektom pomocy</w:t>
      </w:r>
      <w:r w:rsidR="0076371C">
        <w:rPr>
          <w:rFonts w:ascii="Times New Roman" w:hAnsi="Times New Roman"/>
          <w:noProof/>
          <w:sz w:val="24"/>
        </w:rPr>
        <w:t xml:space="preserve"> w zak</w:t>
      </w:r>
      <w:r>
        <w:rPr>
          <w:rFonts w:ascii="Times New Roman" w:hAnsi="Times New Roman"/>
          <w:noProof/>
          <w:sz w:val="24"/>
        </w:rPr>
        <w:t>resie opracowywania projektu.</w:t>
      </w:r>
    </w:p>
    <w:p w14:paraId="1D0D37A6" w14:textId="6601DA9C" w:rsidR="0018295A" w:rsidRPr="008021A2" w:rsidRDefault="0018295A" w:rsidP="00282CBF">
      <w:pPr>
        <w:pStyle w:val="Tekstpodstawowy"/>
        <w:numPr>
          <w:ilvl w:val="0"/>
          <w:numId w:val="10"/>
        </w:numPr>
        <w:jc w:val="both"/>
        <w:rPr>
          <w:rFonts w:ascii="Times New Roman" w:hAnsi="Times New Roman" w:cs="Times New Roman"/>
          <w:noProof/>
          <w:sz w:val="24"/>
        </w:rPr>
      </w:pPr>
      <w:r>
        <w:rPr>
          <w:rFonts w:ascii="Times New Roman" w:hAnsi="Times New Roman"/>
          <w:noProof/>
          <w:sz w:val="24"/>
        </w:rPr>
        <w:t>Państwa członkowskie UE odgrywają zasadniczą rolę</w:t>
      </w:r>
      <w:r w:rsidR="0076371C">
        <w:rPr>
          <w:rFonts w:ascii="Times New Roman" w:hAnsi="Times New Roman"/>
          <w:noProof/>
          <w:sz w:val="24"/>
        </w:rPr>
        <w:t xml:space="preserve"> w kon</w:t>
      </w:r>
      <w:r>
        <w:rPr>
          <w:rFonts w:ascii="Times New Roman" w:hAnsi="Times New Roman"/>
          <w:noProof/>
          <w:sz w:val="24"/>
        </w:rPr>
        <w:t>taktach</w:t>
      </w:r>
      <w:r w:rsidR="0076371C">
        <w:rPr>
          <w:rFonts w:ascii="Times New Roman" w:hAnsi="Times New Roman"/>
          <w:noProof/>
          <w:sz w:val="24"/>
        </w:rPr>
        <w:t xml:space="preserve"> z pot</w:t>
      </w:r>
      <w:r>
        <w:rPr>
          <w:rFonts w:ascii="Times New Roman" w:hAnsi="Times New Roman"/>
          <w:noProof/>
          <w:sz w:val="24"/>
        </w:rPr>
        <w:t>encjalnymi wnioskodawcami na swoim terytorium i we wspieraniu ich zarówno</w:t>
      </w:r>
      <w:r w:rsidR="0076371C">
        <w:rPr>
          <w:rFonts w:ascii="Times New Roman" w:hAnsi="Times New Roman"/>
          <w:noProof/>
          <w:sz w:val="24"/>
        </w:rPr>
        <w:t xml:space="preserve"> w skł</w:t>
      </w:r>
      <w:r>
        <w:rPr>
          <w:rFonts w:ascii="Times New Roman" w:hAnsi="Times New Roman"/>
          <w:noProof/>
          <w:sz w:val="24"/>
        </w:rPr>
        <w:t>adaniu wniosków dotyczących projektów (np. przez systemy wsparcia na szczeblu państw członkowskich), jak</w:t>
      </w:r>
      <w:r w:rsidR="0076371C">
        <w:rPr>
          <w:rFonts w:ascii="Times New Roman" w:hAnsi="Times New Roman"/>
          <w:noProof/>
          <w:sz w:val="24"/>
        </w:rPr>
        <w:t xml:space="preserve"> i w rea</w:t>
      </w:r>
      <w:r>
        <w:rPr>
          <w:rFonts w:ascii="Times New Roman" w:hAnsi="Times New Roman"/>
          <w:noProof/>
          <w:sz w:val="24"/>
        </w:rPr>
        <w:t>lizacji projektów (np. przez ułatwianie wydawania pozwoleń). Komisja Europejska konsultuje się</w:t>
      </w:r>
      <w:r w:rsidR="0076371C">
        <w:rPr>
          <w:rFonts w:ascii="Times New Roman" w:hAnsi="Times New Roman"/>
          <w:noProof/>
          <w:sz w:val="24"/>
        </w:rPr>
        <w:t xml:space="preserve"> z pań</w:t>
      </w:r>
      <w:r>
        <w:rPr>
          <w:rFonts w:ascii="Times New Roman" w:hAnsi="Times New Roman"/>
          <w:noProof/>
          <w:sz w:val="24"/>
        </w:rPr>
        <w:t>stwami członkowskimi zarówno</w:t>
      </w:r>
      <w:r w:rsidR="0076371C">
        <w:rPr>
          <w:rFonts w:ascii="Times New Roman" w:hAnsi="Times New Roman"/>
          <w:noProof/>
          <w:sz w:val="24"/>
        </w:rPr>
        <w:t xml:space="preserve"> w zak</w:t>
      </w:r>
      <w:r>
        <w:rPr>
          <w:rFonts w:ascii="Times New Roman" w:hAnsi="Times New Roman"/>
          <w:noProof/>
          <w:sz w:val="24"/>
        </w:rPr>
        <w:t>resie: (i) decyzji</w:t>
      </w:r>
      <w:r w:rsidR="0076371C">
        <w:rPr>
          <w:rFonts w:ascii="Times New Roman" w:hAnsi="Times New Roman"/>
          <w:noProof/>
          <w:sz w:val="24"/>
        </w:rPr>
        <w:t xml:space="preserve"> w spr</w:t>
      </w:r>
      <w:r>
        <w:rPr>
          <w:rFonts w:ascii="Times New Roman" w:hAnsi="Times New Roman"/>
          <w:noProof/>
          <w:sz w:val="24"/>
        </w:rPr>
        <w:t>awie finansowania określających okresowe zaproszenia do składania wniosków</w:t>
      </w:r>
      <w:r w:rsidR="0076371C">
        <w:rPr>
          <w:rFonts w:ascii="Times New Roman" w:hAnsi="Times New Roman"/>
          <w:noProof/>
          <w:sz w:val="24"/>
        </w:rPr>
        <w:t xml:space="preserve"> w ram</w:t>
      </w:r>
      <w:r>
        <w:rPr>
          <w:rFonts w:ascii="Times New Roman" w:hAnsi="Times New Roman"/>
          <w:noProof/>
          <w:sz w:val="24"/>
        </w:rPr>
        <w:t>ach funduszu innowacyjnego; jak i (ii) wykazu projektów wybranych do przyznania wsparcia.</w:t>
      </w:r>
    </w:p>
    <w:p w14:paraId="1F1CA6FC" w14:textId="77777777" w:rsidR="0018295A" w:rsidRPr="008021A2" w:rsidRDefault="0018295A" w:rsidP="0018295A">
      <w:pPr>
        <w:pStyle w:val="Tekstpodstawowy"/>
        <w:spacing w:before="240"/>
        <w:jc w:val="both"/>
        <w:rPr>
          <w:rFonts w:ascii="Times New Roman" w:hAnsi="Times New Roman" w:cs="Times New Roman"/>
          <w:caps/>
          <w:noProof/>
          <w:color w:val="00B0F0"/>
          <w:spacing w:val="15"/>
          <w:sz w:val="24"/>
        </w:rPr>
      </w:pPr>
    </w:p>
    <w:p w14:paraId="293ED68F" w14:textId="6DFFA046" w:rsidR="0018295A" w:rsidRPr="008021A2" w:rsidRDefault="0018295A" w:rsidP="00282CBF">
      <w:pPr>
        <w:pStyle w:val="Akapitzlist"/>
        <w:numPr>
          <w:ilvl w:val="1"/>
          <w:numId w:val="5"/>
        </w:numPr>
        <w:jc w:val="both"/>
        <w:rPr>
          <w:rFonts w:ascii="Times New Roman" w:hAnsi="Times New Roman" w:cs="Times New Roman"/>
          <w:b/>
          <w:noProof/>
          <w:sz w:val="24"/>
        </w:rPr>
      </w:pPr>
      <w:r>
        <w:rPr>
          <w:rFonts w:ascii="Times New Roman" w:hAnsi="Times New Roman"/>
          <w:b/>
          <w:noProof/>
          <w:sz w:val="24"/>
        </w:rPr>
        <w:t>Wkład funduszu innowacyjnego</w:t>
      </w:r>
      <w:r w:rsidR="0076371C">
        <w:rPr>
          <w:rFonts w:ascii="Times New Roman" w:hAnsi="Times New Roman"/>
          <w:b/>
          <w:noProof/>
          <w:sz w:val="24"/>
        </w:rPr>
        <w:t xml:space="preserve"> w osi</w:t>
      </w:r>
      <w:r>
        <w:rPr>
          <w:rFonts w:ascii="Times New Roman" w:hAnsi="Times New Roman"/>
          <w:b/>
          <w:noProof/>
          <w:sz w:val="24"/>
        </w:rPr>
        <w:t>ąganie celów polityki UE</w:t>
      </w:r>
    </w:p>
    <w:p w14:paraId="6AB9EA96" w14:textId="3534F0FD" w:rsidR="0018295A" w:rsidRPr="008021A2" w:rsidRDefault="0018295A" w:rsidP="0018295A">
      <w:pPr>
        <w:pStyle w:val="Tekstpodstawowy"/>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Poprzez cel, jakim jest wspieranie wdrażania europejskich technologii neutralnych emisyjnie</w:t>
      </w:r>
      <w:r w:rsidR="0076371C">
        <w:rPr>
          <w:rFonts w:ascii="Times New Roman" w:hAnsi="Times New Roman"/>
          <w:noProof/>
          <w:color w:val="000000" w:themeColor="text1"/>
          <w:sz w:val="24"/>
        </w:rPr>
        <w:t xml:space="preserve"> i inn</w:t>
      </w:r>
      <w:r>
        <w:rPr>
          <w:rFonts w:ascii="Times New Roman" w:hAnsi="Times New Roman"/>
          <w:noProof/>
          <w:color w:val="000000" w:themeColor="text1"/>
          <w:sz w:val="24"/>
        </w:rPr>
        <w:t>owacyjnych, fundusz innowacyjny przyczynia się do osiągnięcia szeregu szczegółowych celów polityki</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Europejskiego Zielonego Ładu</w:t>
      </w:r>
      <w:r w:rsidR="0076371C">
        <w:rPr>
          <w:rFonts w:ascii="Times New Roman" w:hAnsi="Times New Roman"/>
          <w:noProof/>
          <w:color w:val="000000" w:themeColor="text1"/>
          <w:sz w:val="24"/>
        </w:rPr>
        <w:t>. W pon</w:t>
      </w:r>
      <w:r>
        <w:rPr>
          <w:rFonts w:ascii="Times New Roman" w:hAnsi="Times New Roman"/>
          <w:noProof/>
          <w:color w:val="000000" w:themeColor="text1"/>
          <w:sz w:val="24"/>
        </w:rPr>
        <w:t>iższych punktach przedstawiono siedem głównych celów, do których osiągnięcia przyczynia się fundusz innowacyjny.</w:t>
      </w:r>
    </w:p>
    <w:p w14:paraId="796976FF" w14:textId="7C06D342" w:rsidR="0018295A" w:rsidRPr="008021A2" w:rsidRDefault="0018295A" w:rsidP="00282CBF">
      <w:pPr>
        <w:pStyle w:val="Tekstpodstawowy"/>
        <w:numPr>
          <w:ilvl w:val="0"/>
          <w:numId w:val="15"/>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Przyczynia się on do osiągnięcia celów Europejskiego prawa</w:t>
      </w:r>
      <w:r w:rsidR="0076371C">
        <w:rPr>
          <w:rFonts w:ascii="Times New Roman" w:hAnsi="Times New Roman"/>
          <w:noProof/>
          <w:color w:val="000000" w:themeColor="text1"/>
          <w:sz w:val="24"/>
        </w:rPr>
        <w:t xml:space="preserve"> o kli</w:t>
      </w:r>
      <w:r>
        <w:rPr>
          <w:rFonts w:ascii="Times New Roman" w:hAnsi="Times New Roman"/>
          <w:noProof/>
          <w:color w:val="000000" w:themeColor="text1"/>
          <w:sz w:val="24"/>
        </w:rPr>
        <w:t>macie</w:t>
      </w:r>
      <w:r>
        <w:rPr>
          <w:rStyle w:val="Odwoanieprzypisudolnego"/>
          <w:rFonts w:ascii="Times New Roman" w:hAnsi="Times New Roman" w:cs="Times New Roman"/>
          <w:noProof/>
          <w:color w:val="000000" w:themeColor="text1"/>
          <w:sz w:val="24"/>
        </w:rPr>
        <w:footnoteReference w:id="10"/>
      </w:r>
      <w:r>
        <w:rPr>
          <w:rFonts w:ascii="Times New Roman" w:hAnsi="Times New Roman"/>
          <w:noProof/>
          <w:color w:val="000000" w:themeColor="text1"/>
          <w:sz w:val="24"/>
        </w:rPr>
        <w:t>, ukierunkowanych na redukcję emisji gazów cieplarnianych</w:t>
      </w:r>
      <w:r w:rsidR="0076371C">
        <w:rPr>
          <w:rFonts w:ascii="Times New Roman" w:hAnsi="Times New Roman"/>
          <w:noProof/>
          <w:color w:val="000000" w:themeColor="text1"/>
          <w:sz w:val="24"/>
        </w:rPr>
        <w:t xml:space="preserve"> o 5</w:t>
      </w:r>
      <w:r w:rsidRPr="002001C0">
        <w:rPr>
          <w:rFonts w:ascii="Times New Roman" w:hAnsi="Times New Roman"/>
          <w:noProof/>
          <w:color w:val="000000" w:themeColor="text1"/>
          <w:sz w:val="24"/>
        </w:rPr>
        <w:t>5</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Pr>
          <w:rFonts w:ascii="Times New Roman" w:hAnsi="Times New Roman"/>
          <w:noProof/>
          <w:color w:val="000000" w:themeColor="text1"/>
          <w:sz w:val="24"/>
        </w:rPr>
        <w:t xml:space="preserve">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w:t>
      </w:r>
    </w:p>
    <w:p w14:paraId="5E07142A" w14:textId="60478C52" w:rsidR="0018295A" w:rsidRPr="008021A2" w:rsidRDefault="0018295A" w:rsidP="00282CBF">
      <w:pPr>
        <w:pStyle w:val="Tekstpodstawowy"/>
        <w:numPr>
          <w:ilvl w:val="0"/>
          <w:numId w:val="12"/>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lastRenderedPageBreak/>
        <w:t>Przyczynia się on do osiągnięcia celu, jakim jest rozwój wykorzystania wodoru odnawialnego</w:t>
      </w:r>
      <w:r w:rsidR="0076371C">
        <w:rPr>
          <w:rFonts w:ascii="Times New Roman" w:hAnsi="Times New Roman"/>
          <w:noProof/>
          <w:color w:val="000000" w:themeColor="text1"/>
          <w:sz w:val="24"/>
        </w:rPr>
        <w:t xml:space="preserve"> w Eur</w:t>
      </w:r>
      <w:r>
        <w:rPr>
          <w:rFonts w:ascii="Times New Roman" w:hAnsi="Times New Roman"/>
          <w:noProof/>
          <w:color w:val="000000" w:themeColor="text1"/>
          <w:sz w:val="24"/>
        </w:rPr>
        <w:t>opie, określon</w:t>
      </w:r>
      <w:r w:rsidR="00A1639C">
        <w:rPr>
          <w:rFonts w:ascii="Times New Roman" w:hAnsi="Times New Roman"/>
          <w:noProof/>
          <w:color w:val="000000" w:themeColor="text1"/>
          <w:sz w:val="24"/>
        </w:rPr>
        <w:t>ego</w:t>
      </w:r>
      <w:r w:rsidR="0076371C">
        <w:rPr>
          <w:rFonts w:ascii="Times New Roman" w:hAnsi="Times New Roman"/>
          <w:noProof/>
          <w:color w:val="000000" w:themeColor="text1"/>
          <w:sz w:val="24"/>
        </w:rPr>
        <w:t xml:space="preserve"> w kil</w:t>
      </w:r>
      <w:r>
        <w:rPr>
          <w:rFonts w:ascii="Times New Roman" w:hAnsi="Times New Roman"/>
          <w:noProof/>
          <w:color w:val="000000" w:themeColor="text1"/>
          <w:sz w:val="24"/>
        </w:rPr>
        <w:t>ku inicjatywach, takich jak: (i) inicjatywa REPowerEU</w:t>
      </w:r>
      <w:r>
        <w:rPr>
          <w:rStyle w:val="Odwoanieprzypisudolnego"/>
          <w:rFonts w:ascii="Times New Roman" w:hAnsi="Times New Roman" w:cs="Times New Roman"/>
          <w:noProof/>
          <w:color w:val="000000" w:themeColor="text1"/>
          <w:sz w:val="24"/>
        </w:rPr>
        <w:footnoteReference w:id="11"/>
      </w:r>
      <w:r w:rsidR="00A1639C">
        <w:rPr>
          <w:rFonts w:ascii="Times New Roman" w:hAnsi="Times New Roman"/>
          <w:noProof/>
          <w:color w:val="000000" w:themeColor="text1"/>
          <w:sz w:val="24"/>
        </w:rPr>
        <w:t>, która zakłada</w:t>
      </w:r>
      <w:r>
        <w:rPr>
          <w:rFonts w:ascii="Times New Roman" w:hAnsi="Times New Roman"/>
          <w:noProof/>
          <w:color w:val="000000" w:themeColor="text1"/>
          <w:sz w:val="24"/>
        </w:rPr>
        <w:t xml:space="preserve"> udostępnienie</w:t>
      </w:r>
      <w:r w:rsidR="0076371C">
        <w:rPr>
          <w:rFonts w:ascii="Times New Roman" w:hAnsi="Times New Roman"/>
          <w:noProof/>
          <w:color w:val="000000" w:themeColor="text1"/>
          <w:sz w:val="24"/>
        </w:rPr>
        <w:t xml:space="preserve"> w Eur</w:t>
      </w:r>
      <w:r>
        <w:rPr>
          <w:rFonts w:ascii="Times New Roman" w:hAnsi="Times New Roman"/>
          <w:noProof/>
          <w:color w:val="000000" w:themeColor="text1"/>
          <w:sz w:val="24"/>
        </w:rPr>
        <w:t xml:space="preserve">opie 10 mln ton wodoru odnawialnego </w:t>
      </w:r>
      <w:r w:rsidR="00A1639C">
        <w:rPr>
          <w:rFonts w:ascii="Times New Roman" w:hAnsi="Times New Roman"/>
          <w:noProof/>
          <w:color w:val="000000" w:themeColor="text1"/>
          <w:sz w:val="24"/>
        </w:rPr>
        <w:t>pochodzących</w:t>
      </w:r>
      <w:r w:rsidR="0076371C">
        <w:rPr>
          <w:rFonts w:ascii="Times New Roman" w:hAnsi="Times New Roman"/>
          <w:noProof/>
          <w:color w:val="000000" w:themeColor="text1"/>
          <w:sz w:val="24"/>
        </w:rPr>
        <w:t xml:space="preserve"> z pro</w:t>
      </w:r>
      <w:r>
        <w:rPr>
          <w:rFonts w:ascii="Times New Roman" w:hAnsi="Times New Roman"/>
          <w:noProof/>
          <w:color w:val="000000" w:themeColor="text1"/>
          <w:sz w:val="24"/>
        </w:rPr>
        <w:t>dukcji krajowej</w:t>
      </w:r>
      <w:r w:rsidR="0076371C">
        <w:rPr>
          <w:rFonts w:ascii="Times New Roman" w:hAnsi="Times New Roman"/>
          <w:noProof/>
          <w:color w:val="000000" w:themeColor="text1"/>
          <w:sz w:val="24"/>
        </w:rPr>
        <w:t xml:space="preserve"> i kol</w:t>
      </w:r>
      <w:r>
        <w:rPr>
          <w:rFonts w:ascii="Times New Roman" w:hAnsi="Times New Roman"/>
          <w:noProof/>
          <w:color w:val="000000" w:themeColor="text1"/>
          <w:sz w:val="24"/>
        </w:rPr>
        <w:t>ejnych 10 mln ton</w:t>
      </w:r>
      <w:r w:rsidR="0076371C">
        <w:rPr>
          <w:rFonts w:ascii="Times New Roman" w:hAnsi="Times New Roman"/>
          <w:noProof/>
          <w:color w:val="000000" w:themeColor="text1"/>
          <w:sz w:val="24"/>
        </w:rPr>
        <w:t xml:space="preserve"> z prz</w:t>
      </w:r>
      <w:r>
        <w:rPr>
          <w:rFonts w:ascii="Times New Roman" w:hAnsi="Times New Roman"/>
          <w:noProof/>
          <w:color w:val="000000" w:themeColor="text1"/>
          <w:sz w:val="24"/>
        </w:rPr>
        <w:t xml:space="preserve">ywozu międzynarodowego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(ii) cel unijnej strategii</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wodoru</w:t>
      </w:r>
      <w:r>
        <w:rPr>
          <w:rStyle w:val="Odwoanieprzypisudolnego"/>
          <w:rFonts w:ascii="Times New Roman" w:hAnsi="Times New Roman" w:cs="Times New Roman"/>
          <w:noProof/>
          <w:color w:val="000000" w:themeColor="text1"/>
          <w:sz w:val="24"/>
        </w:rPr>
        <w:footnoteReference w:id="12"/>
      </w:r>
      <w:r>
        <w:rPr>
          <w:rFonts w:ascii="Times New Roman" w:hAnsi="Times New Roman"/>
          <w:noProof/>
          <w:color w:val="000000" w:themeColor="text1"/>
          <w:sz w:val="24"/>
        </w:rPr>
        <w:t xml:space="preserve"> polegający na zapewnieniu, aby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50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sidR="0076371C">
        <w:rPr>
          <w:rFonts w:ascii="Times New Roman" w:hAnsi="Times New Roman"/>
          <w:noProof/>
          <w:color w:val="000000" w:themeColor="text1"/>
          <w:sz w:val="24"/>
        </w:rPr>
        <w:t xml:space="preserve"> w Eur</w:t>
      </w:r>
      <w:r>
        <w:rPr>
          <w:rFonts w:ascii="Times New Roman" w:hAnsi="Times New Roman"/>
          <w:noProof/>
          <w:color w:val="000000" w:themeColor="text1"/>
          <w:sz w:val="24"/>
        </w:rPr>
        <w:t>opie zainstalowane było 40 GW elektrolizerów produkujących 40 mln ton wodoru; oraz (iii) cel dyrektywy</w:t>
      </w:r>
      <w:r w:rsidR="0076371C">
        <w:rPr>
          <w:rFonts w:ascii="Times New Roman" w:hAnsi="Times New Roman"/>
          <w:noProof/>
          <w:color w:val="000000" w:themeColor="text1"/>
          <w:sz w:val="24"/>
        </w:rPr>
        <w:t xml:space="preserve"> w spr</w:t>
      </w:r>
      <w:r>
        <w:rPr>
          <w:rFonts w:ascii="Times New Roman" w:hAnsi="Times New Roman"/>
          <w:noProof/>
          <w:color w:val="000000" w:themeColor="text1"/>
          <w:sz w:val="24"/>
        </w:rPr>
        <w:t>awie energii odnawialnej</w:t>
      </w:r>
      <w:r>
        <w:rPr>
          <w:rStyle w:val="Odwoanieprzypisudolnego"/>
          <w:rFonts w:ascii="Times New Roman" w:hAnsi="Times New Roman" w:cs="Times New Roman"/>
          <w:noProof/>
          <w:color w:val="000000" w:themeColor="text1"/>
          <w:sz w:val="24"/>
        </w:rPr>
        <w:footnoteReference w:id="13"/>
      </w:r>
      <w:r>
        <w:rPr>
          <w:rFonts w:ascii="Times New Roman" w:hAnsi="Times New Roman"/>
          <w:noProof/>
          <w:color w:val="000000" w:themeColor="text1"/>
          <w:sz w:val="24"/>
        </w:rPr>
        <w:t xml:space="preserve">, jakim jest zapewnienie, aby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ze źródeł odnawialnych pochodziło 4</w:t>
      </w:r>
      <w:r w:rsidRPr="002001C0">
        <w:rPr>
          <w:rFonts w:ascii="Times New Roman" w:hAnsi="Times New Roman"/>
          <w:noProof/>
          <w:color w:val="000000" w:themeColor="text1"/>
          <w:sz w:val="24"/>
        </w:rPr>
        <w:t>2</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Pr>
          <w:rFonts w:ascii="Times New Roman" w:hAnsi="Times New Roman"/>
          <w:noProof/>
          <w:color w:val="000000" w:themeColor="text1"/>
          <w:sz w:val="24"/>
        </w:rPr>
        <w:t xml:space="preserve"> wodoru wykorzystywanego</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 xml:space="preserve">emyśle, a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35</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 6</w:t>
      </w:r>
      <w:r w:rsidRPr="002001C0">
        <w:rPr>
          <w:rFonts w:ascii="Times New Roman" w:hAnsi="Times New Roman"/>
          <w:noProof/>
          <w:color w:val="000000" w:themeColor="text1"/>
          <w:sz w:val="24"/>
        </w:rPr>
        <w:t>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Pr>
          <w:rFonts w:ascii="Times New Roman" w:hAnsi="Times New Roman"/>
          <w:noProof/>
          <w:color w:val="000000" w:themeColor="text1"/>
          <w:sz w:val="24"/>
        </w:rPr>
        <w:t xml:space="preserve">. </w:t>
      </w:r>
    </w:p>
    <w:p w14:paraId="509D6F17" w14:textId="3918993C" w:rsidR="0018295A" w:rsidRPr="008021A2" w:rsidRDefault="0018295A" w:rsidP="00282CBF">
      <w:pPr>
        <w:pStyle w:val="Tekstpodstawowy"/>
        <w:numPr>
          <w:ilvl w:val="0"/>
          <w:numId w:val="12"/>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Przyczynia się on do osiągnięcia celów UE</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rozwoju paliw alternatywnych, takich jak cele określone</w:t>
      </w:r>
      <w:r w:rsidR="0076371C">
        <w:rPr>
          <w:rFonts w:ascii="Times New Roman" w:hAnsi="Times New Roman"/>
          <w:noProof/>
          <w:color w:val="000000" w:themeColor="text1"/>
          <w:sz w:val="24"/>
        </w:rPr>
        <w:t xml:space="preserve"> w ini</w:t>
      </w:r>
      <w:r>
        <w:rPr>
          <w:rFonts w:ascii="Times New Roman" w:hAnsi="Times New Roman"/>
          <w:noProof/>
          <w:color w:val="000000" w:themeColor="text1"/>
          <w:sz w:val="24"/>
        </w:rPr>
        <w:t>cjatywie ReFuelEU Aviation</w:t>
      </w:r>
      <w:r>
        <w:rPr>
          <w:rStyle w:val="Odwoanieprzypisudolnego"/>
          <w:rFonts w:ascii="Times New Roman" w:hAnsi="Times New Roman" w:cs="Times New Roman"/>
          <w:noProof/>
          <w:color w:val="000000" w:themeColor="text1"/>
          <w:sz w:val="24"/>
        </w:rPr>
        <w:footnoteReference w:id="14"/>
      </w:r>
      <w:r>
        <w:rPr>
          <w:rFonts w:ascii="Times New Roman" w:hAnsi="Times New Roman"/>
          <w:noProof/>
          <w:color w:val="000000" w:themeColor="text1"/>
          <w:sz w:val="24"/>
        </w:rPr>
        <w:t>, zgodnie</w:t>
      </w:r>
      <w:r w:rsidR="0076371C">
        <w:rPr>
          <w:rFonts w:ascii="Times New Roman" w:hAnsi="Times New Roman"/>
          <w:noProof/>
          <w:color w:val="000000" w:themeColor="text1"/>
          <w:sz w:val="24"/>
        </w:rPr>
        <w:t xml:space="preserve"> z któ</w:t>
      </w:r>
      <w:r>
        <w:rPr>
          <w:rFonts w:ascii="Times New Roman" w:hAnsi="Times New Roman"/>
          <w:noProof/>
          <w:color w:val="000000" w:themeColor="text1"/>
          <w:sz w:val="24"/>
        </w:rPr>
        <w:t xml:space="preserve">rymi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25</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w:t>
      </w:r>
      <w:r w:rsidRPr="002001C0">
        <w:rPr>
          <w:rFonts w:ascii="Times New Roman" w:hAnsi="Times New Roman"/>
          <w:noProof/>
          <w:color w:val="000000" w:themeColor="text1"/>
          <w:sz w:val="24"/>
        </w:rPr>
        <w:t>2</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Pr>
          <w:rFonts w:ascii="Times New Roman" w:hAnsi="Times New Roman"/>
          <w:noProof/>
          <w:color w:val="000000" w:themeColor="text1"/>
          <w:sz w:val="24"/>
        </w:rPr>
        <w:t xml:space="preserve"> paliwa udostępnianego</w:t>
      </w:r>
      <w:r w:rsidR="0076371C">
        <w:rPr>
          <w:rFonts w:ascii="Times New Roman" w:hAnsi="Times New Roman"/>
          <w:noProof/>
          <w:color w:val="000000" w:themeColor="text1"/>
          <w:sz w:val="24"/>
        </w:rPr>
        <w:t xml:space="preserve"> w uni</w:t>
      </w:r>
      <w:r>
        <w:rPr>
          <w:rFonts w:ascii="Times New Roman" w:hAnsi="Times New Roman"/>
          <w:noProof/>
          <w:color w:val="000000" w:themeColor="text1"/>
          <w:sz w:val="24"/>
        </w:rPr>
        <w:t xml:space="preserve">jnych portach lotniczych ma być zrównoważonym paliwem lotniczym (oraz </w:t>
      </w:r>
      <w:r w:rsidRPr="002001C0">
        <w:rPr>
          <w:rFonts w:ascii="Times New Roman" w:hAnsi="Times New Roman"/>
          <w:noProof/>
          <w:color w:val="000000" w:themeColor="text1"/>
          <w:sz w:val="24"/>
        </w:rPr>
        <w:t>6</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sidR="0076371C">
        <w:rPr>
          <w:rFonts w:ascii="Times New Roman" w:hAnsi="Times New Roman"/>
          <w:noProof/>
          <w:color w:val="000000" w:themeColor="text1"/>
          <w:sz w:val="24"/>
        </w:rPr>
        <w:t xml:space="preserve"> w 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2</w:t>
      </w:r>
      <w:r w:rsidRPr="002001C0">
        <w:rPr>
          <w:rFonts w:ascii="Times New Roman" w:hAnsi="Times New Roman"/>
          <w:noProof/>
          <w:color w:val="000000" w:themeColor="text1"/>
          <w:sz w:val="24"/>
        </w:rPr>
        <w:t>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sidR="0076371C">
        <w:rPr>
          <w:rFonts w:ascii="Times New Roman" w:hAnsi="Times New Roman"/>
          <w:noProof/>
          <w:color w:val="000000" w:themeColor="text1"/>
          <w:sz w:val="24"/>
        </w:rPr>
        <w:t xml:space="preserve"> w 2</w:t>
      </w:r>
      <w:r>
        <w:rPr>
          <w:rFonts w:ascii="Times New Roman" w:hAnsi="Times New Roman"/>
          <w:noProof/>
          <w:color w:val="000000" w:themeColor="text1"/>
          <w:sz w:val="24"/>
        </w:rPr>
        <w:t>0</w:t>
      </w:r>
      <w:r w:rsidRPr="002001C0">
        <w:rPr>
          <w:rFonts w:ascii="Times New Roman" w:hAnsi="Times New Roman"/>
          <w:noProof/>
          <w:color w:val="000000" w:themeColor="text1"/>
          <w:sz w:val="24"/>
        </w:rPr>
        <w:t>35</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sidR="0076371C">
        <w:rPr>
          <w:rFonts w:ascii="Times New Roman" w:hAnsi="Times New Roman"/>
          <w:noProof/>
          <w:color w:val="000000" w:themeColor="text1"/>
          <w:sz w:val="24"/>
        </w:rPr>
        <w:t xml:space="preserve"> i 7</w:t>
      </w:r>
      <w:r w:rsidRPr="002001C0">
        <w:rPr>
          <w:rFonts w:ascii="Times New Roman" w:hAnsi="Times New Roman"/>
          <w:noProof/>
          <w:color w:val="000000" w:themeColor="text1"/>
          <w:sz w:val="24"/>
        </w:rPr>
        <w:t>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sidR="0076371C">
        <w:rPr>
          <w:rFonts w:ascii="Times New Roman" w:hAnsi="Times New Roman"/>
          <w:noProof/>
          <w:color w:val="000000" w:themeColor="text1"/>
          <w:sz w:val="24"/>
        </w:rPr>
        <w:t xml:space="preserve"> w 2</w:t>
      </w:r>
      <w:r>
        <w:rPr>
          <w:rFonts w:ascii="Times New Roman" w:hAnsi="Times New Roman"/>
          <w:noProof/>
          <w:color w:val="000000" w:themeColor="text1"/>
          <w:sz w:val="24"/>
        </w:rPr>
        <w:t>0</w:t>
      </w:r>
      <w:r w:rsidRPr="002001C0">
        <w:rPr>
          <w:rFonts w:ascii="Times New Roman" w:hAnsi="Times New Roman"/>
          <w:noProof/>
          <w:color w:val="000000" w:themeColor="text1"/>
          <w:sz w:val="24"/>
        </w:rPr>
        <w:t>50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Przyczynia się również do realizacji celu planu działania dotyczącego biometanu, jakim jest osiągnięcie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produkcji krajowej (tj. produkcji</w:t>
      </w:r>
      <w:r w:rsidR="0076371C">
        <w:rPr>
          <w:rFonts w:ascii="Times New Roman" w:hAnsi="Times New Roman"/>
          <w:noProof/>
          <w:color w:val="000000" w:themeColor="text1"/>
          <w:sz w:val="24"/>
        </w:rPr>
        <w:t xml:space="preserve"> w obr</w:t>
      </w:r>
      <w:r>
        <w:rPr>
          <w:rFonts w:ascii="Times New Roman" w:hAnsi="Times New Roman"/>
          <w:noProof/>
          <w:color w:val="000000" w:themeColor="text1"/>
          <w:sz w:val="24"/>
        </w:rPr>
        <w:t>ębie UE)</w:t>
      </w:r>
      <w:r w:rsidR="0076371C">
        <w:rPr>
          <w:rFonts w:ascii="Times New Roman" w:hAnsi="Times New Roman"/>
          <w:noProof/>
          <w:color w:val="000000" w:themeColor="text1"/>
          <w:sz w:val="24"/>
        </w:rPr>
        <w:t xml:space="preserve"> w wym</w:t>
      </w:r>
      <w:r>
        <w:rPr>
          <w:rFonts w:ascii="Times New Roman" w:hAnsi="Times New Roman"/>
          <w:noProof/>
          <w:color w:val="000000" w:themeColor="text1"/>
          <w:sz w:val="24"/>
        </w:rPr>
        <w:t xml:space="preserve">iarze 35 miliardów metrów sześciennych biometanu. </w:t>
      </w:r>
    </w:p>
    <w:p w14:paraId="42BBAB68" w14:textId="4C15F817" w:rsidR="0018295A" w:rsidRPr="008021A2" w:rsidRDefault="0018295A" w:rsidP="00282CBF">
      <w:pPr>
        <w:pStyle w:val="Tekstpodstawowy"/>
        <w:numPr>
          <w:ilvl w:val="0"/>
          <w:numId w:val="12"/>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Przyczynia się on do osiągnięcia celów określonych</w:t>
      </w:r>
      <w:r w:rsidR="0076371C">
        <w:rPr>
          <w:rFonts w:ascii="Times New Roman" w:hAnsi="Times New Roman"/>
          <w:noProof/>
          <w:color w:val="000000" w:themeColor="text1"/>
          <w:sz w:val="24"/>
        </w:rPr>
        <w:t xml:space="preserve"> w dyr</w:t>
      </w:r>
      <w:r>
        <w:rPr>
          <w:rFonts w:ascii="Times New Roman" w:hAnsi="Times New Roman"/>
          <w:noProof/>
          <w:color w:val="000000" w:themeColor="text1"/>
          <w:sz w:val="24"/>
        </w:rPr>
        <w:t>ektywie</w:t>
      </w:r>
      <w:r w:rsidR="0076371C">
        <w:rPr>
          <w:rFonts w:ascii="Times New Roman" w:hAnsi="Times New Roman"/>
          <w:noProof/>
          <w:color w:val="000000" w:themeColor="text1"/>
          <w:sz w:val="24"/>
        </w:rPr>
        <w:t xml:space="preserve"> w spr</w:t>
      </w:r>
      <w:r>
        <w:rPr>
          <w:rFonts w:ascii="Times New Roman" w:hAnsi="Times New Roman"/>
          <w:noProof/>
          <w:color w:val="000000" w:themeColor="text1"/>
          <w:sz w:val="24"/>
        </w:rPr>
        <w:t>awie energii odnawialnej</w:t>
      </w:r>
      <w:r>
        <w:rPr>
          <w:rStyle w:val="Odwoanieprzypisudolnego"/>
          <w:rFonts w:ascii="Times New Roman" w:hAnsi="Times New Roman" w:cs="Times New Roman"/>
          <w:noProof/>
          <w:color w:val="000000" w:themeColor="text1"/>
          <w:sz w:val="24"/>
        </w:rPr>
        <w:footnoteReference w:id="15"/>
      </w:r>
      <w:r>
        <w:rPr>
          <w:rFonts w:ascii="Times New Roman" w:hAnsi="Times New Roman"/>
          <w:noProof/>
          <w:color w:val="000000" w:themeColor="text1"/>
          <w:sz w:val="24"/>
        </w:rPr>
        <w:t xml:space="preserve"> i REPowerEU, polegających na rozwoju produkcji energii ze źródeł odnawialnych</w:t>
      </w:r>
      <w:r w:rsidR="0076371C">
        <w:rPr>
          <w:rFonts w:ascii="Times New Roman" w:hAnsi="Times New Roman"/>
          <w:noProof/>
          <w:color w:val="000000" w:themeColor="text1"/>
          <w:sz w:val="24"/>
        </w:rPr>
        <w:t xml:space="preserve"> i osi</w:t>
      </w:r>
      <w:r>
        <w:rPr>
          <w:rFonts w:ascii="Times New Roman" w:hAnsi="Times New Roman"/>
          <w:noProof/>
          <w:color w:val="000000" w:themeColor="text1"/>
          <w:sz w:val="24"/>
        </w:rPr>
        <w:t>ągnięciu udziału odnawialnych źródeł energii</w:t>
      </w:r>
      <w:r w:rsidR="0076371C">
        <w:rPr>
          <w:rFonts w:ascii="Times New Roman" w:hAnsi="Times New Roman"/>
          <w:noProof/>
          <w:color w:val="000000" w:themeColor="text1"/>
          <w:sz w:val="24"/>
        </w:rPr>
        <w:t xml:space="preserve"> w kos</w:t>
      </w:r>
      <w:r>
        <w:rPr>
          <w:rFonts w:ascii="Times New Roman" w:hAnsi="Times New Roman"/>
          <w:noProof/>
          <w:color w:val="000000" w:themeColor="text1"/>
          <w:sz w:val="24"/>
        </w:rPr>
        <w:t>zyku energetycznym na poziomie 4</w:t>
      </w:r>
      <w:r w:rsidRPr="002001C0">
        <w:rPr>
          <w:rFonts w:ascii="Times New Roman" w:hAnsi="Times New Roman"/>
          <w:noProof/>
          <w:color w:val="000000" w:themeColor="text1"/>
          <w:sz w:val="24"/>
        </w:rPr>
        <w:t>5</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Pr>
          <w:rFonts w:ascii="Times New Roman" w:hAnsi="Times New Roman"/>
          <w:noProof/>
          <w:color w:val="000000" w:themeColor="text1"/>
          <w:sz w:val="24"/>
        </w:rPr>
        <w:t xml:space="preserve">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(czemu służą takie cele, jak podwojenie wytwarzania energii słonecznej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25</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zainstalowanie mocy wynoszącej 600 GW energii słonecznej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podwojenie tempa wdrażania pomp ciepła oraz promowanie integracji systemów ciepłowniczych ze źródłami energii geotermalnej</w:t>
      </w:r>
      <w:r w:rsidR="0076371C">
        <w:rPr>
          <w:rFonts w:ascii="Times New Roman" w:hAnsi="Times New Roman"/>
          <w:noProof/>
          <w:color w:val="000000" w:themeColor="text1"/>
          <w:sz w:val="24"/>
        </w:rPr>
        <w:t xml:space="preserve"> i sło</w:t>
      </w:r>
      <w:r>
        <w:rPr>
          <w:rFonts w:ascii="Times New Roman" w:hAnsi="Times New Roman"/>
          <w:noProof/>
          <w:color w:val="000000" w:themeColor="text1"/>
          <w:sz w:val="24"/>
        </w:rPr>
        <w:t>necznej). Przyczynia się również do osiągnięcia celów strategii na rzecz energii</w:t>
      </w:r>
      <w:r w:rsidR="0076371C">
        <w:rPr>
          <w:rFonts w:ascii="Times New Roman" w:hAnsi="Times New Roman"/>
          <w:noProof/>
          <w:color w:val="000000" w:themeColor="text1"/>
          <w:sz w:val="24"/>
        </w:rPr>
        <w:t xml:space="preserve"> z mor</w:t>
      </w:r>
      <w:r>
        <w:rPr>
          <w:rFonts w:ascii="Times New Roman" w:hAnsi="Times New Roman"/>
          <w:noProof/>
          <w:color w:val="000000" w:themeColor="text1"/>
          <w:sz w:val="24"/>
        </w:rPr>
        <w:t>skich źródeł odnawialnych</w:t>
      </w:r>
      <w:r>
        <w:rPr>
          <w:rStyle w:val="Odwoanieprzypisudolnego"/>
          <w:rFonts w:ascii="Times New Roman" w:hAnsi="Times New Roman" w:cs="Times New Roman"/>
          <w:noProof/>
          <w:color w:val="000000" w:themeColor="text1"/>
          <w:sz w:val="24"/>
        </w:rPr>
        <w:footnoteReference w:id="16"/>
      </w:r>
      <w:r>
        <w:rPr>
          <w:rFonts w:ascii="Times New Roman" w:hAnsi="Times New Roman"/>
          <w:noProof/>
          <w:color w:val="000000" w:themeColor="text1"/>
          <w:sz w:val="24"/>
        </w:rPr>
        <w:t xml:space="preserve"> – uzyskania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50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zainstalowanej mocy 300 GW</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ypadku morskiej energii wiatrowej</w:t>
      </w:r>
      <w:r w:rsidR="0076371C">
        <w:rPr>
          <w:rFonts w:ascii="Times New Roman" w:hAnsi="Times New Roman"/>
          <w:noProof/>
          <w:color w:val="000000" w:themeColor="text1"/>
          <w:sz w:val="24"/>
        </w:rPr>
        <w:t xml:space="preserve"> i 4</w:t>
      </w:r>
      <w:r>
        <w:rPr>
          <w:rFonts w:ascii="Times New Roman" w:hAnsi="Times New Roman"/>
          <w:noProof/>
          <w:color w:val="000000" w:themeColor="text1"/>
          <w:sz w:val="24"/>
        </w:rPr>
        <w:t>0 GW</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 xml:space="preserve">ypadku energii oceanicznej. </w:t>
      </w:r>
    </w:p>
    <w:p w14:paraId="34AB9DC2" w14:textId="31CDC9BC" w:rsidR="0018295A" w:rsidRPr="008021A2" w:rsidRDefault="0018295A" w:rsidP="00282CBF">
      <w:pPr>
        <w:pStyle w:val="Tekstpodstawowy"/>
        <w:numPr>
          <w:ilvl w:val="0"/>
          <w:numId w:val="12"/>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Przyczynia się on do osiągnięcia celów rozporządzenia</w:t>
      </w:r>
      <w:r w:rsidR="0076371C">
        <w:rPr>
          <w:rFonts w:ascii="Times New Roman" w:hAnsi="Times New Roman"/>
          <w:noProof/>
          <w:color w:val="000000" w:themeColor="text1"/>
          <w:sz w:val="24"/>
        </w:rPr>
        <w:t xml:space="preserve"> w spr</w:t>
      </w:r>
      <w:r>
        <w:rPr>
          <w:rFonts w:ascii="Times New Roman" w:hAnsi="Times New Roman"/>
          <w:noProof/>
          <w:color w:val="000000" w:themeColor="text1"/>
          <w:sz w:val="24"/>
        </w:rPr>
        <w:t>awie baterii</w:t>
      </w:r>
      <w:r>
        <w:rPr>
          <w:rStyle w:val="Odwoanieprzypisudolnego"/>
          <w:rFonts w:ascii="Times New Roman" w:hAnsi="Times New Roman" w:cs="Times New Roman"/>
          <w:noProof/>
          <w:color w:val="000000" w:themeColor="text1"/>
          <w:sz w:val="24"/>
        </w:rPr>
        <w:footnoteReference w:id="17"/>
      </w:r>
      <w:r>
        <w:rPr>
          <w:rFonts w:ascii="Times New Roman" w:hAnsi="Times New Roman"/>
          <w:noProof/>
          <w:color w:val="000000" w:themeColor="text1"/>
          <w:sz w:val="24"/>
        </w:rPr>
        <w:t>, jakimi są poprawa funkcjonowania unijnego wewnętrznego rynku baterii (w tym</w:t>
      </w:r>
      <w:r w:rsidR="0076371C">
        <w:rPr>
          <w:rFonts w:ascii="Times New Roman" w:hAnsi="Times New Roman"/>
          <w:noProof/>
          <w:color w:val="000000" w:themeColor="text1"/>
          <w:sz w:val="24"/>
        </w:rPr>
        <w:t xml:space="preserve"> w odn</w:t>
      </w:r>
      <w:r>
        <w:rPr>
          <w:rFonts w:ascii="Times New Roman" w:hAnsi="Times New Roman"/>
          <w:noProof/>
          <w:color w:val="000000" w:themeColor="text1"/>
          <w:sz w:val="24"/>
        </w:rPr>
        <w:t>iesieniu do samych produktów, procesów produkcji</w:t>
      </w:r>
      <w:r w:rsidR="0076371C">
        <w:rPr>
          <w:rFonts w:ascii="Times New Roman" w:hAnsi="Times New Roman"/>
          <w:noProof/>
          <w:color w:val="000000" w:themeColor="text1"/>
          <w:sz w:val="24"/>
        </w:rPr>
        <w:t xml:space="preserve"> i uni</w:t>
      </w:r>
      <w:r>
        <w:rPr>
          <w:rFonts w:ascii="Times New Roman" w:hAnsi="Times New Roman"/>
          <w:noProof/>
          <w:color w:val="000000" w:themeColor="text1"/>
          <w:sz w:val="24"/>
        </w:rPr>
        <w:t>eszkodliwiania, zużytych baterii</w:t>
      </w:r>
      <w:r w:rsidR="0076371C">
        <w:rPr>
          <w:rFonts w:ascii="Times New Roman" w:hAnsi="Times New Roman"/>
          <w:noProof/>
          <w:color w:val="000000" w:themeColor="text1"/>
          <w:sz w:val="24"/>
        </w:rPr>
        <w:t xml:space="preserve"> i mat</w:t>
      </w:r>
      <w:r>
        <w:rPr>
          <w:rFonts w:ascii="Times New Roman" w:hAnsi="Times New Roman"/>
          <w:noProof/>
          <w:color w:val="000000" w:themeColor="text1"/>
          <w:sz w:val="24"/>
        </w:rPr>
        <w:t>eriałów pochodzących</w:t>
      </w:r>
      <w:r w:rsidR="0076371C">
        <w:rPr>
          <w:rFonts w:ascii="Times New Roman" w:hAnsi="Times New Roman"/>
          <w:noProof/>
          <w:color w:val="000000" w:themeColor="text1"/>
          <w:sz w:val="24"/>
        </w:rPr>
        <w:t xml:space="preserve"> z rec</w:t>
      </w:r>
      <w:r>
        <w:rPr>
          <w:rFonts w:ascii="Times New Roman" w:hAnsi="Times New Roman"/>
          <w:noProof/>
          <w:color w:val="000000" w:themeColor="text1"/>
          <w:sz w:val="24"/>
        </w:rPr>
        <w:t>yklingu)</w:t>
      </w:r>
      <w:r w:rsidR="0076371C">
        <w:rPr>
          <w:rFonts w:ascii="Times New Roman" w:hAnsi="Times New Roman"/>
          <w:noProof/>
          <w:color w:val="000000" w:themeColor="text1"/>
          <w:sz w:val="24"/>
        </w:rPr>
        <w:t xml:space="preserve"> w cel</w:t>
      </w:r>
      <w:r>
        <w:rPr>
          <w:rFonts w:ascii="Times New Roman" w:hAnsi="Times New Roman"/>
          <w:noProof/>
          <w:color w:val="000000" w:themeColor="text1"/>
          <w:sz w:val="24"/>
        </w:rPr>
        <w:t>u promowania gospodarki</w:t>
      </w:r>
      <w:r w:rsidR="0076371C">
        <w:rPr>
          <w:rFonts w:ascii="Times New Roman" w:hAnsi="Times New Roman"/>
          <w:noProof/>
          <w:color w:val="000000" w:themeColor="text1"/>
          <w:sz w:val="24"/>
        </w:rPr>
        <w:t xml:space="preserve"> o obi</w:t>
      </w:r>
      <w:r>
        <w:rPr>
          <w:rFonts w:ascii="Times New Roman" w:hAnsi="Times New Roman"/>
          <w:noProof/>
          <w:color w:val="000000" w:themeColor="text1"/>
          <w:sz w:val="24"/>
        </w:rPr>
        <w:t>egu zamkniętym. Przyczynia się on również do osiągnięcia celu rozporządzenia</w:t>
      </w:r>
      <w:r w:rsidR="0076371C">
        <w:rPr>
          <w:rFonts w:ascii="Times New Roman" w:hAnsi="Times New Roman"/>
          <w:noProof/>
          <w:color w:val="000000" w:themeColor="text1"/>
          <w:sz w:val="24"/>
        </w:rPr>
        <w:t xml:space="preserve"> w spr</w:t>
      </w:r>
      <w:r>
        <w:rPr>
          <w:rFonts w:ascii="Times New Roman" w:hAnsi="Times New Roman"/>
          <w:noProof/>
          <w:color w:val="000000" w:themeColor="text1"/>
          <w:sz w:val="24"/>
        </w:rPr>
        <w:t xml:space="preserve">awie </w:t>
      </w:r>
      <w:r>
        <w:rPr>
          <w:rFonts w:ascii="Times New Roman" w:hAnsi="Times New Roman"/>
          <w:noProof/>
          <w:color w:val="000000" w:themeColor="text1"/>
          <w:sz w:val="24"/>
        </w:rPr>
        <w:lastRenderedPageBreak/>
        <w:t>baterii, jakim jest ograniczenie skutków środowiskowych</w:t>
      </w:r>
      <w:r w:rsidR="0076371C">
        <w:rPr>
          <w:rFonts w:ascii="Times New Roman" w:hAnsi="Times New Roman"/>
          <w:noProof/>
          <w:color w:val="000000" w:themeColor="text1"/>
          <w:sz w:val="24"/>
        </w:rPr>
        <w:t xml:space="preserve"> i spo</w:t>
      </w:r>
      <w:r>
        <w:rPr>
          <w:rFonts w:ascii="Times New Roman" w:hAnsi="Times New Roman"/>
          <w:noProof/>
          <w:color w:val="000000" w:themeColor="text1"/>
          <w:sz w:val="24"/>
        </w:rPr>
        <w:t xml:space="preserve">łecznych na wszystkich etapach cyklu życia baterii. </w:t>
      </w:r>
    </w:p>
    <w:p w14:paraId="36CFE150" w14:textId="7BFA71EB" w:rsidR="0018295A" w:rsidRPr="008021A2" w:rsidRDefault="0018295A" w:rsidP="00282CBF">
      <w:pPr>
        <w:pStyle w:val="Tekstpodstawowy"/>
        <w:numPr>
          <w:ilvl w:val="0"/>
          <w:numId w:val="12"/>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Przyczynia się on do osiągnięcia ogólnych celów aktu</w:t>
      </w:r>
      <w:r w:rsidR="0076371C">
        <w:rPr>
          <w:rFonts w:ascii="Times New Roman" w:hAnsi="Times New Roman"/>
          <w:noProof/>
          <w:color w:val="000000" w:themeColor="text1"/>
          <w:sz w:val="24"/>
        </w:rPr>
        <w:t xml:space="preserve"> w spr</w:t>
      </w:r>
      <w:r>
        <w:rPr>
          <w:rFonts w:ascii="Times New Roman" w:hAnsi="Times New Roman"/>
          <w:noProof/>
          <w:color w:val="000000" w:themeColor="text1"/>
          <w:sz w:val="24"/>
        </w:rPr>
        <w:t>awie przemysłu neutralnego emisyjnie,</w:t>
      </w:r>
      <w:r>
        <w:rPr>
          <w:rStyle w:val="Odwoanieprzypisudolnego"/>
          <w:rFonts w:ascii="Times New Roman" w:hAnsi="Times New Roman"/>
          <w:noProof/>
          <w:color w:val="000000" w:themeColor="text1"/>
          <w:sz w:val="24"/>
        </w:rPr>
        <w:t xml:space="preserve"> </w:t>
      </w:r>
      <w:r>
        <w:rPr>
          <w:rStyle w:val="Odwoanieprzypisudolnego"/>
          <w:rFonts w:ascii="Times New Roman" w:hAnsi="Times New Roman" w:cs="Times New Roman"/>
          <w:noProof/>
          <w:color w:val="000000" w:themeColor="text1"/>
          <w:sz w:val="24"/>
        </w:rPr>
        <w:footnoteReference w:id="18"/>
      </w:r>
      <w:r>
        <w:rPr>
          <w:rFonts w:ascii="Times New Roman" w:hAnsi="Times New Roman"/>
          <w:noProof/>
          <w:color w:val="000000" w:themeColor="text1"/>
          <w:sz w:val="24"/>
        </w:rPr>
        <w:t>ukierunkowanych na innowacje</w:t>
      </w:r>
      <w:r w:rsidR="0076371C">
        <w:rPr>
          <w:rFonts w:ascii="Times New Roman" w:hAnsi="Times New Roman"/>
          <w:noProof/>
          <w:color w:val="000000" w:themeColor="text1"/>
          <w:sz w:val="24"/>
        </w:rPr>
        <w:t xml:space="preserve"> i zwi</w:t>
      </w:r>
      <w:r>
        <w:rPr>
          <w:rFonts w:ascii="Times New Roman" w:hAnsi="Times New Roman"/>
          <w:noProof/>
          <w:color w:val="000000" w:themeColor="text1"/>
          <w:sz w:val="24"/>
        </w:rPr>
        <w:t>ększenie zdolności produkcyjnych</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technologii neutralnych emisyjnie, tak aby przedsiębiorstwa z UE były</w:t>
      </w:r>
      <w:r w:rsidR="0076371C">
        <w:rPr>
          <w:rFonts w:ascii="Times New Roman" w:hAnsi="Times New Roman"/>
          <w:noProof/>
          <w:color w:val="000000" w:themeColor="text1"/>
          <w:sz w:val="24"/>
        </w:rPr>
        <w:t xml:space="preserve"> w sta</w:t>
      </w:r>
      <w:r>
        <w:rPr>
          <w:rFonts w:ascii="Times New Roman" w:hAnsi="Times New Roman"/>
          <w:noProof/>
          <w:color w:val="000000" w:themeColor="text1"/>
          <w:sz w:val="24"/>
        </w:rPr>
        <w:t>nie zaspokoić co najmniej 4</w:t>
      </w:r>
      <w:r w:rsidRPr="002001C0">
        <w:rPr>
          <w:rFonts w:ascii="Times New Roman" w:hAnsi="Times New Roman"/>
          <w:noProof/>
          <w:color w:val="000000" w:themeColor="text1"/>
          <w:sz w:val="24"/>
        </w:rPr>
        <w:t>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w:t>
      </w:r>
      <w:r>
        <w:rPr>
          <w:rFonts w:ascii="Times New Roman" w:hAnsi="Times New Roman"/>
          <w:noProof/>
          <w:color w:val="000000" w:themeColor="text1"/>
          <w:sz w:val="24"/>
        </w:rPr>
        <w:t xml:space="preserve"> unijnych potrzeb</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 xml:space="preserve">resie wdrażania tych technologii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Przyczynia się również do osiągnięcia celu, jakim jest uzyskanie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30</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pojemności magazynowej </w:t>
      </w:r>
      <w:r>
        <w:rPr>
          <w:rFonts w:ascii="Times New Roman" w:hAnsi="Times New Roman"/>
          <w:noProof/>
          <w:sz w:val="24"/>
        </w:rPr>
        <w:t>CO₂</w:t>
      </w:r>
      <w:r>
        <w:rPr>
          <w:rFonts w:ascii="Times New Roman" w:hAnsi="Times New Roman"/>
          <w:noProof/>
          <w:color w:val="000000" w:themeColor="text1"/>
          <w:sz w:val="24"/>
        </w:rPr>
        <w:t xml:space="preserve"> wynoszącej 50 Mt rocznie. </w:t>
      </w:r>
    </w:p>
    <w:p w14:paraId="600378A0" w14:textId="460E9888" w:rsidR="0018295A" w:rsidRPr="008021A2" w:rsidRDefault="0018295A" w:rsidP="00282CBF">
      <w:pPr>
        <w:pStyle w:val="Tekstpodstawowy"/>
        <w:numPr>
          <w:ilvl w:val="0"/>
          <w:numId w:val="12"/>
        </w:numPr>
        <w:spacing w:before="240"/>
        <w:jc w:val="both"/>
        <w:rPr>
          <w:rFonts w:ascii="Times New Roman" w:hAnsi="Times New Roman" w:cs="Times New Roman"/>
          <w:noProof/>
          <w:color w:val="000000" w:themeColor="text1"/>
          <w:sz w:val="24"/>
        </w:rPr>
      </w:pPr>
      <w:r>
        <w:rPr>
          <w:rFonts w:ascii="Times New Roman" w:hAnsi="Times New Roman"/>
          <w:noProof/>
          <w:color w:val="000000" w:themeColor="text1"/>
          <w:sz w:val="24"/>
        </w:rPr>
        <w:t>Od 20</w:t>
      </w:r>
      <w:r w:rsidRPr="002001C0">
        <w:rPr>
          <w:rFonts w:ascii="Times New Roman" w:hAnsi="Times New Roman"/>
          <w:noProof/>
          <w:color w:val="000000" w:themeColor="text1"/>
          <w:sz w:val="24"/>
        </w:rPr>
        <w:t>23</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fundusz innowacyjny będzie również aktywnie uczestniczyć</w:t>
      </w:r>
      <w:r w:rsidR="0076371C">
        <w:rPr>
          <w:rFonts w:ascii="Times New Roman" w:hAnsi="Times New Roman"/>
          <w:noProof/>
          <w:color w:val="000000" w:themeColor="text1"/>
          <w:sz w:val="24"/>
        </w:rPr>
        <w:t xml:space="preserve"> w Pla</w:t>
      </w:r>
      <w:r>
        <w:rPr>
          <w:rFonts w:ascii="Times New Roman" w:hAnsi="Times New Roman"/>
          <w:noProof/>
          <w:color w:val="000000" w:themeColor="text1"/>
          <w:sz w:val="24"/>
        </w:rPr>
        <w:t>tformie na rzecz technologii strategicznych dla Europy (STEP)</w:t>
      </w:r>
      <w:r>
        <w:rPr>
          <w:rStyle w:val="Odwoanieprzypisudolnego"/>
          <w:rFonts w:ascii="Times New Roman" w:hAnsi="Times New Roman" w:cs="Times New Roman"/>
          <w:noProof/>
          <w:color w:val="000000" w:themeColor="text1"/>
          <w:sz w:val="24"/>
        </w:rPr>
        <w:footnoteReference w:id="19"/>
      </w:r>
      <w:r>
        <w:rPr>
          <w:rFonts w:ascii="Times New Roman" w:hAnsi="Times New Roman"/>
          <w:noProof/>
          <w:color w:val="000000" w:themeColor="text1"/>
          <w:sz w:val="24"/>
        </w:rPr>
        <w:t>, której celem jest egzekwowanie istniejących unijnych instrumentów finansowania</w:t>
      </w:r>
      <w:r w:rsidR="0076371C">
        <w:rPr>
          <w:rFonts w:ascii="Times New Roman" w:hAnsi="Times New Roman"/>
          <w:noProof/>
          <w:color w:val="000000" w:themeColor="text1"/>
          <w:sz w:val="24"/>
        </w:rPr>
        <w:t xml:space="preserve"> i jak</w:t>
      </w:r>
      <w:r>
        <w:rPr>
          <w:rFonts w:ascii="Times New Roman" w:hAnsi="Times New Roman"/>
          <w:noProof/>
          <w:color w:val="000000" w:themeColor="text1"/>
          <w:sz w:val="24"/>
        </w:rPr>
        <w:t xml:space="preserve"> najlepsze ich wykorzystanie, by szybko wdrożyć wsparcie finansowo</w:t>
      </w:r>
      <w:r w:rsidR="0076371C">
        <w:rPr>
          <w:rFonts w:ascii="Times New Roman" w:hAnsi="Times New Roman"/>
          <w:noProof/>
          <w:color w:val="000000" w:themeColor="text1"/>
          <w:sz w:val="24"/>
        </w:rPr>
        <w:t xml:space="preserve"> z kor</w:t>
      </w:r>
      <w:r>
        <w:rPr>
          <w:rFonts w:ascii="Times New Roman" w:hAnsi="Times New Roman"/>
          <w:noProof/>
          <w:color w:val="000000" w:themeColor="text1"/>
          <w:sz w:val="24"/>
        </w:rPr>
        <w:t>zyścią dla inwestycji przedsiębiorstw</w:t>
      </w:r>
      <w:r w:rsidR="0076371C">
        <w:rPr>
          <w:rFonts w:ascii="Times New Roman" w:hAnsi="Times New Roman"/>
          <w:noProof/>
          <w:color w:val="000000" w:themeColor="text1"/>
          <w:sz w:val="24"/>
        </w:rPr>
        <w:t xml:space="preserve"> w tec</w:t>
      </w:r>
      <w:r>
        <w:rPr>
          <w:rFonts w:ascii="Times New Roman" w:hAnsi="Times New Roman"/>
          <w:noProof/>
          <w:color w:val="000000" w:themeColor="text1"/>
          <w:sz w:val="24"/>
        </w:rPr>
        <w:t xml:space="preserve">hnologie strategiczne. </w:t>
      </w:r>
      <w:r>
        <w:rPr>
          <w:rFonts w:ascii="Times New Roman" w:hAnsi="Times New Roman"/>
          <w:noProof/>
          <w:sz w:val="24"/>
        </w:rPr>
        <w:t>Komisja proponuje</w:t>
      </w:r>
      <w:r>
        <w:rPr>
          <w:rStyle w:val="Odwoanieprzypisudolnego"/>
          <w:rFonts w:ascii="Times New Roman" w:hAnsi="Times New Roman" w:cs="Times New Roman"/>
          <w:noProof/>
          <w:sz w:val="24"/>
        </w:rPr>
        <w:footnoteReference w:id="20"/>
      </w:r>
      <w:r>
        <w:rPr>
          <w:rFonts w:ascii="Times New Roman" w:hAnsi="Times New Roman"/>
          <w:noProof/>
          <w:sz w:val="24"/>
        </w:rPr>
        <w:t xml:space="preserve"> zwiększenie </w:t>
      </w:r>
      <w:r>
        <w:rPr>
          <w:rFonts w:ascii="Times New Roman" w:hAnsi="Times New Roman"/>
          <w:noProof/>
          <w:color w:val="000000" w:themeColor="text1"/>
          <w:sz w:val="24"/>
        </w:rPr>
        <w:t>funduszu innowacyjnego</w:t>
      </w:r>
      <w:r w:rsidR="0076371C">
        <w:rPr>
          <w:rFonts w:ascii="Times New Roman" w:hAnsi="Times New Roman"/>
          <w:noProof/>
          <w:color w:val="000000" w:themeColor="text1"/>
          <w:sz w:val="24"/>
        </w:rPr>
        <w:t xml:space="preserve"> o kwo</w:t>
      </w:r>
      <w:r>
        <w:rPr>
          <w:rFonts w:ascii="Times New Roman" w:hAnsi="Times New Roman"/>
          <w:noProof/>
          <w:color w:val="000000" w:themeColor="text1"/>
          <w:sz w:val="24"/>
        </w:rPr>
        <w:t>tę 5 mld EUR</w:t>
      </w:r>
      <w:r w:rsidR="0076371C">
        <w:rPr>
          <w:rFonts w:ascii="Times New Roman" w:hAnsi="Times New Roman"/>
          <w:noProof/>
          <w:color w:val="000000" w:themeColor="text1"/>
          <w:sz w:val="24"/>
        </w:rPr>
        <w:t xml:space="preserve"> z pro</w:t>
      </w:r>
      <w:r>
        <w:rPr>
          <w:rFonts w:ascii="Times New Roman" w:hAnsi="Times New Roman"/>
          <w:noProof/>
          <w:color w:val="000000" w:themeColor="text1"/>
          <w:sz w:val="24"/>
        </w:rPr>
        <w:t>gramu STEP,</w:t>
      </w:r>
      <w:r w:rsidR="0076371C">
        <w:rPr>
          <w:rFonts w:ascii="Times New Roman" w:hAnsi="Times New Roman"/>
          <w:noProof/>
          <w:color w:val="000000" w:themeColor="text1"/>
          <w:sz w:val="24"/>
        </w:rPr>
        <w:t xml:space="preserve"> z prz</w:t>
      </w:r>
      <w:r>
        <w:rPr>
          <w:rFonts w:ascii="Times New Roman" w:hAnsi="Times New Roman"/>
          <w:noProof/>
          <w:color w:val="000000" w:themeColor="text1"/>
          <w:sz w:val="24"/>
        </w:rPr>
        <w:t>eznaczeniem na projekty zlokalizowane</w:t>
      </w:r>
      <w:r w:rsidR="0076371C">
        <w:rPr>
          <w:rFonts w:ascii="Times New Roman" w:hAnsi="Times New Roman"/>
          <w:noProof/>
          <w:color w:val="000000" w:themeColor="text1"/>
          <w:sz w:val="24"/>
        </w:rPr>
        <w:t xml:space="preserve"> w pań</w:t>
      </w:r>
      <w:r>
        <w:rPr>
          <w:rFonts w:ascii="Times New Roman" w:hAnsi="Times New Roman"/>
          <w:noProof/>
          <w:color w:val="000000" w:themeColor="text1"/>
          <w:sz w:val="24"/>
        </w:rPr>
        <w:t>stwach członkowskich,</w:t>
      </w:r>
      <w:r w:rsidR="0076371C">
        <w:rPr>
          <w:rFonts w:ascii="Times New Roman" w:hAnsi="Times New Roman"/>
          <w:noProof/>
          <w:color w:val="000000" w:themeColor="text1"/>
          <w:sz w:val="24"/>
        </w:rPr>
        <w:t xml:space="preserve"> w któ</w:t>
      </w:r>
      <w:r>
        <w:rPr>
          <w:rFonts w:ascii="Times New Roman" w:hAnsi="Times New Roman"/>
          <w:noProof/>
          <w:color w:val="000000" w:themeColor="text1"/>
          <w:sz w:val="24"/>
        </w:rPr>
        <w:t>rych PKB na mieszkańca jest niższy od średniej UE. Platforma przyznaje również „pieczęć suwerenności” projektom</w:t>
      </w:r>
      <w:r w:rsidR="0076371C">
        <w:rPr>
          <w:rFonts w:ascii="Times New Roman" w:hAnsi="Times New Roman"/>
          <w:noProof/>
          <w:color w:val="000000" w:themeColor="text1"/>
          <w:sz w:val="24"/>
        </w:rPr>
        <w:t xml:space="preserve"> w tra</w:t>
      </w:r>
      <w:r>
        <w:rPr>
          <w:rFonts w:ascii="Times New Roman" w:hAnsi="Times New Roman"/>
          <w:noProof/>
          <w:color w:val="000000" w:themeColor="text1"/>
          <w:sz w:val="24"/>
        </w:rPr>
        <w:t>kcie procesu ich wyboru – jest to nowy znak, który ma pomóc promotorom projektów</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yciągnięciu inwestycji publicznych</w:t>
      </w:r>
      <w:r w:rsidR="0076371C">
        <w:rPr>
          <w:rFonts w:ascii="Times New Roman" w:hAnsi="Times New Roman"/>
          <w:noProof/>
          <w:color w:val="000000" w:themeColor="text1"/>
          <w:sz w:val="24"/>
        </w:rPr>
        <w:t xml:space="preserve"> i pry</w:t>
      </w:r>
      <w:r>
        <w:rPr>
          <w:rFonts w:ascii="Times New Roman" w:hAnsi="Times New Roman"/>
          <w:noProof/>
          <w:color w:val="000000" w:themeColor="text1"/>
          <w:sz w:val="24"/>
        </w:rPr>
        <w:t>watnych poprzez poświadczenie wkładu projektu</w:t>
      </w:r>
      <w:r w:rsidR="0076371C">
        <w:rPr>
          <w:rFonts w:ascii="Times New Roman" w:hAnsi="Times New Roman"/>
          <w:noProof/>
          <w:color w:val="000000" w:themeColor="text1"/>
          <w:sz w:val="24"/>
        </w:rPr>
        <w:t xml:space="preserve"> w rea</w:t>
      </w:r>
      <w:r>
        <w:rPr>
          <w:rFonts w:ascii="Times New Roman" w:hAnsi="Times New Roman"/>
          <w:noProof/>
          <w:color w:val="000000" w:themeColor="text1"/>
          <w:sz w:val="24"/>
        </w:rPr>
        <w:t>lizację celów STEP, niezależnie od tego, czy projekt był</w:t>
      </w:r>
      <w:r w:rsidR="0076371C">
        <w:rPr>
          <w:rFonts w:ascii="Times New Roman" w:hAnsi="Times New Roman"/>
          <w:noProof/>
          <w:color w:val="000000" w:themeColor="text1"/>
          <w:sz w:val="24"/>
        </w:rPr>
        <w:t xml:space="preserve"> w sta</w:t>
      </w:r>
      <w:r>
        <w:rPr>
          <w:rFonts w:ascii="Times New Roman" w:hAnsi="Times New Roman"/>
          <w:noProof/>
          <w:color w:val="000000" w:themeColor="text1"/>
          <w:sz w:val="24"/>
        </w:rPr>
        <w:t>nie otrzymać finansowanie UE.</w:t>
      </w:r>
    </w:p>
    <w:p w14:paraId="003785AB" w14:textId="0969683D" w:rsidR="0018295A" w:rsidRPr="008021A2" w:rsidRDefault="0018295A" w:rsidP="0018295A">
      <w:pPr>
        <w:pStyle w:val="Tekstpodstawowy"/>
        <w:spacing w:before="240"/>
        <w:jc w:val="both"/>
        <w:rPr>
          <w:rFonts w:ascii="Times New Roman" w:hAnsi="Times New Roman" w:cs="Times New Roman"/>
          <w:noProof/>
          <w:sz w:val="24"/>
        </w:rPr>
      </w:pPr>
      <w:r>
        <w:rPr>
          <w:rFonts w:ascii="Times New Roman" w:hAnsi="Times New Roman"/>
          <w:noProof/>
          <w:sz w:val="24"/>
        </w:rPr>
        <w:t>Projekty, które zakwalifikowano do finansowania, przyniosą również korzyści społeczne</w:t>
      </w:r>
      <w:r w:rsidR="0076371C">
        <w:rPr>
          <w:rFonts w:ascii="Times New Roman" w:hAnsi="Times New Roman"/>
          <w:noProof/>
          <w:sz w:val="24"/>
        </w:rPr>
        <w:t xml:space="preserve"> i gos</w:t>
      </w:r>
      <w:r>
        <w:rPr>
          <w:rFonts w:ascii="Times New Roman" w:hAnsi="Times New Roman"/>
          <w:noProof/>
          <w:sz w:val="24"/>
        </w:rPr>
        <w:t>podarcze, takie jak tworzenie wysokiej jakości miejsc pracy związanych</w:t>
      </w:r>
      <w:r w:rsidR="0076371C">
        <w:rPr>
          <w:rFonts w:ascii="Times New Roman" w:hAnsi="Times New Roman"/>
          <w:noProof/>
          <w:sz w:val="24"/>
        </w:rPr>
        <w:t xml:space="preserve"> z zie</w:t>
      </w:r>
      <w:r>
        <w:rPr>
          <w:rFonts w:ascii="Times New Roman" w:hAnsi="Times New Roman"/>
          <w:noProof/>
          <w:sz w:val="24"/>
        </w:rPr>
        <w:t>loną transformacją, wsparcie gospodarek lokalnych oraz współpraca między różnymi gałęziami przemysłu</w:t>
      </w:r>
      <w:r w:rsidR="0076371C">
        <w:rPr>
          <w:rFonts w:ascii="Times New Roman" w:hAnsi="Times New Roman"/>
          <w:noProof/>
          <w:sz w:val="24"/>
        </w:rPr>
        <w:t xml:space="preserve"> w cel</w:t>
      </w:r>
      <w:r>
        <w:rPr>
          <w:rFonts w:ascii="Times New Roman" w:hAnsi="Times New Roman"/>
          <w:noProof/>
          <w:sz w:val="24"/>
        </w:rPr>
        <w:t>u wspierania innowacji</w:t>
      </w:r>
      <w:r w:rsidR="0076371C">
        <w:rPr>
          <w:rFonts w:ascii="Times New Roman" w:hAnsi="Times New Roman"/>
          <w:noProof/>
          <w:sz w:val="24"/>
        </w:rPr>
        <w:t xml:space="preserve"> i zró</w:t>
      </w:r>
      <w:r>
        <w:rPr>
          <w:rFonts w:ascii="Times New Roman" w:hAnsi="Times New Roman"/>
          <w:noProof/>
          <w:sz w:val="24"/>
        </w:rPr>
        <w:t>wnoważoności. Wsparcie krajowych zdolności produkcyjnych</w:t>
      </w:r>
      <w:r w:rsidR="0076371C">
        <w:rPr>
          <w:rFonts w:ascii="Times New Roman" w:hAnsi="Times New Roman"/>
          <w:noProof/>
          <w:sz w:val="24"/>
        </w:rPr>
        <w:t xml:space="preserve"> w zak</w:t>
      </w:r>
      <w:r>
        <w:rPr>
          <w:rFonts w:ascii="Times New Roman" w:hAnsi="Times New Roman"/>
          <w:noProof/>
          <w:sz w:val="24"/>
        </w:rPr>
        <w:t>resie nowych technologii, takich jak elektrolizery</w:t>
      </w:r>
      <w:r w:rsidR="0076371C">
        <w:rPr>
          <w:rFonts w:ascii="Times New Roman" w:hAnsi="Times New Roman"/>
          <w:noProof/>
          <w:sz w:val="24"/>
        </w:rPr>
        <w:t xml:space="preserve"> i bat</w:t>
      </w:r>
      <w:r>
        <w:rPr>
          <w:rFonts w:ascii="Times New Roman" w:hAnsi="Times New Roman"/>
          <w:noProof/>
          <w:sz w:val="24"/>
        </w:rPr>
        <w:t>erie, przyczyni się do ulepszenia bazy przemysłowej Europy</w:t>
      </w:r>
      <w:r w:rsidR="0076371C">
        <w:rPr>
          <w:rFonts w:ascii="Times New Roman" w:hAnsi="Times New Roman"/>
          <w:noProof/>
          <w:sz w:val="24"/>
        </w:rPr>
        <w:t xml:space="preserve"> i stw</w:t>
      </w:r>
      <w:r>
        <w:rPr>
          <w:rFonts w:ascii="Times New Roman" w:hAnsi="Times New Roman"/>
          <w:noProof/>
          <w:sz w:val="24"/>
        </w:rPr>
        <w:t>orzenia korzyści skali, co sprawi, że technologie te staną się bardziej konkurencyjne na szczeblu międzynarodowym. Fundusz innowacyjny może ponadto również przyczynić się do uwzględnienia społecznych</w:t>
      </w:r>
      <w:r w:rsidR="0076371C">
        <w:rPr>
          <w:rFonts w:ascii="Times New Roman" w:hAnsi="Times New Roman"/>
          <w:noProof/>
          <w:sz w:val="24"/>
        </w:rPr>
        <w:t xml:space="preserve"> i zwi</w:t>
      </w:r>
      <w:r>
        <w:rPr>
          <w:rFonts w:ascii="Times New Roman" w:hAnsi="Times New Roman"/>
          <w:noProof/>
          <w:sz w:val="24"/>
        </w:rPr>
        <w:t>ązanych</w:t>
      </w:r>
      <w:r w:rsidR="0076371C">
        <w:rPr>
          <w:rFonts w:ascii="Times New Roman" w:hAnsi="Times New Roman"/>
          <w:noProof/>
          <w:sz w:val="24"/>
        </w:rPr>
        <w:t xml:space="preserve"> z ryn</w:t>
      </w:r>
      <w:r>
        <w:rPr>
          <w:rFonts w:ascii="Times New Roman" w:hAnsi="Times New Roman"/>
          <w:noProof/>
          <w:sz w:val="24"/>
        </w:rPr>
        <w:t>kiem pracy aspektów sprawiedliwej zielonej transformacji dzięki wspieraniu przekształcania działalności przemysłowej</w:t>
      </w:r>
      <w:r w:rsidR="0076371C">
        <w:rPr>
          <w:rFonts w:ascii="Times New Roman" w:hAnsi="Times New Roman"/>
          <w:noProof/>
          <w:sz w:val="24"/>
        </w:rPr>
        <w:t xml:space="preserve"> w roz</w:t>
      </w:r>
      <w:r>
        <w:rPr>
          <w:rFonts w:ascii="Times New Roman" w:hAnsi="Times New Roman"/>
          <w:noProof/>
          <w:sz w:val="24"/>
        </w:rPr>
        <w:t>wiązania niskowęglowe oraz wykorzystanie istniejącej wiedzy fachowej</w:t>
      </w:r>
      <w:r w:rsidR="0076371C">
        <w:rPr>
          <w:rFonts w:ascii="Times New Roman" w:hAnsi="Times New Roman"/>
          <w:noProof/>
          <w:sz w:val="24"/>
        </w:rPr>
        <w:t xml:space="preserve"> w now</w:t>
      </w:r>
      <w:r>
        <w:rPr>
          <w:rFonts w:ascii="Times New Roman" w:hAnsi="Times New Roman"/>
          <w:noProof/>
          <w:sz w:val="24"/>
        </w:rPr>
        <w:t>ej zielonej gospodarce.</w:t>
      </w:r>
    </w:p>
    <w:p w14:paraId="6D0FA80B" w14:textId="716D01F6" w:rsidR="0018295A" w:rsidRPr="008021A2" w:rsidRDefault="0018295A" w:rsidP="00282CBF">
      <w:pPr>
        <w:pStyle w:val="Akapitzlist"/>
        <w:numPr>
          <w:ilvl w:val="1"/>
          <w:numId w:val="5"/>
        </w:numPr>
        <w:jc w:val="both"/>
        <w:rPr>
          <w:rFonts w:ascii="Times New Roman" w:hAnsi="Times New Roman" w:cs="Times New Roman"/>
          <w:b/>
          <w:noProof/>
          <w:sz w:val="24"/>
        </w:rPr>
      </w:pPr>
      <w:r>
        <w:rPr>
          <w:rFonts w:ascii="Times New Roman" w:hAnsi="Times New Roman"/>
          <w:b/>
          <w:noProof/>
          <w:sz w:val="24"/>
        </w:rPr>
        <w:t>Synergia</w:t>
      </w:r>
      <w:r w:rsidR="0076371C">
        <w:rPr>
          <w:rFonts w:ascii="Times New Roman" w:hAnsi="Times New Roman"/>
          <w:b/>
          <w:noProof/>
          <w:sz w:val="24"/>
        </w:rPr>
        <w:t xml:space="preserve"> z inn</w:t>
      </w:r>
      <w:r>
        <w:rPr>
          <w:rFonts w:ascii="Times New Roman" w:hAnsi="Times New Roman"/>
          <w:b/>
          <w:noProof/>
          <w:sz w:val="24"/>
        </w:rPr>
        <w:t>ymi unijnymi instrumentami finansowymi</w:t>
      </w:r>
    </w:p>
    <w:p w14:paraId="0CAE8D4F" w14:textId="3D30A2DC"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Celem funduszu innowacyjnego jest zapewnienie synergii</w:t>
      </w:r>
      <w:r w:rsidR="0076371C">
        <w:rPr>
          <w:rFonts w:ascii="Times New Roman" w:hAnsi="Times New Roman"/>
          <w:noProof/>
          <w:sz w:val="24"/>
        </w:rPr>
        <w:t xml:space="preserve"> i kom</w:t>
      </w:r>
      <w:r>
        <w:rPr>
          <w:rFonts w:ascii="Times New Roman" w:hAnsi="Times New Roman"/>
          <w:noProof/>
          <w:sz w:val="24"/>
        </w:rPr>
        <w:t>plementarności</w:t>
      </w:r>
      <w:r w:rsidR="0076371C">
        <w:rPr>
          <w:rFonts w:ascii="Times New Roman" w:hAnsi="Times New Roman"/>
          <w:noProof/>
          <w:sz w:val="24"/>
        </w:rPr>
        <w:t xml:space="preserve"> z inn</w:t>
      </w:r>
      <w:r>
        <w:rPr>
          <w:rFonts w:ascii="Times New Roman" w:hAnsi="Times New Roman"/>
          <w:noProof/>
          <w:sz w:val="24"/>
        </w:rPr>
        <w:t>ymi instrumentami wsparcia inwestycji, takimi jak: (i) InvestEU; (ii) programy pożyczkowe EBI; oraz (iii) inne unijne programy finansowania, takie jak „Horyzont Europa” lub instrument „Łącząc Europę”. Więcej szczegółowych informacji na temat synergii</w:t>
      </w:r>
      <w:r w:rsidR="0076371C">
        <w:rPr>
          <w:rFonts w:ascii="Times New Roman" w:hAnsi="Times New Roman"/>
          <w:noProof/>
          <w:sz w:val="24"/>
        </w:rPr>
        <w:t xml:space="preserve"> i kom</w:t>
      </w:r>
      <w:r>
        <w:rPr>
          <w:rFonts w:ascii="Times New Roman" w:hAnsi="Times New Roman"/>
          <w:noProof/>
          <w:sz w:val="24"/>
        </w:rPr>
        <w:t>plementarności</w:t>
      </w:r>
      <w:r w:rsidR="0076371C">
        <w:rPr>
          <w:rFonts w:ascii="Times New Roman" w:hAnsi="Times New Roman"/>
          <w:noProof/>
          <w:sz w:val="24"/>
        </w:rPr>
        <w:t xml:space="preserve"> </w:t>
      </w:r>
      <w:r w:rsidR="0076371C">
        <w:rPr>
          <w:rFonts w:ascii="Times New Roman" w:hAnsi="Times New Roman"/>
          <w:noProof/>
          <w:sz w:val="24"/>
        </w:rPr>
        <w:lastRenderedPageBreak/>
        <w:t>z tym</w:t>
      </w:r>
      <w:r>
        <w:rPr>
          <w:rFonts w:ascii="Times New Roman" w:hAnsi="Times New Roman"/>
          <w:noProof/>
          <w:sz w:val="24"/>
        </w:rPr>
        <w:t>i instrumentami osiągnięty</w:t>
      </w:r>
      <w:r w:rsidR="00665746">
        <w:rPr>
          <w:rFonts w:ascii="Times New Roman" w:hAnsi="Times New Roman"/>
          <w:noProof/>
          <w:sz w:val="24"/>
        </w:rPr>
        <w:t>mi</w:t>
      </w:r>
      <w:r>
        <w:rPr>
          <w:rFonts w:ascii="Times New Roman" w:hAnsi="Times New Roman"/>
          <w:noProof/>
          <w:sz w:val="24"/>
        </w:rPr>
        <w:t xml:space="preserve"> do tej pory można znaleźć</w:t>
      </w:r>
      <w:r w:rsidR="0076371C">
        <w:rPr>
          <w:rFonts w:ascii="Times New Roman" w:hAnsi="Times New Roman"/>
          <w:noProof/>
          <w:sz w:val="24"/>
        </w:rPr>
        <w:t xml:space="preserve"> w sek</w:t>
      </w:r>
      <w:r>
        <w:rPr>
          <w:rFonts w:ascii="Times New Roman" w:hAnsi="Times New Roman"/>
          <w:noProof/>
          <w:sz w:val="24"/>
        </w:rPr>
        <w:t xml:space="preserve">cji 5.5.1 niniejszego sprawozdania. </w:t>
      </w:r>
    </w:p>
    <w:p w14:paraId="1F6FD35D" w14:textId="1A35D88A" w:rsidR="0018295A" w:rsidRPr="008021A2" w:rsidRDefault="0018295A" w:rsidP="00282CBF">
      <w:pPr>
        <w:pStyle w:val="Akapitzlist"/>
        <w:numPr>
          <w:ilvl w:val="1"/>
          <w:numId w:val="5"/>
        </w:numPr>
        <w:jc w:val="both"/>
        <w:rPr>
          <w:rFonts w:ascii="Times New Roman" w:hAnsi="Times New Roman" w:cs="Times New Roman"/>
          <w:noProof/>
          <w:sz w:val="24"/>
        </w:rPr>
      </w:pPr>
      <w:r>
        <w:rPr>
          <w:rFonts w:ascii="Times New Roman" w:hAnsi="Times New Roman"/>
          <w:b/>
          <w:noProof/>
          <w:sz w:val="24"/>
        </w:rPr>
        <w:t>Dzielenie się wiedzą na temat rozwiązań</w:t>
      </w:r>
      <w:r w:rsidR="0076371C">
        <w:rPr>
          <w:rFonts w:ascii="Times New Roman" w:hAnsi="Times New Roman"/>
          <w:b/>
          <w:noProof/>
          <w:sz w:val="24"/>
        </w:rPr>
        <w:t xml:space="preserve"> w zak</w:t>
      </w:r>
      <w:r>
        <w:rPr>
          <w:rFonts w:ascii="Times New Roman" w:hAnsi="Times New Roman"/>
          <w:b/>
          <w:noProof/>
          <w:sz w:val="24"/>
        </w:rPr>
        <w:t>resie czystych technologii</w:t>
      </w:r>
    </w:p>
    <w:p w14:paraId="200C4B16" w14:textId="1C8A6A34"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Dzielenie się wiedzą jest istotnym elementem funduszu innowacyjnego, ponieważ wspiera powielanie technologii lub rozwiązań wspieranych</w:t>
      </w:r>
      <w:r w:rsidR="0076371C">
        <w:rPr>
          <w:rFonts w:ascii="Times New Roman" w:hAnsi="Times New Roman"/>
          <w:noProof/>
          <w:sz w:val="24"/>
        </w:rPr>
        <w:t xml:space="preserve"> z teg</w:t>
      </w:r>
      <w:r>
        <w:rPr>
          <w:rFonts w:ascii="Times New Roman" w:hAnsi="Times New Roman"/>
          <w:noProof/>
          <w:sz w:val="24"/>
        </w:rPr>
        <w:t>o funduszu</w:t>
      </w:r>
      <w:r w:rsidR="0076371C">
        <w:rPr>
          <w:rFonts w:ascii="Times New Roman" w:hAnsi="Times New Roman"/>
          <w:noProof/>
          <w:sz w:val="24"/>
        </w:rPr>
        <w:t xml:space="preserve"> i szy</w:t>
      </w:r>
      <w:r>
        <w:rPr>
          <w:rFonts w:ascii="Times New Roman" w:hAnsi="Times New Roman"/>
          <w:noProof/>
          <w:sz w:val="24"/>
        </w:rPr>
        <w:t>bszą penetrację rynku przez te technologie</w:t>
      </w:r>
      <w:r w:rsidR="0076371C">
        <w:rPr>
          <w:rFonts w:ascii="Times New Roman" w:hAnsi="Times New Roman"/>
          <w:noProof/>
          <w:sz w:val="24"/>
        </w:rPr>
        <w:t xml:space="preserve"> i roz</w:t>
      </w:r>
      <w:r>
        <w:rPr>
          <w:rFonts w:ascii="Times New Roman" w:hAnsi="Times New Roman"/>
          <w:noProof/>
          <w:sz w:val="24"/>
        </w:rPr>
        <w:t>wiązania.</w:t>
      </w:r>
    </w:p>
    <w:p w14:paraId="12A95C98" w14:textId="1BD60482"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Rozporządzenie delegowane</w:t>
      </w:r>
      <w:r w:rsidR="0076371C">
        <w:rPr>
          <w:rFonts w:ascii="Times New Roman" w:hAnsi="Times New Roman"/>
          <w:noProof/>
          <w:sz w:val="24"/>
        </w:rPr>
        <w:t xml:space="preserve"> w spr</w:t>
      </w:r>
      <w:r>
        <w:rPr>
          <w:rFonts w:ascii="Times New Roman" w:hAnsi="Times New Roman"/>
          <w:noProof/>
          <w:sz w:val="24"/>
        </w:rPr>
        <w:t>awie funduszu innowacyjnego wymaga, aby wszystkie wnioski</w:t>
      </w:r>
      <w:r w:rsidR="0076371C">
        <w:rPr>
          <w:rFonts w:ascii="Times New Roman" w:hAnsi="Times New Roman"/>
          <w:noProof/>
          <w:sz w:val="24"/>
        </w:rPr>
        <w:t xml:space="preserve"> o wsp</w:t>
      </w:r>
      <w:r>
        <w:rPr>
          <w:rFonts w:ascii="Times New Roman" w:hAnsi="Times New Roman"/>
          <w:noProof/>
          <w:sz w:val="24"/>
        </w:rPr>
        <w:t>arcie</w:t>
      </w:r>
      <w:r w:rsidR="0076371C">
        <w:rPr>
          <w:rFonts w:ascii="Times New Roman" w:hAnsi="Times New Roman"/>
          <w:noProof/>
          <w:sz w:val="24"/>
        </w:rPr>
        <w:t xml:space="preserve"> z fun</w:t>
      </w:r>
      <w:r>
        <w:rPr>
          <w:rFonts w:ascii="Times New Roman" w:hAnsi="Times New Roman"/>
          <w:noProof/>
          <w:sz w:val="24"/>
        </w:rPr>
        <w:t>duszu innowacyjnego zawierały plan dzielenia się wiedzą, co ma na celu zapewnienie, aby projekty: (i) służyły aktywnemu rozpowszechnianiu zdobytej wiedzy; (ii) pomagały zachęcać do zwiększenia skali</w:t>
      </w:r>
      <w:r w:rsidR="0076371C">
        <w:rPr>
          <w:rFonts w:ascii="Times New Roman" w:hAnsi="Times New Roman"/>
          <w:noProof/>
          <w:sz w:val="24"/>
        </w:rPr>
        <w:t xml:space="preserve"> z myś</w:t>
      </w:r>
      <w:r>
        <w:rPr>
          <w:rFonts w:ascii="Times New Roman" w:hAnsi="Times New Roman"/>
          <w:noProof/>
          <w:sz w:val="24"/>
        </w:rPr>
        <w:t>lą</w:t>
      </w:r>
      <w:r w:rsidR="0076371C">
        <w:rPr>
          <w:rFonts w:ascii="Times New Roman" w:hAnsi="Times New Roman"/>
          <w:noProof/>
          <w:sz w:val="24"/>
        </w:rPr>
        <w:t xml:space="preserve"> o got</w:t>
      </w:r>
      <w:r>
        <w:rPr>
          <w:rFonts w:ascii="Times New Roman" w:hAnsi="Times New Roman"/>
          <w:noProof/>
          <w:sz w:val="24"/>
        </w:rPr>
        <w:t>owości komercyjnej; oraz (iii) przyspieszały wdrażanie</w:t>
      </w:r>
      <w:r w:rsidR="0076371C">
        <w:rPr>
          <w:rFonts w:ascii="Times New Roman" w:hAnsi="Times New Roman"/>
          <w:noProof/>
          <w:sz w:val="24"/>
        </w:rPr>
        <w:t xml:space="preserve"> i kom</w:t>
      </w:r>
      <w:r>
        <w:rPr>
          <w:rFonts w:ascii="Times New Roman" w:hAnsi="Times New Roman"/>
          <w:noProof/>
          <w:sz w:val="24"/>
        </w:rPr>
        <w:t>ercjalizację proponowanych technologii. Na stronach internetowych projektów otrzymujących wsparcie</w:t>
      </w:r>
      <w:r w:rsidR="0076371C">
        <w:rPr>
          <w:rFonts w:ascii="Times New Roman" w:hAnsi="Times New Roman"/>
          <w:noProof/>
          <w:sz w:val="24"/>
        </w:rPr>
        <w:t xml:space="preserve"> z fun</w:t>
      </w:r>
      <w:r>
        <w:rPr>
          <w:rFonts w:ascii="Times New Roman" w:hAnsi="Times New Roman"/>
          <w:noProof/>
          <w:sz w:val="24"/>
        </w:rPr>
        <w:t>duszu innowacyjnego powinny być publikowane informacje</w:t>
      </w:r>
      <w:r w:rsidR="0076371C">
        <w:rPr>
          <w:rFonts w:ascii="Times New Roman" w:hAnsi="Times New Roman"/>
          <w:noProof/>
          <w:sz w:val="24"/>
        </w:rPr>
        <w:t xml:space="preserve"> o kon</w:t>
      </w:r>
      <w:r>
        <w:rPr>
          <w:rFonts w:ascii="Times New Roman" w:hAnsi="Times New Roman"/>
          <w:noProof/>
          <w:sz w:val="24"/>
        </w:rPr>
        <w:t>cepcji</w:t>
      </w:r>
      <w:r w:rsidR="0076371C">
        <w:rPr>
          <w:rFonts w:ascii="Times New Roman" w:hAnsi="Times New Roman"/>
          <w:noProof/>
          <w:sz w:val="24"/>
        </w:rPr>
        <w:t xml:space="preserve"> i rea</w:t>
      </w:r>
      <w:r>
        <w:rPr>
          <w:rFonts w:ascii="Times New Roman" w:hAnsi="Times New Roman"/>
          <w:noProof/>
          <w:sz w:val="24"/>
        </w:rPr>
        <w:t>lizacji projektów,</w:t>
      </w:r>
      <w:r w:rsidR="0076371C">
        <w:rPr>
          <w:rFonts w:ascii="Times New Roman" w:hAnsi="Times New Roman"/>
          <w:noProof/>
          <w:sz w:val="24"/>
        </w:rPr>
        <w:t xml:space="preserve"> a tak</w:t>
      </w:r>
      <w:r>
        <w:rPr>
          <w:rFonts w:ascii="Times New Roman" w:hAnsi="Times New Roman"/>
          <w:noProof/>
          <w:sz w:val="24"/>
        </w:rPr>
        <w:t>że</w:t>
      </w:r>
      <w:r w:rsidR="0076371C">
        <w:rPr>
          <w:rFonts w:ascii="Times New Roman" w:hAnsi="Times New Roman"/>
          <w:noProof/>
          <w:sz w:val="24"/>
        </w:rPr>
        <w:t xml:space="preserve"> o fun</w:t>
      </w:r>
      <w:r>
        <w:rPr>
          <w:rFonts w:ascii="Times New Roman" w:hAnsi="Times New Roman"/>
          <w:noProof/>
          <w:sz w:val="24"/>
        </w:rPr>
        <w:t>duszach UE otrzymanych na projekt. Szczególnie ważne jest również, aby projekty obejmowały gromadzenie zdobytych doświadczeń</w:t>
      </w:r>
      <w:r w:rsidR="0076371C">
        <w:rPr>
          <w:rFonts w:ascii="Times New Roman" w:hAnsi="Times New Roman"/>
          <w:noProof/>
          <w:sz w:val="24"/>
        </w:rPr>
        <w:t xml:space="preserve"> w odn</w:t>
      </w:r>
      <w:r>
        <w:rPr>
          <w:rFonts w:ascii="Times New Roman" w:hAnsi="Times New Roman"/>
          <w:noProof/>
          <w:sz w:val="24"/>
        </w:rPr>
        <w:t>iesieniu do wyzwań napotkanych</w:t>
      </w:r>
      <w:r w:rsidR="0076371C">
        <w:rPr>
          <w:rFonts w:ascii="Times New Roman" w:hAnsi="Times New Roman"/>
          <w:noProof/>
          <w:sz w:val="24"/>
        </w:rPr>
        <w:t xml:space="preserve"> w tra</w:t>
      </w:r>
      <w:r>
        <w:rPr>
          <w:rFonts w:ascii="Times New Roman" w:hAnsi="Times New Roman"/>
          <w:noProof/>
          <w:sz w:val="24"/>
        </w:rPr>
        <w:t>kcie dochodzenia do zamknięcia finansowego</w:t>
      </w:r>
      <w:r>
        <w:rPr>
          <w:rStyle w:val="Odwoanieprzypisudolnego"/>
          <w:rFonts w:ascii="Times New Roman" w:hAnsi="Times New Roman" w:cs="Times New Roman"/>
          <w:noProof/>
          <w:sz w:val="24"/>
        </w:rPr>
        <w:footnoteReference w:id="21"/>
      </w:r>
      <w:r w:rsidR="0076371C">
        <w:rPr>
          <w:rFonts w:ascii="Times New Roman" w:hAnsi="Times New Roman"/>
          <w:noProof/>
          <w:sz w:val="24"/>
        </w:rPr>
        <w:t xml:space="preserve"> i roz</w:t>
      </w:r>
      <w:r>
        <w:rPr>
          <w:rFonts w:ascii="Times New Roman" w:hAnsi="Times New Roman"/>
          <w:noProof/>
          <w:sz w:val="24"/>
        </w:rPr>
        <w:t>poczęcia realizacji. Informacje te mają ułatwić penetrację rynku przez demonstrowane technologie</w:t>
      </w:r>
      <w:r w:rsidR="0076371C">
        <w:rPr>
          <w:rFonts w:ascii="Times New Roman" w:hAnsi="Times New Roman"/>
          <w:noProof/>
          <w:sz w:val="24"/>
        </w:rPr>
        <w:t xml:space="preserve"> i zmn</w:t>
      </w:r>
      <w:r>
        <w:rPr>
          <w:rFonts w:ascii="Times New Roman" w:hAnsi="Times New Roman"/>
          <w:noProof/>
          <w:sz w:val="24"/>
        </w:rPr>
        <w:t>iejszyć ryzyko związane</w:t>
      </w:r>
      <w:r w:rsidR="0076371C">
        <w:rPr>
          <w:rFonts w:ascii="Times New Roman" w:hAnsi="Times New Roman"/>
          <w:noProof/>
          <w:sz w:val="24"/>
        </w:rPr>
        <w:t xml:space="preserve"> z prz</w:t>
      </w:r>
      <w:r>
        <w:rPr>
          <w:rFonts w:ascii="Times New Roman" w:hAnsi="Times New Roman"/>
          <w:noProof/>
          <w:sz w:val="24"/>
        </w:rPr>
        <w:t>ejściem na produkcję</w:t>
      </w:r>
      <w:r w:rsidR="0076371C">
        <w:rPr>
          <w:rFonts w:ascii="Times New Roman" w:hAnsi="Times New Roman"/>
          <w:noProof/>
          <w:sz w:val="24"/>
        </w:rPr>
        <w:t xml:space="preserve"> i sto</w:t>
      </w:r>
      <w:r>
        <w:rPr>
          <w:rFonts w:ascii="Times New Roman" w:hAnsi="Times New Roman"/>
          <w:noProof/>
          <w:sz w:val="24"/>
        </w:rPr>
        <w:t xml:space="preserve">sowanie na dużą skalę produktów niskoemisyjnych. </w:t>
      </w:r>
    </w:p>
    <w:p w14:paraId="0651DF48" w14:textId="01BAB281"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Informacje zebrane</w:t>
      </w:r>
      <w:r w:rsidR="0076371C">
        <w:rPr>
          <w:rFonts w:ascii="Times New Roman" w:hAnsi="Times New Roman"/>
          <w:noProof/>
          <w:sz w:val="24"/>
        </w:rPr>
        <w:t xml:space="preserve"> w ram</w:t>
      </w:r>
      <w:r>
        <w:rPr>
          <w:rFonts w:ascii="Times New Roman" w:hAnsi="Times New Roman"/>
          <w:noProof/>
          <w:sz w:val="24"/>
        </w:rPr>
        <w:t>ach projektów Komisja wykorzystuje do późniejszego kształtowania polityki. Informacje te są również wykorzystywane do wspierania innych projektów realizowanych</w:t>
      </w:r>
      <w:r w:rsidR="0076371C">
        <w:rPr>
          <w:rFonts w:ascii="Times New Roman" w:hAnsi="Times New Roman"/>
          <w:noProof/>
          <w:sz w:val="24"/>
        </w:rPr>
        <w:t xml:space="preserve"> w ram</w:t>
      </w:r>
      <w:r>
        <w:rPr>
          <w:rFonts w:ascii="Times New Roman" w:hAnsi="Times New Roman"/>
          <w:noProof/>
          <w:sz w:val="24"/>
        </w:rPr>
        <w:t>ach funduszu innowacyjnego, zainteresowanych stron</w:t>
      </w:r>
      <w:r w:rsidR="0076371C">
        <w:rPr>
          <w:rFonts w:ascii="Times New Roman" w:hAnsi="Times New Roman"/>
          <w:noProof/>
          <w:sz w:val="24"/>
        </w:rPr>
        <w:t xml:space="preserve"> z bra</w:t>
      </w:r>
      <w:r>
        <w:rPr>
          <w:rFonts w:ascii="Times New Roman" w:hAnsi="Times New Roman"/>
          <w:noProof/>
          <w:sz w:val="24"/>
        </w:rPr>
        <w:t>nży</w:t>
      </w:r>
      <w:r w:rsidR="0076371C">
        <w:rPr>
          <w:rFonts w:ascii="Times New Roman" w:hAnsi="Times New Roman"/>
          <w:noProof/>
          <w:sz w:val="24"/>
        </w:rPr>
        <w:t xml:space="preserve"> i prz</w:t>
      </w:r>
      <w:r>
        <w:rPr>
          <w:rFonts w:ascii="Times New Roman" w:hAnsi="Times New Roman"/>
          <w:noProof/>
          <w:sz w:val="24"/>
        </w:rPr>
        <w:t>yszłych wnioskodawców. CINEA</w:t>
      </w:r>
      <w:r w:rsidR="0076371C">
        <w:rPr>
          <w:rFonts w:ascii="Times New Roman" w:hAnsi="Times New Roman"/>
          <w:noProof/>
          <w:sz w:val="24"/>
        </w:rPr>
        <w:t xml:space="preserve"> i ram</w:t>
      </w:r>
      <w:r>
        <w:rPr>
          <w:rFonts w:ascii="Times New Roman" w:hAnsi="Times New Roman"/>
          <w:noProof/>
          <w:sz w:val="24"/>
        </w:rPr>
        <w:t>y dzielenia się wiedzą zapewniają poufność szczególnie chronionych informacji handlowych. Działania</w:t>
      </w:r>
      <w:r w:rsidR="0076371C">
        <w:rPr>
          <w:rFonts w:ascii="Times New Roman" w:hAnsi="Times New Roman"/>
          <w:noProof/>
          <w:sz w:val="24"/>
        </w:rPr>
        <w:t xml:space="preserve"> w ram</w:t>
      </w:r>
      <w:r>
        <w:rPr>
          <w:rFonts w:ascii="Times New Roman" w:hAnsi="Times New Roman"/>
          <w:noProof/>
          <w:sz w:val="24"/>
        </w:rPr>
        <w:t>ach dzielenia się wiedzą obejmują: (i) wydarzenia za zamkniętymi drzwiami organizowane</w:t>
      </w:r>
      <w:r w:rsidR="0076371C">
        <w:rPr>
          <w:rFonts w:ascii="Times New Roman" w:hAnsi="Times New Roman"/>
          <w:noProof/>
          <w:sz w:val="24"/>
        </w:rPr>
        <w:t xml:space="preserve"> w odn</w:t>
      </w:r>
      <w:r>
        <w:rPr>
          <w:rFonts w:ascii="Times New Roman" w:hAnsi="Times New Roman"/>
          <w:noProof/>
          <w:sz w:val="24"/>
        </w:rPr>
        <w:t>iesieniu do projektów wspieranych</w:t>
      </w:r>
      <w:r w:rsidR="0076371C">
        <w:rPr>
          <w:rFonts w:ascii="Times New Roman" w:hAnsi="Times New Roman"/>
          <w:noProof/>
          <w:sz w:val="24"/>
        </w:rPr>
        <w:t xml:space="preserve"> z fun</w:t>
      </w:r>
      <w:r>
        <w:rPr>
          <w:rFonts w:ascii="Times New Roman" w:hAnsi="Times New Roman"/>
          <w:noProof/>
          <w:sz w:val="24"/>
        </w:rPr>
        <w:t>duszu innowacyjnego; (ii) wydarzenia otwarte służące dzieleniu się wiedzą, zwiększaniu synergii</w:t>
      </w:r>
      <w:r w:rsidR="0076371C">
        <w:rPr>
          <w:rFonts w:ascii="Times New Roman" w:hAnsi="Times New Roman"/>
          <w:noProof/>
          <w:sz w:val="24"/>
        </w:rPr>
        <w:t xml:space="preserve"> z inn</w:t>
      </w:r>
      <w:r>
        <w:rPr>
          <w:rFonts w:ascii="Times New Roman" w:hAnsi="Times New Roman"/>
          <w:noProof/>
          <w:sz w:val="24"/>
        </w:rPr>
        <w:t>ymi finansowanymi przez UE projektami oraz państwami członkowskimi, jak również pomagające</w:t>
      </w:r>
      <w:r w:rsidR="0076371C">
        <w:rPr>
          <w:rFonts w:ascii="Times New Roman" w:hAnsi="Times New Roman"/>
          <w:noProof/>
          <w:sz w:val="24"/>
        </w:rPr>
        <w:t xml:space="preserve"> w roz</w:t>
      </w:r>
      <w:r>
        <w:rPr>
          <w:rFonts w:ascii="Times New Roman" w:hAnsi="Times New Roman"/>
          <w:noProof/>
          <w:sz w:val="24"/>
        </w:rPr>
        <w:t>powszechnianiu uzyskanej wiedzy; oraz (iii) informacje na temat portfela projektów wspieranych</w:t>
      </w:r>
      <w:r w:rsidR="0076371C">
        <w:rPr>
          <w:rFonts w:ascii="Times New Roman" w:hAnsi="Times New Roman"/>
          <w:noProof/>
          <w:sz w:val="24"/>
        </w:rPr>
        <w:t xml:space="preserve"> z fun</w:t>
      </w:r>
      <w:r>
        <w:rPr>
          <w:rFonts w:ascii="Times New Roman" w:hAnsi="Times New Roman"/>
          <w:noProof/>
          <w:sz w:val="24"/>
        </w:rPr>
        <w:t>duszu innowacyjnego. Więcej szczegółowych informacji na temat przeprowadzonych dotąd działań</w:t>
      </w:r>
      <w:r w:rsidR="0076371C">
        <w:rPr>
          <w:rFonts w:ascii="Times New Roman" w:hAnsi="Times New Roman"/>
          <w:noProof/>
          <w:sz w:val="24"/>
        </w:rPr>
        <w:t xml:space="preserve"> w zak</w:t>
      </w:r>
      <w:r>
        <w:rPr>
          <w:rFonts w:ascii="Times New Roman" w:hAnsi="Times New Roman"/>
          <w:noProof/>
          <w:sz w:val="24"/>
        </w:rPr>
        <w:t>resie dzielenia się wiedzą można znaleźć</w:t>
      </w:r>
      <w:r w:rsidR="0076371C">
        <w:rPr>
          <w:rFonts w:ascii="Times New Roman" w:hAnsi="Times New Roman"/>
          <w:noProof/>
          <w:sz w:val="24"/>
        </w:rPr>
        <w:t xml:space="preserve"> w sek</w:t>
      </w:r>
      <w:r>
        <w:rPr>
          <w:rFonts w:ascii="Times New Roman" w:hAnsi="Times New Roman"/>
          <w:noProof/>
          <w:sz w:val="24"/>
        </w:rPr>
        <w:t xml:space="preserve">cji 5.1.2 niniejszego sprawozdania. </w:t>
      </w:r>
    </w:p>
    <w:p w14:paraId="37072575" w14:textId="77777777" w:rsidR="0018295A" w:rsidRPr="008021A2" w:rsidRDefault="0018295A" w:rsidP="0018295A">
      <w:pPr>
        <w:pStyle w:val="Tekstpodstawowy"/>
        <w:jc w:val="both"/>
        <w:rPr>
          <w:rFonts w:ascii="Times New Roman" w:hAnsi="Times New Roman" w:cs="Times New Roman"/>
          <w:noProof/>
          <w:sz w:val="24"/>
        </w:rPr>
      </w:pPr>
    </w:p>
    <w:p w14:paraId="2834C901" w14:textId="77777777" w:rsidR="0018295A" w:rsidRPr="008021A2" w:rsidRDefault="0018295A" w:rsidP="00282CBF">
      <w:pPr>
        <w:pStyle w:val="Akapitzlist"/>
        <w:numPr>
          <w:ilvl w:val="1"/>
          <w:numId w:val="5"/>
        </w:numPr>
        <w:jc w:val="both"/>
        <w:rPr>
          <w:rFonts w:ascii="Times New Roman" w:hAnsi="Times New Roman" w:cs="Times New Roman"/>
          <w:b/>
          <w:noProof/>
          <w:sz w:val="24"/>
        </w:rPr>
      </w:pPr>
      <w:r>
        <w:rPr>
          <w:rFonts w:ascii="Times New Roman" w:hAnsi="Times New Roman"/>
          <w:b/>
          <w:noProof/>
          <w:sz w:val="24"/>
        </w:rPr>
        <w:t>Cel niniejszego sprawozdania</w:t>
      </w:r>
    </w:p>
    <w:tbl>
      <w:tblPr>
        <w:tblStyle w:val="Tabela-Siatka"/>
        <w:tblW w:w="0" w:type="auto"/>
        <w:tblLook w:val="04A0" w:firstRow="1" w:lastRow="0" w:firstColumn="1" w:lastColumn="0" w:noHBand="0" w:noVBand="1"/>
      </w:tblPr>
      <w:tblGrid>
        <w:gridCol w:w="9016"/>
      </w:tblGrid>
      <w:tr w:rsidR="0018295A" w:rsidRPr="008021A2" w14:paraId="5C09600E" w14:textId="77777777" w:rsidTr="00B96AF8">
        <w:tc>
          <w:tcPr>
            <w:tcW w:w="0" w:type="auto"/>
          </w:tcPr>
          <w:p w14:paraId="0C0FFA7E" w14:textId="4321B7A5" w:rsidR="0018295A" w:rsidRPr="008021A2" w:rsidRDefault="0018295A" w:rsidP="00B96AF8">
            <w:pPr>
              <w:pStyle w:val="Tekstpodstawowy"/>
              <w:jc w:val="both"/>
              <w:rPr>
                <w:rFonts w:ascii="Times New Roman" w:hAnsi="Times New Roman" w:cs="Times New Roman"/>
                <w:i/>
                <w:noProof/>
                <w:sz w:val="24"/>
              </w:rPr>
            </w:pPr>
            <w:r>
              <w:rPr>
                <w:rFonts w:ascii="Times New Roman" w:hAnsi="Times New Roman"/>
                <w:i/>
                <w:noProof/>
                <w:sz w:val="24"/>
              </w:rPr>
              <w:t>W niniejszym sprawozdaniu przedstawiono stan wdrażania funduszu innowacyjnego na dzień 31 grudnia 20</w:t>
            </w:r>
            <w:r w:rsidRPr="002001C0">
              <w:rPr>
                <w:rFonts w:ascii="Times New Roman" w:hAnsi="Times New Roman"/>
                <w:i/>
                <w:noProof/>
                <w:sz w:val="24"/>
              </w:rPr>
              <w:t>22</w:t>
            </w:r>
            <w:r w:rsidR="002001C0" w:rsidRPr="002001C0">
              <w:rPr>
                <w:rFonts w:ascii="Times New Roman" w:hAnsi="Times New Roman"/>
                <w:i/>
                <w:noProof/>
                <w:sz w:val="24"/>
              </w:rPr>
              <w:t> </w:t>
            </w:r>
            <w:r w:rsidRPr="002001C0">
              <w:rPr>
                <w:rFonts w:ascii="Times New Roman" w:hAnsi="Times New Roman"/>
                <w:i/>
                <w:noProof/>
                <w:sz w:val="24"/>
              </w:rPr>
              <w:t>r.</w:t>
            </w:r>
            <w:r>
              <w:rPr>
                <w:rFonts w:ascii="Times New Roman" w:hAnsi="Times New Roman"/>
                <w:i/>
                <w:noProof/>
                <w:sz w:val="24"/>
              </w:rPr>
              <w:t>, prezentując: (i) wyniki zrealizowanych zaproszeń do składania wniosków</w:t>
            </w:r>
            <w:r w:rsidR="0076371C">
              <w:rPr>
                <w:rFonts w:ascii="Times New Roman" w:hAnsi="Times New Roman"/>
                <w:i/>
                <w:noProof/>
                <w:sz w:val="24"/>
              </w:rPr>
              <w:t xml:space="preserve"> i udz</w:t>
            </w:r>
            <w:r>
              <w:rPr>
                <w:rFonts w:ascii="Times New Roman" w:hAnsi="Times New Roman"/>
                <w:i/>
                <w:noProof/>
                <w:sz w:val="24"/>
              </w:rPr>
              <w:t>ielonej pomocy</w:t>
            </w:r>
            <w:r w:rsidR="0076371C">
              <w:rPr>
                <w:rFonts w:ascii="Times New Roman" w:hAnsi="Times New Roman"/>
                <w:i/>
                <w:noProof/>
                <w:sz w:val="24"/>
              </w:rPr>
              <w:t xml:space="preserve"> w zak</w:t>
            </w:r>
            <w:r>
              <w:rPr>
                <w:rFonts w:ascii="Times New Roman" w:hAnsi="Times New Roman"/>
                <w:i/>
                <w:noProof/>
                <w:sz w:val="24"/>
              </w:rPr>
              <w:t>resie opracowywania projektu</w:t>
            </w:r>
            <w:r w:rsidR="0076371C">
              <w:rPr>
                <w:rFonts w:ascii="Times New Roman" w:hAnsi="Times New Roman"/>
                <w:i/>
                <w:noProof/>
                <w:sz w:val="24"/>
              </w:rPr>
              <w:t xml:space="preserve"> w 2</w:t>
            </w:r>
            <w:r>
              <w:rPr>
                <w:rFonts w:ascii="Times New Roman" w:hAnsi="Times New Roman"/>
                <w:i/>
                <w:noProof/>
                <w:sz w:val="24"/>
              </w:rPr>
              <w:t>0</w:t>
            </w:r>
            <w:r w:rsidRPr="002001C0">
              <w:rPr>
                <w:rFonts w:ascii="Times New Roman" w:hAnsi="Times New Roman"/>
                <w:i/>
                <w:noProof/>
                <w:sz w:val="24"/>
              </w:rPr>
              <w:t>22</w:t>
            </w:r>
            <w:r w:rsidR="002001C0" w:rsidRPr="002001C0">
              <w:rPr>
                <w:rFonts w:ascii="Times New Roman" w:hAnsi="Times New Roman"/>
                <w:i/>
                <w:noProof/>
                <w:sz w:val="24"/>
              </w:rPr>
              <w:t> </w:t>
            </w:r>
            <w:r w:rsidRPr="002001C0">
              <w:rPr>
                <w:rFonts w:ascii="Times New Roman" w:hAnsi="Times New Roman"/>
                <w:i/>
                <w:noProof/>
                <w:sz w:val="24"/>
              </w:rPr>
              <w:t>r.</w:t>
            </w:r>
            <w:r>
              <w:rPr>
                <w:rFonts w:ascii="Times New Roman" w:hAnsi="Times New Roman"/>
                <w:i/>
                <w:noProof/>
                <w:sz w:val="24"/>
              </w:rPr>
              <w:t>; (ii) skumulowane wyniki funduszu innowacyjnego; oraz (iii) wnioski</w:t>
            </w:r>
            <w:r w:rsidR="0076371C">
              <w:rPr>
                <w:rFonts w:ascii="Times New Roman" w:hAnsi="Times New Roman"/>
                <w:i/>
                <w:noProof/>
                <w:sz w:val="24"/>
              </w:rPr>
              <w:t xml:space="preserve"> i ocz</w:t>
            </w:r>
            <w:r>
              <w:rPr>
                <w:rFonts w:ascii="Times New Roman" w:hAnsi="Times New Roman"/>
                <w:i/>
                <w:noProof/>
                <w:sz w:val="24"/>
              </w:rPr>
              <w:t>ekiwane dalsze kroki.</w:t>
            </w:r>
          </w:p>
        </w:tc>
      </w:tr>
    </w:tbl>
    <w:p w14:paraId="6EB6E056" w14:textId="77777777" w:rsidR="0018295A" w:rsidRPr="008021A2" w:rsidRDefault="0018295A" w:rsidP="0018295A">
      <w:pPr>
        <w:pStyle w:val="Tekstpodstawowy"/>
        <w:jc w:val="both"/>
        <w:rPr>
          <w:rFonts w:ascii="Times New Roman" w:hAnsi="Times New Roman" w:cs="Times New Roman"/>
          <w:noProof/>
          <w:sz w:val="24"/>
        </w:rPr>
      </w:pPr>
    </w:p>
    <w:p w14:paraId="78C9289E" w14:textId="1DB09035"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lastRenderedPageBreak/>
        <w:t>Zgodnie</w:t>
      </w:r>
      <w:r w:rsidR="0076371C">
        <w:rPr>
          <w:rFonts w:ascii="Times New Roman" w:hAnsi="Times New Roman"/>
          <w:noProof/>
          <w:sz w:val="24"/>
        </w:rPr>
        <w:t xml:space="preserve"> z dyr</w:t>
      </w:r>
      <w:r>
        <w:rPr>
          <w:rFonts w:ascii="Times New Roman" w:hAnsi="Times New Roman"/>
          <w:noProof/>
          <w:sz w:val="24"/>
        </w:rPr>
        <w:t>ektywą EU ETS</w:t>
      </w:r>
      <w:r>
        <w:rPr>
          <w:rStyle w:val="Odwoanieprzypisudolnego"/>
          <w:rFonts w:ascii="Times New Roman" w:hAnsi="Times New Roman" w:cs="Times New Roman"/>
          <w:noProof/>
          <w:sz w:val="24"/>
        </w:rPr>
        <w:footnoteReference w:id="22"/>
      </w:r>
      <w:r>
        <w:rPr>
          <w:rFonts w:ascii="Times New Roman" w:hAnsi="Times New Roman"/>
          <w:noProof/>
          <w:sz w:val="24"/>
        </w:rPr>
        <w:t xml:space="preserve"> do dnia 31 grudnia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nas</w:t>
      </w:r>
      <w:r>
        <w:rPr>
          <w:rFonts w:ascii="Times New Roman" w:hAnsi="Times New Roman"/>
          <w:noProof/>
          <w:sz w:val="24"/>
        </w:rPr>
        <w:t>tępnie co roku, Komisja musi złożyć Komitetowi ds. Zmian Klimatu sprawozdanie</w:t>
      </w:r>
      <w:r w:rsidR="0076371C">
        <w:rPr>
          <w:rFonts w:ascii="Times New Roman" w:hAnsi="Times New Roman"/>
          <w:noProof/>
          <w:sz w:val="24"/>
        </w:rPr>
        <w:t xml:space="preserve"> z wdr</w:t>
      </w:r>
      <w:r>
        <w:rPr>
          <w:rFonts w:ascii="Times New Roman" w:hAnsi="Times New Roman"/>
          <w:noProof/>
          <w:sz w:val="24"/>
        </w:rPr>
        <w:t>ażania funduszu innowacyjnego. Sprawozdanie to powinno zawierać analizę projektów, którym przyznano finansowanie,</w:t>
      </w:r>
      <w:r w:rsidR="0076371C">
        <w:rPr>
          <w:rFonts w:ascii="Times New Roman" w:hAnsi="Times New Roman"/>
          <w:noProof/>
          <w:sz w:val="24"/>
        </w:rPr>
        <w:t xml:space="preserve"> w pod</w:t>
      </w:r>
      <w:r>
        <w:rPr>
          <w:rFonts w:ascii="Times New Roman" w:hAnsi="Times New Roman"/>
          <w:noProof/>
          <w:sz w:val="24"/>
        </w:rPr>
        <w:t>ziale na sektory</w:t>
      </w:r>
      <w:r w:rsidR="0076371C">
        <w:rPr>
          <w:rFonts w:ascii="Times New Roman" w:hAnsi="Times New Roman"/>
          <w:noProof/>
          <w:sz w:val="24"/>
        </w:rPr>
        <w:t xml:space="preserve"> i pań</w:t>
      </w:r>
      <w:r>
        <w:rPr>
          <w:rFonts w:ascii="Times New Roman" w:hAnsi="Times New Roman"/>
          <w:noProof/>
          <w:sz w:val="24"/>
        </w:rPr>
        <w:t>stwa członkowskie, oraz oczekiwanego wkładu tych projektów</w:t>
      </w:r>
      <w:r w:rsidR="0076371C">
        <w:rPr>
          <w:rFonts w:ascii="Times New Roman" w:hAnsi="Times New Roman"/>
          <w:noProof/>
          <w:sz w:val="24"/>
        </w:rPr>
        <w:t xml:space="preserve"> w rea</w:t>
      </w:r>
      <w:r>
        <w:rPr>
          <w:rFonts w:ascii="Times New Roman" w:hAnsi="Times New Roman"/>
          <w:noProof/>
          <w:sz w:val="24"/>
        </w:rPr>
        <w:t xml:space="preserve">lizację celu neutralności klimatycznej w UE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50</w:t>
      </w:r>
      <w:r w:rsidR="002001C0" w:rsidRPr="002001C0">
        <w:rPr>
          <w:rFonts w:ascii="Times New Roman" w:hAnsi="Times New Roman"/>
          <w:noProof/>
          <w:sz w:val="24"/>
        </w:rPr>
        <w:t> </w:t>
      </w:r>
      <w:r w:rsidRPr="002001C0">
        <w:rPr>
          <w:rFonts w:ascii="Times New Roman" w:hAnsi="Times New Roman"/>
          <w:noProof/>
          <w:sz w:val="24"/>
        </w:rPr>
        <w:t>r.</w:t>
      </w:r>
    </w:p>
    <w:p w14:paraId="58282C75" w14:textId="23CD519E"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Celem niniejszego konkretnego sprawozdania jest spełnienie tego wymogu</w:t>
      </w:r>
      <w:r w:rsidR="0076371C">
        <w:rPr>
          <w:rFonts w:ascii="Times New Roman" w:hAnsi="Times New Roman"/>
          <w:noProof/>
          <w:sz w:val="24"/>
        </w:rPr>
        <w:t xml:space="preserve"> i prz</w:t>
      </w:r>
      <w:r>
        <w:rPr>
          <w:rFonts w:ascii="Times New Roman" w:hAnsi="Times New Roman"/>
          <w:noProof/>
          <w:sz w:val="24"/>
        </w:rPr>
        <w:t xml:space="preserve">edstawienie informacji na temat wdrażania funduszu innowacyjnego do dnia </w:t>
      </w:r>
      <w:r>
        <w:rPr>
          <w:rFonts w:ascii="Times New Roman" w:hAnsi="Times New Roman"/>
          <w:b/>
          <w:noProof/>
          <w:sz w:val="24"/>
        </w:rPr>
        <w:t>31 grudnia 20</w:t>
      </w:r>
      <w:r w:rsidRPr="002001C0">
        <w:rPr>
          <w:rFonts w:ascii="Times New Roman" w:hAnsi="Times New Roman"/>
          <w:b/>
          <w:noProof/>
          <w:sz w:val="24"/>
        </w:rPr>
        <w:t>22</w:t>
      </w:r>
      <w:r w:rsidR="002001C0" w:rsidRPr="002001C0">
        <w:rPr>
          <w:rFonts w:ascii="Times New Roman" w:hAnsi="Times New Roman"/>
          <w:b/>
          <w:noProof/>
          <w:sz w:val="24"/>
        </w:rPr>
        <w:t> </w:t>
      </w:r>
      <w:r w:rsidRPr="002001C0">
        <w:rPr>
          <w:rFonts w:ascii="Times New Roman" w:hAnsi="Times New Roman"/>
          <w:b/>
          <w:noProof/>
          <w:sz w:val="24"/>
        </w:rPr>
        <w:t>r</w:t>
      </w:r>
      <w:r w:rsidRPr="002001C0">
        <w:rPr>
          <w:rFonts w:ascii="Times New Roman" w:hAnsi="Times New Roman"/>
          <w:noProof/>
          <w:sz w:val="24"/>
        </w:rPr>
        <w:t>.</w:t>
      </w:r>
      <w:r>
        <w:rPr>
          <w:rFonts w:ascii="Times New Roman" w:hAnsi="Times New Roman"/>
          <w:noProof/>
          <w:sz w:val="24"/>
        </w:rPr>
        <w:t xml:space="preserve"> Zawiera ono następujące informacje:</w:t>
      </w:r>
    </w:p>
    <w:p w14:paraId="183E7679" w14:textId="7FC93030" w:rsidR="0018295A" w:rsidRPr="008021A2" w:rsidRDefault="000605E8" w:rsidP="00282CBF">
      <w:pPr>
        <w:pStyle w:val="Tekstpodstawowy"/>
        <w:numPr>
          <w:ilvl w:val="0"/>
          <w:numId w:val="9"/>
        </w:numPr>
        <w:jc w:val="both"/>
        <w:rPr>
          <w:rFonts w:ascii="Times New Roman" w:hAnsi="Times New Roman" w:cs="Times New Roman"/>
          <w:noProof/>
          <w:sz w:val="24"/>
        </w:rPr>
      </w:pPr>
      <w:r>
        <w:rPr>
          <w:rFonts w:ascii="Times New Roman" w:hAnsi="Times New Roman"/>
          <w:noProof/>
          <w:sz w:val="24"/>
        </w:rPr>
        <w:t>ogólny przegląd najważniejszych kamieni milowych osiągniętych we wdrażaniu funduszu innowacyjnego</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p>
    <w:p w14:paraId="2F53BE00" w14:textId="553303D8" w:rsidR="0018295A" w:rsidRPr="002001C0" w:rsidRDefault="000605E8" w:rsidP="00282CBF">
      <w:pPr>
        <w:pStyle w:val="Tekstpodstawowy"/>
        <w:numPr>
          <w:ilvl w:val="0"/>
          <w:numId w:val="9"/>
        </w:numPr>
        <w:jc w:val="both"/>
        <w:rPr>
          <w:rFonts w:ascii="Times New Roman" w:hAnsi="Times New Roman" w:cs="Times New Roman"/>
          <w:noProof/>
          <w:sz w:val="24"/>
        </w:rPr>
      </w:pPr>
      <w:r>
        <w:rPr>
          <w:rFonts w:ascii="Times New Roman" w:hAnsi="Times New Roman"/>
          <w:noProof/>
          <w:sz w:val="24"/>
        </w:rPr>
        <w:t>informacje</w:t>
      </w:r>
      <w:r w:rsidR="0076371C">
        <w:rPr>
          <w:rFonts w:ascii="Times New Roman" w:hAnsi="Times New Roman"/>
          <w:noProof/>
          <w:sz w:val="24"/>
        </w:rPr>
        <w:t xml:space="preserve"> o rea</w:t>
      </w:r>
      <w:r>
        <w:rPr>
          <w:rFonts w:ascii="Times New Roman" w:hAnsi="Times New Roman"/>
          <w:noProof/>
          <w:sz w:val="24"/>
        </w:rPr>
        <w:t>lizacji</w:t>
      </w:r>
      <w:r w:rsidR="0076371C">
        <w:rPr>
          <w:rFonts w:ascii="Times New Roman" w:hAnsi="Times New Roman"/>
          <w:noProof/>
          <w:sz w:val="24"/>
        </w:rPr>
        <w:t xml:space="preserve"> i wyn</w:t>
      </w:r>
      <w:r>
        <w:rPr>
          <w:rFonts w:ascii="Times New Roman" w:hAnsi="Times New Roman"/>
          <w:noProof/>
          <w:sz w:val="24"/>
        </w:rPr>
        <w:t>ikach zaproszeń do składania wniosków</w:t>
      </w:r>
      <w:r w:rsidR="0076371C">
        <w:rPr>
          <w:rFonts w:ascii="Times New Roman" w:hAnsi="Times New Roman"/>
          <w:noProof/>
          <w:sz w:val="24"/>
        </w:rPr>
        <w:t xml:space="preserve"> w ram</w:t>
      </w:r>
      <w:r>
        <w:rPr>
          <w:rFonts w:ascii="Times New Roman" w:hAnsi="Times New Roman"/>
          <w:noProof/>
          <w:sz w:val="24"/>
        </w:rPr>
        <w:t>ach funduszu innowacyjnego, które to zaproszenia przeprowadzono</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p>
    <w:p w14:paraId="3AACC8C3" w14:textId="221F7F9E" w:rsidR="0018295A" w:rsidRPr="002001C0" w:rsidRDefault="0018295A" w:rsidP="00282CBF">
      <w:pPr>
        <w:pStyle w:val="Tekstpodstawowy"/>
        <w:numPr>
          <w:ilvl w:val="0"/>
          <w:numId w:val="9"/>
        </w:numPr>
        <w:jc w:val="both"/>
        <w:rPr>
          <w:rFonts w:ascii="Times New Roman" w:hAnsi="Times New Roman" w:cs="Times New Roman"/>
          <w:noProof/>
          <w:sz w:val="24"/>
        </w:rPr>
      </w:pPr>
      <w:r w:rsidRPr="002001C0">
        <w:rPr>
          <w:rFonts w:ascii="Times New Roman" w:hAnsi="Times New Roman"/>
          <w:noProof/>
          <w:sz w:val="24"/>
        </w:rPr>
        <w:t>s</w:t>
      </w:r>
      <w:r>
        <w:rPr>
          <w:rFonts w:ascii="Times New Roman" w:hAnsi="Times New Roman"/>
          <w:noProof/>
          <w:sz w:val="24"/>
        </w:rPr>
        <w:t xml:space="preserve">kumulowane wyniki funduszu innowacyjnego od początku </w:t>
      </w:r>
      <w:r w:rsidR="00A1639C">
        <w:rPr>
          <w:rFonts w:ascii="Times New Roman" w:hAnsi="Times New Roman"/>
          <w:noProof/>
          <w:sz w:val="24"/>
        </w:rPr>
        <w:t xml:space="preserve">jego istnienia </w:t>
      </w:r>
      <w:r>
        <w:rPr>
          <w:rFonts w:ascii="Times New Roman" w:hAnsi="Times New Roman"/>
          <w:noProof/>
          <w:sz w:val="24"/>
        </w:rPr>
        <w:t>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p>
    <w:p w14:paraId="119EB49D" w14:textId="0604C930" w:rsidR="0018295A" w:rsidRPr="008021A2" w:rsidRDefault="0018295A" w:rsidP="00282CBF">
      <w:pPr>
        <w:pStyle w:val="Tekstpodstawowy"/>
        <w:numPr>
          <w:ilvl w:val="0"/>
          <w:numId w:val="9"/>
        </w:numPr>
        <w:jc w:val="both"/>
        <w:rPr>
          <w:rFonts w:ascii="Times New Roman" w:hAnsi="Times New Roman" w:cs="Times New Roman"/>
          <w:noProof/>
          <w:sz w:val="24"/>
        </w:rPr>
      </w:pPr>
      <w:r w:rsidRPr="002001C0">
        <w:rPr>
          <w:rFonts w:ascii="Times New Roman" w:hAnsi="Times New Roman"/>
          <w:noProof/>
          <w:sz w:val="24"/>
        </w:rPr>
        <w:t>s</w:t>
      </w:r>
      <w:r>
        <w:rPr>
          <w:rFonts w:ascii="Times New Roman" w:hAnsi="Times New Roman"/>
          <w:noProof/>
          <w:sz w:val="24"/>
        </w:rPr>
        <w:t>tan wdrażania pomocy</w:t>
      </w:r>
      <w:r w:rsidR="0076371C">
        <w:rPr>
          <w:rFonts w:ascii="Times New Roman" w:hAnsi="Times New Roman"/>
          <w:noProof/>
          <w:sz w:val="24"/>
        </w:rPr>
        <w:t xml:space="preserve"> w zak</w:t>
      </w:r>
      <w:r>
        <w:rPr>
          <w:rFonts w:ascii="Times New Roman" w:hAnsi="Times New Roman"/>
          <w:noProof/>
          <w:sz w:val="24"/>
        </w:rPr>
        <w:t>resie opracowywania projektu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p>
    <w:p w14:paraId="1083A15D" w14:textId="771C380B" w:rsidR="0018295A" w:rsidRPr="008021A2" w:rsidRDefault="000605E8" w:rsidP="00282CBF">
      <w:pPr>
        <w:pStyle w:val="Tekstpodstawowy"/>
        <w:numPr>
          <w:ilvl w:val="0"/>
          <w:numId w:val="9"/>
        </w:numPr>
        <w:jc w:val="both"/>
        <w:rPr>
          <w:rFonts w:ascii="Times New Roman" w:hAnsi="Times New Roman" w:cs="Times New Roman"/>
          <w:noProof/>
          <w:sz w:val="24"/>
        </w:rPr>
      </w:pPr>
      <w:r>
        <w:rPr>
          <w:rFonts w:ascii="Times New Roman" w:hAnsi="Times New Roman"/>
          <w:noProof/>
          <w:sz w:val="24"/>
        </w:rPr>
        <w:t xml:space="preserve">przegląd kolejnych kluczowych działań zaplanowanych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p>
    <w:p w14:paraId="24D21459" w14:textId="77777777" w:rsidR="0018295A" w:rsidRPr="008021A2" w:rsidRDefault="0018295A" w:rsidP="0018295A">
      <w:pPr>
        <w:pStyle w:val="Tekstpodstawowy"/>
        <w:jc w:val="both"/>
        <w:rPr>
          <w:rFonts w:ascii="Times New Roman" w:hAnsi="Times New Roman" w:cs="Times New Roman"/>
          <w:noProof/>
          <w:sz w:val="24"/>
        </w:rPr>
      </w:pPr>
    </w:p>
    <w:p w14:paraId="2A637093" w14:textId="0957FF83" w:rsidR="0018295A" w:rsidRPr="008021A2" w:rsidRDefault="0018295A" w:rsidP="0018295A">
      <w:pPr>
        <w:pStyle w:val="Nagwek1"/>
        <w:framePr w:wrap="auto" w:vAnchor="margin" w:yAlign="inline"/>
        <w:jc w:val="both"/>
        <w:rPr>
          <w:rFonts w:cs="Times New Roman"/>
          <w:noProof/>
        </w:rPr>
      </w:pPr>
      <w:bookmarkStart w:id="2" w:name="_Toc150504438"/>
      <w:r>
        <w:rPr>
          <w:caps w:val="0"/>
          <w:noProof/>
        </w:rPr>
        <w:t>KLUCZOWE KAMIENIE MILOWE FUNDUSZU INNOWACYJNEGO W 2022 R.</w:t>
      </w:r>
      <w:bookmarkEnd w:id="2"/>
    </w:p>
    <w:p w14:paraId="43E293DD" w14:textId="77777777" w:rsidR="0018295A" w:rsidRPr="008021A2" w:rsidRDefault="0018295A" w:rsidP="0018295A">
      <w:pPr>
        <w:pStyle w:val="Tekstpodstawowy"/>
        <w:jc w:val="both"/>
        <w:rPr>
          <w:rFonts w:ascii="Times New Roman" w:hAnsi="Times New Roman" w:cs="Times New Roman"/>
          <w:noProof/>
          <w:sz w:val="24"/>
        </w:rPr>
      </w:pPr>
    </w:p>
    <w:p w14:paraId="664F64AB" w14:textId="07F138CA" w:rsidR="0018295A" w:rsidRPr="008021A2" w:rsidRDefault="0018295A" w:rsidP="0018295A">
      <w:pPr>
        <w:pStyle w:val="Tekstpodstawowy"/>
        <w:jc w:val="both"/>
        <w:rPr>
          <w:rFonts w:ascii="Times New Roman" w:hAnsi="Times New Roman" w:cs="Times New Roman"/>
          <w:noProof/>
          <w:sz w:val="24"/>
        </w:rPr>
      </w:pPr>
      <w:r>
        <w:rPr>
          <w:rFonts w:ascii="Times New Roman" w:hAnsi="Times New Roman"/>
          <w:noProof/>
          <w:sz w:val="24"/>
        </w:rPr>
        <w:t>W poniższych punktach przedstawiono sześć kluczowych kamieni milowych osiągniętych przez fundusz innowacyjny</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0ED5D6BB" w14:textId="6A9EF47E" w:rsidR="0018295A" w:rsidRPr="008021A2" w:rsidRDefault="0018295A" w:rsidP="00282CBF">
      <w:pPr>
        <w:pStyle w:val="Tekstpodstawowy"/>
        <w:numPr>
          <w:ilvl w:val="0"/>
          <w:numId w:val="11"/>
        </w:numPr>
        <w:jc w:val="both"/>
        <w:rPr>
          <w:rFonts w:ascii="Times New Roman" w:hAnsi="Times New Roman" w:cs="Times New Roman"/>
          <w:noProof/>
          <w:sz w:val="24"/>
        </w:rPr>
      </w:pPr>
      <w:r>
        <w:rPr>
          <w:rFonts w:ascii="Times New Roman" w:hAnsi="Times New Roman"/>
          <w:b/>
          <w:noProof/>
          <w:sz w:val="24"/>
        </w:rPr>
        <w:t>Przyznanie dotacji</w:t>
      </w:r>
      <w:r w:rsidR="0076371C">
        <w:rPr>
          <w:rFonts w:ascii="Times New Roman" w:hAnsi="Times New Roman"/>
          <w:b/>
          <w:noProof/>
          <w:sz w:val="24"/>
        </w:rPr>
        <w:t xml:space="preserve"> w ram</w:t>
      </w:r>
      <w:r>
        <w:rPr>
          <w:rFonts w:ascii="Times New Roman" w:hAnsi="Times New Roman"/>
          <w:b/>
          <w:noProof/>
          <w:sz w:val="24"/>
        </w:rPr>
        <w:t>ach drugiego zaproszenia do składania wniosków dotyczących projektów na dużą skalę (LSC-2021).</w:t>
      </w:r>
      <w:r>
        <w:rPr>
          <w:rFonts w:ascii="Times New Roman" w:hAnsi="Times New Roman"/>
          <w:noProof/>
          <w:sz w:val="24"/>
        </w:rPr>
        <w:t xml:space="preserve"> Łączny budżet zaproszenia wyniósł 1,5 mld EUR</w:t>
      </w:r>
      <w:r w:rsidR="0076371C">
        <w:rPr>
          <w:rFonts w:ascii="Times New Roman" w:hAnsi="Times New Roman"/>
          <w:noProof/>
          <w:sz w:val="24"/>
        </w:rPr>
        <w:t xml:space="preserve"> i był</w:t>
      </w:r>
      <w:r>
        <w:rPr>
          <w:rFonts w:ascii="Times New Roman" w:hAnsi="Times New Roman"/>
          <w:noProof/>
          <w:sz w:val="24"/>
        </w:rPr>
        <w:t xml:space="preserve"> przeznaczony na projekty, których szacowane wydatki kapitałowe przekraczają 7,5 mln EUR na projekt. Zaproszenie do składania wniosków ogłoszono 26 października 20</w:t>
      </w:r>
      <w:r w:rsidRPr="002001C0">
        <w:rPr>
          <w:rFonts w:ascii="Times New Roman" w:hAnsi="Times New Roman"/>
          <w:noProof/>
          <w:sz w:val="24"/>
        </w:rPr>
        <w:t>21</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dot</w:t>
      </w:r>
      <w:r>
        <w:rPr>
          <w:rFonts w:ascii="Times New Roman" w:hAnsi="Times New Roman"/>
          <w:noProof/>
          <w:sz w:val="24"/>
        </w:rPr>
        <w:t>acje przyznano 11 lipca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3C9B78E9" w14:textId="5B2DA356" w:rsidR="0018295A" w:rsidRPr="008021A2" w:rsidRDefault="0018295A" w:rsidP="00282CBF">
      <w:pPr>
        <w:pStyle w:val="Tekstpodstawowy"/>
        <w:numPr>
          <w:ilvl w:val="0"/>
          <w:numId w:val="11"/>
        </w:numPr>
        <w:jc w:val="both"/>
        <w:rPr>
          <w:rFonts w:ascii="Times New Roman" w:hAnsi="Times New Roman" w:cs="Times New Roman"/>
          <w:noProof/>
          <w:sz w:val="24"/>
        </w:rPr>
      </w:pPr>
      <w:r>
        <w:rPr>
          <w:rFonts w:ascii="Times New Roman" w:hAnsi="Times New Roman"/>
          <w:b/>
          <w:noProof/>
          <w:sz w:val="24"/>
        </w:rPr>
        <w:t>Ogłoszenie drugiego zaproszenia do składania wniosków dotyczących projektów na małą skalę</w:t>
      </w:r>
      <w:r w:rsidR="0076371C">
        <w:rPr>
          <w:rFonts w:ascii="Times New Roman" w:hAnsi="Times New Roman"/>
          <w:b/>
          <w:noProof/>
          <w:sz w:val="24"/>
        </w:rPr>
        <w:t xml:space="preserve"> i prz</w:t>
      </w:r>
      <w:r>
        <w:rPr>
          <w:rFonts w:ascii="Times New Roman" w:hAnsi="Times New Roman"/>
          <w:b/>
          <w:noProof/>
          <w:sz w:val="24"/>
        </w:rPr>
        <w:t>yznanie dotacji</w:t>
      </w:r>
      <w:r w:rsidR="0076371C">
        <w:rPr>
          <w:rFonts w:ascii="Times New Roman" w:hAnsi="Times New Roman"/>
          <w:b/>
          <w:noProof/>
          <w:sz w:val="24"/>
        </w:rPr>
        <w:t xml:space="preserve"> w jeg</w:t>
      </w:r>
      <w:r>
        <w:rPr>
          <w:rFonts w:ascii="Times New Roman" w:hAnsi="Times New Roman"/>
          <w:b/>
          <w:noProof/>
          <w:sz w:val="24"/>
        </w:rPr>
        <w:t>o ramach (SCC-2021)</w:t>
      </w:r>
      <w:r>
        <w:rPr>
          <w:rFonts w:ascii="Times New Roman" w:hAnsi="Times New Roman"/>
          <w:noProof/>
          <w:sz w:val="24"/>
        </w:rPr>
        <w:t>. Zaproszenie obejmowało budżet</w:t>
      </w:r>
      <w:r w:rsidR="0076371C">
        <w:rPr>
          <w:rFonts w:ascii="Times New Roman" w:hAnsi="Times New Roman"/>
          <w:noProof/>
          <w:sz w:val="24"/>
        </w:rPr>
        <w:t xml:space="preserve"> w wys</w:t>
      </w:r>
      <w:r>
        <w:rPr>
          <w:rFonts w:ascii="Times New Roman" w:hAnsi="Times New Roman"/>
          <w:noProof/>
          <w:sz w:val="24"/>
        </w:rPr>
        <w:t>okości 100 mln EUR na projekty,</w:t>
      </w:r>
      <w:r w:rsidR="0076371C">
        <w:rPr>
          <w:rFonts w:ascii="Times New Roman" w:hAnsi="Times New Roman"/>
          <w:noProof/>
          <w:sz w:val="24"/>
        </w:rPr>
        <w:t xml:space="preserve"> w któ</w:t>
      </w:r>
      <w:r>
        <w:rPr>
          <w:rFonts w:ascii="Times New Roman" w:hAnsi="Times New Roman"/>
          <w:noProof/>
          <w:sz w:val="24"/>
        </w:rPr>
        <w:t>rych szacowane wydatki kapitałowe wynoszą poniżej 7,5 mln EUR na projekt. Zostało ogłoszone 31 marca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dot</w:t>
      </w:r>
      <w:r>
        <w:rPr>
          <w:rFonts w:ascii="Times New Roman" w:hAnsi="Times New Roman"/>
          <w:noProof/>
          <w:sz w:val="24"/>
        </w:rPr>
        <w:t>acje przyznano 12 grudnia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337A463B" w14:textId="23268FFC" w:rsidR="0018295A" w:rsidRPr="008021A2" w:rsidRDefault="0018295A" w:rsidP="00282CBF">
      <w:pPr>
        <w:pStyle w:val="Tekstpodstawowy"/>
        <w:numPr>
          <w:ilvl w:val="0"/>
          <w:numId w:val="11"/>
        </w:numPr>
        <w:jc w:val="both"/>
        <w:rPr>
          <w:rFonts w:ascii="Times New Roman" w:hAnsi="Times New Roman" w:cs="Times New Roman"/>
          <w:noProof/>
          <w:sz w:val="24"/>
        </w:rPr>
      </w:pPr>
      <w:r>
        <w:rPr>
          <w:rFonts w:ascii="Times New Roman" w:hAnsi="Times New Roman"/>
          <w:b/>
          <w:noProof/>
          <w:sz w:val="24"/>
        </w:rPr>
        <w:t>Ogłoszenie trzeciego zaproszenia do składania wniosków dotyczących projektów na dużą skalę (LSC-2022).</w:t>
      </w:r>
      <w:r>
        <w:rPr>
          <w:rFonts w:ascii="Times New Roman" w:hAnsi="Times New Roman"/>
          <w:noProof/>
          <w:sz w:val="24"/>
        </w:rPr>
        <w:t xml:space="preserve"> Zaproszenie obejmowało budżet</w:t>
      </w:r>
      <w:r w:rsidR="0076371C">
        <w:rPr>
          <w:rFonts w:ascii="Times New Roman" w:hAnsi="Times New Roman"/>
          <w:noProof/>
          <w:sz w:val="24"/>
        </w:rPr>
        <w:t xml:space="preserve"> w wys</w:t>
      </w:r>
      <w:r>
        <w:rPr>
          <w:rFonts w:ascii="Times New Roman" w:hAnsi="Times New Roman"/>
          <w:noProof/>
          <w:sz w:val="24"/>
        </w:rPr>
        <w:t xml:space="preserve">okości 3 mld EUR przeznaczony na projekty, których szacowane wydatki kapitałowe wynoszą poniżej 7,5 mln EUR na projekt. Ogłoszono </w:t>
      </w:r>
      <w:r w:rsidRPr="002001C0">
        <w:rPr>
          <w:rFonts w:ascii="Times New Roman" w:hAnsi="Times New Roman"/>
          <w:noProof/>
          <w:sz w:val="24"/>
        </w:rPr>
        <w:t>je</w:t>
      </w:r>
      <w:r w:rsidR="002001C0" w:rsidRPr="002001C0">
        <w:rPr>
          <w:rFonts w:ascii="Times New Roman" w:hAnsi="Times New Roman"/>
          <w:noProof/>
          <w:sz w:val="24"/>
        </w:rPr>
        <w:t> </w:t>
      </w:r>
      <w:r w:rsidRPr="002001C0">
        <w:rPr>
          <w:rFonts w:ascii="Times New Roman" w:hAnsi="Times New Roman"/>
          <w:noProof/>
          <w:sz w:val="24"/>
        </w:rPr>
        <w:t>3</w:t>
      </w:r>
      <w:r>
        <w:rPr>
          <w:rFonts w:ascii="Times New Roman" w:hAnsi="Times New Roman"/>
          <w:noProof/>
          <w:sz w:val="24"/>
        </w:rPr>
        <w:t xml:space="preserve"> listopada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Wyniki zaproszenia </w:t>
      </w:r>
      <w:r>
        <w:rPr>
          <w:rFonts w:ascii="Times New Roman" w:hAnsi="Times New Roman"/>
          <w:noProof/>
          <w:sz w:val="24"/>
        </w:rPr>
        <w:lastRenderedPageBreak/>
        <w:t>opublikowano 13 lipca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cs="Times New Roman"/>
          <w:noProof/>
          <w:sz w:val="24"/>
          <w:vertAlign w:val="superscript"/>
        </w:rPr>
        <w:footnoteReference w:id="23"/>
      </w:r>
      <w:r>
        <w:rPr>
          <w:rFonts w:ascii="Times New Roman" w:hAnsi="Times New Roman"/>
          <w:noProof/>
          <w:sz w:val="24"/>
        </w:rPr>
        <w:t xml:space="preserve"> W rezultacie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wybrano 41 projektów.</w:t>
      </w:r>
    </w:p>
    <w:p w14:paraId="74E51920" w14:textId="6921803D" w:rsidR="0018295A" w:rsidRPr="008021A2" w:rsidRDefault="0018295A" w:rsidP="00282CBF">
      <w:pPr>
        <w:pStyle w:val="Tekstpodstawowy"/>
        <w:numPr>
          <w:ilvl w:val="0"/>
          <w:numId w:val="11"/>
        </w:numPr>
        <w:jc w:val="both"/>
        <w:rPr>
          <w:rFonts w:ascii="Times New Roman" w:hAnsi="Times New Roman" w:cs="Times New Roman"/>
          <w:noProof/>
          <w:sz w:val="24"/>
        </w:rPr>
      </w:pPr>
      <w:r>
        <w:rPr>
          <w:rFonts w:ascii="Times New Roman" w:hAnsi="Times New Roman"/>
          <w:b/>
          <w:noProof/>
          <w:sz w:val="24"/>
        </w:rPr>
        <w:t>Realizacja działań</w:t>
      </w:r>
      <w:r w:rsidR="0076371C">
        <w:rPr>
          <w:rFonts w:ascii="Times New Roman" w:hAnsi="Times New Roman"/>
          <w:b/>
          <w:noProof/>
          <w:sz w:val="24"/>
        </w:rPr>
        <w:t xml:space="preserve"> w zak</w:t>
      </w:r>
      <w:r>
        <w:rPr>
          <w:rFonts w:ascii="Times New Roman" w:hAnsi="Times New Roman"/>
          <w:b/>
          <w:noProof/>
          <w:sz w:val="24"/>
        </w:rPr>
        <w:t>resie komunikacji</w:t>
      </w:r>
      <w:r w:rsidR="0076371C">
        <w:rPr>
          <w:rFonts w:ascii="Times New Roman" w:hAnsi="Times New Roman"/>
          <w:b/>
          <w:noProof/>
          <w:sz w:val="24"/>
        </w:rPr>
        <w:t xml:space="preserve"> i zaa</w:t>
      </w:r>
      <w:r>
        <w:rPr>
          <w:rFonts w:ascii="Times New Roman" w:hAnsi="Times New Roman"/>
          <w:b/>
          <w:noProof/>
          <w:sz w:val="24"/>
        </w:rPr>
        <w:t>ngażowania</w:t>
      </w:r>
      <w:r w:rsidR="0076371C">
        <w:rPr>
          <w:rFonts w:ascii="Times New Roman" w:hAnsi="Times New Roman"/>
          <w:b/>
          <w:noProof/>
          <w:sz w:val="24"/>
        </w:rPr>
        <w:t xml:space="preserve"> w odn</w:t>
      </w:r>
      <w:r>
        <w:rPr>
          <w:rFonts w:ascii="Times New Roman" w:hAnsi="Times New Roman"/>
          <w:b/>
          <w:noProof/>
          <w:sz w:val="24"/>
        </w:rPr>
        <w:t>iesieniu do poszczególnych zaproszeń do składania wniosków</w:t>
      </w:r>
      <w:r w:rsidR="0076371C">
        <w:rPr>
          <w:rFonts w:ascii="Times New Roman" w:hAnsi="Times New Roman"/>
          <w:b/>
          <w:noProof/>
          <w:sz w:val="24"/>
        </w:rPr>
        <w:t>.</w:t>
      </w:r>
      <w:r w:rsidR="0076371C">
        <w:rPr>
          <w:rFonts w:ascii="Times New Roman" w:hAnsi="Times New Roman"/>
          <w:noProof/>
          <w:sz w:val="24"/>
        </w:rPr>
        <w:t xml:space="preserve"> W</w:t>
      </w:r>
      <w:r w:rsidR="0076371C">
        <w:rPr>
          <w:rFonts w:ascii="Times New Roman" w:hAnsi="Times New Roman"/>
          <w:b/>
          <w:noProof/>
          <w:sz w:val="24"/>
        </w:rPr>
        <w:t> </w:t>
      </w:r>
      <w:r w:rsidR="0076371C">
        <w:rPr>
          <w:rFonts w:ascii="Times New Roman" w:hAnsi="Times New Roman"/>
          <w:noProof/>
          <w:sz w:val="24"/>
        </w:rPr>
        <w:t>odn</w:t>
      </w:r>
      <w:r>
        <w:rPr>
          <w:rFonts w:ascii="Times New Roman" w:hAnsi="Times New Roman"/>
          <w:noProof/>
          <w:sz w:val="24"/>
        </w:rPr>
        <w:t>iesieniu do każdego zaproszenia Komisja i CINEA zorganizowały specjalne seminaria internetowe</w:t>
      </w:r>
      <w:r>
        <w:rPr>
          <w:rStyle w:val="Odwoanieprzypisudolnego"/>
          <w:rFonts w:ascii="Times New Roman" w:hAnsi="Times New Roman" w:cs="Times New Roman"/>
          <w:noProof/>
          <w:sz w:val="24"/>
        </w:rPr>
        <w:footnoteReference w:id="24"/>
      </w:r>
      <w:r w:rsidR="0076371C">
        <w:rPr>
          <w:rFonts w:ascii="Times New Roman" w:hAnsi="Times New Roman"/>
          <w:noProof/>
          <w:sz w:val="24"/>
        </w:rPr>
        <w:t xml:space="preserve"> i dni</w:t>
      </w:r>
      <w:r>
        <w:rPr>
          <w:rFonts w:ascii="Times New Roman" w:hAnsi="Times New Roman"/>
          <w:noProof/>
          <w:sz w:val="24"/>
        </w:rPr>
        <w:t xml:space="preserve"> informacyjne, podczas których: (i) treść zaproszeń do składania wniosków szczegółowo wyjaśniono potencjalnym wnioskodawcom; (ii) odpowiedziano na pytania potencjalnych wnioskodawców; oraz (iii) udostępniono potencjalnym wnioskodawcom dalsze wytyczne dotyczące wniosków. Jednocześnie uruchomiono specjalną linię telefoniczną punktu informacyjnego, przez którą</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odpowiedziano na ponad 1 100 pytań (778 rozmów dotyczących projektów na dużą skalę</w:t>
      </w:r>
      <w:r w:rsidR="0076371C">
        <w:rPr>
          <w:rFonts w:ascii="Times New Roman" w:hAnsi="Times New Roman"/>
          <w:noProof/>
          <w:sz w:val="24"/>
        </w:rPr>
        <w:t xml:space="preserve"> i 3</w:t>
      </w:r>
      <w:r>
        <w:rPr>
          <w:rFonts w:ascii="Times New Roman" w:hAnsi="Times New Roman"/>
          <w:noProof/>
          <w:sz w:val="24"/>
        </w:rPr>
        <w:t>34 dotyczących projektów na małą skalę).</w:t>
      </w:r>
    </w:p>
    <w:p w14:paraId="1401DCB6" w14:textId="7B454713" w:rsidR="0018295A" w:rsidRPr="008021A2" w:rsidRDefault="0018295A" w:rsidP="00282CBF">
      <w:pPr>
        <w:pStyle w:val="Tekstpodstawowy"/>
        <w:numPr>
          <w:ilvl w:val="0"/>
          <w:numId w:val="11"/>
        </w:numPr>
        <w:jc w:val="both"/>
        <w:rPr>
          <w:rFonts w:ascii="Times New Roman" w:hAnsi="Times New Roman" w:cs="Times New Roman"/>
          <w:noProof/>
          <w:sz w:val="24"/>
        </w:rPr>
      </w:pPr>
      <w:r>
        <w:rPr>
          <w:rFonts w:ascii="Times New Roman" w:hAnsi="Times New Roman"/>
          <w:b/>
          <w:noProof/>
          <w:sz w:val="24"/>
        </w:rPr>
        <w:t>Wdrożenie pierwszego programu pomocy</w:t>
      </w:r>
      <w:r w:rsidR="0076371C">
        <w:rPr>
          <w:rFonts w:ascii="Times New Roman" w:hAnsi="Times New Roman"/>
          <w:b/>
          <w:noProof/>
          <w:sz w:val="24"/>
        </w:rPr>
        <w:t xml:space="preserve"> w zak</w:t>
      </w:r>
      <w:r>
        <w:rPr>
          <w:rFonts w:ascii="Times New Roman" w:hAnsi="Times New Roman"/>
          <w:b/>
          <w:noProof/>
          <w:sz w:val="24"/>
        </w:rPr>
        <w:t>resie opracowywania projektu</w:t>
      </w:r>
      <w:r w:rsidR="0076371C">
        <w:rPr>
          <w:rFonts w:ascii="Times New Roman" w:hAnsi="Times New Roman"/>
          <w:b/>
          <w:noProof/>
          <w:sz w:val="24"/>
        </w:rPr>
        <w:t xml:space="preserve"> i wyb</w:t>
      </w:r>
      <w:r>
        <w:rPr>
          <w:rFonts w:ascii="Times New Roman" w:hAnsi="Times New Roman"/>
          <w:b/>
          <w:noProof/>
          <w:sz w:val="24"/>
        </w:rPr>
        <w:t>ór dodatkowych potencjalnych beneficjentów.</w:t>
      </w:r>
      <w:r>
        <w:rPr>
          <w:rFonts w:ascii="Times New Roman" w:hAnsi="Times New Roman"/>
          <w:noProof/>
          <w:sz w:val="24"/>
        </w:rPr>
        <w:t xml:space="preserve">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ram</w:t>
      </w:r>
      <w:r>
        <w:rPr>
          <w:rFonts w:ascii="Times New Roman" w:hAnsi="Times New Roman"/>
          <w:noProof/>
          <w:sz w:val="24"/>
        </w:rPr>
        <w:t>ach programu pomocy</w:t>
      </w:r>
      <w:r w:rsidR="0076371C">
        <w:rPr>
          <w:rFonts w:ascii="Times New Roman" w:hAnsi="Times New Roman"/>
          <w:noProof/>
          <w:sz w:val="24"/>
        </w:rPr>
        <w:t xml:space="preserve"> w zak</w:t>
      </w:r>
      <w:r>
        <w:rPr>
          <w:rFonts w:ascii="Times New Roman" w:hAnsi="Times New Roman"/>
          <w:noProof/>
          <w:sz w:val="24"/>
        </w:rPr>
        <w:t>resie opracowywania projektu zaoferowano wsparcie łącznie 40 projektom</w:t>
      </w:r>
      <w:r w:rsidR="0076371C">
        <w:rPr>
          <w:rFonts w:ascii="Times New Roman" w:hAnsi="Times New Roman"/>
          <w:noProof/>
          <w:sz w:val="24"/>
        </w:rPr>
        <w:t xml:space="preserve"> w ram</w:t>
      </w:r>
      <w:r>
        <w:rPr>
          <w:rFonts w:ascii="Times New Roman" w:hAnsi="Times New Roman"/>
          <w:noProof/>
          <w:sz w:val="24"/>
        </w:rPr>
        <w:t>ach zaproszeń dotyczących projektów na dużą skalę. Jak dotąd, EBI zakończył realizację programu pomocy</w:t>
      </w:r>
      <w:r w:rsidR="0076371C">
        <w:rPr>
          <w:rFonts w:ascii="Times New Roman" w:hAnsi="Times New Roman"/>
          <w:noProof/>
          <w:sz w:val="24"/>
        </w:rPr>
        <w:t xml:space="preserve"> w zak</w:t>
      </w:r>
      <w:r>
        <w:rPr>
          <w:rFonts w:ascii="Times New Roman" w:hAnsi="Times New Roman"/>
          <w:noProof/>
          <w:sz w:val="24"/>
        </w:rPr>
        <w:t>resie opracowywania projektu</w:t>
      </w:r>
      <w:r w:rsidR="0076371C">
        <w:rPr>
          <w:rFonts w:ascii="Times New Roman" w:hAnsi="Times New Roman"/>
          <w:noProof/>
          <w:sz w:val="24"/>
        </w:rPr>
        <w:t xml:space="preserve"> w odn</w:t>
      </w:r>
      <w:r>
        <w:rPr>
          <w:rFonts w:ascii="Times New Roman" w:hAnsi="Times New Roman"/>
          <w:noProof/>
          <w:sz w:val="24"/>
        </w:rPr>
        <w:t xml:space="preserve">iesieniu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9 projektów, podczas gdy</w:t>
      </w:r>
      <w:r w:rsidR="0076371C">
        <w:rPr>
          <w:rFonts w:ascii="Times New Roman" w:hAnsi="Times New Roman"/>
          <w:noProof/>
          <w:sz w:val="24"/>
        </w:rPr>
        <w:t xml:space="preserve"> w prz</w:t>
      </w:r>
      <w:r>
        <w:rPr>
          <w:rFonts w:ascii="Times New Roman" w:hAnsi="Times New Roman"/>
          <w:noProof/>
          <w:sz w:val="24"/>
        </w:rPr>
        <w:t>ypadku trzech projektów pomoc tę nadal udzielano,</w:t>
      </w:r>
      <w:r w:rsidR="0076371C">
        <w:rPr>
          <w:rFonts w:ascii="Times New Roman" w:hAnsi="Times New Roman"/>
          <w:noProof/>
          <w:sz w:val="24"/>
        </w:rPr>
        <w:t xml:space="preserve"> a w prz</w:t>
      </w:r>
      <w:r>
        <w:rPr>
          <w:rFonts w:ascii="Times New Roman" w:hAnsi="Times New Roman"/>
          <w:noProof/>
          <w:sz w:val="24"/>
        </w:rPr>
        <w:t>ypadku 15 projektów trwały negocjacje</w:t>
      </w:r>
      <w:r w:rsidR="0076371C">
        <w:rPr>
          <w:rFonts w:ascii="Times New Roman" w:hAnsi="Times New Roman"/>
          <w:noProof/>
          <w:sz w:val="24"/>
        </w:rPr>
        <w:t xml:space="preserve"> w spr</w:t>
      </w:r>
      <w:r>
        <w:rPr>
          <w:rFonts w:ascii="Times New Roman" w:hAnsi="Times New Roman"/>
          <w:noProof/>
          <w:sz w:val="24"/>
        </w:rPr>
        <w:t>awie jej otrzymania</w:t>
      </w:r>
      <w:r w:rsidR="0076371C">
        <w:rPr>
          <w:rFonts w:ascii="Times New Roman" w:hAnsi="Times New Roman"/>
          <w:noProof/>
          <w:sz w:val="24"/>
        </w:rPr>
        <w:t>. W prz</w:t>
      </w:r>
      <w:r>
        <w:rPr>
          <w:rFonts w:ascii="Times New Roman" w:hAnsi="Times New Roman"/>
          <w:noProof/>
          <w:sz w:val="24"/>
        </w:rPr>
        <w:t>ypadku trzech projektów pomoc tę odrzucono.</w:t>
      </w:r>
    </w:p>
    <w:p w14:paraId="267CDDCD" w14:textId="1250AFE7" w:rsidR="0018295A" w:rsidRPr="008021A2" w:rsidRDefault="0018295A" w:rsidP="00282CBF">
      <w:pPr>
        <w:pStyle w:val="Tekstpodstawowy"/>
        <w:numPr>
          <w:ilvl w:val="0"/>
          <w:numId w:val="11"/>
        </w:numPr>
        <w:jc w:val="both"/>
        <w:rPr>
          <w:rFonts w:ascii="Times New Roman" w:hAnsi="Times New Roman" w:cs="Times New Roman"/>
          <w:noProof/>
          <w:sz w:val="24"/>
        </w:rPr>
      </w:pPr>
      <w:r>
        <w:rPr>
          <w:rFonts w:ascii="Times New Roman" w:hAnsi="Times New Roman"/>
          <w:b/>
          <w:noProof/>
          <w:sz w:val="24"/>
        </w:rPr>
        <w:t>Rozpoczęcie opracowywania mechanizmów przetargu konkurencyjnego</w:t>
      </w:r>
      <w:r w:rsidR="0076371C">
        <w:rPr>
          <w:rFonts w:ascii="Times New Roman" w:hAnsi="Times New Roman"/>
          <w:b/>
          <w:noProof/>
          <w:sz w:val="24"/>
        </w:rPr>
        <w:t xml:space="preserve"> w ram</w:t>
      </w:r>
      <w:r>
        <w:rPr>
          <w:rFonts w:ascii="Times New Roman" w:hAnsi="Times New Roman"/>
          <w:b/>
          <w:noProof/>
          <w:sz w:val="24"/>
        </w:rPr>
        <w:t>ach funduszu innowacyjnego.</w:t>
      </w:r>
      <w:r>
        <w:rPr>
          <w:rFonts w:ascii="Times New Roman" w:hAnsi="Times New Roman"/>
          <w:noProof/>
          <w:sz w:val="24"/>
        </w:rPr>
        <w:t xml:space="preserve"> W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rozpoczęto również przygotowania do nowego przetargu konkurencyjnego (tj. aukcji)</w:t>
      </w:r>
      <w:r w:rsidR="0076371C">
        <w:rPr>
          <w:rFonts w:ascii="Times New Roman" w:hAnsi="Times New Roman"/>
          <w:noProof/>
          <w:sz w:val="24"/>
        </w:rPr>
        <w:t xml:space="preserve"> w ram</w:t>
      </w:r>
      <w:r>
        <w:rPr>
          <w:rFonts w:ascii="Times New Roman" w:hAnsi="Times New Roman"/>
          <w:noProof/>
          <w:sz w:val="24"/>
        </w:rPr>
        <w:t>ach funduszu innowacyjnego. Przeprowadzono badania dotyczące ewentualnej struktury ekonomicznej</w:t>
      </w:r>
      <w:r w:rsidR="0076371C">
        <w:rPr>
          <w:rFonts w:ascii="Times New Roman" w:hAnsi="Times New Roman"/>
          <w:noProof/>
          <w:sz w:val="24"/>
        </w:rPr>
        <w:t xml:space="preserve"> i mec</w:t>
      </w:r>
      <w:r>
        <w:rPr>
          <w:rFonts w:ascii="Times New Roman" w:hAnsi="Times New Roman"/>
          <w:noProof/>
          <w:sz w:val="24"/>
        </w:rPr>
        <w:t>hanizmów ustalania cen</w:t>
      </w:r>
      <w:r w:rsidR="0076371C">
        <w:rPr>
          <w:rFonts w:ascii="Times New Roman" w:hAnsi="Times New Roman"/>
          <w:noProof/>
          <w:sz w:val="24"/>
        </w:rPr>
        <w:t xml:space="preserve"> w ram</w:t>
      </w:r>
      <w:r>
        <w:rPr>
          <w:rFonts w:ascii="Times New Roman" w:hAnsi="Times New Roman"/>
          <w:noProof/>
          <w:sz w:val="24"/>
        </w:rPr>
        <w:t>ach przetargu konkurencyjnego. Pierwsza aukcja pilotażowa rozpocznie się</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odp</w:t>
      </w:r>
      <w:r>
        <w:rPr>
          <w:rFonts w:ascii="Times New Roman" w:hAnsi="Times New Roman"/>
          <w:noProof/>
          <w:sz w:val="24"/>
        </w:rPr>
        <w:t>owiednie informacje zostaną zawarte</w:t>
      </w:r>
      <w:r w:rsidR="0076371C">
        <w:rPr>
          <w:rFonts w:ascii="Times New Roman" w:hAnsi="Times New Roman"/>
          <w:noProof/>
          <w:sz w:val="24"/>
        </w:rPr>
        <w:t xml:space="preserve"> w spr</w:t>
      </w:r>
      <w:r>
        <w:rPr>
          <w:rFonts w:ascii="Times New Roman" w:hAnsi="Times New Roman"/>
          <w:noProof/>
          <w:sz w:val="24"/>
        </w:rPr>
        <w:t xml:space="preserve">awozdaniu rocznym dotyczącym funduszu innowacyjnego </w:t>
      </w:r>
      <w:r w:rsidRPr="002001C0">
        <w:rPr>
          <w:rFonts w:ascii="Times New Roman" w:hAnsi="Times New Roman"/>
          <w:noProof/>
          <w:sz w:val="24"/>
        </w:rPr>
        <w:t>za</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Przetarg konkurencyjny obejmie również mechanizm „aukcji jako usługi”, który umożliwi państwom w EOG wykorzystanie ich zasobów</w:t>
      </w:r>
      <w:r w:rsidR="0076371C">
        <w:rPr>
          <w:rFonts w:ascii="Times New Roman" w:hAnsi="Times New Roman"/>
          <w:noProof/>
          <w:sz w:val="24"/>
        </w:rPr>
        <w:t xml:space="preserve"> z bud</w:t>
      </w:r>
      <w:r>
        <w:rPr>
          <w:rFonts w:ascii="Times New Roman" w:hAnsi="Times New Roman"/>
          <w:noProof/>
          <w:sz w:val="24"/>
        </w:rPr>
        <w:t>żetów krajowych do udzielania wsparcia projektom zlokalizowanym na ich terytorium</w:t>
      </w:r>
      <w:r w:rsidR="0076371C">
        <w:rPr>
          <w:rFonts w:ascii="Times New Roman" w:hAnsi="Times New Roman"/>
          <w:noProof/>
          <w:sz w:val="24"/>
        </w:rPr>
        <w:t xml:space="preserve"> i pos</w:t>
      </w:r>
      <w:r>
        <w:rPr>
          <w:rFonts w:ascii="Times New Roman" w:hAnsi="Times New Roman"/>
          <w:noProof/>
          <w:sz w:val="24"/>
        </w:rPr>
        <w:t>łużenie się przy tym ogólnounijnym mechanizmem aukcyjnym do identyfikacji najbardziej konkurencyjnych projektów.</w:t>
      </w:r>
    </w:p>
    <w:p w14:paraId="1F55D758" w14:textId="77777777" w:rsidR="0018295A" w:rsidRPr="008021A2" w:rsidRDefault="0018295A" w:rsidP="0018295A">
      <w:pPr>
        <w:pStyle w:val="Tekstpodstawowy"/>
        <w:jc w:val="both"/>
        <w:rPr>
          <w:rFonts w:ascii="Times New Roman" w:hAnsi="Times New Roman" w:cs="Times New Roman"/>
          <w:noProof/>
          <w:sz w:val="24"/>
        </w:rPr>
      </w:pPr>
    </w:p>
    <w:p w14:paraId="0224A5FD" w14:textId="77777777" w:rsidR="006D5103" w:rsidRPr="008021A2" w:rsidRDefault="006D5103" w:rsidP="0018295A">
      <w:pPr>
        <w:pStyle w:val="Tekstpodstawowy"/>
        <w:jc w:val="both"/>
        <w:rPr>
          <w:rFonts w:ascii="Times New Roman" w:hAnsi="Times New Roman" w:cs="Times New Roman"/>
          <w:noProof/>
          <w:sz w:val="24"/>
        </w:rPr>
      </w:pPr>
    </w:p>
    <w:p w14:paraId="5615CCA4" w14:textId="77777777" w:rsidR="006D5103" w:rsidRPr="008021A2" w:rsidRDefault="006D5103" w:rsidP="0018295A">
      <w:pPr>
        <w:pStyle w:val="Tekstpodstawowy"/>
        <w:jc w:val="both"/>
        <w:rPr>
          <w:rFonts w:ascii="Times New Roman" w:hAnsi="Times New Roman" w:cs="Times New Roman"/>
          <w:noProof/>
          <w:sz w:val="24"/>
        </w:rPr>
      </w:pPr>
    </w:p>
    <w:p w14:paraId="3B330497" w14:textId="19BD5FF8" w:rsidR="0018295A" w:rsidRPr="008021A2" w:rsidRDefault="0018295A" w:rsidP="0018295A">
      <w:pPr>
        <w:pStyle w:val="Nagwek1"/>
        <w:framePr w:wrap="notBeside"/>
        <w:jc w:val="both"/>
        <w:rPr>
          <w:rFonts w:cs="Times New Roman"/>
          <w:noProof/>
        </w:rPr>
      </w:pPr>
      <w:bookmarkStart w:id="3" w:name="_Toc150504439"/>
      <w:r>
        <w:rPr>
          <w:caps w:val="0"/>
          <w:noProof/>
        </w:rPr>
        <w:t>DRUGIE ZAPROSZENIE DO SKŁADANIA WNIOSKÓW DOTYCZĄCYCH PROJEKTÓW NA DUŻĄ SKALĘ (LSC-2021</w:t>
      </w:r>
      <w:r>
        <w:rPr>
          <w:noProof/>
        </w:rPr>
        <w:t>)</w:t>
      </w:r>
      <w:bookmarkEnd w:id="3"/>
    </w:p>
    <w:p w14:paraId="2F43E27C" w14:textId="77777777" w:rsidR="0018295A" w:rsidRPr="008021A2" w:rsidRDefault="0018295A" w:rsidP="0018295A">
      <w:pPr>
        <w:jc w:val="both"/>
        <w:rPr>
          <w:rFonts w:ascii="Times New Roman" w:hAnsi="Times New Roman" w:cs="Times New Roman"/>
          <w:noProof/>
          <w:sz w:val="24"/>
        </w:rPr>
      </w:pPr>
    </w:p>
    <w:tbl>
      <w:tblPr>
        <w:tblStyle w:val="Tabela-Siatka"/>
        <w:tblW w:w="0" w:type="auto"/>
        <w:tblLook w:val="04A0" w:firstRow="1" w:lastRow="0" w:firstColumn="1" w:lastColumn="0" w:noHBand="0" w:noVBand="1"/>
      </w:tblPr>
      <w:tblGrid>
        <w:gridCol w:w="9016"/>
      </w:tblGrid>
      <w:tr w:rsidR="0018295A" w:rsidRPr="008021A2" w14:paraId="735CF473" w14:textId="77777777" w:rsidTr="00B96AF8">
        <w:tc>
          <w:tcPr>
            <w:tcW w:w="0" w:type="auto"/>
          </w:tcPr>
          <w:p w14:paraId="45B64CA2" w14:textId="7205398C" w:rsidR="0018295A" w:rsidRPr="008021A2" w:rsidRDefault="0006115F" w:rsidP="00B96AF8">
            <w:pPr>
              <w:jc w:val="both"/>
              <w:rPr>
                <w:rFonts w:ascii="Times New Roman" w:hAnsi="Times New Roman" w:cs="Times New Roman"/>
                <w:i/>
                <w:noProof/>
                <w:sz w:val="24"/>
              </w:rPr>
            </w:pPr>
            <w:r>
              <w:rPr>
                <w:rFonts w:ascii="Times New Roman" w:hAnsi="Times New Roman"/>
                <w:i/>
                <w:noProof/>
                <w:sz w:val="24"/>
              </w:rPr>
              <w:t>Zaproszenie LSC-2021 było ukierunkowane na projekty, których wydatki kapitałowe wynosiły ponad 7,5 mln EUR na projekt. Wybrano</w:t>
            </w:r>
            <w:r w:rsidR="0076371C">
              <w:rPr>
                <w:rFonts w:ascii="Times New Roman" w:hAnsi="Times New Roman"/>
                <w:i/>
                <w:noProof/>
                <w:sz w:val="24"/>
              </w:rPr>
              <w:t xml:space="preserve"> w jeg</w:t>
            </w:r>
            <w:r>
              <w:rPr>
                <w:rFonts w:ascii="Times New Roman" w:hAnsi="Times New Roman"/>
                <w:i/>
                <w:noProof/>
                <w:sz w:val="24"/>
              </w:rPr>
              <w:t>o ramach 16 projektów,</w:t>
            </w:r>
            <w:r w:rsidR="0076371C">
              <w:rPr>
                <w:rFonts w:ascii="Times New Roman" w:hAnsi="Times New Roman"/>
                <w:i/>
                <w:noProof/>
                <w:sz w:val="24"/>
              </w:rPr>
              <w:t xml:space="preserve"> w któ</w:t>
            </w:r>
            <w:r>
              <w:rPr>
                <w:rFonts w:ascii="Times New Roman" w:hAnsi="Times New Roman"/>
                <w:i/>
                <w:noProof/>
                <w:sz w:val="24"/>
              </w:rPr>
              <w:t>rych wnioskowano</w:t>
            </w:r>
            <w:r w:rsidR="0076371C">
              <w:rPr>
                <w:rFonts w:ascii="Times New Roman" w:hAnsi="Times New Roman"/>
                <w:i/>
                <w:noProof/>
                <w:sz w:val="24"/>
              </w:rPr>
              <w:t xml:space="preserve"> o łąc</w:t>
            </w:r>
            <w:r>
              <w:rPr>
                <w:rFonts w:ascii="Times New Roman" w:hAnsi="Times New Roman"/>
                <w:i/>
                <w:noProof/>
                <w:sz w:val="24"/>
              </w:rPr>
              <w:t>zną kwotę 1,78 mld EUR (dotacje wynosiły średnio 111 mln EUR na projekt)</w:t>
            </w:r>
            <w:r w:rsidR="0076371C">
              <w:rPr>
                <w:rFonts w:ascii="Times New Roman" w:hAnsi="Times New Roman"/>
                <w:i/>
                <w:noProof/>
                <w:sz w:val="24"/>
              </w:rPr>
              <w:t>. W odp</w:t>
            </w:r>
            <w:r>
              <w:rPr>
                <w:rFonts w:ascii="Times New Roman" w:hAnsi="Times New Roman"/>
                <w:i/>
                <w:noProof/>
                <w:sz w:val="24"/>
              </w:rPr>
              <w:t>owiedzi na zaproszenie do składania wniosków wpłynęło wiele doskonałych projektów, a LSC-2021 było</w:t>
            </w:r>
            <w:r w:rsidR="0076371C">
              <w:rPr>
                <w:rFonts w:ascii="Times New Roman" w:hAnsi="Times New Roman"/>
                <w:i/>
                <w:noProof/>
                <w:sz w:val="24"/>
              </w:rPr>
              <w:t xml:space="preserve"> w sta</w:t>
            </w:r>
            <w:r>
              <w:rPr>
                <w:rFonts w:ascii="Times New Roman" w:hAnsi="Times New Roman"/>
                <w:i/>
                <w:noProof/>
                <w:sz w:val="24"/>
              </w:rPr>
              <w:t>nie zapewnić jedynie 3</w:t>
            </w:r>
            <w:r w:rsidRPr="002001C0">
              <w:rPr>
                <w:rFonts w:ascii="Times New Roman" w:hAnsi="Times New Roman"/>
                <w:i/>
                <w:noProof/>
                <w:sz w:val="24"/>
              </w:rPr>
              <w:t>6</w:t>
            </w:r>
            <w:r w:rsidR="002001C0" w:rsidRPr="002001C0">
              <w:rPr>
                <w:rFonts w:ascii="Times New Roman" w:hAnsi="Times New Roman"/>
                <w:i/>
                <w:noProof/>
                <w:sz w:val="24"/>
              </w:rPr>
              <w:t> </w:t>
            </w:r>
            <w:r w:rsidRPr="002001C0">
              <w:rPr>
                <w:rFonts w:ascii="Times New Roman" w:hAnsi="Times New Roman"/>
                <w:i/>
                <w:noProof/>
                <w:sz w:val="24"/>
              </w:rPr>
              <w:t>%</w:t>
            </w:r>
            <w:r>
              <w:rPr>
                <w:rFonts w:ascii="Times New Roman" w:hAnsi="Times New Roman"/>
                <w:i/>
                <w:noProof/>
                <w:sz w:val="24"/>
              </w:rPr>
              <w:t xml:space="preserve"> całkowitej kwoty dotacji,</w:t>
            </w:r>
            <w:r w:rsidR="0076371C">
              <w:rPr>
                <w:rFonts w:ascii="Times New Roman" w:hAnsi="Times New Roman"/>
                <w:i/>
                <w:noProof/>
                <w:sz w:val="24"/>
              </w:rPr>
              <w:t xml:space="preserve"> o któ</w:t>
            </w:r>
            <w:r>
              <w:rPr>
                <w:rFonts w:ascii="Times New Roman" w:hAnsi="Times New Roman"/>
                <w:i/>
                <w:noProof/>
                <w:sz w:val="24"/>
              </w:rPr>
              <w:t>re wnioskowano</w:t>
            </w:r>
            <w:r w:rsidR="0076371C">
              <w:rPr>
                <w:rFonts w:ascii="Times New Roman" w:hAnsi="Times New Roman"/>
                <w:i/>
                <w:noProof/>
                <w:sz w:val="24"/>
              </w:rPr>
              <w:t xml:space="preserve"> w ram</w:t>
            </w:r>
            <w:r>
              <w:rPr>
                <w:rFonts w:ascii="Times New Roman" w:hAnsi="Times New Roman"/>
                <w:i/>
                <w:noProof/>
                <w:sz w:val="24"/>
              </w:rPr>
              <w:t>ach projektów spełniających lub przekraczających wymogi progów klasyfikacji. Najbardziej wspieranym sektorem w LSC-2021 jest „cement</w:t>
            </w:r>
            <w:r w:rsidR="0076371C">
              <w:rPr>
                <w:rFonts w:ascii="Times New Roman" w:hAnsi="Times New Roman"/>
                <w:i/>
                <w:noProof/>
                <w:sz w:val="24"/>
              </w:rPr>
              <w:t xml:space="preserve"> i wap</w:t>
            </w:r>
            <w:r>
              <w:rPr>
                <w:rFonts w:ascii="Times New Roman" w:hAnsi="Times New Roman"/>
                <w:i/>
                <w:noProof/>
                <w:sz w:val="24"/>
              </w:rPr>
              <w:t>no”,</w:t>
            </w:r>
            <w:r w:rsidR="0076371C">
              <w:rPr>
                <w:rFonts w:ascii="Times New Roman" w:hAnsi="Times New Roman"/>
                <w:i/>
                <w:noProof/>
                <w:sz w:val="24"/>
              </w:rPr>
              <w:t xml:space="preserve"> w któ</w:t>
            </w:r>
            <w:r>
              <w:rPr>
                <w:rFonts w:ascii="Times New Roman" w:hAnsi="Times New Roman"/>
                <w:i/>
                <w:noProof/>
                <w:sz w:val="24"/>
              </w:rPr>
              <w:t>rej to branży cztery projekty otrzymały łącznie 653 mln EUR na wdrożenie rozwiązań</w:t>
            </w:r>
            <w:r w:rsidR="0076371C">
              <w:rPr>
                <w:rFonts w:ascii="Times New Roman" w:hAnsi="Times New Roman"/>
                <w:i/>
                <w:noProof/>
                <w:sz w:val="24"/>
              </w:rPr>
              <w:t xml:space="preserve"> w zak</w:t>
            </w:r>
            <w:r>
              <w:rPr>
                <w:rFonts w:ascii="Times New Roman" w:hAnsi="Times New Roman"/>
                <w:i/>
                <w:noProof/>
                <w:sz w:val="24"/>
              </w:rPr>
              <w:t xml:space="preserve">resie CCS. Oczekuje się, że wybrane projekty łącznie pomogą uniknąć 132 mln ton ekwiwalentu </w:t>
            </w:r>
            <w:r>
              <w:rPr>
                <w:rFonts w:ascii="Times New Roman" w:hAnsi="Times New Roman"/>
                <w:noProof/>
                <w:sz w:val="24"/>
              </w:rPr>
              <w:t>CO₂</w:t>
            </w:r>
            <w:r w:rsidR="0076371C">
              <w:rPr>
                <w:rFonts w:ascii="Times New Roman" w:hAnsi="Times New Roman"/>
                <w:i/>
                <w:noProof/>
                <w:sz w:val="24"/>
              </w:rPr>
              <w:t xml:space="preserve"> w okr</w:t>
            </w:r>
            <w:r>
              <w:rPr>
                <w:rFonts w:ascii="Times New Roman" w:hAnsi="Times New Roman"/>
                <w:i/>
                <w:noProof/>
                <w:sz w:val="24"/>
              </w:rPr>
              <w:t>esie 10 lat.</w:t>
            </w:r>
          </w:p>
          <w:p w14:paraId="5A54696A" w14:textId="7FF71A3B" w:rsidR="006D5103" w:rsidRPr="008021A2" w:rsidRDefault="006D5103" w:rsidP="00B96AF8">
            <w:pPr>
              <w:jc w:val="both"/>
              <w:rPr>
                <w:rFonts w:ascii="Times New Roman" w:hAnsi="Times New Roman" w:cs="Times New Roman"/>
                <w:i/>
                <w:noProof/>
                <w:sz w:val="24"/>
              </w:rPr>
            </w:pPr>
          </w:p>
        </w:tc>
      </w:tr>
    </w:tbl>
    <w:p w14:paraId="501AE406" w14:textId="77777777" w:rsidR="0018295A" w:rsidRPr="008021A2" w:rsidRDefault="0018295A" w:rsidP="0018295A">
      <w:pPr>
        <w:jc w:val="both"/>
        <w:rPr>
          <w:rFonts w:ascii="Times New Roman" w:hAnsi="Times New Roman" w:cs="Times New Roman"/>
          <w:noProof/>
          <w:sz w:val="24"/>
        </w:rPr>
      </w:pPr>
    </w:p>
    <w:p w14:paraId="5E1C7C84" w14:textId="2EE324EF" w:rsidR="00A31C59" w:rsidRPr="008021A2" w:rsidRDefault="0018295A" w:rsidP="00A31C59">
      <w:pPr>
        <w:pStyle w:val="Nagwek2"/>
        <w:framePr w:wrap="auto" w:vAnchor="margin" w:yAlign="inline"/>
        <w:jc w:val="both"/>
        <w:rPr>
          <w:rFonts w:cs="Times New Roman"/>
          <w:b/>
          <w:caps w:val="0"/>
          <w:noProof/>
        </w:rPr>
      </w:pPr>
      <w:bookmarkStart w:id="4" w:name="_Toc150504440"/>
      <w:r>
        <w:rPr>
          <w:b/>
          <w:caps w:val="0"/>
          <w:noProof/>
        </w:rPr>
        <w:t>Zgłaszanie projektów</w:t>
      </w:r>
      <w:r w:rsidR="0076371C">
        <w:rPr>
          <w:b/>
          <w:caps w:val="0"/>
          <w:noProof/>
        </w:rPr>
        <w:t xml:space="preserve"> w ram</w:t>
      </w:r>
      <w:r>
        <w:rPr>
          <w:b/>
          <w:caps w:val="0"/>
          <w:noProof/>
        </w:rPr>
        <w:t>ach zaproszenia do składania wniosków</w:t>
      </w:r>
      <w:bookmarkEnd w:id="4"/>
    </w:p>
    <w:p w14:paraId="034B4E19" w14:textId="77777777" w:rsidR="00A31C59" w:rsidRPr="008021A2" w:rsidRDefault="00A31C59" w:rsidP="00A31C59">
      <w:pPr>
        <w:rPr>
          <w:rFonts w:ascii="Times New Roman" w:hAnsi="Times New Roman" w:cs="Times New Roman"/>
          <w:noProof/>
        </w:rPr>
      </w:pPr>
    </w:p>
    <w:p w14:paraId="586CEDEA" w14:textId="0AFC4E63"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Pierwotny budżet na wnioski</w:t>
      </w:r>
      <w:r w:rsidR="0076371C">
        <w:rPr>
          <w:rFonts w:ascii="Times New Roman" w:hAnsi="Times New Roman"/>
          <w:noProof/>
          <w:sz w:val="24"/>
        </w:rPr>
        <w:t xml:space="preserve"> w ram</w:t>
      </w:r>
      <w:r>
        <w:rPr>
          <w:rFonts w:ascii="Times New Roman" w:hAnsi="Times New Roman"/>
          <w:noProof/>
          <w:sz w:val="24"/>
        </w:rPr>
        <w:t>ach LSC-2021 wynosił 1,5 mld EUR</w:t>
      </w:r>
      <w:r w:rsidR="0076371C">
        <w:rPr>
          <w:rFonts w:ascii="Times New Roman" w:hAnsi="Times New Roman"/>
          <w:noProof/>
          <w:sz w:val="24"/>
        </w:rPr>
        <w:t xml:space="preserve"> i był</w:t>
      </w:r>
      <w:r>
        <w:rPr>
          <w:rFonts w:ascii="Times New Roman" w:hAnsi="Times New Roman"/>
          <w:noProof/>
          <w:sz w:val="24"/>
        </w:rPr>
        <w:t xml:space="preserve"> przeznaczony na wsparcie projektów</w:t>
      </w:r>
      <w:r w:rsidR="0076371C">
        <w:rPr>
          <w:rFonts w:ascii="Times New Roman" w:hAnsi="Times New Roman"/>
          <w:noProof/>
          <w:sz w:val="24"/>
        </w:rPr>
        <w:t xml:space="preserve"> o sza</w:t>
      </w:r>
      <w:r>
        <w:rPr>
          <w:rFonts w:ascii="Times New Roman" w:hAnsi="Times New Roman"/>
          <w:noProof/>
          <w:sz w:val="24"/>
        </w:rPr>
        <w:t>cowanych wydatkach kapitałowych przekraczających 7,5 mln EUR na projekt</w:t>
      </w:r>
      <w:r w:rsidR="0076371C">
        <w:rPr>
          <w:rFonts w:ascii="Times New Roman" w:hAnsi="Times New Roman"/>
          <w:noProof/>
          <w:sz w:val="24"/>
        </w:rPr>
        <w:t xml:space="preserve"> w dow</w:t>
      </w:r>
      <w:r>
        <w:rPr>
          <w:rFonts w:ascii="Times New Roman" w:hAnsi="Times New Roman"/>
          <w:noProof/>
          <w:sz w:val="24"/>
        </w:rPr>
        <w:t>olnym sektorze kwalifikującym się</w:t>
      </w:r>
      <w:r w:rsidR="0076371C">
        <w:rPr>
          <w:rFonts w:ascii="Times New Roman" w:hAnsi="Times New Roman"/>
          <w:noProof/>
          <w:sz w:val="24"/>
        </w:rPr>
        <w:t xml:space="preserve"> w ram</w:t>
      </w:r>
      <w:r>
        <w:rPr>
          <w:rFonts w:ascii="Times New Roman" w:hAnsi="Times New Roman"/>
          <w:noProof/>
          <w:sz w:val="24"/>
        </w:rPr>
        <w:t>ach funduszu innowacyjnego</w:t>
      </w:r>
      <w:r w:rsidR="0076371C">
        <w:rPr>
          <w:rFonts w:ascii="Times New Roman" w:hAnsi="Times New Roman"/>
          <w:noProof/>
          <w:sz w:val="24"/>
        </w:rPr>
        <w:t>. W dec</w:t>
      </w:r>
      <w:r>
        <w:rPr>
          <w:rFonts w:ascii="Times New Roman" w:hAnsi="Times New Roman"/>
          <w:noProof/>
          <w:sz w:val="24"/>
        </w:rPr>
        <w:t>yzji</w:t>
      </w:r>
      <w:r w:rsidR="0076371C">
        <w:rPr>
          <w:rFonts w:ascii="Times New Roman" w:hAnsi="Times New Roman"/>
          <w:noProof/>
          <w:sz w:val="24"/>
        </w:rPr>
        <w:t xml:space="preserve"> w spr</w:t>
      </w:r>
      <w:r>
        <w:rPr>
          <w:rFonts w:ascii="Times New Roman" w:hAnsi="Times New Roman"/>
          <w:noProof/>
          <w:sz w:val="24"/>
        </w:rPr>
        <w:t>awie finansowania poprzedzającej zaproszenie określono również maksymalną elastyczność wynoszącą 2</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sidR="0076371C">
        <w:rPr>
          <w:rFonts w:ascii="Times New Roman" w:hAnsi="Times New Roman"/>
          <w:noProof/>
          <w:sz w:val="24"/>
        </w:rPr>
        <w:t xml:space="preserve"> w odn</w:t>
      </w:r>
      <w:r>
        <w:rPr>
          <w:rFonts w:ascii="Times New Roman" w:hAnsi="Times New Roman"/>
          <w:noProof/>
          <w:sz w:val="24"/>
        </w:rPr>
        <w:t>iesieniu do całkowitego budżetu, jeżeli budżet był niewystarczający na otrzymane wnioski powyżej minimalnych progów. Zaproszenie ogłoszono 26 października 20</w:t>
      </w:r>
      <w:r w:rsidRPr="002001C0">
        <w:rPr>
          <w:rFonts w:ascii="Times New Roman" w:hAnsi="Times New Roman"/>
          <w:noProof/>
          <w:sz w:val="24"/>
        </w:rPr>
        <w:t>21</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ter</w:t>
      </w:r>
      <w:r>
        <w:rPr>
          <w:rFonts w:ascii="Times New Roman" w:hAnsi="Times New Roman"/>
          <w:noProof/>
          <w:sz w:val="24"/>
        </w:rPr>
        <w:t>min składania wniosków upływał 3 marca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Wyniki oceny ogłoszono 11 lipca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65F00857" w14:textId="5FFEA407"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W ramach zaproszenia otrzymano 139 wniosków,</w:t>
      </w:r>
      <w:r w:rsidR="0076371C">
        <w:rPr>
          <w:rFonts w:ascii="Times New Roman" w:hAnsi="Times New Roman"/>
          <w:noProof/>
          <w:sz w:val="24"/>
        </w:rPr>
        <w:t xml:space="preserve"> z cze</w:t>
      </w:r>
      <w:r>
        <w:rPr>
          <w:rFonts w:ascii="Times New Roman" w:hAnsi="Times New Roman"/>
          <w:noProof/>
          <w:sz w:val="24"/>
        </w:rPr>
        <w:t>go 121 (8</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uznano za dopuszczalne</w:t>
      </w:r>
      <w:r w:rsidR="0076371C">
        <w:rPr>
          <w:rFonts w:ascii="Times New Roman" w:hAnsi="Times New Roman"/>
          <w:noProof/>
          <w:sz w:val="24"/>
        </w:rPr>
        <w:t xml:space="preserve"> i kwa</w:t>
      </w:r>
      <w:r>
        <w:rPr>
          <w:rFonts w:ascii="Times New Roman" w:hAnsi="Times New Roman"/>
          <w:noProof/>
          <w:sz w:val="24"/>
        </w:rPr>
        <w:t xml:space="preserve">lifikujące się do oceny (zob.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 Jakość wniosków była wysoka, wskutek czego 48 wniosków osiągnęło lub przekroczyło minimalny próg oceny do przyjęcia do rozpatrzenia. Po klasyfikacji według wyniku oceny zgodnie</w:t>
      </w:r>
      <w:r w:rsidR="0076371C">
        <w:rPr>
          <w:rFonts w:ascii="Times New Roman" w:hAnsi="Times New Roman"/>
          <w:noProof/>
          <w:sz w:val="24"/>
        </w:rPr>
        <w:t xml:space="preserve"> z obo</w:t>
      </w:r>
      <w:r>
        <w:rPr>
          <w:rFonts w:ascii="Times New Roman" w:hAnsi="Times New Roman"/>
          <w:noProof/>
          <w:sz w:val="24"/>
        </w:rPr>
        <w:t>wiązującymi kryteriami wyboru</w:t>
      </w:r>
      <w:r w:rsidR="0076371C">
        <w:rPr>
          <w:rFonts w:ascii="Times New Roman" w:hAnsi="Times New Roman"/>
          <w:noProof/>
          <w:sz w:val="24"/>
        </w:rPr>
        <w:t xml:space="preserve"> i z uwa</w:t>
      </w:r>
      <w:r>
        <w:rPr>
          <w:rFonts w:ascii="Times New Roman" w:hAnsi="Times New Roman"/>
          <w:noProof/>
          <w:sz w:val="24"/>
        </w:rPr>
        <w:t>gi na ograniczony dostępny budżet wybrano 16 projektów,</w:t>
      </w:r>
      <w:r w:rsidR="0076371C">
        <w:rPr>
          <w:rFonts w:ascii="Times New Roman" w:hAnsi="Times New Roman"/>
          <w:noProof/>
          <w:sz w:val="24"/>
        </w:rPr>
        <w:t xml:space="preserve"> w prz</w:t>
      </w:r>
      <w:r>
        <w:rPr>
          <w:rFonts w:ascii="Times New Roman" w:hAnsi="Times New Roman"/>
          <w:noProof/>
          <w:sz w:val="24"/>
        </w:rPr>
        <w:t>ypadku których wystosowano zaproszenie do etapu przygotowań do udzielenia dotacji,</w:t>
      </w:r>
      <w:r w:rsidR="0076371C">
        <w:rPr>
          <w:rFonts w:ascii="Times New Roman" w:hAnsi="Times New Roman"/>
          <w:noProof/>
          <w:sz w:val="24"/>
        </w:rPr>
        <w:t xml:space="preserve"> a pię</w:t>
      </w:r>
      <w:r>
        <w:rPr>
          <w:rFonts w:ascii="Times New Roman" w:hAnsi="Times New Roman"/>
          <w:noProof/>
          <w:sz w:val="24"/>
        </w:rPr>
        <w:t>ć projektów umieszczono na liście rezerwowej.</w:t>
      </w:r>
    </w:p>
    <w:p w14:paraId="447CE5BF" w14:textId="11F787C2" w:rsidR="0018295A" w:rsidRPr="00C31AF5" w:rsidRDefault="0018295A" w:rsidP="00C31AF5">
      <w:pPr>
        <w:pStyle w:val="Legenda"/>
        <w:rPr>
          <w:noProof/>
        </w:rPr>
      </w:pPr>
      <w:r w:rsidRPr="00C31AF5">
        <w:rPr>
          <w:noProof/>
        </w:rPr>
        <w:t xml:space="preserve">Rys. </w:t>
      </w:r>
      <w:r w:rsidRPr="00C31AF5">
        <w:rPr>
          <w:noProof/>
        </w:rPr>
        <w:fldChar w:fldCharType="begin"/>
      </w:r>
      <w:r w:rsidRPr="00C31AF5">
        <w:rPr>
          <w:noProof/>
        </w:rPr>
        <w:instrText>SEQ Figure \* ARABIC</w:instrText>
      </w:r>
      <w:r w:rsidRPr="00C31AF5">
        <w:rPr>
          <w:noProof/>
        </w:rPr>
        <w:fldChar w:fldCharType="separate"/>
      </w:r>
      <w:r w:rsidR="00574F36" w:rsidRPr="00C31AF5">
        <w:rPr>
          <w:noProof/>
        </w:rPr>
        <w:t>2</w:t>
      </w:r>
      <w:r w:rsidRPr="00C31AF5">
        <w:rPr>
          <w:noProof/>
        </w:rPr>
        <w:fldChar w:fldCharType="end"/>
      </w:r>
      <w:r w:rsidRPr="00C31AF5">
        <w:rPr>
          <w:noProof/>
        </w:rPr>
        <w:t>: Wyniki oceny LSC-2021</w:t>
      </w:r>
    </w:p>
    <w:p w14:paraId="068698B2" w14:textId="65A172AE" w:rsidR="0018295A" w:rsidRPr="008021A2" w:rsidRDefault="00574F36" w:rsidP="0018295A">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0A491B94" wp14:editId="425EAB4C">
            <wp:extent cx="5731510" cy="1485900"/>
            <wp:effectExtent l="0" t="0" r="2540" b="0"/>
            <wp:docPr id="1653002778" name="Obraz 1" descr="Obraz zawierający zrzut ekranu, linia, tekst,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02778" name="Obraz 1" descr="Obraz zawierający zrzut ekranu, linia, tekst, Wykres&#10;&#10;Opis wygenerowany automatycznie"/>
                    <pic:cNvPicPr/>
                  </pic:nvPicPr>
                  <pic:blipFill>
                    <a:blip r:embed="rId18"/>
                    <a:stretch>
                      <a:fillRect/>
                    </a:stretch>
                  </pic:blipFill>
                  <pic:spPr>
                    <a:xfrm>
                      <a:off x="0" y="0"/>
                      <a:ext cx="5731510" cy="1485900"/>
                    </a:xfrm>
                    <a:prstGeom prst="rect">
                      <a:avLst/>
                    </a:prstGeom>
                  </pic:spPr>
                </pic:pic>
              </a:graphicData>
            </a:graphic>
          </wp:inline>
        </w:drawing>
      </w:r>
    </w:p>
    <w:p w14:paraId="749CA300" w14:textId="4A109763"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lastRenderedPageBreak/>
        <w:t>W przypadku dwóch wniosków</w:t>
      </w:r>
      <w:r>
        <w:rPr>
          <w:rStyle w:val="Odwoanieprzypisudolnego"/>
          <w:rFonts w:ascii="Times New Roman" w:hAnsi="Times New Roman" w:cs="Times New Roman"/>
          <w:noProof/>
          <w:sz w:val="24"/>
        </w:rPr>
        <w:footnoteReference w:id="25"/>
      </w:r>
      <w:r>
        <w:rPr>
          <w:rFonts w:ascii="Times New Roman" w:hAnsi="Times New Roman"/>
          <w:noProof/>
          <w:sz w:val="24"/>
        </w:rPr>
        <w:t>, które wybrano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procesu tego nie ukończono</w:t>
      </w:r>
      <w:r w:rsidR="0076371C">
        <w:rPr>
          <w:rFonts w:ascii="Times New Roman" w:hAnsi="Times New Roman"/>
          <w:noProof/>
          <w:sz w:val="24"/>
        </w:rPr>
        <w:t>. W zwi</w:t>
      </w:r>
      <w:r>
        <w:rPr>
          <w:rFonts w:ascii="Times New Roman" w:hAnsi="Times New Roman"/>
          <w:noProof/>
          <w:sz w:val="24"/>
        </w:rPr>
        <w:t>ązku</w:t>
      </w:r>
      <w:r w:rsidR="0076371C">
        <w:rPr>
          <w:rFonts w:ascii="Times New Roman" w:hAnsi="Times New Roman"/>
          <w:noProof/>
          <w:sz w:val="24"/>
        </w:rPr>
        <w:t xml:space="preserve"> z tym w odn</w:t>
      </w:r>
      <w:r>
        <w:rPr>
          <w:rFonts w:ascii="Times New Roman" w:hAnsi="Times New Roman"/>
          <w:noProof/>
          <w:sz w:val="24"/>
        </w:rPr>
        <w:t>iesieniu do pierwszego wniosku</w:t>
      </w:r>
      <w:r w:rsidR="0076371C">
        <w:rPr>
          <w:rFonts w:ascii="Times New Roman" w:hAnsi="Times New Roman"/>
          <w:noProof/>
          <w:sz w:val="24"/>
        </w:rPr>
        <w:t xml:space="preserve"> z lis</w:t>
      </w:r>
      <w:r>
        <w:rPr>
          <w:rFonts w:ascii="Times New Roman" w:hAnsi="Times New Roman"/>
          <w:noProof/>
          <w:sz w:val="24"/>
        </w:rPr>
        <w:t>ty rezerwowej</w:t>
      </w:r>
      <w:r>
        <w:rPr>
          <w:rStyle w:val="Odwoanieprzypisudolnego"/>
          <w:rFonts w:ascii="Times New Roman" w:hAnsi="Times New Roman" w:cs="Times New Roman"/>
          <w:noProof/>
          <w:sz w:val="24"/>
        </w:rPr>
        <w:footnoteReference w:id="26"/>
      </w:r>
      <w:r>
        <w:rPr>
          <w:rFonts w:ascii="Times New Roman" w:hAnsi="Times New Roman"/>
          <w:noProof/>
          <w:sz w:val="24"/>
        </w:rPr>
        <w:t xml:space="preserve"> wystosowano zaproszenie do negocjacji</w:t>
      </w:r>
      <w:r w:rsidR="0076371C">
        <w:rPr>
          <w:rFonts w:ascii="Times New Roman" w:hAnsi="Times New Roman"/>
          <w:noProof/>
          <w:sz w:val="24"/>
        </w:rPr>
        <w:t xml:space="preserve"> w spr</w:t>
      </w:r>
      <w:r>
        <w:rPr>
          <w:rFonts w:ascii="Times New Roman" w:hAnsi="Times New Roman"/>
          <w:noProof/>
          <w:sz w:val="24"/>
        </w:rPr>
        <w:t>awie udzielenia dotacji.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odn</w:t>
      </w:r>
      <w:r>
        <w:rPr>
          <w:rFonts w:ascii="Times New Roman" w:hAnsi="Times New Roman"/>
          <w:noProof/>
          <w:sz w:val="24"/>
        </w:rPr>
        <w:t xml:space="preserve">iesieniu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5 projektów podpisano z CINEA umowę</w:t>
      </w:r>
      <w:r w:rsidR="0076371C">
        <w:rPr>
          <w:rFonts w:ascii="Times New Roman" w:hAnsi="Times New Roman"/>
          <w:noProof/>
          <w:sz w:val="24"/>
        </w:rPr>
        <w:t xml:space="preserve"> o udz</w:t>
      </w:r>
      <w:r>
        <w:rPr>
          <w:rFonts w:ascii="Times New Roman" w:hAnsi="Times New Roman"/>
          <w:noProof/>
          <w:sz w:val="24"/>
        </w:rPr>
        <w:t>ielenie dotacji umożliwiającą uzyskanie wsparcia</w:t>
      </w:r>
      <w:r w:rsidR="0076371C">
        <w:rPr>
          <w:rFonts w:ascii="Times New Roman" w:hAnsi="Times New Roman"/>
          <w:noProof/>
          <w:sz w:val="24"/>
        </w:rPr>
        <w:t xml:space="preserve"> z fun</w:t>
      </w:r>
      <w:r>
        <w:rPr>
          <w:rFonts w:ascii="Times New Roman" w:hAnsi="Times New Roman"/>
          <w:noProof/>
          <w:sz w:val="24"/>
        </w:rPr>
        <w:t>duszu innowacyjnego, natomiast</w:t>
      </w:r>
      <w:r w:rsidR="0076371C">
        <w:rPr>
          <w:rFonts w:ascii="Times New Roman" w:hAnsi="Times New Roman"/>
          <w:noProof/>
          <w:sz w:val="24"/>
        </w:rPr>
        <w:t xml:space="preserve"> w prz</w:t>
      </w:r>
      <w:r>
        <w:rPr>
          <w:rFonts w:ascii="Times New Roman" w:hAnsi="Times New Roman"/>
          <w:noProof/>
          <w:sz w:val="24"/>
        </w:rPr>
        <w:t>ypadku niesfinalizowanego projektu</w:t>
      </w:r>
      <w:r w:rsidR="0076371C">
        <w:rPr>
          <w:rFonts w:ascii="Times New Roman" w:hAnsi="Times New Roman"/>
          <w:noProof/>
          <w:sz w:val="24"/>
        </w:rPr>
        <w:t xml:space="preserve"> z lis</w:t>
      </w:r>
      <w:r>
        <w:rPr>
          <w:rFonts w:ascii="Times New Roman" w:hAnsi="Times New Roman"/>
          <w:noProof/>
          <w:sz w:val="24"/>
        </w:rPr>
        <w:t>ty rezerwowej nadal trwał etap przygotowań do zawarcia umowy</w:t>
      </w:r>
      <w:r w:rsidR="0076371C">
        <w:rPr>
          <w:rFonts w:ascii="Times New Roman" w:hAnsi="Times New Roman"/>
          <w:noProof/>
          <w:sz w:val="24"/>
        </w:rPr>
        <w:t xml:space="preserve"> o udz</w:t>
      </w:r>
      <w:r>
        <w:rPr>
          <w:rFonts w:ascii="Times New Roman" w:hAnsi="Times New Roman"/>
          <w:noProof/>
          <w:sz w:val="24"/>
        </w:rPr>
        <w:t>ielenie dotacji.</w:t>
      </w:r>
    </w:p>
    <w:p w14:paraId="38263C00" w14:textId="07A63307"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Spośród wszystkich wniosków otrzymanych</w:t>
      </w:r>
      <w:r w:rsidR="0076371C">
        <w:rPr>
          <w:rFonts w:ascii="Times New Roman" w:hAnsi="Times New Roman"/>
          <w:noProof/>
          <w:sz w:val="24"/>
        </w:rPr>
        <w:t xml:space="preserve"> w ram</w:t>
      </w:r>
      <w:r>
        <w:rPr>
          <w:rFonts w:ascii="Times New Roman" w:hAnsi="Times New Roman"/>
          <w:noProof/>
          <w:sz w:val="24"/>
        </w:rPr>
        <w:t>ach LSC-2021 59 (4</w:t>
      </w:r>
      <w:r w:rsidRPr="002001C0">
        <w:rPr>
          <w:rFonts w:ascii="Times New Roman" w:hAnsi="Times New Roman"/>
          <w:noProof/>
          <w:sz w:val="24"/>
        </w:rPr>
        <w:t>5</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wszystkich otrzymanych wniosków) stanowiły ponownie złożone wnioski</w:t>
      </w:r>
      <w:r w:rsidR="0076371C">
        <w:rPr>
          <w:rFonts w:ascii="Times New Roman" w:hAnsi="Times New Roman"/>
          <w:noProof/>
          <w:sz w:val="24"/>
        </w:rPr>
        <w:t xml:space="preserve"> z wcz</w:t>
      </w:r>
      <w:r>
        <w:rPr>
          <w:rFonts w:ascii="Times New Roman" w:hAnsi="Times New Roman"/>
          <w:noProof/>
          <w:sz w:val="24"/>
        </w:rPr>
        <w:t>eśniejszego zaproszenia LSC-2020,</w:t>
      </w:r>
      <w:r w:rsidR="0076371C">
        <w:rPr>
          <w:rFonts w:ascii="Times New Roman" w:hAnsi="Times New Roman"/>
          <w:noProof/>
          <w:sz w:val="24"/>
        </w:rPr>
        <w:t xml:space="preserve"> w tym</w:t>
      </w:r>
      <w:r>
        <w:rPr>
          <w:rFonts w:ascii="Times New Roman" w:hAnsi="Times New Roman"/>
          <w:noProof/>
          <w:sz w:val="24"/>
        </w:rPr>
        <w:t xml:space="preserve"> trzy wnioski, na które udzielono pomocy</w:t>
      </w:r>
      <w:r w:rsidR="0076371C">
        <w:rPr>
          <w:rFonts w:ascii="Times New Roman" w:hAnsi="Times New Roman"/>
          <w:noProof/>
          <w:sz w:val="24"/>
        </w:rPr>
        <w:t xml:space="preserve"> w zak</w:t>
      </w:r>
      <w:r>
        <w:rPr>
          <w:rFonts w:ascii="Times New Roman" w:hAnsi="Times New Roman"/>
          <w:noProof/>
          <w:sz w:val="24"/>
        </w:rPr>
        <w:t>resie opracowywania projektu</w:t>
      </w:r>
      <w:r w:rsidR="0076371C">
        <w:rPr>
          <w:rFonts w:ascii="Times New Roman" w:hAnsi="Times New Roman"/>
          <w:noProof/>
          <w:sz w:val="24"/>
        </w:rPr>
        <w:t xml:space="preserve"> w ram</w:t>
      </w:r>
      <w:r>
        <w:rPr>
          <w:rFonts w:ascii="Times New Roman" w:hAnsi="Times New Roman"/>
          <w:noProof/>
          <w:sz w:val="24"/>
        </w:rPr>
        <w:t>ach LSC-2020. Spośród 16 ostatecznie wybranych wniosków</w:t>
      </w:r>
      <w:r w:rsidR="0076371C">
        <w:rPr>
          <w:rFonts w:ascii="Times New Roman" w:hAnsi="Times New Roman"/>
          <w:noProof/>
          <w:sz w:val="24"/>
        </w:rPr>
        <w:t xml:space="preserve"> w ram</w:t>
      </w:r>
      <w:r>
        <w:rPr>
          <w:rFonts w:ascii="Times New Roman" w:hAnsi="Times New Roman"/>
          <w:noProof/>
          <w:sz w:val="24"/>
        </w:rPr>
        <w:t>ach LSC-2021 dziewięć zaliczało się do tych 59 ponownie złożonych wniosków. Doświadczenie to pokazało,</w:t>
      </w:r>
      <w:r w:rsidR="0076371C">
        <w:rPr>
          <w:rFonts w:ascii="Times New Roman" w:hAnsi="Times New Roman"/>
          <w:noProof/>
          <w:sz w:val="24"/>
        </w:rPr>
        <w:t xml:space="preserve"> w jak</w:t>
      </w:r>
      <w:r>
        <w:rPr>
          <w:rFonts w:ascii="Times New Roman" w:hAnsi="Times New Roman"/>
          <w:noProof/>
          <w:sz w:val="24"/>
        </w:rPr>
        <w:t>im stopniu projekty mogą zyskać na doświadczeniu</w:t>
      </w:r>
      <w:r w:rsidR="0076371C">
        <w:rPr>
          <w:rFonts w:ascii="Times New Roman" w:hAnsi="Times New Roman"/>
          <w:noProof/>
          <w:sz w:val="24"/>
        </w:rPr>
        <w:t xml:space="preserve"> w zak</w:t>
      </w:r>
      <w:r>
        <w:rPr>
          <w:rFonts w:ascii="Times New Roman" w:hAnsi="Times New Roman"/>
          <w:noProof/>
          <w:sz w:val="24"/>
        </w:rPr>
        <w:t>resie składania wniosków,</w:t>
      </w:r>
      <w:r w:rsidR="0076371C">
        <w:rPr>
          <w:rFonts w:ascii="Times New Roman" w:hAnsi="Times New Roman"/>
          <w:noProof/>
          <w:sz w:val="24"/>
        </w:rPr>
        <w:t xml:space="preserve"> a nas</w:t>
      </w:r>
      <w:r>
        <w:rPr>
          <w:rFonts w:ascii="Times New Roman" w:hAnsi="Times New Roman"/>
          <w:noProof/>
          <w:sz w:val="24"/>
        </w:rPr>
        <w:t>tępnie poprawy ich konkurencyjności,</w:t>
      </w:r>
      <w:r w:rsidR="0076371C">
        <w:rPr>
          <w:rFonts w:ascii="Times New Roman" w:hAnsi="Times New Roman"/>
          <w:noProof/>
          <w:sz w:val="24"/>
        </w:rPr>
        <w:t xml:space="preserve"> w szc</w:t>
      </w:r>
      <w:r>
        <w:rPr>
          <w:rFonts w:ascii="Times New Roman" w:hAnsi="Times New Roman"/>
          <w:noProof/>
          <w:sz w:val="24"/>
        </w:rPr>
        <w:t>zególności dzięki wyeliminowaniu niedociągnięć</w:t>
      </w:r>
      <w:r w:rsidR="0076371C">
        <w:rPr>
          <w:rFonts w:ascii="Times New Roman" w:hAnsi="Times New Roman"/>
          <w:noProof/>
          <w:sz w:val="24"/>
        </w:rPr>
        <w:t xml:space="preserve"> w sto</w:t>
      </w:r>
      <w:r>
        <w:rPr>
          <w:rFonts w:ascii="Times New Roman" w:hAnsi="Times New Roman"/>
          <w:noProof/>
          <w:sz w:val="24"/>
        </w:rPr>
        <w:t>pniu zaawansowania na poziomie technicznym, finansowym</w:t>
      </w:r>
      <w:r w:rsidR="0076371C">
        <w:rPr>
          <w:rFonts w:ascii="Times New Roman" w:hAnsi="Times New Roman"/>
          <w:noProof/>
          <w:sz w:val="24"/>
        </w:rPr>
        <w:t xml:space="preserve"> i ope</w:t>
      </w:r>
      <w:r>
        <w:rPr>
          <w:rFonts w:ascii="Times New Roman" w:hAnsi="Times New Roman"/>
          <w:noProof/>
          <w:sz w:val="24"/>
        </w:rPr>
        <w:t>racyjnym projektów. Doświadczenie to pokazuje również, jak ważne jest wprowadzenie programu pomocy</w:t>
      </w:r>
      <w:r w:rsidR="0076371C">
        <w:rPr>
          <w:rFonts w:ascii="Times New Roman" w:hAnsi="Times New Roman"/>
          <w:noProof/>
          <w:sz w:val="24"/>
        </w:rPr>
        <w:t xml:space="preserve"> w zak</w:t>
      </w:r>
      <w:r>
        <w:rPr>
          <w:rFonts w:ascii="Times New Roman" w:hAnsi="Times New Roman"/>
          <w:noProof/>
          <w:sz w:val="24"/>
        </w:rPr>
        <w:t>resie opracowywania projektu, aby wspomóc osiągnięcie większego stopnia zaawansowania projektów. Po LSC-2021 spośród 32 projektów, których nie wybrano ze względu na ograniczony dostępny budżet,</w:t>
      </w:r>
      <w:r w:rsidR="0076371C">
        <w:rPr>
          <w:rFonts w:ascii="Times New Roman" w:hAnsi="Times New Roman"/>
          <w:noProof/>
          <w:sz w:val="24"/>
        </w:rPr>
        <w:t xml:space="preserve"> w prz</w:t>
      </w:r>
      <w:r>
        <w:rPr>
          <w:rFonts w:ascii="Times New Roman" w:hAnsi="Times New Roman"/>
          <w:noProof/>
          <w:sz w:val="24"/>
        </w:rPr>
        <w:t>ypadku 18 projektów wystosowano zaproszenie do skorzystania</w:t>
      </w:r>
      <w:r w:rsidR="0076371C">
        <w:rPr>
          <w:rFonts w:ascii="Times New Roman" w:hAnsi="Times New Roman"/>
          <w:noProof/>
          <w:sz w:val="24"/>
        </w:rPr>
        <w:t xml:space="preserve"> z pom</w:t>
      </w:r>
      <w:r>
        <w:rPr>
          <w:rFonts w:ascii="Times New Roman" w:hAnsi="Times New Roman"/>
          <w:noProof/>
          <w:sz w:val="24"/>
        </w:rPr>
        <w:t>ocy</w:t>
      </w:r>
      <w:r w:rsidR="0076371C">
        <w:rPr>
          <w:rFonts w:ascii="Times New Roman" w:hAnsi="Times New Roman"/>
          <w:noProof/>
          <w:sz w:val="24"/>
        </w:rPr>
        <w:t xml:space="preserve"> w zak</w:t>
      </w:r>
      <w:r>
        <w:rPr>
          <w:rFonts w:ascii="Times New Roman" w:hAnsi="Times New Roman"/>
          <w:noProof/>
          <w:sz w:val="24"/>
        </w:rPr>
        <w:t>resie opracowywania projektu zapewnianej przez EBI.</w:t>
      </w:r>
    </w:p>
    <w:p w14:paraId="2DD88F5D" w14:textId="64F9FAFF" w:rsidR="0018295A" w:rsidRPr="008021A2" w:rsidRDefault="0018295A" w:rsidP="0018295A">
      <w:pPr>
        <w:pStyle w:val="Nagwek2"/>
        <w:framePr w:wrap="auto" w:vAnchor="margin" w:yAlign="inline"/>
        <w:jc w:val="both"/>
        <w:rPr>
          <w:rFonts w:cs="Times New Roman"/>
          <w:b/>
          <w:noProof/>
        </w:rPr>
      </w:pPr>
      <w:bookmarkStart w:id="5" w:name="_Toc150504441"/>
      <w:r>
        <w:rPr>
          <w:b/>
          <w:caps w:val="0"/>
          <w:noProof/>
        </w:rPr>
        <w:t>Budżet zaproszenia do składania wniosków</w:t>
      </w:r>
      <w:r w:rsidR="0076371C">
        <w:rPr>
          <w:b/>
          <w:caps w:val="0"/>
          <w:noProof/>
        </w:rPr>
        <w:t xml:space="preserve"> i wni</w:t>
      </w:r>
      <w:r>
        <w:rPr>
          <w:b/>
          <w:caps w:val="0"/>
          <w:noProof/>
        </w:rPr>
        <w:t>oskowane wsparcie finansowe</w:t>
      </w:r>
      <w:bookmarkEnd w:id="5"/>
    </w:p>
    <w:p w14:paraId="6800A193" w14:textId="653CFAF2"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Łączna kwota dotacji,</w:t>
      </w:r>
      <w:r w:rsidR="0076371C">
        <w:rPr>
          <w:rFonts w:ascii="Times New Roman" w:hAnsi="Times New Roman"/>
          <w:noProof/>
          <w:sz w:val="24"/>
        </w:rPr>
        <w:t xml:space="preserve"> o któ</w:t>
      </w:r>
      <w:r>
        <w:rPr>
          <w:rFonts w:ascii="Times New Roman" w:hAnsi="Times New Roman"/>
          <w:noProof/>
          <w:sz w:val="24"/>
        </w:rPr>
        <w:t>rą wnioskowano we wszystkich projektach złożonych</w:t>
      </w:r>
      <w:r w:rsidR="0076371C">
        <w:rPr>
          <w:rFonts w:ascii="Times New Roman" w:hAnsi="Times New Roman"/>
          <w:noProof/>
          <w:sz w:val="24"/>
        </w:rPr>
        <w:t xml:space="preserve"> w ram</w:t>
      </w:r>
      <w:r>
        <w:rPr>
          <w:rFonts w:ascii="Times New Roman" w:hAnsi="Times New Roman"/>
          <w:noProof/>
          <w:sz w:val="24"/>
        </w:rPr>
        <w:t>ach drugiego LSC (LSC-2021), wyniosła 11,2 mld EUR. Projekty, które uznano za spełniające lub przekraczające minimalne wymogi progowe, obejmowały łączną wnioskowaną kwotę 4,97 mld EUR. Kwota ta znacznie przekraczała dostępny budżet wynoszący 1,5 mld EUR</w:t>
      </w:r>
      <w:r w:rsidR="0076371C">
        <w:rPr>
          <w:rFonts w:ascii="Times New Roman" w:hAnsi="Times New Roman"/>
          <w:noProof/>
          <w:sz w:val="24"/>
        </w:rPr>
        <w:t>. Z teg</w:t>
      </w:r>
      <w:r>
        <w:rPr>
          <w:rFonts w:ascii="Times New Roman" w:hAnsi="Times New Roman"/>
          <w:noProof/>
          <w:sz w:val="24"/>
        </w:rPr>
        <w:t>o powodu Komisja zastosowała zasadę elastyczności na poziomie 2</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aby zmaksymalizować wpływ tego zaproszenia do składania wniosków. Zasada elastyczności, określona</w:t>
      </w:r>
      <w:r w:rsidR="0076371C">
        <w:rPr>
          <w:rFonts w:ascii="Times New Roman" w:hAnsi="Times New Roman"/>
          <w:noProof/>
          <w:sz w:val="24"/>
        </w:rPr>
        <w:t xml:space="preserve"> w każ</w:t>
      </w:r>
      <w:r>
        <w:rPr>
          <w:rFonts w:ascii="Times New Roman" w:hAnsi="Times New Roman"/>
          <w:noProof/>
          <w:sz w:val="24"/>
        </w:rPr>
        <w:t>dej</w:t>
      </w:r>
      <w:r w:rsidR="0076371C">
        <w:rPr>
          <w:rFonts w:ascii="Times New Roman" w:hAnsi="Times New Roman"/>
          <w:noProof/>
          <w:sz w:val="24"/>
        </w:rPr>
        <w:t xml:space="preserve"> z dec</w:t>
      </w:r>
      <w:r>
        <w:rPr>
          <w:rFonts w:ascii="Times New Roman" w:hAnsi="Times New Roman"/>
          <w:noProof/>
          <w:sz w:val="24"/>
        </w:rPr>
        <w:t>yzji</w:t>
      </w:r>
      <w:r w:rsidR="0076371C">
        <w:rPr>
          <w:rFonts w:ascii="Times New Roman" w:hAnsi="Times New Roman"/>
          <w:noProof/>
          <w:sz w:val="24"/>
        </w:rPr>
        <w:t xml:space="preserve"> w spr</w:t>
      </w:r>
      <w:r>
        <w:rPr>
          <w:rFonts w:ascii="Times New Roman" w:hAnsi="Times New Roman"/>
          <w:noProof/>
          <w:sz w:val="24"/>
        </w:rPr>
        <w:t>awie finansowania</w:t>
      </w:r>
      <w:r w:rsidR="0076371C">
        <w:rPr>
          <w:rFonts w:ascii="Times New Roman" w:hAnsi="Times New Roman"/>
          <w:noProof/>
          <w:sz w:val="24"/>
        </w:rPr>
        <w:t xml:space="preserve"> w ram</w:t>
      </w:r>
      <w:r>
        <w:rPr>
          <w:rFonts w:ascii="Times New Roman" w:hAnsi="Times New Roman"/>
          <w:noProof/>
          <w:sz w:val="24"/>
        </w:rPr>
        <w:t>ach funduszu innowacyjnego, dopuszcza zmiany</w:t>
      </w:r>
      <w:r w:rsidR="0076371C">
        <w:rPr>
          <w:rFonts w:ascii="Times New Roman" w:hAnsi="Times New Roman"/>
          <w:noProof/>
          <w:sz w:val="24"/>
        </w:rPr>
        <w:t xml:space="preserve"> w dos</w:t>
      </w:r>
      <w:r>
        <w:rPr>
          <w:rFonts w:ascii="Times New Roman" w:hAnsi="Times New Roman"/>
          <w:noProof/>
          <w:sz w:val="24"/>
        </w:rPr>
        <w:t>tępnym budżecie</w:t>
      </w:r>
      <w:r w:rsidR="0076371C">
        <w:rPr>
          <w:rFonts w:ascii="Times New Roman" w:hAnsi="Times New Roman"/>
          <w:noProof/>
          <w:sz w:val="24"/>
        </w:rPr>
        <w:t xml:space="preserve"> w kil</w:t>
      </w:r>
      <w:r>
        <w:rPr>
          <w:rFonts w:ascii="Times New Roman" w:hAnsi="Times New Roman"/>
          <w:noProof/>
          <w:sz w:val="24"/>
        </w:rPr>
        <w:t>ku sytuacjach. Jedną</w:t>
      </w:r>
      <w:r w:rsidR="0076371C">
        <w:rPr>
          <w:rFonts w:ascii="Times New Roman" w:hAnsi="Times New Roman"/>
          <w:noProof/>
          <w:sz w:val="24"/>
        </w:rPr>
        <w:t xml:space="preserve"> z nic</w:t>
      </w:r>
      <w:r>
        <w:rPr>
          <w:rFonts w:ascii="Times New Roman" w:hAnsi="Times New Roman"/>
          <w:noProof/>
          <w:sz w:val="24"/>
        </w:rPr>
        <w:t>h jest sytuacja,</w:t>
      </w:r>
      <w:r w:rsidR="0076371C">
        <w:rPr>
          <w:rFonts w:ascii="Times New Roman" w:hAnsi="Times New Roman"/>
          <w:noProof/>
          <w:sz w:val="24"/>
        </w:rPr>
        <w:t xml:space="preserve"> w któ</w:t>
      </w:r>
      <w:r>
        <w:rPr>
          <w:rFonts w:ascii="Times New Roman" w:hAnsi="Times New Roman"/>
          <w:noProof/>
          <w:sz w:val="24"/>
        </w:rPr>
        <w:t>rej wyniki zaproszenia do składania wniosków są takie, że wiele projektów ocenia się jako spełniające lub przekraczające minimalne wymogi progowe, ale ze względu na ograniczenia budżetowe zaproszenia nie wszystkich wnioskodawców można zaprosić do etapu przygotowań do zawarcia umowy</w:t>
      </w:r>
      <w:r w:rsidR="0076371C">
        <w:rPr>
          <w:rFonts w:ascii="Times New Roman" w:hAnsi="Times New Roman"/>
          <w:noProof/>
          <w:sz w:val="24"/>
        </w:rPr>
        <w:t xml:space="preserve"> o udz</w:t>
      </w:r>
      <w:r>
        <w:rPr>
          <w:rFonts w:ascii="Times New Roman" w:hAnsi="Times New Roman"/>
          <w:noProof/>
          <w:sz w:val="24"/>
        </w:rPr>
        <w:t>ielenie dotacji</w:t>
      </w:r>
      <w:r w:rsidR="0076371C">
        <w:rPr>
          <w:rFonts w:ascii="Times New Roman" w:hAnsi="Times New Roman"/>
          <w:noProof/>
          <w:sz w:val="24"/>
        </w:rPr>
        <w:t>. W zwi</w:t>
      </w:r>
      <w:r>
        <w:rPr>
          <w:rFonts w:ascii="Times New Roman" w:hAnsi="Times New Roman"/>
          <w:noProof/>
          <w:sz w:val="24"/>
        </w:rPr>
        <w:t>ązku</w:t>
      </w:r>
      <w:r w:rsidR="0076371C">
        <w:rPr>
          <w:rFonts w:ascii="Times New Roman" w:hAnsi="Times New Roman"/>
          <w:noProof/>
          <w:sz w:val="24"/>
        </w:rPr>
        <w:t xml:space="preserve"> z tym</w:t>
      </w:r>
      <w:r>
        <w:rPr>
          <w:rFonts w:ascii="Times New Roman" w:hAnsi="Times New Roman"/>
          <w:noProof/>
          <w:sz w:val="24"/>
        </w:rPr>
        <w:t xml:space="preserve"> –</w:t>
      </w:r>
      <w:r w:rsidR="0076371C">
        <w:rPr>
          <w:rFonts w:ascii="Times New Roman" w:hAnsi="Times New Roman"/>
          <w:noProof/>
          <w:sz w:val="24"/>
        </w:rPr>
        <w:t xml:space="preserve"> i pom</w:t>
      </w:r>
      <w:r>
        <w:rPr>
          <w:rFonts w:ascii="Times New Roman" w:hAnsi="Times New Roman"/>
          <w:noProof/>
          <w:sz w:val="24"/>
        </w:rPr>
        <w:t>imo zastosowania zasady elastyczności – wnioski,</w:t>
      </w:r>
      <w:r w:rsidR="0076371C">
        <w:rPr>
          <w:rFonts w:ascii="Times New Roman" w:hAnsi="Times New Roman"/>
          <w:noProof/>
          <w:sz w:val="24"/>
        </w:rPr>
        <w:t xml:space="preserve"> w prz</w:t>
      </w:r>
      <w:r>
        <w:rPr>
          <w:rFonts w:ascii="Times New Roman" w:hAnsi="Times New Roman"/>
          <w:noProof/>
          <w:sz w:val="24"/>
        </w:rPr>
        <w:t>ypadku których wystosowano zaproszenie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odpowiadały jedynie 3</w:t>
      </w:r>
      <w:r w:rsidRPr="002001C0">
        <w:rPr>
          <w:rFonts w:ascii="Times New Roman" w:hAnsi="Times New Roman"/>
          <w:noProof/>
          <w:sz w:val="24"/>
        </w:rPr>
        <w:t>6</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(1,78 mld EUR) całkowitej kwoty będącej przedmiotem wniosków, które spełniały lub przekraczały wymogi progu oceny.</w:t>
      </w:r>
    </w:p>
    <w:p w14:paraId="7B43667B" w14:textId="107D576F"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Łączne wydatki kapitałowe</w:t>
      </w:r>
      <w:r w:rsidR="0076371C">
        <w:rPr>
          <w:rFonts w:ascii="Times New Roman" w:hAnsi="Times New Roman"/>
          <w:noProof/>
          <w:sz w:val="24"/>
        </w:rPr>
        <w:t xml:space="preserve"> w pro</w:t>
      </w:r>
      <w:r>
        <w:rPr>
          <w:rFonts w:ascii="Times New Roman" w:hAnsi="Times New Roman"/>
          <w:noProof/>
          <w:sz w:val="24"/>
        </w:rPr>
        <w:t>jektach wybranych ostatecznie</w:t>
      </w:r>
      <w:r w:rsidR="0076371C">
        <w:rPr>
          <w:rFonts w:ascii="Times New Roman" w:hAnsi="Times New Roman"/>
          <w:noProof/>
          <w:sz w:val="24"/>
        </w:rPr>
        <w:t xml:space="preserve"> w ram</w:t>
      </w:r>
      <w:r>
        <w:rPr>
          <w:rFonts w:ascii="Times New Roman" w:hAnsi="Times New Roman"/>
          <w:noProof/>
          <w:sz w:val="24"/>
        </w:rPr>
        <w:t>ach LSC-2021 wynosiły 8,47 mld EUR, natomiast maksymalne wsparcie</w:t>
      </w:r>
      <w:r w:rsidR="0076371C">
        <w:rPr>
          <w:rFonts w:ascii="Times New Roman" w:hAnsi="Times New Roman"/>
          <w:noProof/>
          <w:sz w:val="24"/>
        </w:rPr>
        <w:t xml:space="preserve"> w for</w:t>
      </w:r>
      <w:r>
        <w:rPr>
          <w:rFonts w:ascii="Times New Roman" w:hAnsi="Times New Roman"/>
          <w:noProof/>
          <w:sz w:val="24"/>
        </w:rPr>
        <w:t>mie dotacji</w:t>
      </w:r>
      <w:r w:rsidR="0076371C">
        <w:rPr>
          <w:rFonts w:ascii="Times New Roman" w:hAnsi="Times New Roman"/>
          <w:noProof/>
          <w:sz w:val="24"/>
        </w:rPr>
        <w:t xml:space="preserve"> z fun</w:t>
      </w:r>
      <w:r>
        <w:rPr>
          <w:rFonts w:ascii="Times New Roman" w:hAnsi="Times New Roman"/>
          <w:noProof/>
          <w:sz w:val="24"/>
        </w:rPr>
        <w:t xml:space="preserve">duszu </w:t>
      </w:r>
      <w:r>
        <w:rPr>
          <w:rFonts w:ascii="Times New Roman" w:hAnsi="Times New Roman"/>
          <w:noProof/>
          <w:sz w:val="24"/>
        </w:rPr>
        <w:lastRenderedPageBreak/>
        <w:t>innowacyjnego na te projekty wynosiło 1,78 mld EUR. Oznacza to, że fundusz innowacyjny mobilizował inne inwestycje</w:t>
      </w:r>
      <w:r w:rsidR="0076371C">
        <w:rPr>
          <w:rFonts w:ascii="Times New Roman" w:hAnsi="Times New Roman"/>
          <w:noProof/>
          <w:sz w:val="24"/>
        </w:rPr>
        <w:t xml:space="preserve"> o war</w:t>
      </w:r>
      <w:r>
        <w:rPr>
          <w:rFonts w:ascii="Times New Roman" w:hAnsi="Times New Roman"/>
          <w:noProof/>
          <w:sz w:val="24"/>
        </w:rPr>
        <w:t>tości niemal cztery razy większej od wkładu własnego funduszu innowacyjnego. Średnie wydatki kapitałowe na projekt wynosiły 530 mln EUR,</w:t>
      </w:r>
      <w:r w:rsidR="0076371C">
        <w:rPr>
          <w:rFonts w:ascii="Times New Roman" w:hAnsi="Times New Roman"/>
          <w:noProof/>
          <w:sz w:val="24"/>
        </w:rPr>
        <w:t xml:space="preserve"> a śre</w:t>
      </w:r>
      <w:r>
        <w:rPr>
          <w:rFonts w:ascii="Times New Roman" w:hAnsi="Times New Roman"/>
          <w:noProof/>
          <w:sz w:val="24"/>
        </w:rPr>
        <w:t>dnia wnioskowana kwota dotacji wynosiła około 111 mln EUR na projekt.</w:t>
      </w:r>
    </w:p>
    <w:p w14:paraId="63BF73F8" w14:textId="03B0A1E1"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LSC-2021 ujawniło zwiększone zainteresowanie funduszem innowacyjnym ze strony promotorów ubiegających się</w:t>
      </w:r>
      <w:r w:rsidR="0076371C">
        <w:rPr>
          <w:rFonts w:ascii="Times New Roman" w:hAnsi="Times New Roman"/>
          <w:noProof/>
          <w:sz w:val="24"/>
        </w:rPr>
        <w:t xml:space="preserve"> o pon</w:t>
      </w:r>
      <w:r>
        <w:rPr>
          <w:rFonts w:ascii="Times New Roman" w:hAnsi="Times New Roman"/>
          <w:noProof/>
          <w:sz w:val="24"/>
        </w:rPr>
        <w:t>ad 7,5 mln EUR na projekt</w:t>
      </w:r>
      <w:r w:rsidR="0076371C">
        <w:rPr>
          <w:rFonts w:ascii="Times New Roman" w:hAnsi="Times New Roman"/>
          <w:noProof/>
          <w:sz w:val="24"/>
        </w:rPr>
        <w:t>. W zwi</w:t>
      </w:r>
      <w:r>
        <w:rPr>
          <w:rFonts w:ascii="Times New Roman" w:hAnsi="Times New Roman"/>
          <w:noProof/>
          <w:sz w:val="24"/>
        </w:rPr>
        <w:t>ązku</w:t>
      </w:r>
      <w:r w:rsidR="0076371C">
        <w:rPr>
          <w:rFonts w:ascii="Times New Roman" w:hAnsi="Times New Roman"/>
          <w:noProof/>
          <w:sz w:val="24"/>
        </w:rPr>
        <w:t xml:space="preserve"> z tym</w:t>
      </w:r>
      <w:r>
        <w:rPr>
          <w:rFonts w:ascii="Times New Roman" w:hAnsi="Times New Roman"/>
          <w:noProof/>
          <w:sz w:val="24"/>
        </w:rPr>
        <w:t xml:space="preserve"> budżet dostępny na ten rodzaj zaproszenia okazał się niewystarczający</w:t>
      </w:r>
      <w:r w:rsidR="0076371C">
        <w:rPr>
          <w:rFonts w:ascii="Times New Roman" w:hAnsi="Times New Roman"/>
          <w:noProof/>
          <w:sz w:val="24"/>
        </w:rPr>
        <w:t>. W prz</w:t>
      </w:r>
      <w:r>
        <w:rPr>
          <w:rFonts w:ascii="Times New Roman" w:hAnsi="Times New Roman"/>
          <w:noProof/>
          <w:sz w:val="24"/>
        </w:rPr>
        <w:t>ypadku LSC-2021,</w:t>
      </w:r>
      <w:r w:rsidR="0076371C">
        <w:rPr>
          <w:rFonts w:ascii="Times New Roman" w:hAnsi="Times New Roman"/>
          <w:noProof/>
          <w:sz w:val="24"/>
        </w:rPr>
        <w:t xml:space="preserve"> w któ</w:t>
      </w:r>
      <w:r>
        <w:rPr>
          <w:rFonts w:ascii="Times New Roman" w:hAnsi="Times New Roman"/>
          <w:noProof/>
          <w:sz w:val="24"/>
        </w:rPr>
        <w:t>rym to zaproszeniu wnioskowano</w:t>
      </w:r>
      <w:r w:rsidR="0076371C">
        <w:rPr>
          <w:rFonts w:ascii="Times New Roman" w:hAnsi="Times New Roman"/>
          <w:noProof/>
          <w:sz w:val="24"/>
        </w:rPr>
        <w:t xml:space="preserve"> o łąc</w:t>
      </w:r>
      <w:r>
        <w:rPr>
          <w:rFonts w:ascii="Times New Roman" w:hAnsi="Times New Roman"/>
          <w:noProof/>
          <w:sz w:val="24"/>
        </w:rPr>
        <w:t>znie 4,97 mld EUR na projekty, które spełniały lub przekroczyły minimalne wymogi progu wyboru, projektów</w:t>
      </w:r>
      <w:r w:rsidR="0076371C">
        <w:rPr>
          <w:rFonts w:ascii="Times New Roman" w:hAnsi="Times New Roman"/>
          <w:noProof/>
          <w:sz w:val="24"/>
        </w:rPr>
        <w:t xml:space="preserve"> o war</w:t>
      </w:r>
      <w:r>
        <w:rPr>
          <w:rFonts w:ascii="Times New Roman" w:hAnsi="Times New Roman"/>
          <w:noProof/>
          <w:sz w:val="24"/>
        </w:rPr>
        <w:t>tości 3,2 mld EUR nie można było wybrać ze względu na niewystarczający budżet. Jednocześnie LSC-2021 pokazało, iż konkurencyjny charakter zaproszeń do składania wniosków zapewnia skuteczne podejście do mobilizacji finansowania prywatnego, przy czym dotacje</w:t>
      </w:r>
      <w:r w:rsidR="0076371C">
        <w:rPr>
          <w:rFonts w:ascii="Times New Roman" w:hAnsi="Times New Roman"/>
          <w:noProof/>
          <w:sz w:val="24"/>
        </w:rPr>
        <w:t xml:space="preserve"> z fun</w:t>
      </w:r>
      <w:r>
        <w:rPr>
          <w:rFonts w:ascii="Times New Roman" w:hAnsi="Times New Roman"/>
          <w:noProof/>
          <w:sz w:val="24"/>
        </w:rPr>
        <w:t>duszu innowacyjnego stanowią średnio 2</w:t>
      </w:r>
      <w:r w:rsidRPr="002001C0">
        <w:rPr>
          <w:rFonts w:ascii="Times New Roman" w:hAnsi="Times New Roman"/>
          <w:noProof/>
          <w:sz w:val="24"/>
        </w:rPr>
        <w:t>3</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wydatków kapitałowych projektów.</w:t>
      </w:r>
    </w:p>
    <w:p w14:paraId="42D0D187" w14:textId="4E02DA5A" w:rsidR="0018295A" w:rsidRPr="008021A2" w:rsidRDefault="0018295A" w:rsidP="0018295A">
      <w:pPr>
        <w:pStyle w:val="Nagwek2"/>
        <w:framePr w:wrap="auto" w:vAnchor="margin" w:yAlign="inline"/>
        <w:jc w:val="both"/>
        <w:rPr>
          <w:rFonts w:cs="Times New Roman"/>
          <w:b/>
          <w:noProof/>
        </w:rPr>
      </w:pPr>
      <w:bookmarkStart w:id="6" w:name="_Toc150504442"/>
      <w:r>
        <w:rPr>
          <w:b/>
          <w:caps w:val="0"/>
          <w:noProof/>
        </w:rPr>
        <w:t>Charakterystyka projektów, które zakwalifikowano do finansowania</w:t>
      </w:r>
      <w:bookmarkEnd w:id="6"/>
    </w:p>
    <w:p w14:paraId="6002F91D" w14:textId="5D33FECA" w:rsidR="0018295A" w:rsidRPr="008021A2" w:rsidRDefault="0018295A" w:rsidP="0018295A">
      <w:pPr>
        <w:pStyle w:val="Nagwek3"/>
        <w:framePr w:wrap="notBeside"/>
        <w:jc w:val="both"/>
        <w:rPr>
          <w:rFonts w:cs="Times New Roman"/>
          <w:i/>
          <w:noProof/>
        </w:rPr>
      </w:pPr>
      <w:bookmarkStart w:id="7" w:name="_Toc150504443"/>
      <w:r>
        <w:rPr>
          <w:i/>
          <w:caps w:val="0"/>
          <w:noProof/>
        </w:rPr>
        <w:t>Sektory</w:t>
      </w:r>
      <w:bookmarkEnd w:id="7"/>
    </w:p>
    <w:p w14:paraId="6D1BBBE7" w14:textId="2A41C09D"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16 projektów, które ostatecznie wybrano do etapu przygotowań do zawarcia umowy</w:t>
      </w:r>
      <w:r w:rsidR="0076371C">
        <w:rPr>
          <w:rFonts w:ascii="Times New Roman" w:hAnsi="Times New Roman"/>
          <w:noProof/>
          <w:sz w:val="24"/>
        </w:rPr>
        <w:t xml:space="preserve"> o udz</w:t>
      </w:r>
      <w:r>
        <w:rPr>
          <w:rFonts w:ascii="Times New Roman" w:hAnsi="Times New Roman"/>
          <w:noProof/>
          <w:sz w:val="24"/>
        </w:rPr>
        <w:t xml:space="preserve">ielenie dotacji, zaliczało się do ośmiu sektorów działalności (zob.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3</w:t>
      </w:r>
      <w:r>
        <w:rPr>
          <w:rFonts w:ascii="Times New Roman" w:hAnsi="Times New Roman"/>
          <w:noProof/>
          <w:sz w:val="24"/>
        </w:rPr>
        <w:t>). Największa liczba projektów (cztery projekty, czyli 2</w:t>
      </w:r>
      <w:r w:rsidRPr="002001C0">
        <w:rPr>
          <w:rFonts w:ascii="Times New Roman" w:hAnsi="Times New Roman"/>
          <w:noProof/>
          <w:sz w:val="24"/>
        </w:rPr>
        <w:t>5</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wszystkich wybranych projektów) należała do sektora „cementu</w:t>
      </w:r>
      <w:r w:rsidR="0076371C">
        <w:rPr>
          <w:rFonts w:ascii="Times New Roman" w:hAnsi="Times New Roman"/>
          <w:noProof/>
          <w:sz w:val="24"/>
        </w:rPr>
        <w:t xml:space="preserve"> i wap</w:t>
      </w:r>
      <w:r>
        <w:rPr>
          <w:rFonts w:ascii="Times New Roman" w:hAnsi="Times New Roman"/>
          <w:noProof/>
          <w:sz w:val="24"/>
        </w:rPr>
        <w:t>na”. Na te cztery projekty przyznano 3</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całkowitego wsparcia</w:t>
      </w:r>
      <w:r w:rsidR="0076371C">
        <w:rPr>
          <w:rFonts w:ascii="Times New Roman" w:hAnsi="Times New Roman"/>
          <w:noProof/>
          <w:sz w:val="24"/>
        </w:rPr>
        <w:t xml:space="preserve"> w for</w:t>
      </w:r>
      <w:r>
        <w:rPr>
          <w:rFonts w:ascii="Times New Roman" w:hAnsi="Times New Roman"/>
          <w:noProof/>
          <w:sz w:val="24"/>
        </w:rPr>
        <w:t xml:space="preserve">mie dotacji (zob.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4</w:t>
      </w:r>
      <w:r>
        <w:rPr>
          <w:rFonts w:ascii="Times New Roman" w:hAnsi="Times New Roman"/>
          <w:noProof/>
          <w:sz w:val="24"/>
        </w:rPr>
        <w:t>). Wybrane projekty pokazały znaczenie funduszu innowacyjnego dla wspierania dużych inicjatyw na rzecz dekarbonizacji działalności przemysłowej, takiej jak produkcja cementu, procesy chemiczne</w:t>
      </w:r>
      <w:r w:rsidR="0076371C">
        <w:rPr>
          <w:rFonts w:ascii="Times New Roman" w:hAnsi="Times New Roman"/>
          <w:noProof/>
          <w:sz w:val="24"/>
        </w:rPr>
        <w:t xml:space="preserve"> i pet</w:t>
      </w:r>
      <w:r>
        <w:rPr>
          <w:rFonts w:ascii="Times New Roman" w:hAnsi="Times New Roman"/>
          <w:noProof/>
          <w:sz w:val="24"/>
        </w:rPr>
        <w:t>rochemiczne, oraz wykorzystanie wodoru jako alternatywnego czystego paliwa. Przemysł cementowy był szczególnie konkurencyjny – zaproponowano wiarygodne</w:t>
      </w:r>
      <w:r w:rsidR="0076371C">
        <w:rPr>
          <w:rFonts w:ascii="Times New Roman" w:hAnsi="Times New Roman"/>
          <w:noProof/>
          <w:sz w:val="24"/>
        </w:rPr>
        <w:t xml:space="preserve"> i opł</w:t>
      </w:r>
      <w:r>
        <w:rPr>
          <w:rFonts w:ascii="Times New Roman" w:hAnsi="Times New Roman"/>
          <w:noProof/>
          <w:sz w:val="24"/>
        </w:rPr>
        <w:t>acalne rozwiązania ukierunkowane na ograniczenie emisji gazów cieplarnianych za pomocą technologii CCS.</w:t>
      </w:r>
    </w:p>
    <w:p w14:paraId="5C047C1C" w14:textId="5460BC4C" w:rsidR="0018295A" w:rsidRPr="008021A2" w:rsidRDefault="0018295A" w:rsidP="0018295A">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3</w:t>
      </w:r>
      <w:r>
        <w:rPr>
          <w:rFonts w:cs="Times New Roman"/>
          <w:noProof/>
        </w:rPr>
        <w:fldChar w:fldCharType="end"/>
      </w:r>
      <w:r>
        <w:rPr>
          <w:noProof/>
        </w:rPr>
        <w:t>: Liczba projektów</w:t>
      </w:r>
      <w:r w:rsidR="0076371C">
        <w:rPr>
          <w:noProof/>
        </w:rPr>
        <w:t xml:space="preserve"> w ram</w:t>
      </w:r>
      <w:r>
        <w:rPr>
          <w:noProof/>
        </w:rPr>
        <w:t>ach LSC 2021</w:t>
      </w:r>
      <w:r w:rsidR="0076371C">
        <w:rPr>
          <w:noProof/>
        </w:rPr>
        <w:t xml:space="preserve"> w pod</w:t>
      </w:r>
      <w:r>
        <w:rPr>
          <w:noProof/>
        </w:rPr>
        <w:t>ziale na sektory</w:t>
      </w:r>
    </w:p>
    <w:p w14:paraId="687639AB" w14:textId="2641F6CF" w:rsidR="00400DB8" w:rsidRPr="008021A2" w:rsidRDefault="00574F36" w:rsidP="0018295A">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2A40D2F6" wp14:editId="48FA38BC">
            <wp:extent cx="5731510" cy="1743710"/>
            <wp:effectExtent l="0" t="0" r="2540" b="8890"/>
            <wp:docPr id="114842089" name="Obraz 1" descr="Obraz zawierający tekst, linia, Czcionk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2089" name="Obraz 1" descr="Obraz zawierający tekst, linia, Czcionka, diagram&#10;&#10;Opis wygenerowany automatycznie"/>
                    <pic:cNvPicPr/>
                  </pic:nvPicPr>
                  <pic:blipFill>
                    <a:blip r:embed="rId19"/>
                    <a:stretch>
                      <a:fillRect/>
                    </a:stretch>
                  </pic:blipFill>
                  <pic:spPr>
                    <a:xfrm>
                      <a:off x="0" y="0"/>
                      <a:ext cx="5731510" cy="1743710"/>
                    </a:xfrm>
                    <a:prstGeom prst="rect">
                      <a:avLst/>
                    </a:prstGeom>
                  </pic:spPr>
                </pic:pic>
              </a:graphicData>
            </a:graphic>
          </wp:inline>
        </w:drawing>
      </w:r>
    </w:p>
    <w:p w14:paraId="0E485809" w14:textId="705CDB23" w:rsidR="0018295A" w:rsidRPr="008021A2" w:rsidRDefault="0018295A" w:rsidP="0018295A">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4</w:t>
      </w:r>
      <w:r>
        <w:rPr>
          <w:rFonts w:cs="Times New Roman"/>
          <w:noProof/>
        </w:rPr>
        <w:fldChar w:fldCharType="end"/>
      </w:r>
      <w:r>
        <w:rPr>
          <w:noProof/>
        </w:rPr>
        <w:t>: Kwota dotacji (EUR) na wybrane projekty</w:t>
      </w:r>
      <w:r w:rsidR="0076371C">
        <w:rPr>
          <w:noProof/>
        </w:rPr>
        <w:t xml:space="preserve"> w ram</w:t>
      </w:r>
      <w:r>
        <w:rPr>
          <w:noProof/>
        </w:rPr>
        <w:t>ach LSC 2021</w:t>
      </w:r>
    </w:p>
    <w:p w14:paraId="275D7135" w14:textId="12D17ECE" w:rsidR="00400DB8" w:rsidRPr="008021A2" w:rsidRDefault="00574F36" w:rsidP="0018295A">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4AF6EF72" wp14:editId="50B6E08E">
            <wp:extent cx="5731510" cy="1957070"/>
            <wp:effectExtent l="0" t="0" r="2540" b="5080"/>
            <wp:docPr id="714051782" name="Obraz 1" descr="Obraz zawierający tekst, linia, paragon,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1782" name="Obraz 1" descr="Obraz zawierający tekst, linia, paragon, Czcionka&#10;&#10;Opis wygenerowany automatycznie"/>
                    <pic:cNvPicPr/>
                  </pic:nvPicPr>
                  <pic:blipFill>
                    <a:blip r:embed="rId20"/>
                    <a:stretch>
                      <a:fillRect/>
                    </a:stretch>
                  </pic:blipFill>
                  <pic:spPr>
                    <a:xfrm>
                      <a:off x="0" y="0"/>
                      <a:ext cx="5731510" cy="1957070"/>
                    </a:xfrm>
                    <a:prstGeom prst="rect">
                      <a:avLst/>
                    </a:prstGeom>
                  </pic:spPr>
                </pic:pic>
              </a:graphicData>
            </a:graphic>
          </wp:inline>
        </w:drawing>
      </w:r>
    </w:p>
    <w:p w14:paraId="7C9A0AF0" w14:textId="4A96CFB1" w:rsidR="0018295A" w:rsidRPr="008021A2" w:rsidRDefault="0018295A" w:rsidP="0018295A">
      <w:pPr>
        <w:pStyle w:val="Nagwek3"/>
        <w:framePr w:wrap="notBeside"/>
        <w:jc w:val="both"/>
        <w:rPr>
          <w:rFonts w:cs="Times New Roman"/>
          <w:i/>
          <w:noProof/>
        </w:rPr>
      </w:pPr>
      <w:bookmarkStart w:id="8" w:name="_Toc150504444"/>
      <w:r>
        <w:rPr>
          <w:i/>
          <w:caps w:val="0"/>
          <w:noProof/>
        </w:rPr>
        <w:t>Rozkład geograficzny</w:t>
      </w:r>
      <w:bookmarkEnd w:id="8"/>
    </w:p>
    <w:p w14:paraId="3CA29D36" w14:textId="7A2E0093" w:rsidR="0018295A" w:rsidRPr="002001C0" w:rsidRDefault="0018295A" w:rsidP="0018295A">
      <w:pPr>
        <w:jc w:val="both"/>
        <w:rPr>
          <w:rFonts w:ascii="Times New Roman" w:hAnsi="Times New Roman" w:cs="Times New Roman"/>
          <w:noProof/>
          <w:sz w:val="24"/>
        </w:rPr>
      </w:pPr>
      <w:r>
        <w:rPr>
          <w:rFonts w:ascii="Times New Roman" w:hAnsi="Times New Roman"/>
          <w:noProof/>
          <w:sz w:val="24"/>
        </w:rPr>
        <w:t>Projekty wybrane</w:t>
      </w:r>
      <w:r w:rsidR="0076371C">
        <w:rPr>
          <w:rFonts w:ascii="Times New Roman" w:hAnsi="Times New Roman"/>
          <w:noProof/>
          <w:sz w:val="24"/>
        </w:rPr>
        <w:t xml:space="preserve"> i zak</w:t>
      </w:r>
      <w:r>
        <w:rPr>
          <w:rFonts w:ascii="Times New Roman" w:hAnsi="Times New Roman"/>
          <w:noProof/>
          <w:sz w:val="24"/>
        </w:rPr>
        <w:t>walifikowane do finansowania zlokalizowane były</w:t>
      </w:r>
      <w:r w:rsidR="0076371C">
        <w:rPr>
          <w:rFonts w:ascii="Times New Roman" w:hAnsi="Times New Roman"/>
          <w:noProof/>
          <w:sz w:val="24"/>
        </w:rPr>
        <w:t xml:space="preserve"> w dzi</w:t>
      </w:r>
      <w:r>
        <w:rPr>
          <w:rFonts w:ascii="Times New Roman" w:hAnsi="Times New Roman"/>
          <w:noProof/>
          <w:sz w:val="24"/>
        </w:rPr>
        <w:t>ewięciu państwach członkowskich,</w:t>
      </w:r>
      <w:r w:rsidR="0076371C">
        <w:rPr>
          <w:rFonts w:ascii="Times New Roman" w:hAnsi="Times New Roman"/>
          <w:noProof/>
          <w:sz w:val="24"/>
        </w:rPr>
        <w:t xml:space="preserve"> a tak</w:t>
      </w:r>
      <w:r>
        <w:rPr>
          <w:rFonts w:ascii="Times New Roman" w:hAnsi="Times New Roman"/>
          <w:noProof/>
          <w:sz w:val="24"/>
        </w:rPr>
        <w:t>że</w:t>
      </w:r>
      <w:r w:rsidR="0076371C">
        <w:rPr>
          <w:rFonts w:ascii="Times New Roman" w:hAnsi="Times New Roman"/>
          <w:noProof/>
          <w:sz w:val="24"/>
        </w:rPr>
        <w:t xml:space="preserve"> w Nor</w:t>
      </w:r>
      <w:r>
        <w:rPr>
          <w:rFonts w:ascii="Times New Roman" w:hAnsi="Times New Roman"/>
          <w:noProof/>
          <w:sz w:val="24"/>
        </w:rPr>
        <w:t>wegii</w:t>
      </w:r>
      <w:r w:rsidR="0076371C">
        <w:rPr>
          <w:rFonts w:ascii="Times New Roman" w:hAnsi="Times New Roman"/>
          <w:noProof/>
          <w:sz w:val="24"/>
        </w:rPr>
        <w:t xml:space="preserve"> i Isl</w:t>
      </w:r>
      <w:r>
        <w:rPr>
          <w:rFonts w:ascii="Times New Roman" w:hAnsi="Times New Roman"/>
          <w:noProof/>
          <w:sz w:val="24"/>
        </w:rPr>
        <w:t>andii. Państwa członkowskie,</w:t>
      </w:r>
      <w:r w:rsidR="0076371C">
        <w:rPr>
          <w:rFonts w:ascii="Times New Roman" w:hAnsi="Times New Roman"/>
          <w:noProof/>
          <w:sz w:val="24"/>
        </w:rPr>
        <w:t xml:space="preserve"> z któ</w:t>
      </w:r>
      <w:r>
        <w:rPr>
          <w:rFonts w:ascii="Times New Roman" w:hAnsi="Times New Roman"/>
          <w:noProof/>
          <w:sz w:val="24"/>
        </w:rPr>
        <w:t>rych wybrano najwięcej projektów zakwalifikowanych do finansowania, to Niderlandy</w:t>
      </w:r>
      <w:r w:rsidR="0076371C">
        <w:rPr>
          <w:rFonts w:ascii="Times New Roman" w:hAnsi="Times New Roman"/>
          <w:noProof/>
          <w:sz w:val="24"/>
        </w:rPr>
        <w:t xml:space="preserve"> i Nie</w:t>
      </w:r>
      <w:r>
        <w:rPr>
          <w:rFonts w:ascii="Times New Roman" w:hAnsi="Times New Roman"/>
          <w:noProof/>
          <w:sz w:val="24"/>
        </w:rPr>
        <w:t>mcy (po trzy projekty). Najwięcej środków budżetowych przyznano na projekty zlokalizowane</w:t>
      </w:r>
      <w:r w:rsidR="0076371C">
        <w:rPr>
          <w:rFonts w:ascii="Times New Roman" w:hAnsi="Times New Roman"/>
          <w:noProof/>
          <w:sz w:val="24"/>
        </w:rPr>
        <w:t xml:space="preserve"> w Nid</w:t>
      </w:r>
      <w:r>
        <w:rPr>
          <w:rFonts w:ascii="Times New Roman" w:hAnsi="Times New Roman"/>
          <w:noProof/>
          <w:sz w:val="24"/>
        </w:rPr>
        <w:t>erlandach, Niemczech</w:t>
      </w:r>
      <w:r w:rsidR="0076371C">
        <w:rPr>
          <w:rFonts w:ascii="Times New Roman" w:hAnsi="Times New Roman"/>
          <w:noProof/>
          <w:sz w:val="24"/>
        </w:rPr>
        <w:t xml:space="preserve"> i Pol</w:t>
      </w:r>
      <w:r>
        <w:rPr>
          <w:rFonts w:ascii="Times New Roman" w:hAnsi="Times New Roman"/>
          <w:noProof/>
          <w:sz w:val="24"/>
        </w:rPr>
        <w:t>sce, przy czym na każde państwo przypadło około 1</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całości przyznanego budżetu, czyli około 302 mln EUR (zob.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5</w:t>
      </w:r>
      <w:r w:rsidR="0076371C">
        <w:rPr>
          <w:rFonts w:ascii="Times New Roman" w:hAnsi="Times New Roman"/>
          <w:noProof/>
          <w:sz w:val="24"/>
        </w:rPr>
        <w:t xml:space="preserve"> i 6</w:t>
      </w:r>
      <w:r>
        <w:rPr>
          <w:rFonts w:ascii="Times New Roman" w:hAnsi="Times New Roman"/>
          <w:noProof/>
          <w:sz w:val="24"/>
        </w:rPr>
        <w:t>). Projekty znajdujące się</w:t>
      </w:r>
      <w:r w:rsidR="0076371C">
        <w:rPr>
          <w:rFonts w:ascii="Times New Roman" w:hAnsi="Times New Roman"/>
          <w:noProof/>
          <w:sz w:val="24"/>
        </w:rPr>
        <w:t xml:space="preserve"> w Eur</w:t>
      </w:r>
      <w:r>
        <w:rPr>
          <w:rFonts w:ascii="Times New Roman" w:hAnsi="Times New Roman"/>
          <w:noProof/>
          <w:sz w:val="24"/>
        </w:rPr>
        <w:t>opie Zachodniej</w:t>
      </w:r>
      <w:r w:rsidR="0076371C">
        <w:rPr>
          <w:rFonts w:ascii="Times New Roman" w:hAnsi="Times New Roman"/>
          <w:noProof/>
          <w:sz w:val="24"/>
        </w:rPr>
        <w:t xml:space="preserve"> i Pół</w:t>
      </w:r>
      <w:r>
        <w:rPr>
          <w:rFonts w:ascii="Times New Roman" w:hAnsi="Times New Roman"/>
          <w:noProof/>
          <w:sz w:val="24"/>
        </w:rPr>
        <w:t>nocnej osiągały jednak lepsze wyniki</w:t>
      </w:r>
      <w:r w:rsidR="0076371C">
        <w:rPr>
          <w:rFonts w:ascii="Times New Roman" w:hAnsi="Times New Roman"/>
          <w:noProof/>
          <w:sz w:val="24"/>
        </w:rPr>
        <w:t xml:space="preserve"> w oce</w:t>
      </w:r>
      <w:r>
        <w:rPr>
          <w:rFonts w:ascii="Times New Roman" w:hAnsi="Times New Roman"/>
          <w:noProof/>
          <w:sz w:val="24"/>
        </w:rPr>
        <w:t>nie</w:t>
      </w:r>
      <w:r w:rsidR="0076371C">
        <w:rPr>
          <w:rFonts w:ascii="Times New Roman" w:hAnsi="Times New Roman"/>
          <w:noProof/>
          <w:sz w:val="24"/>
        </w:rPr>
        <w:t xml:space="preserve"> w ram</w:t>
      </w:r>
      <w:r>
        <w:rPr>
          <w:rFonts w:ascii="Times New Roman" w:hAnsi="Times New Roman"/>
          <w:noProof/>
          <w:sz w:val="24"/>
        </w:rPr>
        <w:t>ach tego zaproszenia do składania wniosków dotyczących projektów na dużą skalę,</w:t>
      </w:r>
      <w:r w:rsidR="0076371C">
        <w:rPr>
          <w:rFonts w:ascii="Times New Roman" w:hAnsi="Times New Roman"/>
          <w:noProof/>
          <w:sz w:val="24"/>
        </w:rPr>
        <w:t xml:space="preserve"> a w Eur</w:t>
      </w:r>
      <w:r>
        <w:rPr>
          <w:rFonts w:ascii="Times New Roman" w:hAnsi="Times New Roman"/>
          <w:noProof/>
          <w:sz w:val="24"/>
        </w:rPr>
        <w:t>opie Środkowo-Wschodniej wskaźniki kwalifikowalności były niższe</w:t>
      </w:r>
      <w:r w:rsidRPr="002001C0">
        <w:rPr>
          <w:rFonts w:ascii="Times New Roman" w:hAnsi="Times New Roman"/>
          <w:noProof/>
          <w:sz w:val="24"/>
        </w:rPr>
        <w:t>.</w:t>
      </w:r>
      <w:r w:rsidR="002001C0" w:rsidRPr="002001C0">
        <w:rPr>
          <w:rFonts w:ascii="Times New Roman" w:hAnsi="Times New Roman"/>
          <w:noProof/>
          <w:sz w:val="24"/>
        </w:rPr>
        <w:t xml:space="preserve"> </w:t>
      </w:r>
    </w:p>
    <w:p w14:paraId="4575FC8E" w14:textId="77777777" w:rsidR="0018295A" w:rsidRPr="008021A2" w:rsidRDefault="0018295A" w:rsidP="0018295A">
      <w:pPr>
        <w:jc w:val="both"/>
        <w:rPr>
          <w:rFonts w:ascii="Times New Roman" w:hAnsi="Times New Roman" w:cs="Times New Roman"/>
          <w:noProof/>
          <w:sz w:val="24"/>
        </w:rPr>
      </w:pPr>
    </w:p>
    <w:p w14:paraId="5A66A88E" w14:textId="5500CAB8" w:rsidR="0018295A" w:rsidRPr="008021A2" w:rsidRDefault="0018295A" w:rsidP="0018295A">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5</w:t>
      </w:r>
      <w:r>
        <w:rPr>
          <w:rFonts w:cs="Times New Roman"/>
          <w:noProof/>
        </w:rPr>
        <w:fldChar w:fldCharType="end"/>
      </w:r>
      <w:r>
        <w:rPr>
          <w:noProof/>
        </w:rPr>
        <w:t>: Liczba projektów kwalifikowalnych, przekraczających próg oraz wybranych,</w:t>
      </w:r>
      <w:r w:rsidR="0076371C">
        <w:rPr>
          <w:noProof/>
        </w:rPr>
        <w:t xml:space="preserve"> w pod</w:t>
      </w:r>
      <w:r>
        <w:rPr>
          <w:noProof/>
        </w:rPr>
        <w:t>ziale na państwa – LSC 2021</w:t>
      </w:r>
    </w:p>
    <w:p w14:paraId="2F5D28AD" w14:textId="2687478B" w:rsidR="0018295A" w:rsidRPr="008021A2" w:rsidRDefault="00574F36" w:rsidP="0018295A">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5EC85C82" wp14:editId="2ED06C26">
            <wp:extent cx="5731510" cy="1968500"/>
            <wp:effectExtent l="0" t="0" r="2540" b="0"/>
            <wp:docPr id="1459308244" name="Obraz 1" descr="Obraz zawierający diagram, zrzut ekranu, Wykres,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08244" name="Obraz 1" descr="Obraz zawierający diagram, zrzut ekranu, Wykres, linia&#10;&#10;Opis wygenerowany automatycznie"/>
                    <pic:cNvPicPr/>
                  </pic:nvPicPr>
                  <pic:blipFill>
                    <a:blip r:embed="rId21"/>
                    <a:stretch>
                      <a:fillRect/>
                    </a:stretch>
                  </pic:blipFill>
                  <pic:spPr>
                    <a:xfrm>
                      <a:off x="0" y="0"/>
                      <a:ext cx="5731510" cy="1968500"/>
                    </a:xfrm>
                    <a:prstGeom prst="rect">
                      <a:avLst/>
                    </a:prstGeom>
                  </pic:spPr>
                </pic:pic>
              </a:graphicData>
            </a:graphic>
          </wp:inline>
        </w:drawing>
      </w:r>
    </w:p>
    <w:p w14:paraId="23EE4D91" w14:textId="4D4F8C7C" w:rsidR="0018295A" w:rsidRPr="008021A2" w:rsidRDefault="0018295A" w:rsidP="0018295A">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6</w:t>
      </w:r>
      <w:r>
        <w:rPr>
          <w:rFonts w:cs="Times New Roman"/>
          <w:noProof/>
        </w:rPr>
        <w:fldChar w:fldCharType="end"/>
      </w:r>
      <w:r>
        <w:rPr>
          <w:noProof/>
        </w:rPr>
        <w:t>: Kwota wybranych dotacji (EUR)</w:t>
      </w:r>
      <w:r w:rsidR="0076371C">
        <w:rPr>
          <w:noProof/>
        </w:rPr>
        <w:t xml:space="preserve"> w ram</w:t>
      </w:r>
      <w:r>
        <w:rPr>
          <w:noProof/>
        </w:rPr>
        <w:t>ach LSC-2021</w:t>
      </w:r>
      <w:r w:rsidR="0076371C">
        <w:rPr>
          <w:noProof/>
        </w:rPr>
        <w:t xml:space="preserve"> w pod</w:t>
      </w:r>
      <w:r>
        <w:rPr>
          <w:noProof/>
        </w:rPr>
        <w:t>ziale na państwa</w:t>
      </w:r>
    </w:p>
    <w:p w14:paraId="0822698E" w14:textId="51E979E4" w:rsidR="0018295A" w:rsidRPr="008021A2" w:rsidRDefault="00130EB1" w:rsidP="0018295A">
      <w:pPr>
        <w:jc w:val="both"/>
        <w:rPr>
          <w:rFonts w:ascii="Times New Roman" w:hAnsi="Times New Roman" w:cs="Times New Roman"/>
          <w:noProof/>
          <w:sz w:val="24"/>
        </w:rPr>
      </w:pPr>
      <w:r>
        <w:rPr>
          <w:rFonts w:ascii="Times New Roman" w:hAnsi="Times New Roman"/>
          <w:noProof/>
        </w:rPr>
        <w:t xml:space="preserve"> </w:t>
      </w:r>
      <w:r w:rsidR="00574F36" w:rsidRPr="00560475">
        <w:rPr>
          <w:noProof/>
          <w:lang w:val="en-GB" w:eastAsia="en-GB"/>
        </w:rPr>
        <w:drawing>
          <wp:inline distT="0" distB="0" distL="0" distR="0" wp14:anchorId="7CA6117D" wp14:editId="177A8267">
            <wp:extent cx="5731510" cy="1844040"/>
            <wp:effectExtent l="0" t="0" r="2540" b="3810"/>
            <wp:docPr id="634482704" name="Obraz 1" descr="Obraz zawierający tekst, diagram, linia, szkic&#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82704" name="Obraz 1" descr="Obraz zawierający tekst, diagram, linia, szkic&#10;&#10;Opis wygenerowany automatycznie"/>
                    <pic:cNvPicPr/>
                  </pic:nvPicPr>
                  <pic:blipFill>
                    <a:blip r:embed="rId22"/>
                    <a:stretch>
                      <a:fillRect/>
                    </a:stretch>
                  </pic:blipFill>
                  <pic:spPr>
                    <a:xfrm>
                      <a:off x="0" y="0"/>
                      <a:ext cx="5731510" cy="1844040"/>
                    </a:xfrm>
                    <a:prstGeom prst="rect">
                      <a:avLst/>
                    </a:prstGeom>
                  </pic:spPr>
                </pic:pic>
              </a:graphicData>
            </a:graphic>
          </wp:inline>
        </w:drawing>
      </w:r>
    </w:p>
    <w:p w14:paraId="2B3810B4" w14:textId="59F8504D" w:rsidR="0018295A" w:rsidRPr="008021A2" w:rsidRDefault="0018295A" w:rsidP="0018295A">
      <w:pPr>
        <w:pStyle w:val="Nagwek3"/>
        <w:framePr w:wrap="auto" w:vAnchor="margin" w:yAlign="inline"/>
        <w:jc w:val="both"/>
        <w:rPr>
          <w:rFonts w:cs="Times New Roman"/>
          <w:i/>
          <w:noProof/>
        </w:rPr>
      </w:pPr>
      <w:bookmarkStart w:id="9" w:name="_Toc150504445"/>
      <w:r>
        <w:rPr>
          <w:i/>
          <w:caps w:val="0"/>
          <w:noProof/>
        </w:rPr>
        <w:t>Potencjał redukcji emisji gazów cieplarnianych</w:t>
      </w:r>
      <w:bookmarkEnd w:id="9"/>
    </w:p>
    <w:p w14:paraId="20E59200" w14:textId="08BAA603" w:rsidR="0018295A" w:rsidRPr="008021A2" w:rsidRDefault="00830987" w:rsidP="0018295A">
      <w:pPr>
        <w:jc w:val="both"/>
        <w:rPr>
          <w:rFonts w:ascii="Times New Roman" w:hAnsi="Times New Roman" w:cs="Times New Roman"/>
          <w:noProof/>
          <w:sz w:val="24"/>
        </w:rPr>
      </w:pPr>
      <w:r w:rsidRPr="00830987">
        <w:rPr>
          <w:rFonts w:ascii="Times New Roman" w:hAnsi="Times New Roman"/>
          <w:noProof/>
          <w:sz w:val="24"/>
        </w:rPr>
        <w:t>Szacowana całkowita możliwość ograniczenia ilości gazów cieplarnianych dzięki projektom wybranym</w:t>
      </w:r>
      <w:r w:rsidR="0076371C" w:rsidRPr="00830987">
        <w:rPr>
          <w:rFonts w:ascii="Times New Roman" w:hAnsi="Times New Roman"/>
          <w:noProof/>
          <w:sz w:val="24"/>
        </w:rPr>
        <w:t xml:space="preserve"> i</w:t>
      </w:r>
      <w:r w:rsidR="0076371C">
        <w:rPr>
          <w:rFonts w:ascii="Times New Roman" w:hAnsi="Times New Roman"/>
          <w:noProof/>
          <w:sz w:val="24"/>
        </w:rPr>
        <w:t> </w:t>
      </w:r>
      <w:r w:rsidR="0076371C" w:rsidRPr="00830987">
        <w:rPr>
          <w:rFonts w:ascii="Times New Roman" w:hAnsi="Times New Roman"/>
          <w:noProof/>
          <w:sz w:val="24"/>
        </w:rPr>
        <w:t>zak</w:t>
      </w:r>
      <w:r w:rsidRPr="00830987">
        <w:rPr>
          <w:rFonts w:ascii="Times New Roman" w:hAnsi="Times New Roman"/>
          <w:noProof/>
          <w:sz w:val="24"/>
        </w:rPr>
        <w:t>walifikowanym do finansowania</w:t>
      </w:r>
      <w:r w:rsidR="0076371C" w:rsidRPr="00830987">
        <w:rPr>
          <w:rFonts w:ascii="Times New Roman" w:hAnsi="Times New Roman"/>
          <w:noProof/>
          <w:sz w:val="24"/>
        </w:rPr>
        <w:t xml:space="preserve"> w</w:t>
      </w:r>
      <w:r w:rsidR="0076371C">
        <w:rPr>
          <w:rFonts w:ascii="Times New Roman" w:hAnsi="Times New Roman"/>
          <w:noProof/>
          <w:sz w:val="24"/>
        </w:rPr>
        <w:t> </w:t>
      </w:r>
      <w:r w:rsidR="0076371C" w:rsidRPr="00830987">
        <w:rPr>
          <w:rFonts w:ascii="Times New Roman" w:hAnsi="Times New Roman"/>
          <w:noProof/>
          <w:sz w:val="24"/>
        </w:rPr>
        <w:t>ram</w:t>
      </w:r>
      <w:r w:rsidRPr="00830987">
        <w:rPr>
          <w:rFonts w:ascii="Times New Roman" w:hAnsi="Times New Roman"/>
          <w:noProof/>
          <w:sz w:val="24"/>
        </w:rPr>
        <w:t>ach SSC-2021, wynosi 1,3 mln ton ekwiwalentu CO₂</w:t>
      </w:r>
      <w:r w:rsidR="0076371C" w:rsidRPr="00830987">
        <w:rPr>
          <w:rFonts w:ascii="Times New Roman" w:hAnsi="Times New Roman"/>
          <w:noProof/>
          <w:sz w:val="24"/>
        </w:rPr>
        <w:t xml:space="preserve"> w</w:t>
      </w:r>
      <w:r w:rsidR="0076371C">
        <w:rPr>
          <w:rFonts w:ascii="Times New Roman" w:hAnsi="Times New Roman"/>
          <w:noProof/>
          <w:sz w:val="24"/>
        </w:rPr>
        <w:t> </w:t>
      </w:r>
      <w:r w:rsidR="0076371C" w:rsidRPr="00830987">
        <w:rPr>
          <w:rFonts w:ascii="Times New Roman" w:hAnsi="Times New Roman"/>
          <w:noProof/>
          <w:sz w:val="24"/>
        </w:rPr>
        <w:t>okr</w:t>
      </w:r>
      <w:r w:rsidRPr="00830987">
        <w:rPr>
          <w:rFonts w:ascii="Times New Roman" w:hAnsi="Times New Roman"/>
          <w:noProof/>
          <w:sz w:val="24"/>
        </w:rPr>
        <w:t>esie 10 lat, przy czym średni wkład na projekt wynosi 79 121 mln ton ekwiwalentu CO₂. Największy wkład w tę wartość wnoszą projekty</w:t>
      </w:r>
      <w:r w:rsidR="0076371C" w:rsidRPr="00830987">
        <w:rPr>
          <w:rFonts w:ascii="Times New Roman" w:hAnsi="Times New Roman"/>
          <w:noProof/>
          <w:sz w:val="24"/>
        </w:rPr>
        <w:t xml:space="preserve"> w</w:t>
      </w:r>
      <w:r w:rsidR="0076371C">
        <w:rPr>
          <w:rFonts w:ascii="Times New Roman" w:hAnsi="Times New Roman"/>
          <w:noProof/>
          <w:sz w:val="24"/>
        </w:rPr>
        <w:t> </w:t>
      </w:r>
      <w:r w:rsidR="0076371C" w:rsidRPr="00830987">
        <w:rPr>
          <w:rFonts w:ascii="Times New Roman" w:hAnsi="Times New Roman"/>
          <w:noProof/>
          <w:sz w:val="24"/>
        </w:rPr>
        <w:t>sek</w:t>
      </w:r>
      <w:r w:rsidRPr="00830987">
        <w:rPr>
          <w:rFonts w:ascii="Times New Roman" w:hAnsi="Times New Roman"/>
          <w:noProof/>
          <w:sz w:val="24"/>
        </w:rPr>
        <w:t>torze szkła, ceramiki</w:t>
      </w:r>
      <w:r w:rsidR="0076371C" w:rsidRPr="00830987">
        <w:rPr>
          <w:rFonts w:ascii="Times New Roman" w:hAnsi="Times New Roman"/>
          <w:noProof/>
          <w:sz w:val="24"/>
        </w:rPr>
        <w:t xml:space="preserve"> i</w:t>
      </w:r>
      <w:r w:rsidR="0076371C">
        <w:rPr>
          <w:rFonts w:ascii="Times New Roman" w:hAnsi="Times New Roman"/>
          <w:noProof/>
          <w:sz w:val="24"/>
        </w:rPr>
        <w:t> </w:t>
      </w:r>
      <w:r w:rsidR="0076371C" w:rsidRPr="00830987">
        <w:rPr>
          <w:rFonts w:ascii="Times New Roman" w:hAnsi="Times New Roman"/>
          <w:noProof/>
          <w:sz w:val="24"/>
        </w:rPr>
        <w:t>mat</w:t>
      </w:r>
      <w:r w:rsidRPr="00830987">
        <w:rPr>
          <w:rFonts w:ascii="Times New Roman" w:hAnsi="Times New Roman"/>
          <w:noProof/>
          <w:sz w:val="24"/>
        </w:rPr>
        <w:t>eriałów budowlanych (3</w:t>
      </w:r>
      <w:r w:rsidRPr="0076371C">
        <w:rPr>
          <w:rFonts w:ascii="Times New Roman" w:hAnsi="Times New Roman"/>
          <w:noProof/>
          <w:sz w:val="24"/>
        </w:rPr>
        <w:t>4</w:t>
      </w:r>
      <w:r w:rsidR="0076371C" w:rsidRPr="0076371C">
        <w:rPr>
          <w:rFonts w:ascii="Times New Roman" w:hAnsi="Times New Roman"/>
          <w:noProof/>
          <w:sz w:val="24"/>
        </w:rPr>
        <w:t> </w:t>
      </w:r>
      <w:r w:rsidRPr="0076371C">
        <w:rPr>
          <w:rFonts w:ascii="Times New Roman" w:hAnsi="Times New Roman"/>
          <w:noProof/>
          <w:sz w:val="24"/>
        </w:rPr>
        <w:t>%</w:t>
      </w:r>
      <w:r w:rsidRPr="00830987">
        <w:rPr>
          <w:rFonts w:ascii="Times New Roman" w:hAnsi="Times New Roman"/>
          <w:noProof/>
          <w:sz w:val="24"/>
        </w:rPr>
        <w:t>) oraz</w:t>
      </w:r>
      <w:r w:rsidR="0076371C" w:rsidRPr="00830987">
        <w:rPr>
          <w:rFonts w:ascii="Times New Roman" w:hAnsi="Times New Roman"/>
          <w:noProof/>
          <w:sz w:val="24"/>
        </w:rPr>
        <w:t xml:space="preserve"> w</w:t>
      </w:r>
      <w:r w:rsidR="0076371C">
        <w:rPr>
          <w:rFonts w:ascii="Times New Roman" w:hAnsi="Times New Roman"/>
          <w:noProof/>
          <w:sz w:val="24"/>
        </w:rPr>
        <w:t> </w:t>
      </w:r>
      <w:r w:rsidR="0076371C" w:rsidRPr="00830987">
        <w:rPr>
          <w:rFonts w:ascii="Times New Roman" w:hAnsi="Times New Roman"/>
          <w:noProof/>
          <w:sz w:val="24"/>
        </w:rPr>
        <w:t>sek</w:t>
      </w:r>
      <w:r w:rsidRPr="00830987">
        <w:rPr>
          <w:rFonts w:ascii="Times New Roman" w:hAnsi="Times New Roman"/>
          <w:noProof/>
          <w:sz w:val="24"/>
        </w:rPr>
        <w:t>torze cementu</w:t>
      </w:r>
      <w:r w:rsidR="0076371C" w:rsidRPr="00830987">
        <w:rPr>
          <w:rFonts w:ascii="Times New Roman" w:hAnsi="Times New Roman"/>
          <w:noProof/>
          <w:sz w:val="24"/>
        </w:rPr>
        <w:t xml:space="preserve"> i</w:t>
      </w:r>
      <w:r w:rsidR="0076371C">
        <w:rPr>
          <w:rFonts w:ascii="Times New Roman" w:hAnsi="Times New Roman"/>
          <w:noProof/>
          <w:sz w:val="24"/>
        </w:rPr>
        <w:t> </w:t>
      </w:r>
      <w:r w:rsidR="0076371C" w:rsidRPr="00830987">
        <w:rPr>
          <w:rFonts w:ascii="Times New Roman" w:hAnsi="Times New Roman"/>
          <w:noProof/>
          <w:sz w:val="24"/>
        </w:rPr>
        <w:t>wap</w:t>
      </w:r>
      <w:r w:rsidRPr="00830987">
        <w:rPr>
          <w:rFonts w:ascii="Times New Roman" w:hAnsi="Times New Roman"/>
          <w:noProof/>
          <w:sz w:val="24"/>
        </w:rPr>
        <w:t>nia (3</w:t>
      </w:r>
      <w:r w:rsidRPr="0076371C">
        <w:rPr>
          <w:rFonts w:ascii="Times New Roman" w:hAnsi="Times New Roman"/>
          <w:noProof/>
          <w:sz w:val="24"/>
        </w:rPr>
        <w:t>0</w:t>
      </w:r>
      <w:r w:rsidR="0076371C" w:rsidRPr="0076371C">
        <w:rPr>
          <w:rFonts w:ascii="Times New Roman" w:hAnsi="Times New Roman"/>
          <w:noProof/>
          <w:sz w:val="24"/>
        </w:rPr>
        <w:t> </w:t>
      </w:r>
      <w:r w:rsidRPr="0076371C">
        <w:rPr>
          <w:rFonts w:ascii="Times New Roman" w:hAnsi="Times New Roman"/>
          <w:noProof/>
          <w:sz w:val="24"/>
        </w:rPr>
        <w:t>%</w:t>
      </w:r>
      <w:r w:rsidRPr="00830987">
        <w:rPr>
          <w:rFonts w:ascii="Times New Roman" w:hAnsi="Times New Roman"/>
          <w:noProof/>
          <w:sz w:val="24"/>
        </w:rPr>
        <w:t>).</w:t>
      </w:r>
      <w:r>
        <w:rPr>
          <w:rFonts w:ascii="Times New Roman" w:hAnsi="Times New Roman"/>
          <w:noProof/>
          <w:sz w:val="24"/>
        </w:rPr>
        <w:t xml:space="preserve"> </w:t>
      </w:r>
      <w:r w:rsidR="0018295A">
        <w:rPr>
          <w:rFonts w:ascii="Times New Roman" w:hAnsi="Times New Roman"/>
          <w:noProof/>
          <w:sz w:val="24"/>
        </w:rPr>
        <w:t>Największą skuteczność</w:t>
      </w:r>
      <w:r w:rsidR="0076371C">
        <w:rPr>
          <w:rFonts w:ascii="Times New Roman" w:hAnsi="Times New Roman"/>
          <w:noProof/>
          <w:sz w:val="24"/>
        </w:rPr>
        <w:t xml:space="preserve"> w zak</w:t>
      </w:r>
      <w:r w:rsidR="0018295A">
        <w:rPr>
          <w:rFonts w:ascii="Times New Roman" w:hAnsi="Times New Roman"/>
          <w:noProof/>
          <w:sz w:val="24"/>
        </w:rPr>
        <w:t>resie kosztów, jeżeli chodzi</w:t>
      </w:r>
      <w:r w:rsidR="0076371C">
        <w:rPr>
          <w:rFonts w:ascii="Times New Roman" w:hAnsi="Times New Roman"/>
          <w:noProof/>
          <w:sz w:val="24"/>
        </w:rPr>
        <w:t xml:space="preserve"> o sto</w:t>
      </w:r>
      <w:r w:rsidR="0018295A">
        <w:rPr>
          <w:rFonts w:ascii="Times New Roman" w:hAnsi="Times New Roman"/>
          <w:noProof/>
          <w:sz w:val="24"/>
        </w:rPr>
        <w:t>sunek kwoty dotacji do bezwzględnej ilości gazów cieplarnianych, których emisji uda się uniknąć, osiągnięto</w:t>
      </w:r>
      <w:r w:rsidR="0076371C">
        <w:rPr>
          <w:rFonts w:ascii="Times New Roman" w:hAnsi="Times New Roman"/>
          <w:noProof/>
          <w:sz w:val="24"/>
        </w:rPr>
        <w:t xml:space="preserve"> w pro</w:t>
      </w:r>
      <w:r w:rsidR="0018295A">
        <w:rPr>
          <w:rFonts w:ascii="Times New Roman" w:hAnsi="Times New Roman"/>
          <w:noProof/>
          <w:sz w:val="24"/>
        </w:rPr>
        <w:t xml:space="preserve">jektach dotyczących międzydziennego magazynowania energii elektrycznej – uda się uniknąć średnio 458 kg ekwiwalentu CO₂ </w:t>
      </w:r>
      <w:r w:rsidR="0018295A" w:rsidRPr="002001C0">
        <w:rPr>
          <w:rFonts w:ascii="Times New Roman" w:hAnsi="Times New Roman"/>
          <w:noProof/>
          <w:sz w:val="24"/>
        </w:rPr>
        <w:t>na</w:t>
      </w:r>
      <w:r w:rsidR="002001C0" w:rsidRPr="002001C0">
        <w:rPr>
          <w:rFonts w:ascii="Times New Roman" w:hAnsi="Times New Roman"/>
          <w:noProof/>
          <w:sz w:val="24"/>
        </w:rPr>
        <w:t> </w:t>
      </w:r>
      <w:r w:rsidR="0018295A" w:rsidRPr="002001C0">
        <w:rPr>
          <w:rFonts w:ascii="Times New Roman" w:hAnsi="Times New Roman"/>
          <w:noProof/>
          <w:sz w:val="24"/>
        </w:rPr>
        <w:t>1</w:t>
      </w:r>
      <w:r w:rsidR="0018295A">
        <w:rPr>
          <w:rFonts w:ascii="Times New Roman" w:hAnsi="Times New Roman"/>
          <w:noProof/>
          <w:sz w:val="24"/>
        </w:rPr>
        <w:t xml:space="preserve"> EUR dotacji, co świadczy</w:t>
      </w:r>
      <w:r w:rsidR="0076371C">
        <w:rPr>
          <w:rFonts w:ascii="Times New Roman" w:hAnsi="Times New Roman"/>
          <w:noProof/>
          <w:sz w:val="24"/>
        </w:rPr>
        <w:t xml:space="preserve"> o zna</w:t>
      </w:r>
      <w:r w:rsidR="0018295A">
        <w:rPr>
          <w:rFonts w:ascii="Times New Roman" w:hAnsi="Times New Roman"/>
          <w:noProof/>
          <w:sz w:val="24"/>
        </w:rPr>
        <w:t>czącym wpływie tych technologii na pomoc we włączaniu do sieci energii ze źródeł odnawialnych.</w:t>
      </w:r>
    </w:p>
    <w:p w14:paraId="221EBDDA" w14:textId="68A02CEB" w:rsidR="0018295A" w:rsidRPr="008021A2" w:rsidRDefault="0018295A" w:rsidP="0018295A">
      <w:pPr>
        <w:pStyle w:val="Nagwek3"/>
        <w:framePr w:wrap="auto" w:vAnchor="margin" w:yAlign="inline"/>
        <w:jc w:val="both"/>
        <w:rPr>
          <w:rFonts w:cs="Times New Roman"/>
          <w:i/>
          <w:noProof/>
        </w:rPr>
      </w:pPr>
      <w:bookmarkStart w:id="10" w:name="_Toc150504446"/>
      <w:r>
        <w:rPr>
          <w:i/>
          <w:caps w:val="0"/>
          <w:noProof/>
        </w:rPr>
        <w:t>Poziom zaawansowania</w:t>
      </w:r>
      <w:bookmarkEnd w:id="10"/>
    </w:p>
    <w:p w14:paraId="10662259" w14:textId="13B8310C"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We wszystkich projektach wybranych</w:t>
      </w:r>
      <w:r w:rsidR="0076371C">
        <w:rPr>
          <w:rFonts w:ascii="Times New Roman" w:hAnsi="Times New Roman"/>
          <w:noProof/>
          <w:sz w:val="24"/>
        </w:rPr>
        <w:t xml:space="preserve"> w ram</w:t>
      </w:r>
      <w:r>
        <w:rPr>
          <w:rFonts w:ascii="Times New Roman" w:hAnsi="Times New Roman"/>
          <w:noProof/>
          <w:sz w:val="24"/>
        </w:rPr>
        <w:t>ach LSC-2021 zamknięcie finansowe planowano osiągnąć do drugiego kwartału 20</w:t>
      </w:r>
      <w:r w:rsidRPr="002001C0">
        <w:rPr>
          <w:rFonts w:ascii="Times New Roman" w:hAnsi="Times New Roman"/>
          <w:noProof/>
          <w:sz w:val="24"/>
        </w:rPr>
        <w:t>25</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roz</w:t>
      </w:r>
      <w:r>
        <w:rPr>
          <w:rFonts w:ascii="Times New Roman" w:hAnsi="Times New Roman"/>
          <w:noProof/>
          <w:sz w:val="24"/>
        </w:rPr>
        <w:t>poczęcie eksploatacji tych projektów miało nastąpić do drugiego kwartału 20</w:t>
      </w:r>
      <w:r w:rsidRPr="002001C0">
        <w:rPr>
          <w:rFonts w:ascii="Times New Roman" w:hAnsi="Times New Roman"/>
          <w:noProof/>
          <w:sz w:val="24"/>
        </w:rPr>
        <w:t>28</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jak pokazano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7</w:t>
      </w:r>
      <w:r w:rsidR="0076371C">
        <w:rPr>
          <w:rFonts w:ascii="Times New Roman" w:hAnsi="Times New Roman"/>
          <w:noProof/>
          <w:sz w:val="24"/>
        </w:rPr>
        <w:t xml:space="preserve"> i 8</w:t>
      </w:r>
      <w:r>
        <w:rPr>
          <w:rFonts w:ascii="Times New Roman" w:hAnsi="Times New Roman"/>
          <w:noProof/>
          <w:sz w:val="24"/>
        </w:rPr>
        <w:t>. Czas osiągnięcia zamknięcia finansowego wynosi średnio 22 miesiące,</w:t>
      </w:r>
      <w:r w:rsidR="0076371C">
        <w:rPr>
          <w:rFonts w:ascii="Times New Roman" w:hAnsi="Times New Roman"/>
          <w:noProof/>
          <w:sz w:val="24"/>
        </w:rPr>
        <w:t xml:space="preserve"> a cza</w:t>
      </w:r>
      <w:r>
        <w:rPr>
          <w:rFonts w:ascii="Times New Roman" w:hAnsi="Times New Roman"/>
          <w:noProof/>
          <w:sz w:val="24"/>
        </w:rPr>
        <w:t>s rozpoczęcia eksploatacji – 58 miesięcy</w:t>
      </w:r>
      <w:r w:rsidR="0076371C">
        <w:rPr>
          <w:rFonts w:ascii="Times New Roman" w:hAnsi="Times New Roman"/>
          <w:noProof/>
          <w:sz w:val="24"/>
        </w:rPr>
        <w:t>. Z uwa</w:t>
      </w:r>
      <w:r>
        <w:rPr>
          <w:rFonts w:ascii="Times New Roman" w:hAnsi="Times New Roman"/>
          <w:noProof/>
          <w:sz w:val="24"/>
        </w:rPr>
        <w:t>gi na to, że zaawansowanie techniczne projektów wspieranych</w:t>
      </w:r>
      <w:r w:rsidR="0076371C">
        <w:rPr>
          <w:rFonts w:ascii="Times New Roman" w:hAnsi="Times New Roman"/>
          <w:noProof/>
          <w:sz w:val="24"/>
        </w:rPr>
        <w:t xml:space="preserve"> z fun</w:t>
      </w:r>
      <w:r>
        <w:rPr>
          <w:rFonts w:ascii="Times New Roman" w:hAnsi="Times New Roman"/>
          <w:noProof/>
          <w:sz w:val="24"/>
        </w:rPr>
        <w:t>duszu innowacyjnego jest ogólnie niskie, fakt, że potrzeba średnio prawie pięć lat na rozpoczęcie eksploatacji, jest zrozumiały</w:t>
      </w:r>
      <w:r w:rsidR="0076371C">
        <w:rPr>
          <w:rFonts w:ascii="Times New Roman" w:hAnsi="Times New Roman"/>
          <w:noProof/>
          <w:sz w:val="24"/>
        </w:rPr>
        <w:t xml:space="preserve"> w świ</w:t>
      </w:r>
      <w:r>
        <w:rPr>
          <w:rFonts w:ascii="Times New Roman" w:hAnsi="Times New Roman"/>
          <w:noProof/>
          <w:sz w:val="24"/>
        </w:rPr>
        <w:t>etle innowacyjnego charakteru wspieranych technologii. Jeden projekt, NorthStorPlus, osiągnął już zamknięcie finansowe pod koniec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t>
      </w:r>
    </w:p>
    <w:p w14:paraId="3940751E" w14:textId="3C033633" w:rsidR="0018295A" w:rsidRPr="008021A2" w:rsidRDefault="0018295A" w:rsidP="0018295A">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7</w:t>
      </w:r>
      <w:r>
        <w:rPr>
          <w:rFonts w:cs="Times New Roman"/>
          <w:noProof/>
        </w:rPr>
        <w:fldChar w:fldCharType="end"/>
      </w:r>
      <w:r>
        <w:rPr>
          <w:noProof/>
        </w:rPr>
        <w:t>: Przewidywany termin zamknięcia finansowego</w:t>
      </w:r>
      <w:r w:rsidR="0076371C">
        <w:rPr>
          <w:noProof/>
        </w:rPr>
        <w:t xml:space="preserve"> w ram</w:t>
      </w:r>
      <w:r>
        <w:rPr>
          <w:noProof/>
        </w:rPr>
        <w:t>ach LSC 2021</w:t>
      </w:r>
    </w:p>
    <w:p w14:paraId="78D9CFFE" w14:textId="46C4174D" w:rsidR="0018295A" w:rsidRPr="008021A2" w:rsidRDefault="00574F36" w:rsidP="0018295A">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36998BE9" wp14:editId="5C6917D4">
            <wp:extent cx="5731510" cy="2260600"/>
            <wp:effectExtent l="0" t="0" r="2540" b="6350"/>
            <wp:docPr id="535892776"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92776" name="Obraz 1" descr="Obraz zawierający tekst, zrzut ekranu, Czcionka, linia&#10;&#10;Opis wygenerowany automatycznie"/>
                    <pic:cNvPicPr/>
                  </pic:nvPicPr>
                  <pic:blipFill>
                    <a:blip r:embed="rId23"/>
                    <a:stretch>
                      <a:fillRect/>
                    </a:stretch>
                  </pic:blipFill>
                  <pic:spPr>
                    <a:xfrm>
                      <a:off x="0" y="0"/>
                      <a:ext cx="5731510" cy="2260600"/>
                    </a:xfrm>
                    <a:prstGeom prst="rect">
                      <a:avLst/>
                    </a:prstGeom>
                  </pic:spPr>
                </pic:pic>
              </a:graphicData>
            </a:graphic>
          </wp:inline>
        </w:drawing>
      </w:r>
    </w:p>
    <w:p w14:paraId="570D4A25" w14:textId="477E8640" w:rsidR="0018295A" w:rsidRPr="008021A2" w:rsidRDefault="0018295A" w:rsidP="0018295A">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8</w:t>
      </w:r>
      <w:r>
        <w:rPr>
          <w:rFonts w:cs="Times New Roman"/>
          <w:noProof/>
        </w:rPr>
        <w:fldChar w:fldCharType="end"/>
      </w:r>
      <w:r>
        <w:rPr>
          <w:noProof/>
        </w:rPr>
        <w:t>: Przewidywana data rozpoczęcia eksploatacji</w:t>
      </w:r>
      <w:r w:rsidR="0076371C">
        <w:rPr>
          <w:noProof/>
        </w:rPr>
        <w:t xml:space="preserve"> w ram</w:t>
      </w:r>
      <w:r>
        <w:rPr>
          <w:noProof/>
        </w:rPr>
        <w:t>ach LSC 2021.</w:t>
      </w:r>
    </w:p>
    <w:p w14:paraId="0A9069EF" w14:textId="094F9F1B" w:rsidR="0018295A" w:rsidRPr="008021A2" w:rsidRDefault="00574F36" w:rsidP="0018295A">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3A5F152E" wp14:editId="41EA927E">
            <wp:extent cx="5731510" cy="1848485"/>
            <wp:effectExtent l="0" t="0" r="2540" b="0"/>
            <wp:docPr id="2146104410" name="Obraz 1" descr="Obraz zawierający tekst, zrzut ekranu, lini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04410" name="Obraz 1" descr="Obraz zawierający tekst, zrzut ekranu, linia, Czcionka&#10;&#10;Opis wygenerowany automatycznie"/>
                    <pic:cNvPicPr/>
                  </pic:nvPicPr>
                  <pic:blipFill>
                    <a:blip r:embed="rId24"/>
                    <a:stretch>
                      <a:fillRect/>
                    </a:stretch>
                  </pic:blipFill>
                  <pic:spPr>
                    <a:xfrm>
                      <a:off x="0" y="0"/>
                      <a:ext cx="5731510" cy="1848485"/>
                    </a:xfrm>
                    <a:prstGeom prst="rect">
                      <a:avLst/>
                    </a:prstGeom>
                  </pic:spPr>
                </pic:pic>
              </a:graphicData>
            </a:graphic>
          </wp:inline>
        </w:drawing>
      </w:r>
    </w:p>
    <w:p w14:paraId="613CBF07" w14:textId="171D4487" w:rsidR="0018295A" w:rsidRPr="008021A2" w:rsidRDefault="0018295A" w:rsidP="0018295A">
      <w:pPr>
        <w:pStyle w:val="Nagwek3"/>
        <w:framePr w:wrap="auto" w:vAnchor="margin" w:yAlign="inline"/>
        <w:jc w:val="both"/>
        <w:rPr>
          <w:rFonts w:cs="Times New Roman"/>
          <w:i/>
          <w:noProof/>
        </w:rPr>
      </w:pPr>
      <w:bookmarkStart w:id="11" w:name="_Toc150504447"/>
      <w:r>
        <w:rPr>
          <w:i/>
          <w:caps w:val="0"/>
          <w:noProof/>
        </w:rPr>
        <w:t>Poziom innowacyjności</w:t>
      </w:r>
      <w:r w:rsidR="0076371C">
        <w:rPr>
          <w:i/>
          <w:caps w:val="0"/>
          <w:noProof/>
        </w:rPr>
        <w:t xml:space="preserve"> i pot</w:t>
      </w:r>
      <w:r>
        <w:rPr>
          <w:i/>
          <w:caps w:val="0"/>
          <w:noProof/>
        </w:rPr>
        <w:t>encjał skalowalności</w:t>
      </w:r>
      <w:bookmarkEnd w:id="11"/>
    </w:p>
    <w:p w14:paraId="72795B23" w14:textId="04407AF1"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Stopień innowacyjności</w:t>
      </w:r>
      <w:r w:rsidR="0076371C">
        <w:rPr>
          <w:rFonts w:ascii="Times New Roman" w:hAnsi="Times New Roman"/>
          <w:noProof/>
          <w:sz w:val="24"/>
        </w:rPr>
        <w:t xml:space="preserve"> w wyb</w:t>
      </w:r>
      <w:r>
        <w:rPr>
          <w:rFonts w:ascii="Times New Roman" w:hAnsi="Times New Roman"/>
          <w:noProof/>
          <w:sz w:val="24"/>
        </w:rPr>
        <w:t>ranych wnioskach był bardzo dobry – podczas oceny prawie wszystkie wnioski uzyskały wynik wynoszący co najmniej 4 (na możliwe 5)</w:t>
      </w:r>
      <w:r w:rsidR="0076371C">
        <w:rPr>
          <w:rFonts w:ascii="Times New Roman" w:hAnsi="Times New Roman"/>
          <w:noProof/>
          <w:sz w:val="24"/>
        </w:rPr>
        <w:t xml:space="preserve"> w ram</w:t>
      </w:r>
      <w:r>
        <w:rPr>
          <w:rFonts w:ascii="Times New Roman" w:hAnsi="Times New Roman"/>
          <w:noProof/>
          <w:sz w:val="24"/>
        </w:rPr>
        <w:t>ach tego kryterium, przy czym dobre wyniki odnotowano zarówno</w:t>
      </w:r>
      <w:r w:rsidR="0076371C">
        <w:rPr>
          <w:rFonts w:ascii="Times New Roman" w:hAnsi="Times New Roman"/>
          <w:noProof/>
          <w:sz w:val="24"/>
        </w:rPr>
        <w:t xml:space="preserve"> w odn</w:t>
      </w:r>
      <w:r>
        <w:rPr>
          <w:rFonts w:ascii="Times New Roman" w:hAnsi="Times New Roman"/>
          <w:noProof/>
          <w:sz w:val="24"/>
        </w:rPr>
        <w:t>iesieniu do podkryteriów „najnowocześniejszego rozwiązania”, jak i „wkładu</w:t>
      </w:r>
      <w:r w:rsidR="0076371C">
        <w:rPr>
          <w:rFonts w:ascii="Times New Roman" w:hAnsi="Times New Roman"/>
          <w:noProof/>
          <w:sz w:val="24"/>
        </w:rPr>
        <w:t xml:space="preserve"> w pol</w:t>
      </w:r>
      <w:r>
        <w:rPr>
          <w:rFonts w:ascii="Times New Roman" w:hAnsi="Times New Roman"/>
          <w:noProof/>
          <w:sz w:val="24"/>
        </w:rPr>
        <w:t>itykę UE”.</w:t>
      </w:r>
    </w:p>
    <w:p w14:paraId="34AA47A0" w14:textId="5D26387E"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Celem funduszu innowacyjnego jest wybór projektów</w:t>
      </w:r>
      <w:r w:rsidR="0076371C">
        <w:rPr>
          <w:rFonts w:ascii="Times New Roman" w:hAnsi="Times New Roman"/>
          <w:noProof/>
          <w:sz w:val="24"/>
        </w:rPr>
        <w:t xml:space="preserve"> o pot</w:t>
      </w:r>
      <w:r>
        <w:rPr>
          <w:rFonts w:ascii="Times New Roman" w:hAnsi="Times New Roman"/>
          <w:noProof/>
          <w:sz w:val="24"/>
        </w:rPr>
        <w:t>encjale technicznym</w:t>
      </w:r>
      <w:r w:rsidR="0076371C">
        <w:rPr>
          <w:rFonts w:ascii="Times New Roman" w:hAnsi="Times New Roman"/>
          <w:noProof/>
          <w:sz w:val="24"/>
        </w:rPr>
        <w:t xml:space="preserve"> i ryn</w:t>
      </w:r>
      <w:r>
        <w:rPr>
          <w:rFonts w:ascii="Times New Roman" w:hAnsi="Times New Roman"/>
          <w:noProof/>
          <w:sz w:val="24"/>
        </w:rPr>
        <w:t>kowym dotyczącym: (i) powszechnego stosowania lub ponownego zastosowania; lub (ii) przyszłych obniżek kosztów</w:t>
      </w:r>
      <w:r w:rsidR="0076371C">
        <w:rPr>
          <w:rFonts w:ascii="Times New Roman" w:hAnsi="Times New Roman"/>
          <w:noProof/>
          <w:sz w:val="24"/>
        </w:rPr>
        <w:t>. W zwi</w:t>
      </w:r>
      <w:r>
        <w:rPr>
          <w:rFonts w:ascii="Times New Roman" w:hAnsi="Times New Roman"/>
          <w:noProof/>
          <w:sz w:val="24"/>
        </w:rPr>
        <w:t>ązku</w:t>
      </w:r>
      <w:r w:rsidR="0076371C">
        <w:rPr>
          <w:rFonts w:ascii="Times New Roman" w:hAnsi="Times New Roman"/>
          <w:noProof/>
          <w:sz w:val="24"/>
        </w:rPr>
        <w:t xml:space="preserve"> z tym w ram</w:t>
      </w:r>
      <w:r>
        <w:rPr>
          <w:rFonts w:ascii="Times New Roman" w:hAnsi="Times New Roman"/>
          <w:noProof/>
          <w:sz w:val="24"/>
        </w:rPr>
        <w:t>ach oceny analizuje się: (i) to, czy wnioski są skalowalne na poziomie projektu</w:t>
      </w:r>
      <w:r w:rsidR="0076371C">
        <w:rPr>
          <w:rFonts w:ascii="Times New Roman" w:hAnsi="Times New Roman"/>
          <w:noProof/>
          <w:sz w:val="24"/>
        </w:rPr>
        <w:t xml:space="preserve"> i gos</w:t>
      </w:r>
      <w:r>
        <w:rPr>
          <w:rFonts w:ascii="Times New Roman" w:hAnsi="Times New Roman"/>
          <w:noProof/>
          <w:sz w:val="24"/>
        </w:rPr>
        <w:t>podarki regionalnej; (ii) czy wnioski są skalowalne na poziomie sektora</w:t>
      </w:r>
      <w:r w:rsidR="0076371C">
        <w:rPr>
          <w:rFonts w:ascii="Times New Roman" w:hAnsi="Times New Roman"/>
          <w:noProof/>
          <w:sz w:val="24"/>
        </w:rPr>
        <w:t xml:space="preserve"> i cał</w:t>
      </w:r>
      <w:r>
        <w:rPr>
          <w:rFonts w:ascii="Times New Roman" w:hAnsi="Times New Roman"/>
          <w:noProof/>
          <w:sz w:val="24"/>
        </w:rPr>
        <w:t>ej gospodarki; oraz (iii) jakość</w:t>
      </w:r>
      <w:r w:rsidR="0076371C">
        <w:rPr>
          <w:rFonts w:ascii="Times New Roman" w:hAnsi="Times New Roman"/>
          <w:noProof/>
          <w:sz w:val="24"/>
        </w:rPr>
        <w:t xml:space="preserve"> i zak</w:t>
      </w:r>
      <w:r>
        <w:rPr>
          <w:rFonts w:ascii="Times New Roman" w:hAnsi="Times New Roman"/>
          <w:noProof/>
          <w:sz w:val="24"/>
        </w:rPr>
        <w:t>res planu dzielenia się wiedzą. Jeśli chodzi</w:t>
      </w:r>
      <w:r w:rsidR="0076371C">
        <w:rPr>
          <w:rFonts w:ascii="Times New Roman" w:hAnsi="Times New Roman"/>
          <w:noProof/>
          <w:sz w:val="24"/>
        </w:rPr>
        <w:t xml:space="preserve"> o pot</w:t>
      </w:r>
      <w:r>
        <w:rPr>
          <w:rFonts w:ascii="Times New Roman" w:hAnsi="Times New Roman"/>
          <w:noProof/>
          <w:sz w:val="24"/>
        </w:rPr>
        <w:t>encjał skalowalności, wszystkie wybrane wnioski</w:t>
      </w:r>
      <w:r w:rsidR="0076371C">
        <w:rPr>
          <w:rFonts w:ascii="Times New Roman" w:hAnsi="Times New Roman"/>
          <w:noProof/>
          <w:sz w:val="24"/>
        </w:rPr>
        <w:t xml:space="preserve"> w ram</w:t>
      </w:r>
      <w:r>
        <w:rPr>
          <w:rFonts w:ascii="Times New Roman" w:hAnsi="Times New Roman"/>
          <w:noProof/>
          <w:sz w:val="24"/>
        </w:rPr>
        <w:t xml:space="preserve">ach LSC-2021 uzyskały wynik wynoszący </w:t>
      </w:r>
      <w:r w:rsidRPr="002001C0">
        <w:rPr>
          <w:rFonts w:ascii="Times New Roman" w:hAnsi="Times New Roman"/>
          <w:noProof/>
          <w:sz w:val="24"/>
        </w:rPr>
        <w:t>od</w:t>
      </w:r>
      <w:r w:rsidR="002001C0" w:rsidRPr="002001C0">
        <w:rPr>
          <w:rFonts w:ascii="Times New Roman" w:hAnsi="Times New Roman"/>
          <w:noProof/>
          <w:sz w:val="24"/>
        </w:rPr>
        <w:t> </w:t>
      </w:r>
      <w:r w:rsidRPr="002001C0">
        <w:rPr>
          <w:rFonts w:ascii="Times New Roman" w:hAnsi="Times New Roman"/>
          <w:noProof/>
          <w:sz w:val="24"/>
        </w:rPr>
        <w:t>3</w:t>
      </w:r>
      <w:r>
        <w:rPr>
          <w:rFonts w:ascii="Times New Roman" w:hAnsi="Times New Roman"/>
          <w:noProof/>
          <w:sz w:val="24"/>
        </w:rPr>
        <w:t xml:space="preserve">,5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5</w:t>
      </w:r>
      <w:r>
        <w:rPr>
          <w:rFonts w:ascii="Times New Roman" w:hAnsi="Times New Roman"/>
          <w:noProof/>
          <w:sz w:val="24"/>
        </w:rPr>
        <w:t xml:space="preserve">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5</w:t>
      </w:r>
      <w:r>
        <w:rPr>
          <w:rFonts w:ascii="Times New Roman" w:hAnsi="Times New Roman"/>
          <w:noProof/>
          <w:sz w:val="24"/>
        </w:rPr>
        <w:t xml:space="preserve">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5</w:t>
      </w:r>
      <w:r>
        <w:rPr>
          <w:rFonts w:ascii="Times New Roman" w:hAnsi="Times New Roman"/>
          <w:noProof/>
          <w:sz w:val="24"/>
        </w:rPr>
        <w:t>, przy czym prawie wszystkie uzyskały wynik wynoszący co najmniej 4.</w:t>
      </w:r>
    </w:p>
    <w:p w14:paraId="42B84267" w14:textId="62748F2B" w:rsidR="0018295A" w:rsidRPr="008021A2" w:rsidRDefault="0018295A" w:rsidP="0018295A">
      <w:pPr>
        <w:jc w:val="both"/>
        <w:rPr>
          <w:rFonts w:ascii="Times New Roman" w:hAnsi="Times New Roman" w:cs="Times New Roman"/>
          <w:noProof/>
          <w:sz w:val="24"/>
        </w:rPr>
      </w:pPr>
      <w:r>
        <w:rPr>
          <w:rFonts w:ascii="Times New Roman" w:hAnsi="Times New Roman"/>
          <w:noProof/>
          <w:sz w:val="24"/>
        </w:rPr>
        <w:t>Projekty wybrane do wsparcia</w:t>
      </w:r>
      <w:r w:rsidR="0076371C">
        <w:rPr>
          <w:rFonts w:ascii="Times New Roman" w:hAnsi="Times New Roman"/>
          <w:noProof/>
          <w:sz w:val="24"/>
        </w:rPr>
        <w:t xml:space="preserve"> w ram</w:t>
      </w:r>
      <w:r>
        <w:rPr>
          <w:rFonts w:ascii="Times New Roman" w:hAnsi="Times New Roman"/>
          <w:noProof/>
          <w:sz w:val="24"/>
        </w:rPr>
        <w:t>ach LSC-2021 obejmują wiele innowacji technologicznych, które mogą mieć kluczowe znaczenie dla dekarbonizacji gospodarki europejskiej</w:t>
      </w:r>
      <w:r w:rsidR="0076371C">
        <w:rPr>
          <w:rFonts w:ascii="Times New Roman" w:hAnsi="Times New Roman"/>
          <w:noProof/>
          <w:sz w:val="24"/>
        </w:rPr>
        <w:t xml:space="preserve"> w nad</w:t>
      </w:r>
      <w:r>
        <w:rPr>
          <w:rFonts w:ascii="Times New Roman" w:hAnsi="Times New Roman"/>
          <w:noProof/>
          <w:sz w:val="24"/>
        </w:rPr>
        <w:t>chodzących latach. Przykłady kluczowych technologii obejmują: (i) rozwój morskiej energii wiatrowej</w:t>
      </w:r>
      <w:r w:rsidR="0076371C">
        <w:rPr>
          <w:rFonts w:ascii="Times New Roman" w:hAnsi="Times New Roman"/>
          <w:noProof/>
          <w:sz w:val="24"/>
        </w:rPr>
        <w:t xml:space="preserve"> w poł</w:t>
      </w:r>
      <w:r>
        <w:rPr>
          <w:rFonts w:ascii="Times New Roman" w:hAnsi="Times New Roman"/>
          <w:noProof/>
          <w:sz w:val="24"/>
        </w:rPr>
        <w:t>ączeniu</w:t>
      </w:r>
      <w:r w:rsidR="0076371C">
        <w:rPr>
          <w:rFonts w:ascii="Times New Roman" w:hAnsi="Times New Roman"/>
          <w:noProof/>
          <w:sz w:val="24"/>
        </w:rPr>
        <w:t xml:space="preserve"> z ele</w:t>
      </w:r>
      <w:r>
        <w:rPr>
          <w:rFonts w:ascii="Times New Roman" w:hAnsi="Times New Roman"/>
          <w:noProof/>
          <w:sz w:val="24"/>
        </w:rPr>
        <w:t>ktrolizerami produkującymi wodór; (ii) produkcję, wdrażanie</w:t>
      </w:r>
      <w:r w:rsidR="0076371C">
        <w:rPr>
          <w:rFonts w:ascii="Times New Roman" w:hAnsi="Times New Roman"/>
          <w:noProof/>
          <w:sz w:val="24"/>
        </w:rPr>
        <w:t xml:space="preserve"> i rec</w:t>
      </w:r>
      <w:r>
        <w:rPr>
          <w:rFonts w:ascii="Times New Roman" w:hAnsi="Times New Roman"/>
          <w:noProof/>
          <w:sz w:val="24"/>
        </w:rPr>
        <w:t>ykling innowacyjnych materiałów (takich jak baterie litowo-jonowe</w:t>
      </w:r>
      <w:r w:rsidR="0076371C">
        <w:rPr>
          <w:rFonts w:ascii="Times New Roman" w:hAnsi="Times New Roman"/>
          <w:noProof/>
          <w:sz w:val="24"/>
        </w:rPr>
        <w:t xml:space="preserve"> o duż</w:t>
      </w:r>
      <w:r>
        <w:rPr>
          <w:rFonts w:ascii="Times New Roman" w:hAnsi="Times New Roman"/>
          <w:noProof/>
          <w:sz w:val="24"/>
        </w:rPr>
        <w:t>ej zawartości niklu) do magazynowania energii elektrochemicznej</w:t>
      </w:r>
      <w:r w:rsidR="0076371C">
        <w:rPr>
          <w:rFonts w:ascii="Times New Roman" w:hAnsi="Times New Roman"/>
          <w:noProof/>
          <w:sz w:val="24"/>
        </w:rPr>
        <w:t xml:space="preserve"> w sie</w:t>
      </w:r>
      <w:r>
        <w:rPr>
          <w:rFonts w:ascii="Times New Roman" w:hAnsi="Times New Roman"/>
          <w:noProof/>
          <w:sz w:val="24"/>
        </w:rPr>
        <w:t xml:space="preserve">ciach </w:t>
      </w:r>
      <w:r>
        <w:rPr>
          <w:rFonts w:ascii="Times New Roman" w:hAnsi="Times New Roman"/>
          <w:noProof/>
          <w:sz w:val="24"/>
        </w:rPr>
        <w:lastRenderedPageBreak/>
        <w:t>energetycznych; (iii) opracowanie nowych procesów chemicznych na potrzeby wielkoskalowego recyklingu strumieni odpadów tworzyw sztucznych; lub (iv) włączenie technik CCS do przemysłowych procesów produkcji cementu.</w:t>
      </w:r>
    </w:p>
    <w:p w14:paraId="07848834" w14:textId="77777777" w:rsidR="0084004E" w:rsidRPr="008021A2" w:rsidRDefault="0084004E" w:rsidP="0084004E">
      <w:pPr>
        <w:pStyle w:val="Nagwek1"/>
        <w:framePr w:wrap="notBeside"/>
        <w:rPr>
          <w:rFonts w:cs="Times New Roman"/>
          <w:noProof/>
        </w:rPr>
      </w:pPr>
      <w:bookmarkStart w:id="12" w:name="_Toc150504448"/>
      <w:r>
        <w:rPr>
          <w:noProof/>
        </w:rPr>
        <w:t>DRUGIE ZAPROSZENIE DO SKŁADANIA WNIOSKÓW DOTYCZĄCYCH PROJEKTÓW NA MAŁĄ SKALĘ (SSC-2021)</w:t>
      </w:r>
      <w:bookmarkEnd w:id="12"/>
    </w:p>
    <w:p w14:paraId="0269E313" w14:textId="77777777" w:rsidR="0084004E" w:rsidRPr="008021A2" w:rsidRDefault="0084004E" w:rsidP="0084004E">
      <w:pPr>
        <w:pStyle w:val="Tekstpodstawowy"/>
        <w:spacing w:before="240"/>
        <w:jc w:val="both"/>
        <w:rPr>
          <w:rFonts w:ascii="Times New Roman" w:hAnsi="Times New Roman" w:cs="Times New Roman"/>
          <w:noProof/>
          <w:sz w:val="24"/>
        </w:rPr>
      </w:pPr>
    </w:p>
    <w:tbl>
      <w:tblPr>
        <w:tblStyle w:val="Tabela-Siatka"/>
        <w:tblW w:w="0" w:type="auto"/>
        <w:tblLook w:val="04A0" w:firstRow="1" w:lastRow="0" w:firstColumn="1" w:lastColumn="0" w:noHBand="0" w:noVBand="1"/>
      </w:tblPr>
      <w:tblGrid>
        <w:gridCol w:w="9016"/>
      </w:tblGrid>
      <w:tr w:rsidR="0084004E" w:rsidRPr="008021A2" w14:paraId="2C159F7E" w14:textId="77777777" w:rsidTr="004E1128">
        <w:tc>
          <w:tcPr>
            <w:tcW w:w="0" w:type="auto"/>
          </w:tcPr>
          <w:p w14:paraId="3338FB83" w14:textId="58CF6123" w:rsidR="0084004E" w:rsidRPr="008021A2" w:rsidRDefault="0084004E" w:rsidP="004E1128">
            <w:pPr>
              <w:pStyle w:val="Tekstpodstawowy"/>
              <w:spacing w:before="240"/>
              <w:jc w:val="both"/>
              <w:rPr>
                <w:rFonts w:ascii="Times New Roman" w:hAnsi="Times New Roman" w:cs="Times New Roman"/>
                <w:noProof/>
                <w:sz w:val="24"/>
              </w:rPr>
            </w:pPr>
            <w:r>
              <w:rPr>
                <w:rFonts w:ascii="Times New Roman" w:hAnsi="Times New Roman"/>
                <w:i/>
                <w:noProof/>
                <w:sz w:val="24"/>
              </w:rPr>
              <w:t>Zaproszenie SSC-2021 było ukierunkowane na projekty, których wydatki kapitałowe wynosiły mniej niż 7,5 mln EUR na projekt. Wybrano 17 projektów, które otrzymały łącznie 61,8 mln EUR (średnia dotacja</w:t>
            </w:r>
            <w:r w:rsidR="0076371C">
              <w:rPr>
                <w:rFonts w:ascii="Times New Roman" w:hAnsi="Times New Roman"/>
                <w:i/>
                <w:noProof/>
                <w:sz w:val="24"/>
              </w:rPr>
              <w:t xml:space="preserve"> w wys</w:t>
            </w:r>
            <w:r>
              <w:rPr>
                <w:rFonts w:ascii="Times New Roman" w:hAnsi="Times New Roman"/>
                <w:i/>
                <w:noProof/>
                <w:sz w:val="24"/>
              </w:rPr>
              <w:t>okości 3,6 mln EUR na projekt). Chociaż wpłynęło 66 wniosków, tylko 17 wniosków oceniono jako spełniające lub przekraczające progi oceny. Budżet zaproszenia nie został zatem</w:t>
            </w:r>
            <w:r w:rsidR="0076371C">
              <w:rPr>
                <w:rFonts w:ascii="Times New Roman" w:hAnsi="Times New Roman"/>
                <w:i/>
                <w:noProof/>
                <w:sz w:val="24"/>
              </w:rPr>
              <w:t xml:space="preserve"> w peł</w:t>
            </w:r>
            <w:r>
              <w:rPr>
                <w:rFonts w:ascii="Times New Roman" w:hAnsi="Times New Roman"/>
                <w:i/>
                <w:noProof/>
                <w:sz w:val="24"/>
              </w:rPr>
              <w:t>ni wykorzystany – wpłynęło za mało wniosków, by zagospodarować 3</w:t>
            </w:r>
            <w:r w:rsidRPr="002001C0">
              <w:rPr>
                <w:rFonts w:ascii="Times New Roman" w:hAnsi="Times New Roman"/>
                <w:i/>
                <w:noProof/>
                <w:sz w:val="24"/>
              </w:rPr>
              <w:t>8</w:t>
            </w:r>
            <w:r w:rsidR="002001C0" w:rsidRPr="002001C0">
              <w:rPr>
                <w:rFonts w:ascii="Times New Roman" w:hAnsi="Times New Roman"/>
                <w:i/>
                <w:noProof/>
                <w:sz w:val="24"/>
              </w:rPr>
              <w:t> </w:t>
            </w:r>
            <w:r w:rsidRPr="002001C0">
              <w:rPr>
                <w:rFonts w:ascii="Times New Roman" w:hAnsi="Times New Roman"/>
                <w:i/>
                <w:noProof/>
                <w:sz w:val="24"/>
              </w:rPr>
              <w:t>%</w:t>
            </w:r>
            <w:r>
              <w:rPr>
                <w:rFonts w:ascii="Times New Roman" w:hAnsi="Times New Roman"/>
                <w:i/>
                <w:noProof/>
                <w:sz w:val="24"/>
              </w:rPr>
              <w:t xml:space="preserve"> budżetu. Najbardziej wspieranym sektorem</w:t>
            </w:r>
            <w:r w:rsidR="0076371C">
              <w:rPr>
                <w:rFonts w:ascii="Times New Roman" w:hAnsi="Times New Roman"/>
                <w:i/>
                <w:noProof/>
                <w:sz w:val="24"/>
              </w:rPr>
              <w:t xml:space="preserve"> w ram</w:t>
            </w:r>
            <w:r>
              <w:rPr>
                <w:rFonts w:ascii="Times New Roman" w:hAnsi="Times New Roman"/>
                <w:i/>
                <w:noProof/>
                <w:sz w:val="24"/>
              </w:rPr>
              <w:t xml:space="preserve">ach zaproszenia był sektor </w:t>
            </w:r>
            <w:r w:rsidRPr="00CE4C7D">
              <w:rPr>
                <w:rFonts w:ascii="Times New Roman" w:hAnsi="Times New Roman"/>
                <w:noProof/>
                <w:sz w:val="24"/>
              </w:rPr>
              <w:t>szkła, ceramiki</w:t>
            </w:r>
            <w:r w:rsidR="0076371C" w:rsidRPr="00CE4C7D">
              <w:rPr>
                <w:rFonts w:ascii="Times New Roman" w:hAnsi="Times New Roman"/>
                <w:noProof/>
                <w:sz w:val="24"/>
              </w:rPr>
              <w:t xml:space="preserve"> i</w:t>
            </w:r>
            <w:r w:rsidR="0076371C">
              <w:rPr>
                <w:rFonts w:ascii="Times New Roman" w:hAnsi="Times New Roman"/>
                <w:noProof/>
                <w:sz w:val="24"/>
              </w:rPr>
              <w:t> </w:t>
            </w:r>
            <w:r w:rsidR="0076371C" w:rsidRPr="00CE4C7D">
              <w:rPr>
                <w:rFonts w:ascii="Times New Roman" w:hAnsi="Times New Roman"/>
                <w:noProof/>
                <w:sz w:val="24"/>
              </w:rPr>
              <w:t>mat</w:t>
            </w:r>
            <w:r w:rsidRPr="00CE4C7D">
              <w:rPr>
                <w:rFonts w:ascii="Times New Roman" w:hAnsi="Times New Roman"/>
                <w:noProof/>
                <w:sz w:val="24"/>
              </w:rPr>
              <w:t>eriałów budowlanych</w:t>
            </w:r>
            <w:r>
              <w:rPr>
                <w:rFonts w:ascii="Times New Roman" w:hAnsi="Times New Roman"/>
                <w:i/>
                <w:noProof/>
                <w:sz w:val="24"/>
              </w:rPr>
              <w:t>,</w:t>
            </w:r>
            <w:r w:rsidR="0076371C">
              <w:rPr>
                <w:rFonts w:ascii="Times New Roman" w:hAnsi="Times New Roman"/>
                <w:i/>
                <w:noProof/>
                <w:sz w:val="24"/>
              </w:rPr>
              <w:t xml:space="preserve"> w któ</w:t>
            </w:r>
            <w:r>
              <w:rPr>
                <w:rFonts w:ascii="Times New Roman" w:hAnsi="Times New Roman"/>
                <w:i/>
                <w:noProof/>
                <w:sz w:val="24"/>
              </w:rPr>
              <w:t>rym pięć projektów otrzymało łącznie około 19 mln EUR na wdrożenie rozwiązań</w:t>
            </w:r>
            <w:r w:rsidR="0076371C">
              <w:rPr>
                <w:rFonts w:ascii="Times New Roman" w:hAnsi="Times New Roman"/>
                <w:i/>
                <w:noProof/>
                <w:sz w:val="24"/>
              </w:rPr>
              <w:t xml:space="preserve"> w zak</w:t>
            </w:r>
            <w:r>
              <w:rPr>
                <w:rFonts w:ascii="Times New Roman" w:hAnsi="Times New Roman"/>
                <w:i/>
                <w:noProof/>
                <w:sz w:val="24"/>
              </w:rPr>
              <w:t>resie dekarbonizacji</w:t>
            </w:r>
            <w:r w:rsidR="0076371C">
              <w:rPr>
                <w:rFonts w:ascii="Times New Roman" w:hAnsi="Times New Roman"/>
                <w:i/>
                <w:noProof/>
                <w:sz w:val="24"/>
              </w:rPr>
              <w:t xml:space="preserve"> w pro</w:t>
            </w:r>
            <w:r>
              <w:rPr>
                <w:rFonts w:ascii="Times New Roman" w:hAnsi="Times New Roman"/>
                <w:i/>
                <w:noProof/>
                <w:sz w:val="24"/>
              </w:rPr>
              <w:t xml:space="preserve">cesach przemysłowych, takich jak elektryfikacja pieców lub recyrkulacja ciepła odpadowego. Oczekuje się, że wybrane projekty pomogą łącznie uniknąć emisji 1,3 mln ton ekwiwalentu </w:t>
            </w:r>
            <w:r>
              <w:rPr>
                <w:rFonts w:ascii="Times New Roman" w:hAnsi="Times New Roman"/>
                <w:noProof/>
                <w:sz w:val="24"/>
              </w:rPr>
              <w:t>CO₂</w:t>
            </w:r>
            <w:r w:rsidR="0076371C">
              <w:rPr>
                <w:rFonts w:ascii="Times New Roman" w:hAnsi="Times New Roman"/>
                <w:i/>
                <w:noProof/>
                <w:sz w:val="24"/>
              </w:rPr>
              <w:t xml:space="preserve"> w okr</w:t>
            </w:r>
            <w:r>
              <w:rPr>
                <w:rFonts w:ascii="Times New Roman" w:hAnsi="Times New Roman"/>
                <w:i/>
                <w:noProof/>
                <w:sz w:val="24"/>
              </w:rPr>
              <w:t>esie 10 lat.</w:t>
            </w:r>
          </w:p>
        </w:tc>
      </w:tr>
    </w:tbl>
    <w:p w14:paraId="54947984" w14:textId="77777777" w:rsidR="0084004E" w:rsidRPr="008021A2" w:rsidRDefault="0084004E" w:rsidP="0084004E">
      <w:pPr>
        <w:pStyle w:val="Tekstpodstawowy"/>
        <w:spacing w:before="240"/>
        <w:jc w:val="both"/>
        <w:rPr>
          <w:rFonts w:ascii="Times New Roman" w:hAnsi="Times New Roman" w:cs="Times New Roman"/>
          <w:noProof/>
          <w:color w:val="00B0F0"/>
          <w:sz w:val="24"/>
        </w:rPr>
      </w:pPr>
    </w:p>
    <w:p w14:paraId="5F06A780" w14:textId="32F9CA6D" w:rsidR="0084004E" w:rsidRPr="008021A2" w:rsidRDefault="00FB3E41" w:rsidP="0084004E">
      <w:pPr>
        <w:jc w:val="both"/>
        <w:rPr>
          <w:rFonts w:ascii="Times New Roman" w:hAnsi="Times New Roman" w:cs="Times New Roman"/>
          <w:noProof/>
          <w:sz w:val="24"/>
        </w:rPr>
      </w:pPr>
      <w:r>
        <w:rPr>
          <w:rFonts w:ascii="Times New Roman" w:hAnsi="Times New Roman"/>
          <w:noProof/>
          <w:sz w:val="24"/>
        </w:rPr>
        <w:t>SSC-2021, które było drugim zaproszeniem do składania wniosków dotyczących projektów na małą skalę</w:t>
      </w:r>
      <w:r w:rsidR="0076371C">
        <w:rPr>
          <w:rFonts w:ascii="Times New Roman" w:hAnsi="Times New Roman"/>
          <w:noProof/>
          <w:sz w:val="24"/>
        </w:rPr>
        <w:t xml:space="preserve"> w ram</w:t>
      </w:r>
      <w:r>
        <w:rPr>
          <w:rFonts w:ascii="Times New Roman" w:hAnsi="Times New Roman"/>
          <w:noProof/>
          <w:sz w:val="24"/>
        </w:rPr>
        <w:t>ach funduszu innowacyjnego, obejmowało budżet</w:t>
      </w:r>
      <w:r w:rsidR="0076371C">
        <w:rPr>
          <w:rFonts w:ascii="Times New Roman" w:hAnsi="Times New Roman"/>
          <w:noProof/>
          <w:sz w:val="24"/>
        </w:rPr>
        <w:t xml:space="preserve"> w wys</w:t>
      </w:r>
      <w:r>
        <w:rPr>
          <w:rFonts w:ascii="Times New Roman" w:hAnsi="Times New Roman"/>
          <w:noProof/>
          <w:sz w:val="24"/>
        </w:rPr>
        <w:t>okości 100 mln EUR</w:t>
      </w:r>
      <w:r w:rsidR="0076371C">
        <w:rPr>
          <w:rFonts w:ascii="Times New Roman" w:hAnsi="Times New Roman"/>
          <w:noProof/>
          <w:sz w:val="24"/>
        </w:rPr>
        <w:t xml:space="preserve"> i był</w:t>
      </w:r>
      <w:r>
        <w:rPr>
          <w:rFonts w:ascii="Times New Roman" w:hAnsi="Times New Roman"/>
          <w:noProof/>
          <w:sz w:val="24"/>
        </w:rPr>
        <w:t>o ukierunkowane na projekty, których szacowane wydatki kapitałowe wynoszą poniżej 7,5 mln EUR na projekt</w:t>
      </w:r>
      <w:r w:rsidR="0076371C">
        <w:rPr>
          <w:rFonts w:ascii="Times New Roman" w:hAnsi="Times New Roman"/>
          <w:noProof/>
          <w:sz w:val="24"/>
        </w:rPr>
        <w:t xml:space="preserve"> w dow</w:t>
      </w:r>
      <w:r>
        <w:rPr>
          <w:rFonts w:ascii="Times New Roman" w:hAnsi="Times New Roman"/>
          <w:noProof/>
          <w:sz w:val="24"/>
        </w:rPr>
        <w:t xml:space="preserve">olnym sektorze objętym EU ETS. Ogłoszono </w:t>
      </w:r>
      <w:r w:rsidRPr="002001C0">
        <w:rPr>
          <w:rFonts w:ascii="Times New Roman" w:hAnsi="Times New Roman"/>
          <w:noProof/>
          <w:sz w:val="24"/>
        </w:rPr>
        <w:t>je</w:t>
      </w:r>
      <w:r w:rsidR="002001C0" w:rsidRPr="002001C0">
        <w:rPr>
          <w:rFonts w:ascii="Times New Roman" w:hAnsi="Times New Roman"/>
          <w:noProof/>
          <w:sz w:val="24"/>
        </w:rPr>
        <w:t> </w:t>
      </w:r>
      <w:r w:rsidRPr="002001C0">
        <w:rPr>
          <w:rFonts w:ascii="Times New Roman" w:hAnsi="Times New Roman"/>
          <w:noProof/>
          <w:sz w:val="24"/>
        </w:rPr>
        <w:t>3</w:t>
      </w:r>
      <w:r>
        <w:rPr>
          <w:rFonts w:ascii="Times New Roman" w:hAnsi="Times New Roman"/>
          <w:noProof/>
          <w:sz w:val="24"/>
        </w:rPr>
        <w:t>1 marca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ter</w:t>
      </w:r>
      <w:r>
        <w:rPr>
          <w:rFonts w:ascii="Times New Roman" w:hAnsi="Times New Roman"/>
          <w:noProof/>
          <w:sz w:val="24"/>
        </w:rPr>
        <w:t>min składania wniosków upływał 31 sierpnia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Wyniki oceny ogłoszono 12 grudnia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1D54BE95" w14:textId="2E1120DF"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Otrzymano 66 wniosków,</w:t>
      </w:r>
      <w:r w:rsidR="0076371C">
        <w:rPr>
          <w:rFonts w:ascii="Times New Roman" w:hAnsi="Times New Roman"/>
          <w:noProof/>
          <w:sz w:val="24"/>
        </w:rPr>
        <w:t xml:space="preserve"> z cze</w:t>
      </w:r>
      <w:r>
        <w:rPr>
          <w:rFonts w:ascii="Times New Roman" w:hAnsi="Times New Roman"/>
          <w:noProof/>
          <w:sz w:val="24"/>
        </w:rPr>
        <w:t>go 53 (8</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uznano za dopuszczalne</w:t>
      </w:r>
      <w:r w:rsidR="0076371C">
        <w:rPr>
          <w:rFonts w:ascii="Times New Roman" w:hAnsi="Times New Roman"/>
          <w:noProof/>
          <w:sz w:val="24"/>
        </w:rPr>
        <w:t xml:space="preserve"> i kwa</w:t>
      </w:r>
      <w:r>
        <w:rPr>
          <w:rFonts w:ascii="Times New Roman" w:hAnsi="Times New Roman"/>
          <w:noProof/>
          <w:sz w:val="24"/>
        </w:rPr>
        <w:t>lifikujące się do oceny. Spośród tych 53 wniosków 17 spełniało lub przekroczyło minimalne wymogi progu oceny, które należy uwzględnić przy przyznawaniu dotacji. Ponieważ dostępny budżet przekraczał łączne wnioskowane wsparcie, wszystkie 17</w:t>
      </w:r>
      <w:r w:rsidR="0076371C">
        <w:rPr>
          <w:rFonts w:ascii="Times New Roman" w:hAnsi="Times New Roman"/>
          <w:noProof/>
          <w:sz w:val="24"/>
        </w:rPr>
        <w:t xml:space="preserve"> z tyc</w:t>
      </w:r>
      <w:r>
        <w:rPr>
          <w:rFonts w:ascii="Times New Roman" w:hAnsi="Times New Roman"/>
          <w:noProof/>
          <w:sz w:val="24"/>
        </w:rPr>
        <w:t>h wniosków wybrano do etapu przygotowań do zawarcia umowy</w:t>
      </w:r>
      <w:r w:rsidR="0076371C">
        <w:rPr>
          <w:rFonts w:ascii="Times New Roman" w:hAnsi="Times New Roman"/>
          <w:noProof/>
          <w:sz w:val="24"/>
        </w:rPr>
        <w:t xml:space="preserve"> o udz</w:t>
      </w:r>
      <w:r>
        <w:rPr>
          <w:rFonts w:ascii="Times New Roman" w:hAnsi="Times New Roman"/>
          <w:noProof/>
          <w:sz w:val="24"/>
        </w:rPr>
        <w:t xml:space="preserve">ielenie dotacji (zob.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9</w:t>
      </w:r>
      <w:r>
        <w:rPr>
          <w:rFonts w:ascii="Times New Roman" w:hAnsi="Times New Roman"/>
          <w:noProof/>
          <w:sz w:val="24"/>
        </w:rPr>
        <w:t>).</w:t>
      </w:r>
    </w:p>
    <w:p w14:paraId="57200EE1" w14:textId="3B7C1213" w:rsidR="0084004E" w:rsidRPr="008021A2" w:rsidRDefault="0084004E" w:rsidP="0084004E">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9</w:t>
      </w:r>
      <w:r>
        <w:rPr>
          <w:rFonts w:cs="Times New Roman"/>
          <w:noProof/>
        </w:rPr>
        <w:fldChar w:fldCharType="end"/>
      </w:r>
      <w:r>
        <w:rPr>
          <w:noProof/>
        </w:rPr>
        <w:t>: Liczba projektów uczestniczących w SSC-2021</w:t>
      </w:r>
    </w:p>
    <w:p w14:paraId="03E7A2C9" w14:textId="2434A4E6" w:rsidR="0084004E" w:rsidRPr="008021A2" w:rsidRDefault="00574F36" w:rsidP="0084004E">
      <w:pPr>
        <w:pStyle w:val="Tekstpodstawowy"/>
        <w:spacing w:before="240"/>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50CA7D9D" wp14:editId="0262D291">
            <wp:extent cx="5731510" cy="1264285"/>
            <wp:effectExtent l="0" t="0" r="2540" b="0"/>
            <wp:docPr id="527755278" name="Obraz 1" descr="Obraz zawierający tekst, linia, Wykres,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55278" name="Obraz 1" descr="Obraz zawierający tekst, linia, Wykres, zrzut ekranu&#10;&#10;Opis wygenerowany automatycznie"/>
                    <pic:cNvPicPr/>
                  </pic:nvPicPr>
                  <pic:blipFill>
                    <a:blip r:embed="rId25"/>
                    <a:stretch>
                      <a:fillRect/>
                    </a:stretch>
                  </pic:blipFill>
                  <pic:spPr>
                    <a:xfrm>
                      <a:off x="0" y="0"/>
                      <a:ext cx="5731510" cy="1264285"/>
                    </a:xfrm>
                    <a:prstGeom prst="rect">
                      <a:avLst/>
                    </a:prstGeom>
                  </pic:spPr>
                </pic:pic>
              </a:graphicData>
            </a:graphic>
          </wp:inline>
        </w:drawing>
      </w:r>
    </w:p>
    <w:p w14:paraId="29444E63" w14:textId="77777777" w:rsidR="00716537" w:rsidRPr="008021A2" w:rsidRDefault="00716537" w:rsidP="0084004E">
      <w:pPr>
        <w:pStyle w:val="Tekstpodstawowy"/>
        <w:spacing w:before="240"/>
        <w:jc w:val="both"/>
        <w:rPr>
          <w:rFonts w:ascii="Times New Roman" w:hAnsi="Times New Roman" w:cs="Times New Roman"/>
          <w:noProof/>
          <w:sz w:val="24"/>
        </w:rPr>
      </w:pPr>
    </w:p>
    <w:p w14:paraId="685CB2B6" w14:textId="21418547" w:rsidR="0084004E" w:rsidRPr="008021A2" w:rsidRDefault="0084004E" w:rsidP="0084004E">
      <w:pPr>
        <w:pStyle w:val="Nagwek2"/>
        <w:framePr w:wrap="auto" w:vAnchor="margin" w:yAlign="inline"/>
        <w:jc w:val="both"/>
        <w:rPr>
          <w:rFonts w:cs="Times New Roman"/>
          <w:b/>
          <w:noProof/>
        </w:rPr>
      </w:pPr>
      <w:bookmarkStart w:id="13" w:name="_Toc150504449"/>
      <w:r>
        <w:rPr>
          <w:b/>
          <w:caps w:val="0"/>
          <w:noProof/>
        </w:rPr>
        <w:lastRenderedPageBreak/>
        <w:t>Budżet zaproszenia do składania wniosków</w:t>
      </w:r>
      <w:r w:rsidR="0076371C">
        <w:rPr>
          <w:b/>
          <w:caps w:val="0"/>
          <w:noProof/>
        </w:rPr>
        <w:t xml:space="preserve"> i wni</w:t>
      </w:r>
      <w:r>
        <w:rPr>
          <w:b/>
          <w:caps w:val="0"/>
          <w:noProof/>
        </w:rPr>
        <w:t>oskowane wsparcie finansowe</w:t>
      </w:r>
      <w:bookmarkEnd w:id="13"/>
    </w:p>
    <w:p w14:paraId="4740EB13" w14:textId="798D954D"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Na projekty</w:t>
      </w:r>
      <w:r w:rsidR="0076371C">
        <w:rPr>
          <w:rFonts w:ascii="Times New Roman" w:hAnsi="Times New Roman"/>
          <w:noProof/>
          <w:sz w:val="24"/>
        </w:rPr>
        <w:t xml:space="preserve"> w ram</w:t>
      </w:r>
      <w:r>
        <w:rPr>
          <w:rFonts w:ascii="Times New Roman" w:hAnsi="Times New Roman"/>
          <w:noProof/>
          <w:sz w:val="24"/>
        </w:rPr>
        <w:t>ach zaproszenia SSC-2021 ubiegano się łącznie</w:t>
      </w:r>
      <w:r w:rsidR="0076371C">
        <w:rPr>
          <w:rFonts w:ascii="Times New Roman" w:hAnsi="Times New Roman"/>
          <w:noProof/>
          <w:sz w:val="24"/>
        </w:rPr>
        <w:t xml:space="preserve"> o 3</w:t>
      </w:r>
      <w:r>
        <w:rPr>
          <w:rFonts w:ascii="Times New Roman" w:hAnsi="Times New Roman"/>
          <w:noProof/>
          <w:sz w:val="24"/>
        </w:rPr>
        <w:t>02,8 mln EUR. Projekty, które oceniono jako spełniające lub przekraczające minimalne wymogi progowe –</w:t>
      </w:r>
      <w:r w:rsidR="0076371C">
        <w:rPr>
          <w:rFonts w:ascii="Times New Roman" w:hAnsi="Times New Roman"/>
          <w:noProof/>
          <w:sz w:val="24"/>
        </w:rPr>
        <w:t xml:space="preserve"> z któ</w:t>
      </w:r>
      <w:r>
        <w:rPr>
          <w:rFonts w:ascii="Times New Roman" w:hAnsi="Times New Roman"/>
          <w:noProof/>
          <w:sz w:val="24"/>
        </w:rPr>
        <w:t>rych wszystkie wybrano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 obejmowały łączną wnioskowaną kwotę 61,8 mln EUR wsparcia</w:t>
      </w:r>
      <w:r w:rsidR="0076371C">
        <w:rPr>
          <w:rFonts w:ascii="Times New Roman" w:hAnsi="Times New Roman"/>
          <w:noProof/>
          <w:sz w:val="24"/>
        </w:rPr>
        <w:t xml:space="preserve"> w for</w:t>
      </w:r>
      <w:r>
        <w:rPr>
          <w:rFonts w:ascii="Times New Roman" w:hAnsi="Times New Roman"/>
          <w:noProof/>
          <w:sz w:val="24"/>
        </w:rPr>
        <w:t>mie dotacji, czyli średnio 3,64 mln EUR na projekt. Wydatki kapitałowe</w:t>
      </w:r>
      <w:r w:rsidR="0076371C">
        <w:rPr>
          <w:rFonts w:ascii="Times New Roman" w:hAnsi="Times New Roman"/>
          <w:noProof/>
          <w:sz w:val="24"/>
        </w:rPr>
        <w:t xml:space="preserve"> w pro</w:t>
      </w:r>
      <w:r>
        <w:rPr>
          <w:rFonts w:ascii="Times New Roman" w:hAnsi="Times New Roman"/>
          <w:noProof/>
          <w:sz w:val="24"/>
        </w:rPr>
        <w:t>jektach, które ostatecznie zakwalifikowano do finansowania</w:t>
      </w:r>
      <w:r w:rsidR="0076371C">
        <w:rPr>
          <w:rFonts w:ascii="Times New Roman" w:hAnsi="Times New Roman"/>
          <w:noProof/>
          <w:sz w:val="24"/>
        </w:rPr>
        <w:t xml:space="preserve"> w ram</w:t>
      </w:r>
      <w:r>
        <w:rPr>
          <w:rFonts w:ascii="Times New Roman" w:hAnsi="Times New Roman"/>
          <w:noProof/>
          <w:sz w:val="24"/>
        </w:rPr>
        <w:t xml:space="preserve">ach SSC-2021, wynosiły 115 mln EUR – średnio 6,7 mln EUR na projekt. </w:t>
      </w:r>
    </w:p>
    <w:p w14:paraId="20871484" w14:textId="77777777" w:rsidR="0084004E" w:rsidRPr="008021A2" w:rsidRDefault="0084004E" w:rsidP="0084004E">
      <w:pPr>
        <w:pStyle w:val="Nagwek2"/>
        <w:framePr w:wrap="auto" w:vAnchor="margin" w:yAlign="inline"/>
        <w:jc w:val="both"/>
        <w:rPr>
          <w:rFonts w:cs="Times New Roman"/>
          <w:b/>
          <w:noProof/>
        </w:rPr>
      </w:pPr>
      <w:bookmarkStart w:id="14" w:name="_Toc150504450"/>
      <w:r>
        <w:rPr>
          <w:b/>
          <w:caps w:val="0"/>
          <w:noProof/>
        </w:rPr>
        <w:t>Charakterystyka projektów, które zakwalifikowano do finansowania</w:t>
      </w:r>
      <w:bookmarkEnd w:id="14"/>
    </w:p>
    <w:p w14:paraId="792AD2E8" w14:textId="77777777" w:rsidR="0084004E" w:rsidRPr="008021A2" w:rsidRDefault="0084004E" w:rsidP="0084004E">
      <w:pPr>
        <w:pStyle w:val="Nagwek3"/>
        <w:framePr w:wrap="notBeside"/>
        <w:jc w:val="both"/>
        <w:rPr>
          <w:rFonts w:cs="Times New Roman"/>
          <w:i/>
          <w:noProof/>
        </w:rPr>
      </w:pPr>
      <w:bookmarkStart w:id="15" w:name="_Toc150504451"/>
      <w:r>
        <w:rPr>
          <w:i/>
          <w:caps w:val="0"/>
          <w:noProof/>
        </w:rPr>
        <w:t>Sektory</w:t>
      </w:r>
      <w:bookmarkEnd w:id="15"/>
    </w:p>
    <w:p w14:paraId="7AEA0F01" w14:textId="01062ED5"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17 projektów, które ostatecznie wybrano do etapu przygotowań do zawarcia umowy</w:t>
      </w:r>
      <w:r w:rsidR="0076371C">
        <w:rPr>
          <w:rFonts w:ascii="Times New Roman" w:hAnsi="Times New Roman"/>
          <w:noProof/>
          <w:sz w:val="24"/>
        </w:rPr>
        <w:t xml:space="preserve"> o udz</w:t>
      </w:r>
      <w:r>
        <w:rPr>
          <w:rFonts w:ascii="Times New Roman" w:hAnsi="Times New Roman"/>
          <w:noProof/>
          <w:sz w:val="24"/>
        </w:rPr>
        <w:t xml:space="preserve">ielenie dotacji, zaliczało się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2 sektorów działalności. Spośród 17 projektów 2</w:t>
      </w:r>
      <w:r w:rsidRPr="002001C0">
        <w:rPr>
          <w:rFonts w:ascii="Times New Roman" w:hAnsi="Times New Roman"/>
          <w:noProof/>
          <w:sz w:val="24"/>
        </w:rPr>
        <w:t>9</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(tj. pięć projektów) dotyczyło sektora „szkła, ceramiki</w:t>
      </w:r>
      <w:r w:rsidR="0076371C">
        <w:rPr>
          <w:rFonts w:ascii="Times New Roman" w:hAnsi="Times New Roman"/>
          <w:noProof/>
          <w:sz w:val="24"/>
        </w:rPr>
        <w:t xml:space="preserve"> i mat</w:t>
      </w:r>
      <w:r>
        <w:rPr>
          <w:rFonts w:ascii="Times New Roman" w:hAnsi="Times New Roman"/>
          <w:noProof/>
          <w:sz w:val="24"/>
        </w:rPr>
        <w:t>eriałów budowlanych”,</w:t>
      </w:r>
      <w:r w:rsidR="0076371C">
        <w:rPr>
          <w:rFonts w:ascii="Times New Roman" w:hAnsi="Times New Roman"/>
          <w:noProof/>
          <w:sz w:val="24"/>
        </w:rPr>
        <w:t xml:space="preserve"> a pro</w:t>
      </w:r>
      <w:r>
        <w:rPr>
          <w:rFonts w:ascii="Times New Roman" w:hAnsi="Times New Roman"/>
          <w:noProof/>
          <w:sz w:val="24"/>
        </w:rPr>
        <w:t>jekty te otrzymały 3</w:t>
      </w:r>
      <w:r w:rsidRPr="002001C0">
        <w:rPr>
          <w:rFonts w:ascii="Times New Roman" w:hAnsi="Times New Roman"/>
          <w:noProof/>
          <w:sz w:val="24"/>
        </w:rPr>
        <w:t>1</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budżetu przeznaczonego na dotacje, jak przedstawiono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0</w:t>
      </w:r>
      <w:r w:rsidR="0076371C">
        <w:rPr>
          <w:rFonts w:ascii="Times New Roman" w:hAnsi="Times New Roman"/>
          <w:noProof/>
          <w:sz w:val="24"/>
        </w:rPr>
        <w:t xml:space="preserve"> i 1</w:t>
      </w:r>
      <w:r>
        <w:rPr>
          <w:rFonts w:ascii="Times New Roman" w:hAnsi="Times New Roman"/>
          <w:noProof/>
          <w:sz w:val="24"/>
        </w:rPr>
        <w:t>1</w:t>
      </w:r>
      <w:r w:rsidR="0076371C">
        <w:rPr>
          <w:rFonts w:ascii="Times New Roman" w:hAnsi="Times New Roman"/>
          <w:noProof/>
          <w:sz w:val="24"/>
        </w:rPr>
        <w:t>. W tra</w:t>
      </w:r>
      <w:r>
        <w:rPr>
          <w:rFonts w:ascii="Times New Roman" w:hAnsi="Times New Roman"/>
          <w:noProof/>
          <w:sz w:val="24"/>
        </w:rPr>
        <w:t>kcie tego zaproszenia fundusz innowacyjny okazał się instrumentem kluczowym dla wspierania działań</w:t>
      </w:r>
      <w:r w:rsidR="0076371C">
        <w:rPr>
          <w:rFonts w:ascii="Times New Roman" w:hAnsi="Times New Roman"/>
          <w:noProof/>
          <w:sz w:val="24"/>
        </w:rPr>
        <w:t xml:space="preserve"> w zak</w:t>
      </w:r>
      <w:r>
        <w:rPr>
          <w:rFonts w:ascii="Times New Roman" w:hAnsi="Times New Roman"/>
          <w:noProof/>
          <w:sz w:val="24"/>
        </w:rPr>
        <w:t>resie dekarbonizacji przemysłu na małą skalę, gdyż promował wyjątkowo konkurencyjne projekty ukierunkowane na ulepszenie pieców</w:t>
      </w:r>
      <w:r w:rsidR="0076371C">
        <w:rPr>
          <w:rFonts w:ascii="Times New Roman" w:hAnsi="Times New Roman"/>
          <w:noProof/>
          <w:sz w:val="24"/>
        </w:rPr>
        <w:t xml:space="preserve"> w prz</w:t>
      </w:r>
      <w:r>
        <w:rPr>
          <w:rFonts w:ascii="Times New Roman" w:hAnsi="Times New Roman"/>
          <w:noProof/>
          <w:sz w:val="24"/>
        </w:rPr>
        <w:t>emyśle szklarskim za pomocą takich rozwiązań, jak elektryfikacja lub recyrkulacja ciepła odpadowego.</w:t>
      </w:r>
    </w:p>
    <w:p w14:paraId="004E9BF8" w14:textId="77777777" w:rsidR="0084004E" w:rsidRPr="008021A2" w:rsidRDefault="0084004E" w:rsidP="0084004E">
      <w:pPr>
        <w:jc w:val="both"/>
        <w:rPr>
          <w:rFonts w:ascii="Times New Roman" w:hAnsi="Times New Roman" w:cs="Times New Roman"/>
          <w:noProof/>
        </w:rPr>
      </w:pPr>
    </w:p>
    <w:p w14:paraId="62C21D48" w14:textId="5045E592" w:rsidR="0084004E" w:rsidRPr="008021A2" w:rsidRDefault="0084004E" w:rsidP="0084004E">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10</w:t>
      </w:r>
      <w:r>
        <w:rPr>
          <w:rFonts w:cs="Times New Roman"/>
          <w:noProof/>
        </w:rPr>
        <w:fldChar w:fldCharType="end"/>
      </w:r>
      <w:r>
        <w:rPr>
          <w:noProof/>
        </w:rPr>
        <w:t>: Liczba projektów</w:t>
      </w:r>
      <w:r w:rsidR="0076371C">
        <w:rPr>
          <w:noProof/>
        </w:rPr>
        <w:t xml:space="preserve"> w ram</w:t>
      </w:r>
      <w:r>
        <w:rPr>
          <w:noProof/>
        </w:rPr>
        <w:t>ach SSC-2021</w:t>
      </w:r>
      <w:r w:rsidR="0076371C">
        <w:rPr>
          <w:noProof/>
        </w:rPr>
        <w:t xml:space="preserve"> w pod</w:t>
      </w:r>
      <w:r>
        <w:rPr>
          <w:noProof/>
        </w:rPr>
        <w:t>ziale na sektory</w:t>
      </w:r>
    </w:p>
    <w:p w14:paraId="76030232" w14:textId="2CC37F0A" w:rsidR="0084004E" w:rsidRPr="008021A2" w:rsidRDefault="00574F36" w:rsidP="0084004E">
      <w:pPr>
        <w:jc w:val="both"/>
        <w:rPr>
          <w:rFonts w:ascii="Times New Roman" w:hAnsi="Times New Roman" w:cs="Times New Roman"/>
          <w:noProof/>
          <w:sz w:val="24"/>
        </w:rPr>
      </w:pPr>
      <w:r w:rsidRPr="00560475">
        <w:rPr>
          <w:rFonts w:ascii="Times New Roman" w:hAnsi="Times New Roman"/>
          <w:noProof/>
          <w:sz w:val="24"/>
          <w:lang w:val="en-GB" w:eastAsia="en-GB"/>
        </w:rPr>
        <w:drawing>
          <wp:inline distT="0" distB="0" distL="0" distR="0" wp14:anchorId="1F3B7441" wp14:editId="3C232EB4">
            <wp:extent cx="5731510" cy="1663700"/>
            <wp:effectExtent l="0" t="0" r="2540" b="0"/>
            <wp:docPr id="1582586886" name="Obraz 1" descr="Obraz zawierający linia, zrzut ekranu, diagram,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86886" name="Obraz 1" descr="Obraz zawierający linia, zrzut ekranu, diagram, Czcionka&#10;&#10;Opis wygenerowany automatycznie"/>
                    <pic:cNvPicPr/>
                  </pic:nvPicPr>
                  <pic:blipFill>
                    <a:blip r:embed="rId26"/>
                    <a:stretch>
                      <a:fillRect/>
                    </a:stretch>
                  </pic:blipFill>
                  <pic:spPr>
                    <a:xfrm>
                      <a:off x="0" y="0"/>
                      <a:ext cx="5731510" cy="1663700"/>
                    </a:xfrm>
                    <a:prstGeom prst="rect">
                      <a:avLst/>
                    </a:prstGeom>
                  </pic:spPr>
                </pic:pic>
              </a:graphicData>
            </a:graphic>
          </wp:inline>
        </w:drawing>
      </w:r>
    </w:p>
    <w:p w14:paraId="6C782841" w14:textId="77777777" w:rsidR="0084004E" w:rsidRPr="008021A2" w:rsidRDefault="0084004E" w:rsidP="0084004E">
      <w:pPr>
        <w:jc w:val="both"/>
        <w:rPr>
          <w:rFonts w:ascii="Times New Roman" w:hAnsi="Times New Roman" w:cs="Times New Roman"/>
          <w:noProof/>
        </w:rPr>
      </w:pPr>
    </w:p>
    <w:p w14:paraId="58AD3BA0" w14:textId="4738D957" w:rsidR="0084004E" w:rsidRPr="008021A2" w:rsidRDefault="0084004E" w:rsidP="0084004E">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11</w:t>
      </w:r>
      <w:r>
        <w:rPr>
          <w:rFonts w:cs="Times New Roman"/>
          <w:noProof/>
        </w:rPr>
        <w:fldChar w:fldCharType="end"/>
      </w:r>
      <w:r>
        <w:rPr>
          <w:noProof/>
        </w:rPr>
        <w:t>: Kwota dotacji</w:t>
      </w:r>
      <w:r w:rsidR="0076371C">
        <w:rPr>
          <w:noProof/>
        </w:rPr>
        <w:t xml:space="preserve"> w ram</w:t>
      </w:r>
      <w:r>
        <w:rPr>
          <w:noProof/>
        </w:rPr>
        <w:t>ach SSC 2021</w:t>
      </w:r>
      <w:r w:rsidR="0076371C">
        <w:rPr>
          <w:noProof/>
        </w:rPr>
        <w:t xml:space="preserve"> w pod</w:t>
      </w:r>
      <w:r>
        <w:rPr>
          <w:noProof/>
        </w:rPr>
        <w:t>ziale na sektory</w:t>
      </w:r>
    </w:p>
    <w:p w14:paraId="38EE65E9" w14:textId="778C5487" w:rsidR="00DF188B" w:rsidRPr="008021A2" w:rsidRDefault="00574F36" w:rsidP="0084004E">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660D8483" wp14:editId="2765383C">
            <wp:extent cx="5731510" cy="1877695"/>
            <wp:effectExtent l="0" t="0" r="2540" b="8255"/>
            <wp:docPr id="1958765139" name="Obraz 1" descr="Obraz zawierający tekst, paragon,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65139" name="Obraz 1" descr="Obraz zawierający tekst, paragon, Czcionka, linia&#10;&#10;Opis wygenerowany automatycznie"/>
                    <pic:cNvPicPr/>
                  </pic:nvPicPr>
                  <pic:blipFill>
                    <a:blip r:embed="rId27"/>
                    <a:stretch>
                      <a:fillRect/>
                    </a:stretch>
                  </pic:blipFill>
                  <pic:spPr>
                    <a:xfrm>
                      <a:off x="0" y="0"/>
                      <a:ext cx="5731510" cy="1877695"/>
                    </a:xfrm>
                    <a:prstGeom prst="rect">
                      <a:avLst/>
                    </a:prstGeom>
                  </pic:spPr>
                </pic:pic>
              </a:graphicData>
            </a:graphic>
          </wp:inline>
        </w:drawing>
      </w:r>
    </w:p>
    <w:p w14:paraId="7519AEFE" w14:textId="77777777" w:rsidR="0084004E" w:rsidRPr="008021A2" w:rsidRDefault="0084004E" w:rsidP="0084004E">
      <w:pPr>
        <w:pStyle w:val="Nagwek3"/>
        <w:framePr w:wrap="notBeside"/>
        <w:jc w:val="both"/>
        <w:rPr>
          <w:rFonts w:cs="Times New Roman"/>
          <w:i/>
          <w:noProof/>
        </w:rPr>
      </w:pPr>
      <w:bookmarkStart w:id="16" w:name="_Toc150504452"/>
      <w:r>
        <w:rPr>
          <w:i/>
          <w:caps w:val="0"/>
          <w:noProof/>
        </w:rPr>
        <w:t>Rozkład geograficzny</w:t>
      </w:r>
      <w:bookmarkEnd w:id="16"/>
    </w:p>
    <w:p w14:paraId="4A693F88" w14:textId="48239B01"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Wybrane projekty były zlokalizowane</w:t>
      </w:r>
      <w:r w:rsidR="0076371C">
        <w:rPr>
          <w:rFonts w:ascii="Times New Roman" w:hAnsi="Times New Roman"/>
          <w:noProof/>
          <w:sz w:val="24"/>
        </w:rPr>
        <w:t xml:space="preserve"> w 1</w:t>
      </w:r>
      <w:r>
        <w:rPr>
          <w:rFonts w:ascii="Times New Roman" w:hAnsi="Times New Roman"/>
          <w:noProof/>
          <w:sz w:val="24"/>
        </w:rPr>
        <w:t>2 państwach członkowskich. Państwem członkowskim</w:t>
      </w:r>
      <w:r w:rsidR="0076371C">
        <w:rPr>
          <w:rFonts w:ascii="Times New Roman" w:hAnsi="Times New Roman"/>
          <w:noProof/>
          <w:sz w:val="24"/>
        </w:rPr>
        <w:t xml:space="preserve"> z naj</w:t>
      </w:r>
      <w:r>
        <w:rPr>
          <w:rFonts w:ascii="Times New Roman" w:hAnsi="Times New Roman"/>
          <w:noProof/>
          <w:sz w:val="24"/>
        </w:rPr>
        <w:t>większą liczbą wybranych projektów była Hiszpania (trzy projekty), która otrzymała również najwięcej środków budżetowych – 1</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łącznej kwoty (czyli 10,7 mln EUR). Jeden projekt realizowany był</w:t>
      </w:r>
      <w:r w:rsidR="0076371C">
        <w:rPr>
          <w:rFonts w:ascii="Times New Roman" w:hAnsi="Times New Roman"/>
          <w:noProof/>
          <w:sz w:val="24"/>
        </w:rPr>
        <w:t xml:space="preserve"> w trz</w:t>
      </w:r>
      <w:r>
        <w:rPr>
          <w:rFonts w:ascii="Times New Roman" w:hAnsi="Times New Roman"/>
          <w:noProof/>
          <w:sz w:val="24"/>
        </w:rPr>
        <w:t>ech różnych państwach (Czechy, Francja</w:t>
      </w:r>
      <w:r w:rsidR="0076371C">
        <w:rPr>
          <w:rFonts w:ascii="Times New Roman" w:hAnsi="Times New Roman"/>
          <w:noProof/>
          <w:sz w:val="24"/>
        </w:rPr>
        <w:t xml:space="preserve"> i His</w:t>
      </w:r>
      <w:r>
        <w:rPr>
          <w:rFonts w:ascii="Times New Roman" w:hAnsi="Times New Roman"/>
          <w:noProof/>
          <w:sz w:val="24"/>
        </w:rPr>
        <w:t>zpania)</w:t>
      </w:r>
      <w:r w:rsidR="0076371C">
        <w:rPr>
          <w:rFonts w:ascii="Times New Roman" w:hAnsi="Times New Roman"/>
          <w:noProof/>
          <w:sz w:val="24"/>
        </w:rPr>
        <w:t xml:space="preserve"> i dot</w:t>
      </w:r>
      <w:r>
        <w:rPr>
          <w:rFonts w:ascii="Times New Roman" w:hAnsi="Times New Roman"/>
          <w:noProof/>
          <w:sz w:val="24"/>
        </w:rPr>
        <w:t xml:space="preserve">yczył </w:t>
      </w:r>
      <w:r w:rsidR="00834AF7">
        <w:rPr>
          <w:rFonts w:ascii="Times New Roman" w:hAnsi="Times New Roman"/>
          <w:noProof/>
          <w:sz w:val="24"/>
        </w:rPr>
        <w:t xml:space="preserve">produkcji </w:t>
      </w:r>
      <w:r>
        <w:rPr>
          <w:rFonts w:ascii="Times New Roman" w:hAnsi="Times New Roman"/>
          <w:noProof/>
          <w:sz w:val="24"/>
        </w:rPr>
        <w:t>komponentów wykorzystujących energię ze źródeł odnawialnych</w:t>
      </w:r>
      <w:r w:rsidR="0076371C">
        <w:rPr>
          <w:rFonts w:ascii="Times New Roman" w:hAnsi="Times New Roman"/>
          <w:noProof/>
          <w:sz w:val="24"/>
        </w:rPr>
        <w:t>. W ram</w:t>
      </w:r>
      <w:r>
        <w:rPr>
          <w:rFonts w:ascii="Times New Roman" w:hAnsi="Times New Roman"/>
          <w:noProof/>
          <w:sz w:val="24"/>
        </w:rPr>
        <w:t xml:space="preserve">ach tego zaproszenia do składania wniosków </w:t>
      </w:r>
      <w:r w:rsidR="00A1639C">
        <w:rPr>
          <w:rFonts w:ascii="Times New Roman" w:hAnsi="Times New Roman"/>
          <w:noProof/>
          <w:sz w:val="24"/>
        </w:rPr>
        <w:t xml:space="preserve">dotyczących projektów </w:t>
      </w:r>
      <w:r>
        <w:rPr>
          <w:rFonts w:ascii="Times New Roman" w:hAnsi="Times New Roman"/>
          <w:noProof/>
          <w:sz w:val="24"/>
        </w:rPr>
        <w:t>na małą skalę prawie 5</w:t>
      </w:r>
      <w:r w:rsidRPr="002001C0">
        <w:rPr>
          <w:rFonts w:ascii="Times New Roman" w:hAnsi="Times New Roman"/>
          <w:noProof/>
          <w:sz w:val="24"/>
        </w:rPr>
        <w:t>3</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wybranych wniosków dotyczyło południowej, środkowej</w:t>
      </w:r>
      <w:r w:rsidR="0076371C">
        <w:rPr>
          <w:rFonts w:ascii="Times New Roman" w:hAnsi="Times New Roman"/>
          <w:noProof/>
          <w:sz w:val="24"/>
        </w:rPr>
        <w:t xml:space="preserve"> i wsc</w:t>
      </w:r>
      <w:r>
        <w:rPr>
          <w:rFonts w:ascii="Times New Roman" w:hAnsi="Times New Roman"/>
          <w:noProof/>
          <w:sz w:val="24"/>
        </w:rPr>
        <w:t>hodniej części Europy,</w:t>
      </w:r>
      <w:r w:rsidR="0076371C">
        <w:rPr>
          <w:rFonts w:ascii="Times New Roman" w:hAnsi="Times New Roman"/>
          <w:noProof/>
          <w:sz w:val="24"/>
        </w:rPr>
        <w:t xml:space="preserve"> a tyl</w:t>
      </w:r>
      <w:r>
        <w:rPr>
          <w:rFonts w:ascii="Times New Roman" w:hAnsi="Times New Roman"/>
          <w:noProof/>
          <w:sz w:val="24"/>
        </w:rPr>
        <w:t>ko jeden wniosek złożono na północy Europy (Finlandia). Jest to sytuacja inna niż</w:t>
      </w:r>
      <w:r w:rsidR="0076371C">
        <w:rPr>
          <w:rFonts w:ascii="Times New Roman" w:hAnsi="Times New Roman"/>
          <w:noProof/>
          <w:sz w:val="24"/>
        </w:rPr>
        <w:t xml:space="preserve"> w prz</w:t>
      </w:r>
      <w:r>
        <w:rPr>
          <w:rFonts w:ascii="Times New Roman" w:hAnsi="Times New Roman"/>
          <w:noProof/>
          <w:sz w:val="24"/>
        </w:rPr>
        <w:t>ypadku zaproszenia do składania wniosków dotyczących projektów na dużą skalę (w którym większość projektów pochodziła</w:t>
      </w:r>
      <w:r w:rsidR="0076371C">
        <w:rPr>
          <w:rFonts w:ascii="Times New Roman" w:hAnsi="Times New Roman"/>
          <w:noProof/>
          <w:sz w:val="24"/>
        </w:rPr>
        <w:t xml:space="preserve"> z Eur</w:t>
      </w:r>
      <w:r>
        <w:rPr>
          <w:rFonts w:ascii="Times New Roman" w:hAnsi="Times New Roman"/>
          <w:noProof/>
          <w:sz w:val="24"/>
        </w:rPr>
        <w:t>opy Północnej</w:t>
      </w:r>
      <w:r w:rsidR="0076371C">
        <w:rPr>
          <w:rFonts w:ascii="Times New Roman" w:hAnsi="Times New Roman"/>
          <w:noProof/>
          <w:sz w:val="24"/>
        </w:rPr>
        <w:t xml:space="preserve"> i Zac</w:t>
      </w:r>
      <w:r>
        <w:rPr>
          <w:rFonts w:ascii="Times New Roman" w:hAnsi="Times New Roman"/>
          <w:noProof/>
          <w:sz w:val="24"/>
        </w:rPr>
        <w:t>hodniej), co przyczyniło się tym samym do zrównoważenia finansowania pod względem rozkładu geograficznego.</w:t>
      </w:r>
    </w:p>
    <w:p w14:paraId="0688E321" w14:textId="77777777" w:rsidR="0084004E" w:rsidRPr="008021A2" w:rsidRDefault="0084004E" w:rsidP="0084004E">
      <w:pPr>
        <w:jc w:val="both"/>
        <w:rPr>
          <w:rFonts w:ascii="Times New Roman" w:hAnsi="Times New Roman" w:cs="Times New Roman"/>
          <w:noProof/>
          <w:sz w:val="24"/>
        </w:rPr>
      </w:pPr>
    </w:p>
    <w:p w14:paraId="4C7E2EBF" w14:textId="40EAD372" w:rsidR="0084004E" w:rsidRPr="008021A2" w:rsidRDefault="0084004E" w:rsidP="0084004E">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12</w:t>
      </w:r>
      <w:r>
        <w:rPr>
          <w:rFonts w:cs="Times New Roman"/>
          <w:noProof/>
        </w:rPr>
        <w:fldChar w:fldCharType="end"/>
      </w:r>
      <w:r>
        <w:rPr>
          <w:noProof/>
        </w:rPr>
        <w:t>: Liczba projektów</w:t>
      </w:r>
      <w:r w:rsidR="0076371C">
        <w:rPr>
          <w:noProof/>
        </w:rPr>
        <w:t xml:space="preserve"> w ram</w:t>
      </w:r>
      <w:r>
        <w:rPr>
          <w:noProof/>
        </w:rPr>
        <w:t>ach SSC-2021</w:t>
      </w:r>
      <w:r w:rsidR="0076371C">
        <w:rPr>
          <w:noProof/>
        </w:rPr>
        <w:t xml:space="preserve"> w pod</w:t>
      </w:r>
      <w:r>
        <w:rPr>
          <w:noProof/>
        </w:rPr>
        <w:t>ziale na państwa</w:t>
      </w:r>
    </w:p>
    <w:p w14:paraId="1FD43359" w14:textId="79C22A6C" w:rsidR="0084004E" w:rsidRPr="008021A2" w:rsidRDefault="00574F36" w:rsidP="0084004E">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27EF9D40" wp14:editId="6F1E557A">
            <wp:extent cx="5731510" cy="1930400"/>
            <wp:effectExtent l="0" t="0" r="2540" b="0"/>
            <wp:docPr id="1666827317" name="Obraz 1" descr="Obraz zawierający diagram, tekst, Wykres,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27317" name="Obraz 1" descr="Obraz zawierający diagram, tekst, Wykres, Czcionka&#10;&#10;Opis wygenerowany automatycznie"/>
                    <pic:cNvPicPr/>
                  </pic:nvPicPr>
                  <pic:blipFill>
                    <a:blip r:embed="rId28"/>
                    <a:stretch>
                      <a:fillRect/>
                    </a:stretch>
                  </pic:blipFill>
                  <pic:spPr>
                    <a:xfrm>
                      <a:off x="0" y="0"/>
                      <a:ext cx="5731510" cy="1930400"/>
                    </a:xfrm>
                    <a:prstGeom prst="rect">
                      <a:avLst/>
                    </a:prstGeom>
                  </pic:spPr>
                </pic:pic>
              </a:graphicData>
            </a:graphic>
          </wp:inline>
        </w:drawing>
      </w:r>
    </w:p>
    <w:p w14:paraId="2AC2AEA1" w14:textId="77777777" w:rsidR="0084004E" w:rsidRPr="008021A2" w:rsidRDefault="0084004E" w:rsidP="0084004E">
      <w:pPr>
        <w:jc w:val="both"/>
        <w:rPr>
          <w:rFonts w:ascii="Times New Roman" w:hAnsi="Times New Roman" w:cs="Times New Roman"/>
          <w:noProof/>
        </w:rPr>
      </w:pPr>
    </w:p>
    <w:p w14:paraId="09B23367" w14:textId="776B15BD" w:rsidR="0084004E" w:rsidRPr="008021A2" w:rsidRDefault="0084004E" w:rsidP="0084004E">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13</w:t>
      </w:r>
      <w:r>
        <w:rPr>
          <w:rFonts w:cs="Times New Roman"/>
          <w:noProof/>
        </w:rPr>
        <w:fldChar w:fldCharType="end"/>
      </w:r>
      <w:r>
        <w:rPr>
          <w:noProof/>
        </w:rPr>
        <w:t>: Kwota dotacji (EUR)</w:t>
      </w:r>
      <w:r w:rsidR="0076371C">
        <w:rPr>
          <w:noProof/>
        </w:rPr>
        <w:t xml:space="preserve"> w ram</w:t>
      </w:r>
      <w:r>
        <w:rPr>
          <w:noProof/>
        </w:rPr>
        <w:t>ach SSC-2021</w:t>
      </w:r>
      <w:r w:rsidR="0076371C">
        <w:rPr>
          <w:noProof/>
        </w:rPr>
        <w:t xml:space="preserve"> w pod</w:t>
      </w:r>
      <w:r>
        <w:rPr>
          <w:noProof/>
        </w:rPr>
        <w:t>ziale na państwa</w:t>
      </w:r>
    </w:p>
    <w:p w14:paraId="5C5D7858" w14:textId="6F49E6A0" w:rsidR="0084004E" w:rsidRPr="008021A2" w:rsidRDefault="00574F36" w:rsidP="0084004E">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55469CDF" wp14:editId="63879FE7">
            <wp:extent cx="5731510" cy="1786255"/>
            <wp:effectExtent l="0" t="0" r="2540" b="4445"/>
            <wp:docPr id="906646352" name="Obraz 1" descr="Obraz zawierający tekst, diagram, lini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46352" name="Obraz 1" descr="Obraz zawierający tekst, diagram, linia, Czcionka&#10;&#10;Opis wygenerowany automatycznie"/>
                    <pic:cNvPicPr/>
                  </pic:nvPicPr>
                  <pic:blipFill>
                    <a:blip r:embed="rId29"/>
                    <a:stretch>
                      <a:fillRect/>
                    </a:stretch>
                  </pic:blipFill>
                  <pic:spPr>
                    <a:xfrm>
                      <a:off x="0" y="0"/>
                      <a:ext cx="5731510" cy="1786255"/>
                    </a:xfrm>
                    <a:prstGeom prst="rect">
                      <a:avLst/>
                    </a:prstGeom>
                  </pic:spPr>
                </pic:pic>
              </a:graphicData>
            </a:graphic>
          </wp:inline>
        </w:drawing>
      </w:r>
    </w:p>
    <w:p w14:paraId="08DEA58F" w14:textId="77777777" w:rsidR="0084004E" w:rsidRPr="008021A2" w:rsidRDefault="0084004E" w:rsidP="0084004E">
      <w:pPr>
        <w:pStyle w:val="Nagwek3"/>
        <w:framePr w:wrap="auto" w:vAnchor="margin" w:yAlign="inline"/>
        <w:jc w:val="both"/>
        <w:rPr>
          <w:rFonts w:cs="Times New Roman"/>
          <w:i/>
          <w:noProof/>
        </w:rPr>
      </w:pPr>
      <w:bookmarkStart w:id="17" w:name="_Toc150504453"/>
      <w:r>
        <w:rPr>
          <w:i/>
          <w:caps w:val="0"/>
          <w:noProof/>
        </w:rPr>
        <w:t>Potencjał redukcji emisji gazów cieplarnianych</w:t>
      </w:r>
      <w:bookmarkEnd w:id="17"/>
    </w:p>
    <w:p w14:paraId="60820D67" w14:textId="6D53A26E"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Szacowany całkowity potencjał redukcji emisji gazów cieplarnianych</w:t>
      </w:r>
      <w:r w:rsidR="0076371C">
        <w:rPr>
          <w:rFonts w:ascii="Times New Roman" w:hAnsi="Times New Roman"/>
          <w:noProof/>
          <w:sz w:val="24"/>
        </w:rPr>
        <w:t xml:space="preserve"> w wyn</w:t>
      </w:r>
      <w:r>
        <w:rPr>
          <w:rFonts w:ascii="Times New Roman" w:hAnsi="Times New Roman"/>
          <w:noProof/>
          <w:sz w:val="24"/>
        </w:rPr>
        <w:t>iku projektów wybranych</w:t>
      </w:r>
      <w:r w:rsidR="0076371C">
        <w:rPr>
          <w:rFonts w:ascii="Times New Roman" w:hAnsi="Times New Roman"/>
          <w:noProof/>
          <w:sz w:val="24"/>
        </w:rPr>
        <w:t xml:space="preserve"> i zak</w:t>
      </w:r>
      <w:r>
        <w:rPr>
          <w:rFonts w:ascii="Times New Roman" w:hAnsi="Times New Roman"/>
          <w:noProof/>
          <w:sz w:val="24"/>
        </w:rPr>
        <w:t>walifikowanych do finansowania w SSC-2021 wynosi 1,3 mln ton ekwiwalentu CO₂</w:t>
      </w:r>
      <w:r w:rsidR="0076371C">
        <w:rPr>
          <w:rFonts w:ascii="Times New Roman" w:hAnsi="Times New Roman"/>
          <w:noProof/>
          <w:sz w:val="24"/>
        </w:rPr>
        <w:t xml:space="preserve"> w okr</w:t>
      </w:r>
      <w:r>
        <w:rPr>
          <w:rFonts w:ascii="Times New Roman" w:hAnsi="Times New Roman"/>
          <w:noProof/>
          <w:sz w:val="24"/>
        </w:rPr>
        <w:t>esie 10 lat, przy czym średni wkład na projekt wynosi 79 121 mln ton ekwiwalentu CO₂. Największy wkład w tę wartość wnoszą projekty</w:t>
      </w:r>
      <w:r w:rsidR="0076371C">
        <w:rPr>
          <w:rFonts w:ascii="Times New Roman" w:hAnsi="Times New Roman"/>
          <w:noProof/>
          <w:sz w:val="24"/>
        </w:rPr>
        <w:t xml:space="preserve"> w sek</w:t>
      </w:r>
      <w:r>
        <w:rPr>
          <w:rFonts w:ascii="Times New Roman" w:hAnsi="Times New Roman"/>
          <w:noProof/>
          <w:sz w:val="24"/>
        </w:rPr>
        <w:t>torach szkła, ceramiki</w:t>
      </w:r>
      <w:r w:rsidR="0076371C">
        <w:rPr>
          <w:rFonts w:ascii="Times New Roman" w:hAnsi="Times New Roman"/>
          <w:noProof/>
          <w:sz w:val="24"/>
        </w:rPr>
        <w:t xml:space="preserve"> i mat</w:t>
      </w:r>
      <w:r>
        <w:rPr>
          <w:rFonts w:ascii="Times New Roman" w:hAnsi="Times New Roman"/>
          <w:noProof/>
          <w:sz w:val="24"/>
        </w:rPr>
        <w:t>eriałów budowlanych (3</w:t>
      </w:r>
      <w:r w:rsidRPr="002001C0">
        <w:rPr>
          <w:rFonts w:ascii="Times New Roman" w:hAnsi="Times New Roman"/>
          <w:noProof/>
          <w:sz w:val="24"/>
        </w:rPr>
        <w:t>4</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oraz cementu</w:t>
      </w:r>
      <w:r w:rsidR="0076371C">
        <w:rPr>
          <w:rFonts w:ascii="Times New Roman" w:hAnsi="Times New Roman"/>
          <w:noProof/>
          <w:sz w:val="24"/>
        </w:rPr>
        <w:t xml:space="preserve"> i wap</w:t>
      </w:r>
      <w:r>
        <w:rPr>
          <w:rFonts w:ascii="Times New Roman" w:hAnsi="Times New Roman"/>
          <w:noProof/>
          <w:sz w:val="24"/>
        </w:rPr>
        <w:t>na (3</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Największą skuteczność</w:t>
      </w:r>
      <w:r w:rsidR="0076371C">
        <w:rPr>
          <w:rFonts w:ascii="Times New Roman" w:hAnsi="Times New Roman"/>
          <w:noProof/>
          <w:sz w:val="24"/>
        </w:rPr>
        <w:t xml:space="preserve"> w zak</w:t>
      </w:r>
      <w:r>
        <w:rPr>
          <w:rFonts w:ascii="Times New Roman" w:hAnsi="Times New Roman"/>
          <w:noProof/>
          <w:sz w:val="24"/>
        </w:rPr>
        <w:t>resie kosztów, jeżeli chodzi</w:t>
      </w:r>
      <w:r w:rsidR="0076371C">
        <w:rPr>
          <w:rFonts w:ascii="Times New Roman" w:hAnsi="Times New Roman"/>
          <w:noProof/>
          <w:sz w:val="24"/>
        </w:rPr>
        <w:t xml:space="preserve"> o sto</w:t>
      </w:r>
      <w:r>
        <w:rPr>
          <w:rFonts w:ascii="Times New Roman" w:hAnsi="Times New Roman"/>
          <w:noProof/>
          <w:sz w:val="24"/>
        </w:rPr>
        <w:t>sunek kwoty dotacji do redukcji emisji gazów cieplarnianych</w:t>
      </w:r>
      <w:r w:rsidR="0076371C">
        <w:rPr>
          <w:rFonts w:ascii="Times New Roman" w:hAnsi="Times New Roman"/>
          <w:noProof/>
          <w:sz w:val="24"/>
        </w:rPr>
        <w:t xml:space="preserve"> w uję</w:t>
      </w:r>
      <w:r>
        <w:rPr>
          <w:rFonts w:ascii="Times New Roman" w:hAnsi="Times New Roman"/>
          <w:noProof/>
          <w:sz w:val="24"/>
        </w:rPr>
        <w:t>ciu bezwzględnym, osiągnięto</w:t>
      </w:r>
      <w:r w:rsidR="0076371C">
        <w:rPr>
          <w:rFonts w:ascii="Times New Roman" w:hAnsi="Times New Roman"/>
          <w:noProof/>
          <w:sz w:val="24"/>
        </w:rPr>
        <w:t xml:space="preserve"> w pro</w:t>
      </w:r>
      <w:r>
        <w:rPr>
          <w:rFonts w:ascii="Times New Roman" w:hAnsi="Times New Roman"/>
          <w:noProof/>
          <w:sz w:val="24"/>
        </w:rPr>
        <w:t>jektach</w:t>
      </w:r>
      <w:r w:rsidR="0076371C">
        <w:rPr>
          <w:rFonts w:ascii="Times New Roman" w:hAnsi="Times New Roman"/>
          <w:noProof/>
          <w:sz w:val="24"/>
        </w:rPr>
        <w:t xml:space="preserve"> w sek</w:t>
      </w:r>
      <w:r>
        <w:rPr>
          <w:rFonts w:ascii="Times New Roman" w:hAnsi="Times New Roman"/>
          <w:noProof/>
          <w:sz w:val="24"/>
        </w:rPr>
        <w:t>torze cementu</w:t>
      </w:r>
      <w:r w:rsidR="0076371C">
        <w:rPr>
          <w:rFonts w:ascii="Times New Roman" w:hAnsi="Times New Roman"/>
          <w:noProof/>
          <w:sz w:val="24"/>
        </w:rPr>
        <w:t xml:space="preserve"> i wap</w:t>
      </w:r>
      <w:r>
        <w:rPr>
          <w:rFonts w:ascii="Times New Roman" w:hAnsi="Times New Roman"/>
          <w:noProof/>
          <w:sz w:val="24"/>
        </w:rPr>
        <w:t xml:space="preserve">na – średnio 92 kg ekwiwalentu CO₂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 xml:space="preserve"> EUR dotacji. Skuteczność ta była szczególnie widoczna, jeżeli chodzi</w:t>
      </w:r>
      <w:r w:rsidR="0076371C">
        <w:rPr>
          <w:rFonts w:ascii="Times New Roman" w:hAnsi="Times New Roman"/>
          <w:noProof/>
          <w:sz w:val="24"/>
        </w:rPr>
        <w:t xml:space="preserve"> o zas</w:t>
      </w:r>
      <w:r>
        <w:rPr>
          <w:rFonts w:ascii="Times New Roman" w:hAnsi="Times New Roman"/>
          <w:noProof/>
          <w:sz w:val="24"/>
        </w:rPr>
        <w:t>tępowanie paliw kopalnych</w:t>
      </w:r>
      <w:r w:rsidR="0076371C">
        <w:rPr>
          <w:rFonts w:ascii="Times New Roman" w:hAnsi="Times New Roman"/>
          <w:noProof/>
          <w:sz w:val="24"/>
        </w:rPr>
        <w:t xml:space="preserve"> w pie</w:t>
      </w:r>
      <w:r>
        <w:rPr>
          <w:rFonts w:ascii="Times New Roman" w:hAnsi="Times New Roman"/>
          <w:noProof/>
          <w:sz w:val="24"/>
        </w:rPr>
        <w:t>cach cementowych.</w:t>
      </w:r>
    </w:p>
    <w:p w14:paraId="784919EE" w14:textId="77777777" w:rsidR="0084004E" w:rsidRPr="008021A2" w:rsidRDefault="0084004E" w:rsidP="0084004E">
      <w:pPr>
        <w:pStyle w:val="Nagwek3"/>
        <w:framePr w:wrap="auto" w:vAnchor="margin" w:yAlign="inline"/>
        <w:jc w:val="both"/>
        <w:rPr>
          <w:rFonts w:cs="Times New Roman"/>
          <w:i/>
          <w:noProof/>
        </w:rPr>
      </w:pPr>
      <w:bookmarkStart w:id="18" w:name="_Toc150504454"/>
      <w:r>
        <w:rPr>
          <w:i/>
          <w:caps w:val="0"/>
          <w:noProof/>
        </w:rPr>
        <w:t>Poziom zaawansowania</w:t>
      </w:r>
      <w:bookmarkEnd w:id="18"/>
    </w:p>
    <w:p w14:paraId="2774C6C9" w14:textId="4FCD3C40"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We wszystkich projektach wybranych</w:t>
      </w:r>
      <w:r w:rsidR="0076371C">
        <w:rPr>
          <w:rFonts w:ascii="Times New Roman" w:hAnsi="Times New Roman"/>
          <w:noProof/>
          <w:sz w:val="24"/>
        </w:rPr>
        <w:t xml:space="preserve"> w ram</w:t>
      </w:r>
      <w:r>
        <w:rPr>
          <w:rFonts w:ascii="Times New Roman" w:hAnsi="Times New Roman"/>
          <w:noProof/>
          <w:sz w:val="24"/>
        </w:rPr>
        <w:t>ach SSC-2021 planuje się osiągnięcie zamknięcia finansowego do trzeciego kwartału 20</w:t>
      </w:r>
      <w:r w:rsidRPr="002001C0">
        <w:rPr>
          <w:rFonts w:ascii="Times New Roman" w:hAnsi="Times New Roman"/>
          <w:noProof/>
          <w:sz w:val="24"/>
        </w:rPr>
        <w:t>25</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i roz</w:t>
      </w:r>
      <w:r>
        <w:rPr>
          <w:rFonts w:ascii="Times New Roman" w:hAnsi="Times New Roman"/>
          <w:noProof/>
          <w:sz w:val="24"/>
        </w:rPr>
        <w:t>poczęcie eksploatacji do początku 20</w:t>
      </w:r>
      <w:r w:rsidRPr="002001C0">
        <w:rPr>
          <w:rFonts w:ascii="Times New Roman" w:hAnsi="Times New Roman"/>
          <w:noProof/>
          <w:sz w:val="24"/>
        </w:rPr>
        <w:t>28</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Ponadto</w:t>
      </w:r>
      <w:r w:rsidR="0076371C">
        <w:rPr>
          <w:rFonts w:ascii="Times New Roman" w:hAnsi="Times New Roman"/>
          <w:noProof/>
          <w:sz w:val="24"/>
        </w:rPr>
        <w:t xml:space="preserve"> w prz</w:t>
      </w:r>
      <w:r>
        <w:rPr>
          <w:rFonts w:ascii="Times New Roman" w:hAnsi="Times New Roman"/>
          <w:noProof/>
          <w:sz w:val="24"/>
        </w:rPr>
        <w:t>ypadku 8</w:t>
      </w:r>
      <w:r w:rsidRPr="002001C0">
        <w:rPr>
          <w:rFonts w:ascii="Times New Roman" w:hAnsi="Times New Roman"/>
          <w:noProof/>
          <w:sz w:val="24"/>
        </w:rPr>
        <w:t>8</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projektów zamknięcie finansowe zostanie osiągnięte do końca 20</w:t>
      </w:r>
      <w:r w:rsidRPr="002001C0">
        <w:rPr>
          <w:rFonts w:ascii="Times New Roman" w:hAnsi="Times New Roman"/>
          <w:noProof/>
          <w:sz w:val="24"/>
        </w:rPr>
        <w:t>24</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w prz</w:t>
      </w:r>
      <w:r>
        <w:rPr>
          <w:rFonts w:ascii="Times New Roman" w:hAnsi="Times New Roman"/>
          <w:noProof/>
          <w:sz w:val="24"/>
        </w:rPr>
        <w:t>ypadku 7</w:t>
      </w:r>
      <w:r w:rsidRPr="002001C0">
        <w:rPr>
          <w:rFonts w:ascii="Times New Roman" w:hAnsi="Times New Roman"/>
          <w:noProof/>
          <w:sz w:val="24"/>
        </w:rPr>
        <w:t>6</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projektów rozpoczęcie eksploatacji nastąpi do końca 20</w:t>
      </w:r>
      <w:r w:rsidRPr="002001C0">
        <w:rPr>
          <w:rFonts w:ascii="Times New Roman" w:hAnsi="Times New Roman"/>
          <w:noProof/>
          <w:sz w:val="24"/>
        </w:rPr>
        <w:t>25</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czyli szybciej niż</w:t>
      </w:r>
      <w:r w:rsidR="0076371C">
        <w:rPr>
          <w:rFonts w:ascii="Times New Roman" w:hAnsi="Times New Roman"/>
          <w:noProof/>
          <w:sz w:val="24"/>
        </w:rPr>
        <w:t xml:space="preserve"> w prz</w:t>
      </w:r>
      <w:r>
        <w:rPr>
          <w:rFonts w:ascii="Times New Roman" w:hAnsi="Times New Roman"/>
          <w:noProof/>
          <w:sz w:val="24"/>
        </w:rPr>
        <w:t>ypadku projektów na dużą skalę, ponieważ mniejsze projekty są łatwiejsze do realizacji.</w:t>
      </w:r>
    </w:p>
    <w:p w14:paraId="45FAC24B" w14:textId="5349A9A6" w:rsidR="0084004E" w:rsidRPr="008021A2" w:rsidRDefault="0084004E" w:rsidP="0084004E">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14</w:t>
      </w:r>
      <w:r>
        <w:rPr>
          <w:rFonts w:cs="Times New Roman"/>
          <w:noProof/>
        </w:rPr>
        <w:fldChar w:fldCharType="end"/>
      </w:r>
      <w:r>
        <w:rPr>
          <w:noProof/>
        </w:rPr>
        <w:t>: Planowana data zamknięcia finansowego</w:t>
      </w:r>
      <w:r w:rsidR="0076371C">
        <w:rPr>
          <w:noProof/>
        </w:rPr>
        <w:t xml:space="preserve"> w pro</w:t>
      </w:r>
      <w:r>
        <w:rPr>
          <w:noProof/>
        </w:rPr>
        <w:t>jektach wybranych</w:t>
      </w:r>
      <w:r w:rsidR="0076371C">
        <w:rPr>
          <w:noProof/>
        </w:rPr>
        <w:t xml:space="preserve"> w ram</w:t>
      </w:r>
      <w:r>
        <w:rPr>
          <w:noProof/>
        </w:rPr>
        <w:t>ach SSC-2021</w:t>
      </w:r>
    </w:p>
    <w:p w14:paraId="3FFC96B4" w14:textId="7EC42478" w:rsidR="0084004E" w:rsidRPr="008021A2" w:rsidRDefault="00574F36" w:rsidP="0084004E">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40BB8EF5" wp14:editId="03701AE3">
            <wp:extent cx="5731510" cy="2285365"/>
            <wp:effectExtent l="0" t="0" r="2540" b="635"/>
            <wp:docPr id="1504031434" name="Obraz 1" descr="Obraz zawierający tekst, Czcionka, zrzut ekranu,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31434" name="Obraz 1" descr="Obraz zawierający tekst, Czcionka, zrzut ekranu, diagram&#10;&#10;Opis wygenerowany automatycznie"/>
                    <pic:cNvPicPr/>
                  </pic:nvPicPr>
                  <pic:blipFill>
                    <a:blip r:embed="rId30"/>
                    <a:stretch>
                      <a:fillRect/>
                    </a:stretch>
                  </pic:blipFill>
                  <pic:spPr>
                    <a:xfrm>
                      <a:off x="0" y="0"/>
                      <a:ext cx="5731510" cy="2285365"/>
                    </a:xfrm>
                    <a:prstGeom prst="rect">
                      <a:avLst/>
                    </a:prstGeom>
                  </pic:spPr>
                </pic:pic>
              </a:graphicData>
            </a:graphic>
          </wp:inline>
        </w:drawing>
      </w:r>
    </w:p>
    <w:p w14:paraId="3F504B95" w14:textId="77777777" w:rsidR="002F717F" w:rsidRPr="008021A2" w:rsidRDefault="002F717F" w:rsidP="0084004E">
      <w:pPr>
        <w:jc w:val="both"/>
        <w:rPr>
          <w:rFonts w:ascii="Times New Roman" w:hAnsi="Times New Roman" w:cs="Times New Roman"/>
          <w:noProof/>
          <w:sz w:val="24"/>
        </w:rPr>
      </w:pPr>
    </w:p>
    <w:p w14:paraId="582E60F7" w14:textId="2B9DC987" w:rsidR="0084004E" w:rsidRPr="008021A2" w:rsidRDefault="0084004E" w:rsidP="0084004E">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15</w:t>
      </w:r>
      <w:r>
        <w:rPr>
          <w:rFonts w:cs="Times New Roman"/>
          <w:noProof/>
        </w:rPr>
        <w:fldChar w:fldCharType="end"/>
      </w:r>
      <w:r>
        <w:rPr>
          <w:noProof/>
        </w:rPr>
        <w:t>: Przewidywana data rozpoczęcia eksploatacji</w:t>
      </w:r>
      <w:r w:rsidR="0076371C">
        <w:rPr>
          <w:noProof/>
        </w:rPr>
        <w:t xml:space="preserve"> w prz</w:t>
      </w:r>
      <w:r>
        <w:rPr>
          <w:noProof/>
        </w:rPr>
        <w:t>ypadku projektów wybranych</w:t>
      </w:r>
      <w:r w:rsidR="0076371C">
        <w:rPr>
          <w:noProof/>
        </w:rPr>
        <w:t xml:space="preserve"> w ram</w:t>
      </w:r>
      <w:r>
        <w:rPr>
          <w:noProof/>
        </w:rPr>
        <w:t>ach SSC-2021</w:t>
      </w:r>
    </w:p>
    <w:p w14:paraId="632EDB68" w14:textId="2C5A8E01" w:rsidR="002F717F" w:rsidRPr="008021A2" w:rsidRDefault="00574F36" w:rsidP="0084004E">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1079B61E" wp14:editId="5665F5F2">
            <wp:extent cx="5731510" cy="1775460"/>
            <wp:effectExtent l="0" t="0" r="2540" b="0"/>
            <wp:docPr id="612705142" name="Obraz 1" descr="Obraz zawierający tekst, zrzut ekranu, lini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05142" name="Obraz 1" descr="Obraz zawierający tekst, zrzut ekranu, linia, Czcionka&#10;&#10;Opis wygenerowany automatycznie"/>
                    <pic:cNvPicPr/>
                  </pic:nvPicPr>
                  <pic:blipFill>
                    <a:blip r:embed="rId31"/>
                    <a:stretch>
                      <a:fillRect/>
                    </a:stretch>
                  </pic:blipFill>
                  <pic:spPr>
                    <a:xfrm>
                      <a:off x="0" y="0"/>
                      <a:ext cx="5731510" cy="1775460"/>
                    </a:xfrm>
                    <a:prstGeom prst="rect">
                      <a:avLst/>
                    </a:prstGeom>
                  </pic:spPr>
                </pic:pic>
              </a:graphicData>
            </a:graphic>
          </wp:inline>
        </w:drawing>
      </w:r>
    </w:p>
    <w:p w14:paraId="7BF2C03C" w14:textId="7A154A2E" w:rsidR="0084004E" w:rsidRPr="008021A2" w:rsidRDefault="0084004E" w:rsidP="0084004E">
      <w:pPr>
        <w:pStyle w:val="Nagwek3"/>
        <w:framePr w:wrap="auto" w:vAnchor="margin" w:yAlign="inline"/>
        <w:jc w:val="both"/>
        <w:rPr>
          <w:rFonts w:cs="Times New Roman"/>
          <w:i/>
          <w:noProof/>
        </w:rPr>
      </w:pPr>
      <w:bookmarkStart w:id="19" w:name="_Toc150504455"/>
      <w:r>
        <w:rPr>
          <w:i/>
          <w:caps w:val="0"/>
          <w:noProof/>
        </w:rPr>
        <w:t>Poziom innowacyjności</w:t>
      </w:r>
      <w:r w:rsidR="0076371C">
        <w:rPr>
          <w:i/>
          <w:caps w:val="0"/>
          <w:noProof/>
        </w:rPr>
        <w:t xml:space="preserve"> i pot</w:t>
      </w:r>
      <w:r>
        <w:rPr>
          <w:i/>
          <w:caps w:val="0"/>
          <w:noProof/>
        </w:rPr>
        <w:t>encjał skalowalności</w:t>
      </w:r>
      <w:bookmarkEnd w:id="19"/>
    </w:p>
    <w:p w14:paraId="2AC5B456" w14:textId="0C654E1F"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Stopień innowacyjności</w:t>
      </w:r>
      <w:r w:rsidR="0076371C">
        <w:rPr>
          <w:rFonts w:ascii="Times New Roman" w:hAnsi="Times New Roman"/>
          <w:noProof/>
          <w:sz w:val="24"/>
        </w:rPr>
        <w:t xml:space="preserve"> w wyb</w:t>
      </w:r>
      <w:r>
        <w:rPr>
          <w:rFonts w:ascii="Times New Roman" w:hAnsi="Times New Roman"/>
          <w:noProof/>
          <w:sz w:val="24"/>
        </w:rPr>
        <w:t>ranych wnioskach</w:t>
      </w:r>
      <w:r w:rsidR="0076371C">
        <w:rPr>
          <w:rFonts w:ascii="Times New Roman" w:hAnsi="Times New Roman"/>
          <w:noProof/>
          <w:sz w:val="24"/>
        </w:rPr>
        <w:t xml:space="preserve"> w ram</w:t>
      </w:r>
      <w:r>
        <w:rPr>
          <w:rFonts w:ascii="Times New Roman" w:hAnsi="Times New Roman"/>
          <w:noProof/>
          <w:sz w:val="24"/>
        </w:rPr>
        <w:t>ach SSC-2021 był bardzo dobry – ponad 5</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wniosków uzyskało wynik wynoszący co najmniej 12 (na możliwe 15)</w:t>
      </w:r>
      <w:r w:rsidR="0076371C">
        <w:rPr>
          <w:rFonts w:ascii="Times New Roman" w:hAnsi="Times New Roman"/>
          <w:noProof/>
          <w:sz w:val="24"/>
        </w:rPr>
        <w:t xml:space="preserve"> w ram</w:t>
      </w:r>
      <w:r>
        <w:rPr>
          <w:rFonts w:ascii="Times New Roman" w:hAnsi="Times New Roman"/>
          <w:noProof/>
          <w:sz w:val="24"/>
        </w:rPr>
        <w:t>ach tego kryterium.</w:t>
      </w:r>
    </w:p>
    <w:p w14:paraId="7DA40880" w14:textId="2B4A6D10" w:rsidR="0084004E" w:rsidRPr="008021A2" w:rsidRDefault="0084004E" w:rsidP="0084004E">
      <w:pPr>
        <w:jc w:val="both"/>
        <w:rPr>
          <w:rFonts w:ascii="Times New Roman" w:hAnsi="Times New Roman" w:cs="Times New Roman"/>
          <w:noProof/>
          <w:sz w:val="24"/>
        </w:rPr>
      </w:pPr>
      <w:r>
        <w:rPr>
          <w:rFonts w:ascii="Times New Roman" w:hAnsi="Times New Roman"/>
          <w:noProof/>
          <w:sz w:val="24"/>
        </w:rPr>
        <w:t>Jeżeli chodzi</w:t>
      </w:r>
      <w:r w:rsidR="0076371C">
        <w:rPr>
          <w:rFonts w:ascii="Times New Roman" w:hAnsi="Times New Roman"/>
          <w:noProof/>
          <w:sz w:val="24"/>
        </w:rPr>
        <w:t xml:space="preserve"> o pot</w:t>
      </w:r>
      <w:r>
        <w:rPr>
          <w:rFonts w:ascii="Times New Roman" w:hAnsi="Times New Roman"/>
          <w:noProof/>
          <w:sz w:val="24"/>
        </w:rPr>
        <w:t>encjał skalowalności, ponad 7</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wybranych wniosków</w:t>
      </w:r>
      <w:r w:rsidR="0076371C">
        <w:rPr>
          <w:rFonts w:ascii="Times New Roman" w:hAnsi="Times New Roman"/>
          <w:noProof/>
          <w:sz w:val="24"/>
        </w:rPr>
        <w:t xml:space="preserve"> w ram</w:t>
      </w:r>
      <w:r>
        <w:rPr>
          <w:rFonts w:ascii="Times New Roman" w:hAnsi="Times New Roman"/>
          <w:noProof/>
          <w:sz w:val="24"/>
        </w:rPr>
        <w:t>ach SSC-2021 uzyskało wysokie wyniki wynoszące ponad 12 punktów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5)</w:t>
      </w:r>
      <w:r w:rsidR="0076371C">
        <w:rPr>
          <w:rFonts w:ascii="Times New Roman" w:hAnsi="Times New Roman"/>
          <w:noProof/>
          <w:sz w:val="24"/>
        </w:rPr>
        <w:t>. W zap</w:t>
      </w:r>
      <w:r>
        <w:rPr>
          <w:rFonts w:ascii="Times New Roman" w:hAnsi="Times New Roman"/>
          <w:noProof/>
          <w:sz w:val="24"/>
        </w:rPr>
        <w:t>roszeniu tym wyłoniono szereg projektów wspierających takie obszary, jak: dekarbonizacja sektorów energochłonnych, poprawa rozwiązań</w:t>
      </w:r>
      <w:r w:rsidR="0076371C">
        <w:rPr>
          <w:rFonts w:ascii="Times New Roman" w:hAnsi="Times New Roman"/>
          <w:noProof/>
          <w:sz w:val="24"/>
        </w:rPr>
        <w:t xml:space="preserve"> w zak</w:t>
      </w:r>
      <w:r>
        <w:rPr>
          <w:rFonts w:ascii="Times New Roman" w:hAnsi="Times New Roman"/>
          <w:noProof/>
          <w:sz w:val="24"/>
        </w:rPr>
        <w:t>resie magazynowania energii lub rozszerzenie zastosowań energii ze źródeł odnawialnych</w:t>
      </w:r>
      <w:r w:rsidR="0076371C">
        <w:rPr>
          <w:rFonts w:ascii="Times New Roman" w:hAnsi="Times New Roman"/>
          <w:noProof/>
          <w:sz w:val="24"/>
        </w:rPr>
        <w:t>. Z fun</w:t>
      </w:r>
      <w:r>
        <w:rPr>
          <w:rFonts w:ascii="Times New Roman" w:hAnsi="Times New Roman"/>
          <w:noProof/>
          <w:sz w:val="24"/>
        </w:rPr>
        <w:t>duszu innowacyjnego zostaną wsparte projekty, których celem jest na przykład: (i) połączenie wytwarzania energii słonecznej</w:t>
      </w:r>
      <w:r w:rsidR="0076371C">
        <w:rPr>
          <w:rFonts w:ascii="Times New Roman" w:hAnsi="Times New Roman"/>
          <w:noProof/>
          <w:sz w:val="24"/>
        </w:rPr>
        <w:t xml:space="preserve"> z dzi</w:t>
      </w:r>
      <w:r>
        <w:rPr>
          <w:rFonts w:ascii="Times New Roman" w:hAnsi="Times New Roman"/>
          <w:noProof/>
          <w:sz w:val="24"/>
        </w:rPr>
        <w:t>ałalnością rolniczą; (ii) promowanie rozwiązań</w:t>
      </w:r>
      <w:r w:rsidR="0076371C">
        <w:rPr>
          <w:rFonts w:ascii="Times New Roman" w:hAnsi="Times New Roman"/>
          <w:noProof/>
          <w:sz w:val="24"/>
        </w:rPr>
        <w:t xml:space="preserve"> w zak</w:t>
      </w:r>
      <w:r>
        <w:rPr>
          <w:rFonts w:ascii="Times New Roman" w:hAnsi="Times New Roman"/>
          <w:noProof/>
          <w:sz w:val="24"/>
        </w:rPr>
        <w:t>resie mobilności</w:t>
      </w:r>
      <w:r w:rsidR="0076371C">
        <w:rPr>
          <w:rFonts w:ascii="Times New Roman" w:hAnsi="Times New Roman"/>
          <w:noProof/>
          <w:sz w:val="24"/>
        </w:rPr>
        <w:t xml:space="preserve"> w żeg</w:t>
      </w:r>
      <w:r>
        <w:rPr>
          <w:rFonts w:ascii="Times New Roman" w:hAnsi="Times New Roman"/>
          <w:noProof/>
          <w:sz w:val="24"/>
        </w:rPr>
        <w:t>ludze opartych na paliwie wodorowym lub wietrze; oraz (iii) rozwój instalacji ciepłowniczych wykorzystujących energię geotermalną</w:t>
      </w:r>
      <w:r w:rsidR="0076371C">
        <w:rPr>
          <w:rFonts w:ascii="Times New Roman" w:hAnsi="Times New Roman"/>
          <w:noProof/>
          <w:sz w:val="24"/>
        </w:rPr>
        <w:t>. W prz</w:t>
      </w:r>
      <w:r>
        <w:rPr>
          <w:rFonts w:ascii="Times New Roman" w:hAnsi="Times New Roman"/>
          <w:noProof/>
          <w:sz w:val="24"/>
        </w:rPr>
        <w:t>ypadku sektora przemysłowego</w:t>
      </w:r>
      <w:r w:rsidR="0076371C">
        <w:rPr>
          <w:rFonts w:ascii="Times New Roman" w:hAnsi="Times New Roman"/>
          <w:noProof/>
          <w:sz w:val="24"/>
        </w:rPr>
        <w:t xml:space="preserve"> w pro</w:t>
      </w:r>
      <w:r>
        <w:rPr>
          <w:rFonts w:ascii="Times New Roman" w:hAnsi="Times New Roman"/>
          <w:noProof/>
          <w:sz w:val="24"/>
        </w:rPr>
        <w:t>jektach</w:t>
      </w:r>
      <w:r w:rsidR="0076371C">
        <w:rPr>
          <w:rFonts w:ascii="Times New Roman" w:hAnsi="Times New Roman"/>
          <w:noProof/>
          <w:sz w:val="24"/>
        </w:rPr>
        <w:t xml:space="preserve"> w ram</w:t>
      </w:r>
      <w:r>
        <w:rPr>
          <w:rFonts w:ascii="Times New Roman" w:hAnsi="Times New Roman"/>
          <w:noProof/>
          <w:sz w:val="24"/>
        </w:rPr>
        <w:t>ach tego zaproszenia opracowane zostaną takie rozwiązania, jak: (i) piece elektryczne</w:t>
      </w:r>
      <w:r w:rsidR="0076371C">
        <w:rPr>
          <w:rFonts w:ascii="Times New Roman" w:hAnsi="Times New Roman"/>
          <w:noProof/>
          <w:sz w:val="24"/>
        </w:rPr>
        <w:t xml:space="preserve"> w prz</w:t>
      </w:r>
      <w:r>
        <w:rPr>
          <w:rFonts w:ascii="Times New Roman" w:hAnsi="Times New Roman"/>
          <w:noProof/>
          <w:sz w:val="24"/>
        </w:rPr>
        <w:t>emyśle produkcji szkła; (ii) usuwanie dwutlenku węgla</w:t>
      </w:r>
      <w:r w:rsidR="0076371C">
        <w:rPr>
          <w:rFonts w:ascii="Times New Roman" w:hAnsi="Times New Roman"/>
          <w:noProof/>
          <w:sz w:val="24"/>
        </w:rPr>
        <w:t xml:space="preserve"> w pro</w:t>
      </w:r>
      <w:r>
        <w:rPr>
          <w:rFonts w:ascii="Times New Roman" w:hAnsi="Times New Roman"/>
          <w:noProof/>
          <w:sz w:val="24"/>
        </w:rPr>
        <w:t>dukcji prefabrykatów budowlanych; lub (iii) włączenie paliw alternatywnych (np. wodoru odnawialnego lub biopaliw)</w:t>
      </w:r>
      <w:r w:rsidR="0076371C">
        <w:rPr>
          <w:rFonts w:ascii="Times New Roman" w:hAnsi="Times New Roman"/>
          <w:noProof/>
          <w:sz w:val="24"/>
        </w:rPr>
        <w:t xml:space="preserve"> i pom</w:t>
      </w:r>
      <w:r>
        <w:rPr>
          <w:rFonts w:ascii="Times New Roman" w:hAnsi="Times New Roman"/>
          <w:noProof/>
          <w:sz w:val="24"/>
        </w:rPr>
        <w:t>p ciepła do różnych procesów przemysłowych. Jeżeli chodzi</w:t>
      </w:r>
      <w:r w:rsidR="0076371C">
        <w:rPr>
          <w:rFonts w:ascii="Times New Roman" w:hAnsi="Times New Roman"/>
          <w:noProof/>
          <w:sz w:val="24"/>
        </w:rPr>
        <w:t xml:space="preserve"> o roz</w:t>
      </w:r>
      <w:r>
        <w:rPr>
          <w:rFonts w:ascii="Times New Roman" w:hAnsi="Times New Roman"/>
          <w:noProof/>
          <w:sz w:val="24"/>
        </w:rPr>
        <w:t>wiązania</w:t>
      </w:r>
      <w:r w:rsidR="0076371C">
        <w:rPr>
          <w:rFonts w:ascii="Times New Roman" w:hAnsi="Times New Roman"/>
          <w:noProof/>
          <w:sz w:val="24"/>
        </w:rPr>
        <w:t xml:space="preserve"> w zak</w:t>
      </w:r>
      <w:r>
        <w:rPr>
          <w:rFonts w:ascii="Times New Roman" w:hAnsi="Times New Roman"/>
          <w:noProof/>
          <w:sz w:val="24"/>
        </w:rPr>
        <w:t>resie magazynowania energii,</w:t>
      </w:r>
      <w:r w:rsidR="0076371C">
        <w:rPr>
          <w:rFonts w:ascii="Times New Roman" w:hAnsi="Times New Roman"/>
          <w:noProof/>
          <w:sz w:val="24"/>
        </w:rPr>
        <w:t xml:space="preserve"> w pro</w:t>
      </w:r>
      <w:r>
        <w:rPr>
          <w:rFonts w:ascii="Times New Roman" w:hAnsi="Times New Roman"/>
          <w:noProof/>
          <w:sz w:val="24"/>
        </w:rPr>
        <w:t>jektach</w:t>
      </w:r>
      <w:r w:rsidR="0076371C">
        <w:rPr>
          <w:rFonts w:ascii="Times New Roman" w:hAnsi="Times New Roman"/>
          <w:noProof/>
          <w:sz w:val="24"/>
        </w:rPr>
        <w:t xml:space="preserve"> w ram</w:t>
      </w:r>
      <w:r>
        <w:rPr>
          <w:rFonts w:ascii="Times New Roman" w:hAnsi="Times New Roman"/>
          <w:noProof/>
          <w:sz w:val="24"/>
        </w:rPr>
        <w:t>ach SSC-2021 opracowane zostaną takie rozwiązania, jak: ulepszone systemy „energii jako usługi” lub nowe technologie chłodnic akumulatorowych</w:t>
      </w:r>
      <w:r w:rsidR="0076371C">
        <w:rPr>
          <w:rFonts w:ascii="Times New Roman" w:hAnsi="Times New Roman"/>
          <w:noProof/>
          <w:sz w:val="24"/>
        </w:rPr>
        <w:t xml:space="preserve"> w poj</w:t>
      </w:r>
      <w:r>
        <w:rPr>
          <w:rFonts w:ascii="Times New Roman" w:hAnsi="Times New Roman"/>
          <w:noProof/>
          <w:sz w:val="24"/>
        </w:rPr>
        <w:t xml:space="preserve">azdach elektrycznych, zmniejszające wagę systemów magazynowania energii. </w:t>
      </w:r>
    </w:p>
    <w:p w14:paraId="20D82E23" w14:textId="77777777" w:rsidR="004D5024" w:rsidRPr="008021A2" w:rsidRDefault="004D5024" w:rsidP="004D5024">
      <w:pPr>
        <w:pStyle w:val="Nagwek1"/>
        <w:framePr w:wrap="notBeside"/>
        <w:rPr>
          <w:rFonts w:cs="Times New Roman"/>
          <w:noProof/>
        </w:rPr>
      </w:pPr>
      <w:bookmarkStart w:id="20" w:name="_Toc150504456"/>
      <w:r>
        <w:rPr>
          <w:noProof/>
        </w:rPr>
        <w:t>SKUMULOWANE WYNIKI FUNDUSZU INNOWACYJNEGO DO KOŃCA 2022 R.</w:t>
      </w:r>
      <w:bookmarkEnd w:id="20"/>
    </w:p>
    <w:p w14:paraId="206EADBD" w14:textId="77777777" w:rsidR="004D5024" w:rsidRPr="008021A2" w:rsidRDefault="004D5024" w:rsidP="004D5024">
      <w:pPr>
        <w:jc w:val="both"/>
        <w:rPr>
          <w:rFonts w:ascii="Times New Roman" w:hAnsi="Times New Roman" w:cs="Times New Roman"/>
          <w:noProof/>
          <w:sz w:val="24"/>
        </w:rPr>
      </w:pPr>
    </w:p>
    <w:tbl>
      <w:tblPr>
        <w:tblStyle w:val="Tabela-Siatka"/>
        <w:tblW w:w="0" w:type="auto"/>
        <w:tblLook w:val="04A0" w:firstRow="1" w:lastRow="0" w:firstColumn="1" w:lastColumn="0" w:noHBand="0" w:noVBand="1"/>
      </w:tblPr>
      <w:tblGrid>
        <w:gridCol w:w="9016"/>
      </w:tblGrid>
      <w:tr w:rsidR="004D5024" w:rsidRPr="008021A2" w14:paraId="50CC6441" w14:textId="77777777" w:rsidTr="004E1128">
        <w:tc>
          <w:tcPr>
            <w:tcW w:w="0" w:type="auto"/>
          </w:tcPr>
          <w:p w14:paraId="7C28FFE2" w14:textId="53983932" w:rsidR="004D5024" w:rsidRPr="008021A2" w:rsidRDefault="004D5024" w:rsidP="004E1128">
            <w:pPr>
              <w:jc w:val="both"/>
              <w:rPr>
                <w:rFonts w:ascii="Times New Roman" w:hAnsi="Times New Roman" w:cs="Times New Roman"/>
                <w:i/>
                <w:noProof/>
                <w:sz w:val="24"/>
              </w:rPr>
            </w:pPr>
            <w:r>
              <w:rPr>
                <w:rFonts w:ascii="Times New Roman" w:hAnsi="Times New Roman"/>
                <w:i/>
                <w:noProof/>
                <w:sz w:val="24"/>
              </w:rPr>
              <w:t>Do końca 20</w:t>
            </w:r>
            <w:r w:rsidRPr="002001C0">
              <w:rPr>
                <w:rFonts w:ascii="Times New Roman" w:hAnsi="Times New Roman"/>
                <w:i/>
                <w:noProof/>
                <w:sz w:val="24"/>
              </w:rPr>
              <w:t>22</w:t>
            </w:r>
            <w:r w:rsidR="002001C0" w:rsidRPr="002001C0">
              <w:rPr>
                <w:rFonts w:ascii="Times New Roman" w:hAnsi="Times New Roman"/>
                <w:i/>
                <w:noProof/>
                <w:sz w:val="24"/>
              </w:rPr>
              <w:t> </w:t>
            </w:r>
            <w:r w:rsidRPr="002001C0">
              <w:rPr>
                <w:rFonts w:ascii="Times New Roman" w:hAnsi="Times New Roman"/>
                <w:i/>
                <w:noProof/>
                <w:sz w:val="24"/>
              </w:rPr>
              <w:t>r.</w:t>
            </w:r>
            <w:r w:rsidR="0076371C">
              <w:rPr>
                <w:rFonts w:ascii="Times New Roman" w:hAnsi="Times New Roman"/>
                <w:i/>
                <w:noProof/>
                <w:sz w:val="24"/>
              </w:rPr>
              <w:t xml:space="preserve"> w ram</w:t>
            </w:r>
            <w:r>
              <w:rPr>
                <w:rFonts w:ascii="Times New Roman" w:hAnsi="Times New Roman"/>
                <w:i/>
                <w:noProof/>
                <w:sz w:val="24"/>
              </w:rPr>
              <w:t>ach funduszu innowacyjnego ogłoszono</w:t>
            </w:r>
            <w:r w:rsidR="0076371C">
              <w:rPr>
                <w:rFonts w:ascii="Times New Roman" w:hAnsi="Times New Roman"/>
                <w:i/>
                <w:noProof/>
                <w:sz w:val="24"/>
              </w:rPr>
              <w:t xml:space="preserve"> i roz</w:t>
            </w:r>
            <w:r>
              <w:rPr>
                <w:rFonts w:ascii="Times New Roman" w:hAnsi="Times New Roman"/>
                <w:i/>
                <w:noProof/>
                <w:sz w:val="24"/>
              </w:rPr>
              <w:t>strzygnięto cztery zaproszenia do składania wniosków: dwa dotyczące projektów na małą skalę</w:t>
            </w:r>
            <w:r w:rsidR="0076371C">
              <w:rPr>
                <w:rFonts w:ascii="Times New Roman" w:hAnsi="Times New Roman"/>
                <w:i/>
                <w:noProof/>
                <w:sz w:val="24"/>
              </w:rPr>
              <w:t xml:space="preserve"> i dwa</w:t>
            </w:r>
            <w:r>
              <w:rPr>
                <w:rFonts w:ascii="Times New Roman" w:hAnsi="Times New Roman"/>
                <w:i/>
                <w:noProof/>
                <w:sz w:val="24"/>
              </w:rPr>
              <w:t xml:space="preserve"> dotyczące projektów na dużą skalę. Ogółem wybrano 70 projektów, które otrzymają wsparcie</w:t>
            </w:r>
            <w:r w:rsidR="0076371C">
              <w:rPr>
                <w:rFonts w:ascii="Times New Roman" w:hAnsi="Times New Roman"/>
                <w:i/>
                <w:noProof/>
                <w:sz w:val="24"/>
              </w:rPr>
              <w:t xml:space="preserve"> w for</w:t>
            </w:r>
            <w:r>
              <w:rPr>
                <w:rFonts w:ascii="Times New Roman" w:hAnsi="Times New Roman"/>
                <w:i/>
                <w:noProof/>
                <w:sz w:val="24"/>
              </w:rPr>
              <w:t>mie dotacji na łączną kwotę 3,1 mld EUR. Zainteresowanie promotorów projektów utrzymywało się na wysokim poziomie, zwłaszcza</w:t>
            </w:r>
            <w:r w:rsidR="0076371C">
              <w:rPr>
                <w:rFonts w:ascii="Times New Roman" w:hAnsi="Times New Roman"/>
                <w:i/>
                <w:noProof/>
                <w:sz w:val="24"/>
              </w:rPr>
              <w:t xml:space="preserve"> w prz</w:t>
            </w:r>
            <w:r>
              <w:rPr>
                <w:rFonts w:ascii="Times New Roman" w:hAnsi="Times New Roman"/>
                <w:i/>
                <w:noProof/>
                <w:sz w:val="24"/>
              </w:rPr>
              <w:t>ypadku zaproszeń do składania wniosków dotyczących projektów na dużą skalę. Jak dotąd największe wsparcie przeznaczono na projekty, których celem jest dekarbonizacja sektorów energochłonnych, ze szczególnym naciskiem na sektor cementu</w:t>
            </w:r>
            <w:r w:rsidR="0076371C">
              <w:rPr>
                <w:rFonts w:ascii="Times New Roman" w:hAnsi="Times New Roman"/>
                <w:i/>
                <w:noProof/>
                <w:sz w:val="24"/>
              </w:rPr>
              <w:t xml:space="preserve"> i wap</w:t>
            </w:r>
            <w:r>
              <w:rPr>
                <w:rFonts w:ascii="Times New Roman" w:hAnsi="Times New Roman"/>
                <w:i/>
                <w:noProof/>
                <w:sz w:val="24"/>
              </w:rPr>
              <w:t>na</w:t>
            </w:r>
            <w:r w:rsidR="0076371C">
              <w:rPr>
                <w:rFonts w:ascii="Times New Roman" w:hAnsi="Times New Roman"/>
                <w:i/>
                <w:noProof/>
                <w:sz w:val="24"/>
              </w:rPr>
              <w:t>. Z geo</w:t>
            </w:r>
            <w:r>
              <w:rPr>
                <w:rFonts w:ascii="Times New Roman" w:hAnsi="Times New Roman"/>
                <w:i/>
                <w:noProof/>
                <w:sz w:val="24"/>
              </w:rPr>
              <w:t>graficznego punktu widzenia wśród projektów objętych wsparciem nadal</w:t>
            </w:r>
            <w:r w:rsidR="0076371C">
              <w:rPr>
                <w:rFonts w:ascii="Times New Roman" w:hAnsi="Times New Roman"/>
                <w:i/>
                <w:noProof/>
                <w:sz w:val="24"/>
              </w:rPr>
              <w:t xml:space="preserve"> w nie</w:t>
            </w:r>
            <w:r>
              <w:rPr>
                <w:rFonts w:ascii="Times New Roman" w:hAnsi="Times New Roman"/>
                <w:i/>
                <w:noProof/>
                <w:sz w:val="24"/>
              </w:rPr>
              <w:t xml:space="preserve">wystarczającym stopniu reprezentowane są </w:t>
            </w:r>
            <w:r>
              <w:rPr>
                <w:rFonts w:ascii="Times New Roman" w:hAnsi="Times New Roman"/>
                <w:i/>
                <w:noProof/>
                <w:sz w:val="24"/>
              </w:rPr>
              <w:lastRenderedPageBreak/>
              <w:t>projekty zlokalizowane</w:t>
            </w:r>
            <w:r w:rsidR="0076371C">
              <w:rPr>
                <w:rFonts w:ascii="Times New Roman" w:hAnsi="Times New Roman"/>
                <w:i/>
                <w:noProof/>
                <w:sz w:val="24"/>
              </w:rPr>
              <w:t xml:space="preserve"> w Eur</w:t>
            </w:r>
            <w:r>
              <w:rPr>
                <w:rFonts w:ascii="Times New Roman" w:hAnsi="Times New Roman"/>
                <w:i/>
                <w:noProof/>
                <w:sz w:val="24"/>
              </w:rPr>
              <w:t xml:space="preserve">opie Wschodniej. Celem obecnie wybranych projektów jest uniknięcie emisji 215 mln ton ekwiwalentu </w:t>
            </w:r>
            <w:r>
              <w:rPr>
                <w:rFonts w:ascii="Times New Roman" w:hAnsi="Times New Roman"/>
                <w:noProof/>
                <w:sz w:val="24"/>
              </w:rPr>
              <w:t>CO₂</w:t>
            </w:r>
            <w:r w:rsidR="0076371C">
              <w:rPr>
                <w:rFonts w:ascii="Times New Roman" w:hAnsi="Times New Roman"/>
                <w:i/>
                <w:noProof/>
                <w:sz w:val="24"/>
              </w:rPr>
              <w:t xml:space="preserve"> w okr</w:t>
            </w:r>
            <w:r>
              <w:rPr>
                <w:rFonts w:ascii="Times New Roman" w:hAnsi="Times New Roman"/>
                <w:i/>
                <w:noProof/>
                <w:sz w:val="24"/>
              </w:rPr>
              <w:t>esie 10 lat, dzięki czemu fundusz innowacyjny stanie się kluczowym instrumentem przyczyniającym się do realizacji Europejskiego Zielonego Ładu</w:t>
            </w:r>
            <w:r w:rsidR="0076371C">
              <w:rPr>
                <w:rFonts w:ascii="Times New Roman" w:hAnsi="Times New Roman"/>
                <w:i/>
                <w:noProof/>
                <w:sz w:val="24"/>
              </w:rPr>
              <w:t xml:space="preserve"> i cel</w:t>
            </w:r>
            <w:r>
              <w:rPr>
                <w:rFonts w:ascii="Times New Roman" w:hAnsi="Times New Roman"/>
                <w:i/>
                <w:noProof/>
                <w:sz w:val="24"/>
              </w:rPr>
              <w:t xml:space="preserve">u UE, jakim jest osiągnięcie neutralności klimatycznej </w:t>
            </w:r>
            <w:r w:rsidRPr="002001C0">
              <w:rPr>
                <w:rFonts w:ascii="Times New Roman" w:hAnsi="Times New Roman"/>
                <w:i/>
                <w:noProof/>
                <w:sz w:val="24"/>
              </w:rPr>
              <w:t>do</w:t>
            </w:r>
            <w:r w:rsidR="002001C0" w:rsidRPr="002001C0">
              <w:rPr>
                <w:rFonts w:ascii="Times New Roman" w:hAnsi="Times New Roman"/>
                <w:i/>
                <w:noProof/>
                <w:sz w:val="24"/>
              </w:rPr>
              <w:t> </w:t>
            </w:r>
            <w:r w:rsidRPr="002001C0">
              <w:rPr>
                <w:rFonts w:ascii="Times New Roman" w:hAnsi="Times New Roman"/>
                <w:i/>
                <w:noProof/>
                <w:sz w:val="24"/>
              </w:rPr>
              <w:t>2</w:t>
            </w:r>
            <w:r>
              <w:rPr>
                <w:rFonts w:ascii="Times New Roman" w:hAnsi="Times New Roman"/>
                <w:i/>
                <w:noProof/>
                <w:sz w:val="24"/>
              </w:rPr>
              <w:t>0</w:t>
            </w:r>
            <w:r w:rsidRPr="002001C0">
              <w:rPr>
                <w:rFonts w:ascii="Times New Roman" w:hAnsi="Times New Roman"/>
                <w:i/>
                <w:noProof/>
                <w:sz w:val="24"/>
              </w:rPr>
              <w:t>50</w:t>
            </w:r>
            <w:r w:rsidR="002001C0" w:rsidRPr="002001C0">
              <w:rPr>
                <w:rFonts w:ascii="Times New Roman" w:hAnsi="Times New Roman"/>
                <w:i/>
                <w:noProof/>
                <w:sz w:val="24"/>
              </w:rPr>
              <w:t> </w:t>
            </w:r>
            <w:r w:rsidRPr="002001C0">
              <w:rPr>
                <w:rFonts w:ascii="Times New Roman" w:hAnsi="Times New Roman"/>
                <w:i/>
                <w:noProof/>
                <w:sz w:val="24"/>
              </w:rPr>
              <w:t>r.</w:t>
            </w:r>
          </w:p>
          <w:p w14:paraId="510BE7E7" w14:textId="756699D9" w:rsidR="00F036F8" w:rsidRPr="008021A2" w:rsidRDefault="00F036F8" w:rsidP="004E1128">
            <w:pPr>
              <w:jc w:val="both"/>
              <w:rPr>
                <w:rFonts w:ascii="Times New Roman" w:hAnsi="Times New Roman" w:cs="Times New Roman"/>
                <w:i/>
                <w:noProof/>
                <w:sz w:val="24"/>
              </w:rPr>
            </w:pPr>
          </w:p>
        </w:tc>
      </w:tr>
    </w:tbl>
    <w:p w14:paraId="4C2EFB90" w14:textId="77777777" w:rsidR="004D5024" w:rsidRPr="008021A2" w:rsidRDefault="004D5024" w:rsidP="004D5024">
      <w:pPr>
        <w:jc w:val="both"/>
        <w:rPr>
          <w:rFonts w:ascii="Times New Roman" w:hAnsi="Times New Roman" w:cs="Times New Roman"/>
          <w:noProof/>
          <w:sz w:val="24"/>
        </w:rPr>
      </w:pPr>
    </w:p>
    <w:p w14:paraId="41759702" w14:textId="7B3B1808"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ramach funduszu innowacyjnego pierwsze zaproszenie do składania wniosków ogłoszono 3 lipca 20</w:t>
      </w:r>
      <w:r w:rsidRPr="002001C0">
        <w:rPr>
          <w:rFonts w:ascii="Times New Roman" w:hAnsi="Times New Roman"/>
          <w:noProof/>
          <w:sz w:val="24"/>
        </w:rPr>
        <w:t>20</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(pierwsze zaproszenie do składania wniosków dotyczących projektów na dużą skalę),</w:t>
      </w:r>
      <w:r w:rsidR="0076371C">
        <w:rPr>
          <w:rFonts w:ascii="Times New Roman" w:hAnsi="Times New Roman"/>
          <w:noProof/>
          <w:sz w:val="24"/>
        </w:rPr>
        <w:t xml:space="preserve"> a dru</w:t>
      </w:r>
      <w:r>
        <w:rPr>
          <w:rFonts w:ascii="Times New Roman" w:hAnsi="Times New Roman"/>
          <w:noProof/>
          <w:sz w:val="24"/>
        </w:rPr>
        <w:t>gie – 1 grudnia 20</w:t>
      </w:r>
      <w:r w:rsidRPr="002001C0">
        <w:rPr>
          <w:rFonts w:ascii="Times New Roman" w:hAnsi="Times New Roman"/>
          <w:noProof/>
          <w:sz w:val="24"/>
        </w:rPr>
        <w:t>20</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(pierwsze zaproszenie do składania wniosków dotyczących projektów na małą skalę).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ogłoszono trzy dodatkowe zaproszenia: drugie zaproszenie dotyczące projektów na małą skalę (31 marca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drugie zaproszenie dotyczące projektów na dużą skalę (26 października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i trz</w:t>
      </w:r>
      <w:r>
        <w:rPr>
          <w:rFonts w:ascii="Times New Roman" w:hAnsi="Times New Roman"/>
          <w:noProof/>
          <w:sz w:val="24"/>
        </w:rPr>
        <w:t>ecie zaproszenie dotyczące projektów na dużą skalę (3 listopada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p>
    <w:p w14:paraId="39E3E4A5" w14:textId="77777777" w:rsidR="0000519D" w:rsidRPr="008021A2" w:rsidRDefault="0000519D" w:rsidP="004D5024">
      <w:pPr>
        <w:jc w:val="both"/>
        <w:rPr>
          <w:rFonts w:ascii="Times New Roman" w:hAnsi="Times New Roman" w:cs="Times New Roman"/>
          <w:noProof/>
          <w:sz w:val="24"/>
        </w:rPr>
      </w:pPr>
    </w:p>
    <w:p w14:paraId="572EFD72" w14:textId="066CC56E" w:rsidR="004D5024" w:rsidRPr="008021A2" w:rsidRDefault="004D5024" w:rsidP="004D5024">
      <w:pPr>
        <w:pStyle w:val="Nagwek2"/>
        <w:framePr w:wrap="auto" w:vAnchor="margin" w:yAlign="inline"/>
        <w:jc w:val="both"/>
        <w:rPr>
          <w:rFonts w:cs="Times New Roman"/>
          <w:b/>
          <w:noProof/>
        </w:rPr>
      </w:pPr>
      <w:bookmarkStart w:id="21" w:name="_Toc150504457"/>
      <w:r>
        <w:rPr>
          <w:b/>
          <w:caps w:val="0"/>
          <w:noProof/>
        </w:rPr>
        <w:t>Zgłaszanie projektów</w:t>
      </w:r>
      <w:r w:rsidR="0076371C">
        <w:rPr>
          <w:b/>
          <w:caps w:val="0"/>
          <w:noProof/>
        </w:rPr>
        <w:t xml:space="preserve"> w ram</w:t>
      </w:r>
      <w:r>
        <w:rPr>
          <w:b/>
          <w:caps w:val="0"/>
          <w:noProof/>
        </w:rPr>
        <w:t>ach zaproszenia do składania wniosków</w:t>
      </w:r>
      <w:bookmarkEnd w:id="21"/>
    </w:p>
    <w:p w14:paraId="40BDD076" w14:textId="13ADE75E"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okresie od rozpoczęcia działalności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fundusz innowacyjny otrzymał łącznie 748 wniosków dotyczących projektów, zarówno na dużą, jak</w:t>
      </w:r>
      <w:r w:rsidR="0076371C">
        <w:rPr>
          <w:rFonts w:ascii="Times New Roman" w:hAnsi="Times New Roman"/>
          <w:noProof/>
          <w:sz w:val="24"/>
        </w:rPr>
        <w:t xml:space="preserve"> i mał</w:t>
      </w:r>
      <w:r>
        <w:rPr>
          <w:rFonts w:ascii="Times New Roman" w:hAnsi="Times New Roman"/>
          <w:noProof/>
          <w:sz w:val="24"/>
        </w:rPr>
        <w:t>ą skalę,</w:t>
      </w:r>
      <w:r w:rsidR="0076371C">
        <w:rPr>
          <w:rFonts w:ascii="Times New Roman" w:hAnsi="Times New Roman"/>
          <w:noProof/>
          <w:sz w:val="24"/>
        </w:rPr>
        <w:t xml:space="preserve"> z cze</w:t>
      </w:r>
      <w:r>
        <w:rPr>
          <w:rFonts w:ascii="Times New Roman" w:hAnsi="Times New Roman"/>
          <w:noProof/>
          <w:sz w:val="24"/>
        </w:rPr>
        <w:t>go 70 projektów wstępnie wybrano do zawarcia umowy</w:t>
      </w:r>
      <w:r w:rsidR="0076371C">
        <w:rPr>
          <w:rFonts w:ascii="Times New Roman" w:hAnsi="Times New Roman"/>
          <w:noProof/>
          <w:sz w:val="24"/>
        </w:rPr>
        <w:t xml:space="preserve"> o udz</w:t>
      </w:r>
      <w:r>
        <w:rPr>
          <w:rFonts w:ascii="Times New Roman" w:hAnsi="Times New Roman"/>
          <w:noProof/>
          <w:sz w:val="24"/>
        </w:rPr>
        <w:t xml:space="preserve">ielenie dotacji. Jak pokazano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6, udział</w:t>
      </w:r>
      <w:r w:rsidR="0076371C">
        <w:rPr>
          <w:rFonts w:ascii="Times New Roman" w:hAnsi="Times New Roman"/>
          <w:noProof/>
          <w:sz w:val="24"/>
        </w:rPr>
        <w:t xml:space="preserve"> w zap</w:t>
      </w:r>
      <w:r>
        <w:rPr>
          <w:rFonts w:ascii="Times New Roman" w:hAnsi="Times New Roman"/>
          <w:noProof/>
          <w:sz w:val="24"/>
        </w:rPr>
        <w:t>roszeniach dotyczących projektów na małą skalę różnił się od udziału</w:t>
      </w:r>
      <w:r w:rsidR="0076371C">
        <w:rPr>
          <w:rFonts w:ascii="Times New Roman" w:hAnsi="Times New Roman"/>
          <w:noProof/>
          <w:sz w:val="24"/>
        </w:rPr>
        <w:t xml:space="preserve"> w zap</w:t>
      </w:r>
      <w:r>
        <w:rPr>
          <w:rFonts w:ascii="Times New Roman" w:hAnsi="Times New Roman"/>
          <w:noProof/>
          <w:sz w:val="24"/>
        </w:rPr>
        <w:t>roszeniach dotyczących projektów na dużą skalę. Zaproszenia do składania wniosków dotyczących projektów na małą skalę początkowo cieszyły się dużym zainteresowaniem, ale</w:t>
      </w:r>
      <w:r w:rsidR="0076371C">
        <w:rPr>
          <w:rFonts w:ascii="Times New Roman" w:hAnsi="Times New Roman"/>
          <w:noProof/>
          <w:sz w:val="24"/>
        </w:rPr>
        <w:t xml:space="preserve"> w dru</w:t>
      </w:r>
      <w:r>
        <w:rPr>
          <w:rFonts w:ascii="Times New Roman" w:hAnsi="Times New Roman"/>
          <w:noProof/>
          <w:sz w:val="24"/>
        </w:rPr>
        <w:t>gim zaproszeniu liczba wniosków zmalała</w:t>
      </w:r>
      <w:r w:rsidR="0076371C">
        <w:rPr>
          <w:rFonts w:ascii="Times New Roman" w:hAnsi="Times New Roman"/>
          <w:noProof/>
          <w:sz w:val="24"/>
        </w:rPr>
        <w:t xml:space="preserve"> o 7</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sidR="0076371C">
        <w:rPr>
          <w:rFonts w:ascii="Times New Roman" w:hAnsi="Times New Roman"/>
          <w:noProof/>
          <w:sz w:val="24"/>
        </w:rPr>
        <w:t xml:space="preserve"> w por</w:t>
      </w:r>
      <w:r>
        <w:rPr>
          <w:rFonts w:ascii="Times New Roman" w:hAnsi="Times New Roman"/>
          <w:noProof/>
          <w:sz w:val="24"/>
        </w:rPr>
        <w:t>ównaniu</w:t>
      </w:r>
      <w:r w:rsidR="0076371C">
        <w:rPr>
          <w:rFonts w:ascii="Times New Roman" w:hAnsi="Times New Roman"/>
          <w:noProof/>
          <w:sz w:val="24"/>
        </w:rPr>
        <w:t xml:space="preserve"> z pie</w:t>
      </w:r>
      <w:r>
        <w:rPr>
          <w:rFonts w:ascii="Times New Roman" w:hAnsi="Times New Roman"/>
          <w:noProof/>
          <w:sz w:val="24"/>
        </w:rPr>
        <w:t>rwszym zaproszeniem. Jedną</w:t>
      </w:r>
      <w:r w:rsidR="0076371C">
        <w:rPr>
          <w:rFonts w:ascii="Times New Roman" w:hAnsi="Times New Roman"/>
          <w:noProof/>
          <w:sz w:val="24"/>
        </w:rPr>
        <w:t xml:space="preserve"> z prz</w:t>
      </w:r>
      <w:r>
        <w:rPr>
          <w:rFonts w:ascii="Times New Roman" w:hAnsi="Times New Roman"/>
          <w:noProof/>
          <w:sz w:val="24"/>
        </w:rPr>
        <w:t>yczyn tej utraty zainteresowania zaproszeniami do składania wniosków dotyczących projektów na małą skalę może być niski próg wymogu dotyczącego maksymalnych wydatków kapitałowych – zaledwie 7,5 mln EUR. Na projekty</w:t>
      </w:r>
      <w:r w:rsidR="0076371C">
        <w:rPr>
          <w:rFonts w:ascii="Times New Roman" w:hAnsi="Times New Roman"/>
          <w:noProof/>
          <w:sz w:val="24"/>
        </w:rPr>
        <w:t xml:space="preserve"> o tak</w:t>
      </w:r>
      <w:r>
        <w:rPr>
          <w:rFonts w:ascii="Times New Roman" w:hAnsi="Times New Roman"/>
          <w:noProof/>
          <w:sz w:val="24"/>
        </w:rPr>
        <w:t>iej wielkości często dostępne jest finansowanie krajowe charakteryzujące się mniejszą konkurencją</w:t>
      </w:r>
      <w:r w:rsidR="0076371C">
        <w:rPr>
          <w:rFonts w:ascii="Times New Roman" w:hAnsi="Times New Roman"/>
          <w:noProof/>
          <w:sz w:val="24"/>
        </w:rPr>
        <w:t xml:space="preserve"> i łat</w:t>
      </w:r>
      <w:r>
        <w:rPr>
          <w:rFonts w:ascii="Times New Roman" w:hAnsi="Times New Roman"/>
          <w:noProof/>
          <w:sz w:val="24"/>
        </w:rPr>
        <w:t>wiejszymi procedurami składania wniosków. Podobną tendencję odnotowano</w:t>
      </w:r>
      <w:r w:rsidR="0076371C">
        <w:rPr>
          <w:rFonts w:ascii="Times New Roman" w:hAnsi="Times New Roman"/>
          <w:noProof/>
          <w:sz w:val="24"/>
        </w:rPr>
        <w:t xml:space="preserve"> w prz</w:t>
      </w:r>
      <w:r>
        <w:rPr>
          <w:rFonts w:ascii="Times New Roman" w:hAnsi="Times New Roman"/>
          <w:noProof/>
          <w:sz w:val="24"/>
        </w:rPr>
        <w:t>ypadku zaproszenia dotyczącego projektów na dużą skalę, które również początkowo cieszyło się dużym zainteresowaniem. Spadek liczby wniosków między pierwszym</w:t>
      </w:r>
      <w:r w:rsidR="0076371C">
        <w:rPr>
          <w:rFonts w:ascii="Times New Roman" w:hAnsi="Times New Roman"/>
          <w:noProof/>
          <w:sz w:val="24"/>
        </w:rPr>
        <w:t xml:space="preserve"> a dru</w:t>
      </w:r>
      <w:r w:rsidR="007923C9">
        <w:rPr>
          <w:rFonts w:ascii="Times New Roman" w:hAnsi="Times New Roman"/>
          <w:noProof/>
          <w:sz w:val="24"/>
        </w:rPr>
        <w:t xml:space="preserve">gim </w:t>
      </w:r>
      <w:r>
        <w:rPr>
          <w:rFonts w:ascii="Times New Roman" w:hAnsi="Times New Roman"/>
          <w:noProof/>
          <w:sz w:val="24"/>
        </w:rPr>
        <w:t>zaproszeniem dotyczącym projektów na dużą skalę wyniósł jednak tylko 5</w:t>
      </w:r>
      <w:r w:rsidRPr="002001C0">
        <w:rPr>
          <w:rFonts w:ascii="Times New Roman" w:hAnsi="Times New Roman"/>
          <w:noProof/>
          <w:sz w:val="24"/>
        </w:rPr>
        <w:t>5</w:t>
      </w:r>
      <w:r w:rsidR="002001C0" w:rsidRPr="002001C0">
        <w:rPr>
          <w:rFonts w:ascii="Times New Roman" w:hAnsi="Times New Roman"/>
          <w:noProof/>
          <w:sz w:val="24"/>
        </w:rPr>
        <w:t> </w:t>
      </w:r>
      <w:r w:rsidRPr="002001C0">
        <w:rPr>
          <w:rFonts w:ascii="Times New Roman" w:hAnsi="Times New Roman"/>
          <w:noProof/>
          <w:sz w:val="24"/>
        </w:rPr>
        <w:t>%</w:t>
      </w:r>
      <w:r>
        <w:rPr>
          <w:rStyle w:val="Odwoanieprzypisudolnego"/>
          <w:rFonts w:ascii="Times New Roman" w:hAnsi="Times New Roman" w:cs="Times New Roman"/>
          <w:noProof/>
          <w:sz w:val="24"/>
        </w:rPr>
        <w:footnoteReference w:id="27"/>
      </w:r>
      <w:r w:rsidR="0076371C">
        <w:rPr>
          <w:rFonts w:ascii="Times New Roman" w:hAnsi="Times New Roman"/>
          <w:noProof/>
          <w:sz w:val="24"/>
        </w:rPr>
        <w:t>. W tym</w:t>
      </w:r>
      <w:r>
        <w:rPr>
          <w:rFonts w:ascii="Times New Roman" w:hAnsi="Times New Roman"/>
          <w:noProof/>
          <w:sz w:val="24"/>
        </w:rPr>
        <w:t xml:space="preserve"> przypadku przyczyną spadku liczby wniosków może być bardzo wysoka nadwyżka zapotrzebowania/bardzo niski wskaźnik powodzenia</w:t>
      </w:r>
      <w:r w:rsidR="0076371C">
        <w:rPr>
          <w:rFonts w:ascii="Times New Roman" w:hAnsi="Times New Roman"/>
          <w:noProof/>
          <w:sz w:val="24"/>
        </w:rPr>
        <w:t xml:space="preserve"> w pie</w:t>
      </w:r>
      <w:r>
        <w:rPr>
          <w:rFonts w:ascii="Times New Roman" w:hAnsi="Times New Roman"/>
          <w:noProof/>
          <w:sz w:val="24"/>
        </w:rPr>
        <w:t>rwszym zaproszeniu do składania wniosków dotyczących projektów na dużą skalę</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20</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(LSC-2020), co mogło zniechęcić wnioskodawców do składania wniosków</w:t>
      </w:r>
      <w:r w:rsidR="0076371C">
        <w:rPr>
          <w:rFonts w:ascii="Times New Roman" w:hAnsi="Times New Roman"/>
          <w:noProof/>
          <w:sz w:val="24"/>
        </w:rPr>
        <w:t xml:space="preserve"> w kol</w:t>
      </w:r>
      <w:r>
        <w:rPr>
          <w:rFonts w:ascii="Times New Roman" w:hAnsi="Times New Roman"/>
          <w:noProof/>
          <w:sz w:val="24"/>
        </w:rPr>
        <w:t>ejnym roku. Należy również zauważyć, iż podczas pierwszego zaproszenia do składania wniosków dotyczących projektów na dużą skalę</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20</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wdrożono dwuetapowy proces wyboru; najpierw przeprowadzono etap „wyrażenia zainteresowania”, po którym następował pełny etap „zaproszenia do składania wniosków”. Po pierwszym etapie stwierdzono, że 117 wniosków spełnia lub przekracza kryteria progowe,</w:t>
      </w:r>
      <w:r w:rsidR="0076371C">
        <w:rPr>
          <w:rFonts w:ascii="Times New Roman" w:hAnsi="Times New Roman"/>
          <w:noProof/>
          <w:sz w:val="24"/>
        </w:rPr>
        <w:t xml:space="preserve"> </w:t>
      </w:r>
      <w:r w:rsidR="0076371C">
        <w:rPr>
          <w:rFonts w:ascii="Times New Roman" w:hAnsi="Times New Roman"/>
          <w:noProof/>
          <w:sz w:val="24"/>
        </w:rPr>
        <w:lastRenderedPageBreak/>
        <w:t>a w odn</w:t>
      </w:r>
      <w:r>
        <w:rPr>
          <w:rFonts w:ascii="Times New Roman" w:hAnsi="Times New Roman"/>
          <w:noProof/>
          <w:sz w:val="24"/>
        </w:rPr>
        <w:t xml:space="preserve">iesieniu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7</w:t>
      </w:r>
      <w:r>
        <w:rPr>
          <w:rFonts w:ascii="Times New Roman" w:hAnsi="Times New Roman"/>
          <w:noProof/>
          <w:sz w:val="24"/>
        </w:rPr>
        <w:t>0 spośród tych wniosków wystosowano zaproszenie do udziału</w:t>
      </w:r>
      <w:r w:rsidR="0076371C">
        <w:rPr>
          <w:rFonts w:ascii="Times New Roman" w:hAnsi="Times New Roman"/>
          <w:noProof/>
          <w:sz w:val="24"/>
        </w:rPr>
        <w:t xml:space="preserve"> w dru</w:t>
      </w:r>
      <w:r>
        <w:rPr>
          <w:rFonts w:ascii="Times New Roman" w:hAnsi="Times New Roman"/>
          <w:noProof/>
          <w:sz w:val="24"/>
        </w:rPr>
        <w:t>gim etapie, zgodnie</w:t>
      </w:r>
      <w:r w:rsidR="0076371C">
        <w:rPr>
          <w:rFonts w:ascii="Times New Roman" w:hAnsi="Times New Roman"/>
          <w:noProof/>
          <w:sz w:val="24"/>
        </w:rPr>
        <w:t xml:space="preserve"> z pos</w:t>
      </w:r>
      <w:r>
        <w:rPr>
          <w:rFonts w:ascii="Times New Roman" w:hAnsi="Times New Roman"/>
          <w:noProof/>
          <w:sz w:val="24"/>
        </w:rPr>
        <w:t>tanowieniami zaproszenia do składania wniosków,</w:t>
      </w:r>
      <w:r w:rsidR="0076371C">
        <w:rPr>
          <w:rFonts w:ascii="Times New Roman" w:hAnsi="Times New Roman"/>
          <w:noProof/>
          <w:sz w:val="24"/>
        </w:rPr>
        <w:t xml:space="preserve"> w wyn</w:t>
      </w:r>
      <w:r>
        <w:rPr>
          <w:rFonts w:ascii="Times New Roman" w:hAnsi="Times New Roman"/>
          <w:noProof/>
          <w:sz w:val="24"/>
        </w:rPr>
        <w:t>iku czego 48 wniosków przekroczyło kryteria progowe na tym drugim etapie,</w:t>
      </w:r>
      <w:r w:rsidR="0076371C">
        <w:rPr>
          <w:rFonts w:ascii="Times New Roman" w:hAnsi="Times New Roman"/>
          <w:noProof/>
          <w:sz w:val="24"/>
        </w:rPr>
        <w:t xml:space="preserve"> a w prz</w:t>
      </w:r>
      <w:r>
        <w:rPr>
          <w:rFonts w:ascii="Times New Roman" w:hAnsi="Times New Roman"/>
          <w:noProof/>
          <w:sz w:val="24"/>
        </w:rPr>
        <w:t>ypadku siedmiu ostatecznie wystosowano zaproszenie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System ten jest zgodny</w:t>
      </w:r>
      <w:r w:rsidR="0076371C">
        <w:rPr>
          <w:rFonts w:ascii="Times New Roman" w:hAnsi="Times New Roman"/>
          <w:noProof/>
          <w:sz w:val="24"/>
        </w:rPr>
        <w:t xml:space="preserve"> z </w:t>
      </w:r>
      <w:r w:rsidR="0076371C" w:rsidRPr="002001C0">
        <w:rPr>
          <w:rFonts w:ascii="Times New Roman" w:hAnsi="Times New Roman"/>
          <w:noProof/>
          <w:sz w:val="24"/>
        </w:rPr>
        <w:t>art</w:t>
      </w:r>
      <w:r w:rsidRPr="002001C0">
        <w:rPr>
          <w:rFonts w:ascii="Times New Roman" w:hAnsi="Times New Roman"/>
          <w:noProof/>
          <w:sz w:val="24"/>
        </w:rPr>
        <w:t>.</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2 aktu delegowanego dotyczącego funduszu innowacyjnego. To dwuetapowe podejście spowodowało jednak znaczne obciążenie administracyjne,</w:t>
      </w:r>
      <w:r w:rsidR="0076371C">
        <w:rPr>
          <w:rFonts w:ascii="Times New Roman" w:hAnsi="Times New Roman"/>
          <w:noProof/>
          <w:sz w:val="24"/>
        </w:rPr>
        <w:t xml:space="preserve"> a jed</w:t>
      </w:r>
      <w:r>
        <w:rPr>
          <w:rFonts w:ascii="Times New Roman" w:hAnsi="Times New Roman"/>
          <w:noProof/>
          <w:sz w:val="24"/>
        </w:rPr>
        <w:t>nocześnie niepotrzebnie wydłużyło okres oceny</w:t>
      </w:r>
      <w:r w:rsidR="0076371C">
        <w:rPr>
          <w:rFonts w:ascii="Times New Roman" w:hAnsi="Times New Roman"/>
          <w:noProof/>
          <w:sz w:val="24"/>
        </w:rPr>
        <w:t xml:space="preserve"> i mog</w:t>
      </w:r>
      <w:r>
        <w:rPr>
          <w:rFonts w:ascii="Times New Roman" w:hAnsi="Times New Roman"/>
          <w:noProof/>
          <w:sz w:val="24"/>
        </w:rPr>
        <w:t>ło również zniechęcić wnioskodawców do składania wniosków</w:t>
      </w:r>
      <w:r w:rsidR="0076371C">
        <w:rPr>
          <w:rFonts w:ascii="Times New Roman" w:hAnsi="Times New Roman"/>
          <w:noProof/>
          <w:sz w:val="24"/>
        </w:rPr>
        <w:t xml:space="preserve"> w kol</w:t>
      </w:r>
      <w:r>
        <w:rPr>
          <w:rFonts w:ascii="Times New Roman" w:hAnsi="Times New Roman"/>
          <w:noProof/>
          <w:sz w:val="24"/>
        </w:rPr>
        <w:t>ejnym roku. Jednoetapowa procedura</w:t>
      </w:r>
      <w:r w:rsidR="0076371C">
        <w:rPr>
          <w:rFonts w:ascii="Times New Roman" w:hAnsi="Times New Roman"/>
          <w:noProof/>
          <w:sz w:val="24"/>
        </w:rPr>
        <w:t xml:space="preserve"> w ram</w:t>
      </w:r>
      <w:r>
        <w:rPr>
          <w:rFonts w:ascii="Times New Roman" w:hAnsi="Times New Roman"/>
          <w:noProof/>
          <w:sz w:val="24"/>
        </w:rPr>
        <w:t>ach LSC-2021 okazała się sprawniejsza.</w:t>
      </w:r>
    </w:p>
    <w:p w14:paraId="4CF314BC" w14:textId="75CC7745"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przypadku zaproszeń dotyczących projektów na małą skalę wnioski, których wnioskodawców zaproszono ostatecznie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stanowiły jedynie 2</w:t>
      </w:r>
      <w:r w:rsidRPr="002001C0">
        <w:rPr>
          <w:rFonts w:ascii="Times New Roman" w:hAnsi="Times New Roman"/>
          <w:noProof/>
          <w:sz w:val="24"/>
        </w:rPr>
        <w:t>5</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wniosków uznanych za kwalifikujące się do oceny, przy czym było </w:t>
      </w:r>
      <w:r w:rsidRPr="002001C0">
        <w:rPr>
          <w:rFonts w:ascii="Times New Roman" w:hAnsi="Times New Roman"/>
          <w:noProof/>
          <w:sz w:val="24"/>
        </w:rPr>
        <w:t>to</w:t>
      </w:r>
      <w:r w:rsidR="002001C0" w:rsidRPr="002001C0">
        <w:rPr>
          <w:rFonts w:ascii="Times New Roman" w:hAnsi="Times New Roman"/>
          <w:noProof/>
          <w:sz w:val="24"/>
        </w:rPr>
        <w:t> </w:t>
      </w:r>
      <w:r w:rsidRPr="002001C0">
        <w:rPr>
          <w:rFonts w:ascii="Times New Roman" w:hAnsi="Times New Roman"/>
          <w:noProof/>
          <w:sz w:val="24"/>
        </w:rPr>
        <w:t>89</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wniosków uznanych za przekraczające minimalne wymogi progowe warunkujące rozpatrzenie</w:t>
      </w:r>
      <w:r w:rsidR="0076371C">
        <w:rPr>
          <w:rFonts w:ascii="Times New Roman" w:hAnsi="Times New Roman"/>
          <w:noProof/>
          <w:sz w:val="24"/>
        </w:rPr>
        <w:t xml:space="preserve"> w dro</w:t>
      </w:r>
      <w:r>
        <w:rPr>
          <w:rFonts w:ascii="Times New Roman" w:hAnsi="Times New Roman"/>
          <w:noProof/>
          <w:sz w:val="24"/>
        </w:rPr>
        <w:t>dze oceny.</w:t>
      </w:r>
    </w:p>
    <w:p w14:paraId="6C9C8463" w14:textId="52611A2D"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przypadku zaproszeń dotyczących projektów na dużą skalę wnioski, których wnioskodawców zaproszono ostatecznie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stanowiły średnio 1</w:t>
      </w:r>
      <w:r w:rsidRPr="002001C0">
        <w:rPr>
          <w:rFonts w:ascii="Times New Roman" w:hAnsi="Times New Roman"/>
          <w:noProof/>
          <w:sz w:val="24"/>
        </w:rPr>
        <w:t>5</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wniosków uznanych za kwalifikujące się do oceny, przy czym było </w:t>
      </w:r>
      <w:r w:rsidRPr="002001C0">
        <w:rPr>
          <w:rFonts w:ascii="Times New Roman" w:hAnsi="Times New Roman"/>
          <w:noProof/>
          <w:sz w:val="24"/>
        </w:rPr>
        <w:t>to</w:t>
      </w:r>
      <w:r w:rsidR="002001C0" w:rsidRPr="002001C0">
        <w:rPr>
          <w:rFonts w:ascii="Times New Roman" w:hAnsi="Times New Roman"/>
          <w:noProof/>
          <w:sz w:val="24"/>
        </w:rPr>
        <w:t> </w:t>
      </w:r>
      <w:r w:rsidRPr="002001C0">
        <w:rPr>
          <w:rFonts w:ascii="Times New Roman" w:hAnsi="Times New Roman"/>
          <w:noProof/>
          <w:sz w:val="24"/>
        </w:rPr>
        <w:t>46</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wniosków uznanych za przekraczające minimalne wymogi progowe warunkujące rozpatrzenie przy przyznawaniu dotacji.</w:t>
      </w:r>
    </w:p>
    <w:p w14:paraId="2D0E25F1" w14:textId="77777777" w:rsidR="002F717F" w:rsidRPr="008021A2" w:rsidRDefault="002F717F" w:rsidP="004D5024">
      <w:pPr>
        <w:jc w:val="both"/>
        <w:rPr>
          <w:rFonts w:ascii="Times New Roman" w:hAnsi="Times New Roman" w:cs="Times New Roman"/>
          <w:noProof/>
          <w:sz w:val="24"/>
        </w:rPr>
      </w:pPr>
    </w:p>
    <w:p w14:paraId="4B8FB6E9" w14:textId="363BD838"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16</w:t>
      </w:r>
      <w:r>
        <w:rPr>
          <w:rFonts w:cs="Times New Roman"/>
          <w:noProof/>
        </w:rPr>
        <w:fldChar w:fldCharType="end"/>
      </w:r>
      <w:r>
        <w:rPr>
          <w:noProof/>
        </w:rPr>
        <w:t>: Liczba projektów</w:t>
      </w:r>
      <w:r w:rsidR="0076371C">
        <w:rPr>
          <w:noProof/>
        </w:rPr>
        <w:t xml:space="preserve"> w zap</w:t>
      </w:r>
      <w:r>
        <w:rPr>
          <w:noProof/>
        </w:rPr>
        <w:t>roszeniach do składania wniosków</w:t>
      </w:r>
      <w:r w:rsidR="0076371C">
        <w:rPr>
          <w:noProof/>
        </w:rPr>
        <w:t xml:space="preserve"> w ram</w:t>
      </w:r>
      <w:r>
        <w:rPr>
          <w:noProof/>
        </w:rPr>
        <w:t>ach funduszu innowacyjnego (grudzień 20</w:t>
      </w:r>
      <w:r w:rsidRPr="002001C0">
        <w:rPr>
          <w:noProof/>
        </w:rPr>
        <w:t>22</w:t>
      </w:r>
      <w:r w:rsidR="002001C0" w:rsidRPr="002001C0">
        <w:rPr>
          <w:noProof/>
        </w:rPr>
        <w:t> </w:t>
      </w:r>
      <w:r w:rsidRPr="002001C0">
        <w:rPr>
          <w:noProof/>
        </w:rPr>
        <w:t>r.</w:t>
      </w:r>
      <w:r>
        <w:rPr>
          <w:noProof/>
        </w:rPr>
        <w:t>)</w:t>
      </w:r>
    </w:p>
    <w:p w14:paraId="6368E6AD" w14:textId="560F8B70" w:rsidR="004D5024" w:rsidRPr="008021A2" w:rsidRDefault="00574F36" w:rsidP="004D5024">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0916C62F" wp14:editId="59095505">
            <wp:extent cx="5731510" cy="2901950"/>
            <wp:effectExtent l="0" t="0" r="2540" b="0"/>
            <wp:docPr id="1030453084" name="Obraz 1" descr="Obraz zawierający zrzut ekranu, tekst,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53084" name="Obraz 1" descr="Obraz zawierający zrzut ekranu, tekst, diagram, linia&#10;&#10;Opis wygenerowany automatycznie"/>
                    <pic:cNvPicPr/>
                  </pic:nvPicPr>
                  <pic:blipFill>
                    <a:blip r:embed="rId32"/>
                    <a:stretch>
                      <a:fillRect/>
                    </a:stretch>
                  </pic:blipFill>
                  <pic:spPr>
                    <a:xfrm>
                      <a:off x="0" y="0"/>
                      <a:ext cx="5731510" cy="2901950"/>
                    </a:xfrm>
                    <a:prstGeom prst="rect">
                      <a:avLst/>
                    </a:prstGeom>
                  </pic:spPr>
                </pic:pic>
              </a:graphicData>
            </a:graphic>
          </wp:inline>
        </w:drawing>
      </w:r>
    </w:p>
    <w:p w14:paraId="304AE6AC" w14:textId="77777777" w:rsidR="002F717F" w:rsidRPr="008021A2" w:rsidRDefault="002F717F" w:rsidP="004D5024">
      <w:pPr>
        <w:jc w:val="both"/>
        <w:rPr>
          <w:rFonts w:ascii="Times New Roman" w:hAnsi="Times New Roman" w:cs="Times New Roman"/>
          <w:noProof/>
          <w:sz w:val="24"/>
        </w:rPr>
      </w:pPr>
    </w:p>
    <w:p w14:paraId="4A66797A" w14:textId="3EB8A6E8" w:rsidR="004D5024" w:rsidRPr="008021A2" w:rsidRDefault="004D5024" w:rsidP="004D5024">
      <w:pPr>
        <w:pStyle w:val="Nagwek2"/>
        <w:framePr w:wrap="auto" w:vAnchor="margin" w:yAlign="inline"/>
        <w:jc w:val="both"/>
        <w:rPr>
          <w:rFonts w:cs="Times New Roman"/>
          <w:b/>
          <w:noProof/>
        </w:rPr>
      </w:pPr>
      <w:bookmarkStart w:id="22" w:name="_Toc150504458"/>
      <w:r>
        <w:rPr>
          <w:b/>
          <w:caps w:val="0"/>
          <w:noProof/>
        </w:rPr>
        <w:t>Budżet zaproszenia do składania wniosków</w:t>
      </w:r>
      <w:r w:rsidR="0076371C">
        <w:rPr>
          <w:b/>
          <w:caps w:val="0"/>
          <w:noProof/>
        </w:rPr>
        <w:t xml:space="preserve"> i wni</w:t>
      </w:r>
      <w:r>
        <w:rPr>
          <w:b/>
          <w:caps w:val="0"/>
          <w:noProof/>
        </w:rPr>
        <w:t>oskowane wsparcie finansowe</w:t>
      </w:r>
      <w:bookmarkEnd w:id="22"/>
    </w:p>
    <w:p w14:paraId="584F161C" w14:textId="144CE55E"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projektach wybranych</w:t>
      </w:r>
      <w:r w:rsidR="0076371C">
        <w:rPr>
          <w:rFonts w:ascii="Times New Roman" w:hAnsi="Times New Roman"/>
          <w:noProof/>
          <w:sz w:val="24"/>
        </w:rPr>
        <w:t xml:space="preserve"> w czt</w:t>
      </w:r>
      <w:r>
        <w:rPr>
          <w:rFonts w:ascii="Times New Roman" w:hAnsi="Times New Roman"/>
          <w:noProof/>
          <w:sz w:val="24"/>
        </w:rPr>
        <w:t>erech zaproszeniach do składania wniosków</w:t>
      </w:r>
      <w:r w:rsidR="0076371C">
        <w:rPr>
          <w:rFonts w:ascii="Times New Roman" w:hAnsi="Times New Roman"/>
          <w:noProof/>
          <w:sz w:val="24"/>
        </w:rPr>
        <w:t xml:space="preserve"> w ram</w:t>
      </w:r>
      <w:r>
        <w:rPr>
          <w:rFonts w:ascii="Times New Roman" w:hAnsi="Times New Roman"/>
          <w:noProof/>
          <w:sz w:val="24"/>
        </w:rPr>
        <w:t>ach funduszu innowacyjnego przewidziano ogółem 13,5 mld EUR łącznych oczekiwanych wydatków kapitałowych. Całkowite maksymalne wsparcie</w:t>
      </w:r>
      <w:r w:rsidR="0076371C">
        <w:rPr>
          <w:rFonts w:ascii="Times New Roman" w:hAnsi="Times New Roman"/>
          <w:noProof/>
          <w:sz w:val="24"/>
        </w:rPr>
        <w:t xml:space="preserve"> z fun</w:t>
      </w:r>
      <w:r>
        <w:rPr>
          <w:rFonts w:ascii="Times New Roman" w:hAnsi="Times New Roman"/>
          <w:noProof/>
          <w:sz w:val="24"/>
        </w:rPr>
        <w:t xml:space="preserve">duszu innowacyjnego na te </w:t>
      </w:r>
      <w:r>
        <w:rPr>
          <w:rFonts w:ascii="Times New Roman" w:hAnsi="Times New Roman"/>
          <w:noProof/>
          <w:sz w:val="24"/>
        </w:rPr>
        <w:lastRenderedPageBreak/>
        <w:t>wybrane projekty wynosiło 3,1 mld EUR</w:t>
      </w:r>
      <w:r w:rsidR="0076371C">
        <w:rPr>
          <w:rFonts w:ascii="Times New Roman" w:hAnsi="Times New Roman"/>
          <w:noProof/>
          <w:sz w:val="24"/>
        </w:rPr>
        <w:t xml:space="preserve"> w for</w:t>
      </w:r>
      <w:r>
        <w:rPr>
          <w:rFonts w:ascii="Times New Roman" w:hAnsi="Times New Roman"/>
          <w:noProof/>
          <w:sz w:val="24"/>
        </w:rPr>
        <w:t>mie dotacji, co stanowi średnio 2</w:t>
      </w:r>
      <w:r w:rsidRPr="002001C0">
        <w:rPr>
          <w:rFonts w:ascii="Times New Roman" w:hAnsi="Times New Roman"/>
          <w:noProof/>
          <w:sz w:val="24"/>
        </w:rPr>
        <w:t>3</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wsparcia</w:t>
      </w:r>
      <w:r w:rsidR="0076371C">
        <w:rPr>
          <w:rFonts w:ascii="Times New Roman" w:hAnsi="Times New Roman"/>
          <w:noProof/>
          <w:sz w:val="24"/>
        </w:rPr>
        <w:t xml:space="preserve"> w for</w:t>
      </w:r>
      <w:r>
        <w:rPr>
          <w:rFonts w:ascii="Times New Roman" w:hAnsi="Times New Roman"/>
          <w:noProof/>
          <w:sz w:val="24"/>
        </w:rPr>
        <w:t>mie dotacji na wydatki kapitałowe we wszystkich projektach</w:t>
      </w:r>
      <w:r>
        <w:rPr>
          <w:rStyle w:val="Odwoanieprzypisudolnego"/>
          <w:rFonts w:ascii="Times New Roman" w:hAnsi="Times New Roman" w:cs="Times New Roman"/>
          <w:noProof/>
          <w:sz w:val="24"/>
        </w:rPr>
        <w:footnoteReference w:id="28"/>
      </w:r>
      <w:r>
        <w:rPr>
          <w:rFonts w:ascii="Times New Roman" w:hAnsi="Times New Roman"/>
          <w:noProof/>
          <w:sz w:val="24"/>
        </w:rPr>
        <w:t>. Oznaczało to również, że fundusz innowacyjny pomaga obecnie zmobilizować 10,4 mld EUR</w:t>
      </w:r>
      <w:r w:rsidR="0076371C">
        <w:rPr>
          <w:rFonts w:ascii="Times New Roman" w:hAnsi="Times New Roman"/>
          <w:noProof/>
          <w:sz w:val="24"/>
        </w:rPr>
        <w:t xml:space="preserve"> z inn</w:t>
      </w:r>
      <w:r>
        <w:rPr>
          <w:rFonts w:ascii="Times New Roman" w:hAnsi="Times New Roman"/>
          <w:noProof/>
          <w:sz w:val="24"/>
        </w:rPr>
        <w:t>ych źródeł inwestycji, przy czym liczba ta rosła wraz</w:t>
      </w:r>
      <w:r w:rsidR="0076371C">
        <w:rPr>
          <w:rFonts w:ascii="Times New Roman" w:hAnsi="Times New Roman"/>
          <w:noProof/>
          <w:sz w:val="24"/>
        </w:rPr>
        <w:t xml:space="preserve"> z każ</w:t>
      </w:r>
      <w:r>
        <w:rPr>
          <w:rFonts w:ascii="Times New Roman" w:hAnsi="Times New Roman"/>
          <w:noProof/>
          <w:sz w:val="24"/>
        </w:rPr>
        <w:t xml:space="preserve">dym zaproszeniem do składania wniosków, jak pokazano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8.</w:t>
      </w:r>
    </w:p>
    <w:p w14:paraId="6D101360" w14:textId="28D8AA2A"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Całkowity dostępny budżet czterech zaproszeń do składania wniosków zamkniętych do końca grudnia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wyniósł 2,7 mld EUR. Ze względu na nadwyżkę zapotrzebowania, zwłaszcza</w:t>
      </w:r>
      <w:r w:rsidR="0076371C">
        <w:rPr>
          <w:rFonts w:ascii="Times New Roman" w:hAnsi="Times New Roman"/>
          <w:noProof/>
          <w:sz w:val="24"/>
        </w:rPr>
        <w:t xml:space="preserve"> w prz</w:t>
      </w:r>
      <w:r>
        <w:rPr>
          <w:rFonts w:ascii="Times New Roman" w:hAnsi="Times New Roman"/>
          <w:noProof/>
          <w:sz w:val="24"/>
        </w:rPr>
        <w:t>ypadku zaproszeń dotyczących projektów na dużą skalę, do trzech zaproszeń (SSC-2020, LSC-2020 i LSC-2021) zastosowano zasadę elastyczności określoną</w:t>
      </w:r>
      <w:r w:rsidR="0076371C">
        <w:rPr>
          <w:rFonts w:ascii="Times New Roman" w:hAnsi="Times New Roman"/>
          <w:noProof/>
          <w:sz w:val="24"/>
        </w:rPr>
        <w:t xml:space="preserve"> w dec</w:t>
      </w:r>
      <w:r>
        <w:rPr>
          <w:rFonts w:ascii="Times New Roman" w:hAnsi="Times New Roman"/>
          <w:noProof/>
          <w:sz w:val="24"/>
        </w:rPr>
        <w:t>yzjach finansowych</w:t>
      </w:r>
      <w:r>
        <w:rPr>
          <w:rStyle w:val="Odwoanieprzypisudolnego"/>
          <w:rFonts w:ascii="Times New Roman" w:hAnsi="Times New Roman" w:cs="Times New Roman"/>
          <w:noProof/>
          <w:sz w:val="24"/>
        </w:rPr>
        <w:footnoteReference w:id="29"/>
      </w:r>
      <w:r>
        <w:rPr>
          <w:rFonts w:ascii="Times New Roman" w:hAnsi="Times New Roman"/>
          <w:noProof/>
          <w:sz w:val="24"/>
        </w:rPr>
        <w:t>. Stosowanie zasady elastyczności doprowadziło do zwiększenia pierwotnego budżetu średnio</w:t>
      </w:r>
      <w:r w:rsidR="0076371C">
        <w:rPr>
          <w:rFonts w:ascii="Times New Roman" w:hAnsi="Times New Roman"/>
          <w:noProof/>
          <w:sz w:val="24"/>
        </w:rPr>
        <w:t xml:space="preserve"> o 1</w:t>
      </w:r>
      <w:r w:rsidRPr="002001C0">
        <w:rPr>
          <w:rFonts w:ascii="Times New Roman" w:hAnsi="Times New Roman"/>
          <w:noProof/>
          <w:sz w:val="24"/>
        </w:rPr>
        <w:t>6</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tak że całkowity zwiększony budżet wynosił 3,14 mld EUR, jak pokazano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7. Pomimo tego zwiększonego budżetu na trzy zaproszenia do składania wniosków istniało jedno zaproszenie – SSC-2021 –</w:t>
      </w:r>
      <w:r w:rsidR="0076371C">
        <w:rPr>
          <w:rFonts w:ascii="Times New Roman" w:hAnsi="Times New Roman"/>
          <w:noProof/>
          <w:sz w:val="24"/>
        </w:rPr>
        <w:t xml:space="preserve"> w któ</w:t>
      </w:r>
      <w:r>
        <w:rPr>
          <w:rFonts w:ascii="Times New Roman" w:hAnsi="Times New Roman"/>
          <w:noProof/>
          <w:sz w:val="24"/>
        </w:rPr>
        <w:t>rym wybrane projekty odpowiadały budżetowi</w:t>
      </w:r>
      <w:r w:rsidR="0076371C">
        <w:rPr>
          <w:rFonts w:ascii="Times New Roman" w:hAnsi="Times New Roman"/>
          <w:noProof/>
          <w:sz w:val="24"/>
        </w:rPr>
        <w:t xml:space="preserve"> o 3</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niższemu od całkowitego budżetu zaproszenia.</w:t>
      </w:r>
    </w:p>
    <w:p w14:paraId="1CC43699" w14:textId="4863A156"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17</w:t>
      </w:r>
      <w:r>
        <w:rPr>
          <w:rFonts w:cs="Times New Roman"/>
          <w:noProof/>
        </w:rPr>
        <w:fldChar w:fldCharType="end"/>
      </w:r>
      <w:r>
        <w:rPr>
          <w:noProof/>
        </w:rPr>
        <w:t>: Porównanie dostępnego budżetu</w:t>
      </w:r>
      <w:r w:rsidR="0076371C">
        <w:rPr>
          <w:noProof/>
        </w:rPr>
        <w:t xml:space="preserve"> i wni</w:t>
      </w:r>
      <w:r>
        <w:rPr>
          <w:noProof/>
        </w:rPr>
        <w:t>oskowanych dotacji</w:t>
      </w:r>
      <w:r w:rsidR="0076371C">
        <w:rPr>
          <w:noProof/>
        </w:rPr>
        <w:t xml:space="preserve"> w pro</w:t>
      </w:r>
      <w:r>
        <w:rPr>
          <w:noProof/>
        </w:rPr>
        <w:t>jektach wybranych</w:t>
      </w:r>
      <w:r w:rsidR="0076371C">
        <w:rPr>
          <w:noProof/>
        </w:rPr>
        <w:t xml:space="preserve"> w ram</w:t>
      </w:r>
      <w:r>
        <w:rPr>
          <w:noProof/>
        </w:rPr>
        <w:t>ach funduszu innowacyjnego</w:t>
      </w:r>
    </w:p>
    <w:p w14:paraId="2E6F54A3" w14:textId="10B38C1E" w:rsidR="004D5024" w:rsidRPr="008021A2" w:rsidRDefault="00574F36" w:rsidP="004D5024">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555547B1" wp14:editId="43AC2C44">
            <wp:extent cx="4581525" cy="2991747"/>
            <wp:effectExtent l="0" t="0" r="0" b="0"/>
            <wp:docPr id="87782540" name="Obraz 1" descr="Obraz zawierający tekst, zrzut ekranu, numer,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2540" name="Obraz 1" descr="Obraz zawierający tekst, zrzut ekranu, numer, Czcionka&#10;&#10;Opis wygenerowany automatycznie"/>
                    <pic:cNvPicPr/>
                  </pic:nvPicPr>
                  <pic:blipFill>
                    <a:blip r:embed="rId33"/>
                    <a:stretch>
                      <a:fillRect/>
                    </a:stretch>
                  </pic:blipFill>
                  <pic:spPr>
                    <a:xfrm>
                      <a:off x="0" y="0"/>
                      <a:ext cx="4589293" cy="2996819"/>
                    </a:xfrm>
                    <a:prstGeom prst="rect">
                      <a:avLst/>
                    </a:prstGeom>
                  </pic:spPr>
                </pic:pic>
              </a:graphicData>
            </a:graphic>
          </wp:inline>
        </w:drawing>
      </w:r>
    </w:p>
    <w:p w14:paraId="000ECEE1" w14:textId="6CF9DC55" w:rsidR="004D5024" w:rsidRPr="008021A2" w:rsidRDefault="004D5024" w:rsidP="004D5024">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18</w:t>
      </w:r>
      <w:r>
        <w:rPr>
          <w:rFonts w:cs="Times New Roman"/>
          <w:noProof/>
        </w:rPr>
        <w:fldChar w:fldCharType="end"/>
      </w:r>
      <w:r>
        <w:rPr>
          <w:noProof/>
        </w:rPr>
        <w:t>: Porównanie wydatków kapitałowych</w:t>
      </w:r>
      <w:r w:rsidR="0076371C">
        <w:rPr>
          <w:noProof/>
        </w:rPr>
        <w:t xml:space="preserve"> i mak</w:t>
      </w:r>
      <w:r>
        <w:rPr>
          <w:noProof/>
        </w:rPr>
        <w:t>symalnej kwoty wnioskowanej dotacji na wybrane projekty</w:t>
      </w:r>
      <w:r w:rsidR="0076371C">
        <w:rPr>
          <w:noProof/>
        </w:rPr>
        <w:t xml:space="preserve"> w ram</w:t>
      </w:r>
      <w:r>
        <w:rPr>
          <w:noProof/>
        </w:rPr>
        <w:t>ach funduszu innowacyjnego</w:t>
      </w:r>
    </w:p>
    <w:p w14:paraId="0AD4694B" w14:textId="4469ADAE" w:rsidR="004D5024" w:rsidRPr="008021A2" w:rsidRDefault="00574F36" w:rsidP="004D5024">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02C6BBE2" wp14:editId="1D226F32">
            <wp:extent cx="5153025" cy="3731461"/>
            <wp:effectExtent l="0" t="0" r="0" b="2540"/>
            <wp:docPr id="1798624114" name="Obraz 1" descr="Obraz zawierający tekst, zrzut ekranu, Czcionka,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24114" name="Obraz 1" descr="Obraz zawierający tekst, zrzut ekranu, Czcionka, numer&#10;&#10;Opis wygenerowany automatycznie"/>
                    <pic:cNvPicPr/>
                  </pic:nvPicPr>
                  <pic:blipFill>
                    <a:blip r:embed="rId34"/>
                    <a:stretch>
                      <a:fillRect/>
                    </a:stretch>
                  </pic:blipFill>
                  <pic:spPr>
                    <a:xfrm>
                      <a:off x="0" y="0"/>
                      <a:ext cx="5170334" cy="3743995"/>
                    </a:xfrm>
                    <a:prstGeom prst="rect">
                      <a:avLst/>
                    </a:prstGeom>
                  </pic:spPr>
                </pic:pic>
              </a:graphicData>
            </a:graphic>
          </wp:inline>
        </w:drawing>
      </w:r>
    </w:p>
    <w:p w14:paraId="11D82ADB" w14:textId="6FE4C63A" w:rsidR="004D5024" w:rsidRPr="008021A2" w:rsidRDefault="004D5024" w:rsidP="004D5024">
      <w:pPr>
        <w:pStyle w:val="Nagwek2"/>
        <w:framePr w:wrap="auto" w:vAnchor="margin" w:yAlign="inline"/>
        <w:jc w:val="both"/>
        <w:rPr>
          <w:rFonts w:cs="Times New Roman"/>
          <w:b/>
          <w:noProof/>
        </w:rPr>
      </w:pPr>
      <w:bookmarkStart w:id="23" w:name="_Toc150504459"/>
      <w:r>
        <w:rPr>
          <w:b/>
          <w:noProof/>
        </w:rPr>
        <w:t>Charakterystyka projektów, które zakwalifikowano do finansowania</w:t>
      </w:r>
      <w:bookmarkEnd w:id="23"/>
    </w:p>
    <w:p w14:paraId="2CF0C769" w14:textId="2A40F619" w:rsidR="004D5024" w:rsidRPr="008021A2" w:rsidRDefault="004D5024" w:rsidP="004D5024">
      <w:pPr>
        <w:pStyle w:val="Nagwek3"/>
        <w:framePr w:wrap="notBeside"/>
        <w:jc w:val="both"/>
        <w:rPr>
          <w:rFonts w:cs="Times New Roman"/>
          <w:noProof/>
        </w:rPr>
      </w:pPr>
      <w:bookmarkStart w:id="24" w:name="_Toc150504460"/>
      <w:r>
        <w:rPr>
          <w:caps w:val="0"/>
          <w:noProof/>
        </w:rPr>
        <w:t>Kategorie</w:t>
      </w:r>
      <w:r w:rsidR="0076371C">
        <w:rPr>
          <w:caps w:val="0"/>
          <w:noProof/>
        </w:rPr>
        <w:t xml:space="preserve"> i sek</w:t>
      </w:r>
      <w:r>
        <w:rPr>
          <w:caps w:val="0"/>
          <w:noProof/>
        </w:rPr>
        <w:t>tory</w:t>
      </w:r>
      <w:bookmarkEnd w:id="24"/>
    </w:p>
    <w:p w14:paraId="2C1ED54C" w14:textId="69D18A19"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Każde</w:t>
      </w:r>
      <w:r w:rsidR="0076371C">
        <w:rPr>
          <w:rFonts w:ascii="Times New Roman" w:hAnsi="Times New Roman"/>
          <w:noProof/>
          <w:sz w:val="24"/>
        </w:rPr>
        <w:t xml:space="preserve"> z pie</w:t>
      </w:r>
      <w:r>
        <w:rPr>
          <w:rFonts w:ascii="Times New Roman" w:hAnsi="Times New Roman"/>
          <w:noProof/>
          <w:sz w:val="24"/>
        </w:rPr>
        <w:t>rwszych czterech zaproszeń do składania wniosków</w:t>
      </w:r>
      <w:r w:rsidR="0076371C">
        <w:rPr>
          <w:rFonts w:ascii="Times New Roman" w:hAnsi="Times New Roman"/>
          <w:noProof/>
          <w:sz w:val="24"/>
        </w:rPr>
        <w:t xml:space="preserve"> w ram</w:t>
      </w:r>
      <w:r>
        <w:rPr>
          <w:rFonts w:ascii="Times New Roman" w:hAnsi="Times New Roman"/>
          <w:noProof/>
          <w:sz w:val="24"/>
        </w:rPr>
        <w:t>ach funduszu innowacyjnego zorganizowano</w:t>
      </w:r>
      <w:r w:rsidR="0076371C">
        <w:rPr>
          <w:rFonts w:ascii="Times New Roman" w:hAnsi="Times New Roman"/>
          <w:noProof/>
          <w:sz w:val="24"/>
        </w:rPr>
        <w:t xml:space="preserve"> w spo</w:t>
      </w:r>
      <w:r>
        <w:rPr>
          <w:rFonts w:ascii="Times New Roman" w:hAnsi="Times New Roman"/>
          <w:noProof/>
          <w:sz w:val="24"/>
        </w:rPr>
        <w:t>sób „neutralny pod względem technologicznym” (tj. nie faworyzowano żadnej konkretnej technologii)</w:t>
      </w:r>
      <w:r w:rsidR="0076371C">
        <w:rPr>
          <w:rFonts w:ascii="Times New Roman" w:hAnsi="Times New Roman"/>
          <w:noProof/>
          <w:sz w:val="24"/>
        </w:rPr>
        <w:t xml:space="preserve"> w odn</w:t>
      </w:r>
      <w:r>
        <w:rPr>
          <w:rFonts w:ascii="Times New Roman" w:hAnsi="Times New Roman"/>
          <w:noProof/>
          <w:sz w:val="24"/>
        </w:rPr>
        <w:t>iesieniu do kategorii kwalifikujących się do wsparcia</w:t>
      </w:r>
      <w:r w:rsidR="0076371C">
        <w:rPr>
          <w:rFonts w:ascii="Times New Roman" w:hAnsi="Times New Roman"/>
          <w:noProof/>
          <w:sz w:val="24"/>
        </w:rPr>
        <w:t xml:space="preserve"> z fun</w:t>
      </w:r>
      <w:r>
        <w:rPr>
          <w:rFonts w:ascii="Times New Roman" w:hAnsi="Times New Roman"/>
          <w:noProof/>
          <w:sz w:val="24"/>
        </w:rPr>
        <w:t xml:space="preserve">duszu: (i) energii ze źródeł odnawialnych; (ii) magazynowania energii; (iii) sektorów energochłonnych; oraz (iv) wychwytywania, geologicznego składowania lub utylizacji dwutlenku węgla. </w:t>
      </w:r>
    </w:p>
    <w:p w14:paraId="35E98965" w14:textId="33ABA15B"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We wszystkich czterech zaproszeniach dwiema kategoriami,</w:t>
      </w:r>
      <w:r w:rsidR="0076371C">
        <w:rPr>
          <w:rFonts w:ascii="Times New Roman" w:hAnsi="Times New Roman"/>
          <w:noProof/>
          <w:sz w:val="24"/>
        </w:rPr>
        <w:t xml:space="preserve"> w któ</w:t>
      </w:r>
      <w:r>
        <w:rPr>
          <w:rFonts w:ascii="Times New Roman" w:hAnsi="Times New Roman"/>
          <w:noProof/>
          <w:sz w:val="24"/>
        </w:rPr>
        <w:t>rych wybrano najwięcej wniosków, były sektory energochłonne (38 wniosków) oraz energia ze źródeł odnawialnych (14 wniosków). Mimo że pierwsza</w:t>
      </w:r>
      <w:r w:rsidR="0076371C">
        <w:rPr>
          <w:rFonts w:ascii="Times New Roman" w:hAnsi="Times New Roman"/>
          <w:noProof/>
          <w:sz w:val="24"/>
        </w:rPr>
        <w:t xml:space="preserve"> z tyc</w:t>
      </w:r>
      <w:r>
        <w:rPr>
          <w:rFonts w:ascii="Times New Roman" w:hAnsi="Times New Roman"/>
          <w:noProof/>
          <w:sz w:val="24"/>
        </w:rPr>
        <w:t>h kategorii jest również kategorią</w:t>
      </w:r>
      <w:r w:rsidR="0076371C">
        <w:rPr>
          <w:rFonts w:ascii="Times New Roman" w:hAnsi="Times New Roman"/>
          <w:noProof/>
          <w:sz w:val="24"/>
        </w:rPr>
        <w:t xml:space="preserve"> o naj</w:t>
      </w:r>
      <w:r>
        <w:rPr>
          <w:rFonts w:ascii="Times New Roman" w:hAnsi="Times New Roman"/>
          <w:noProof/>
          <w:sz w:val="24"/>
        </w:rPr>
        <w:t>większym udziale</w:t>
      </w:r>
      <w:r w:rsidR="0076371C">
        <w:rPr>
          <w:rFonts w:ascii="Times New Roman" w:hAnsi="Times New Roman"/>
          <w:noProof/>
          <w:sz w:val="24"/>
        </w:rPr>
        <w:t xml:space="preserve"> w cał</w:t>
      </w:r>
      <w:r>
        <w:rPr>
          <w:rFonts w:ascii="Times New Roman" w:hAnsi="Times New Roman"/>
          <w:noProof/>
          <w:sz w:val="24"/>
        </w:rPr>
        <w:t>ości przyznanej kwoty dotacji (4</w:t>
      </w:r>
      <w:r w:rsidRPr="002001C0">
        <w:rPr>
          <w:rFonts w:ascii="Times New Roman" w:hAnsi="Times New Roman"/>
          <w:noProof/>
          <w:sz w:val="24"/>
        </w:rPr>
        <w:t>8</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czyli 1,5 mld EUR, jak pokazano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 kategoria CCS pochłonęła najwięcej budżetu</w:t>
      </w:r>
      <w:r w:rsidR="0076371C">
        <w:rPr>
          <w:rFonts w:ascii="Times New Roman" w:hAnsi="Times New Roman"/>
          <w:noProof/>
          <w:sz w:val="24"/>
        </w:rPr>
        <w:t xml:space="preserve"> w prz</w:t>
      </w:r>
      <w:r>
        <w:rPr>
          <w:rFonts w:ascii="Times New Roman" w:hAnsi="Times New Roman"/>
          <w:noProof/>
          <w:sz w:val="24"/>
        </w:rPr>
        <w:t>eliczeniu na wniosek – 3</w:t>
      </w:r>
      <w:r w:rsidRPr="002001C0">
        <w:rPr>
          <w:rFonts w:ascii="Times New Roman" w:hAnsi="Times New Roman"/>
          <w:noProof/>
          <w:sz w:val="24"/>
        </w:rPr>
        <w:t>5</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budżetu rozdzielono na zaledwie sześć wniosków.</w:t>
      </w:r>
    </w:p>
    <w:p w14:paraId="5B48B7CA" w14:textId="27A97997" w:rsidR="004D5024" w:rsidRPr="008021A2" w:rsidRDefault="004D5024" w:rsidP="004D5024">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19</w:t>
      </w:r>
      <w:r>
        <w:rPr>
          <w:rFonts w:cs="Times New Roman"/>
          <w:noProof/>
        </w:rPr>
        <w:fldChar w:fldCharType="end"/>
      </w:r>
      <w:r>
        <w:rPr>
          <w:noProof/>
        </w:rPr>
        <w:t>: Liczba wybranych projektów</w:t>
      </w:r>
      <w:r w:rsidR="0076371C">
        <w:rPr>
          <w:noProof/>
        </w:rPr>
        <w:t xml:space="preserve"> w zap</w:t>
      </w:r>
      <w:r>
        <w:rPr>
          <w:noProof/>
        </w:rPr>
        <w:t>roszeniach do składania wniosków</w:t>
      </w:r>
      <w:r w:rsidR="0076371C">
        <w:rPr>
          <w:noProof/>
        </w:rPr>
        <w:t xml:space="preserve"> w ram</w:t>
      </w:r>
      <w:r>
        <w:rPr>
          <w:noProof/>
        </w:rPr>
        <w:t>ach funduszu innowacyjnego</w:t>
      </w:r>
      <w:r w:rsidR="0076371C">
        <w:rPr>
          <w:noProof/>
        </w:rPr>
        <w:t xml:space="preserve"> w pod</w:t>
      </w:r>
      <w:r>
        <w:rPr>
          <w:noProof/>
        </w:rPr>
        <w:t xml:space="preserve">ziale na sektory </w:t>
      </w:r>
    </w:p>
    <w:p w14:paraId="0FBFA0E5" w14:textId="5953E4FB" w:rsidR="004D5024" w:rsidRPr="008021A2" w:rsidRDefault="00574F36" w:rsidP="004D5024">
      <w:pPr>
        <w:jc w:val="both"/>
        <w:rPr>
          <w:rFonts w:ascii="Times New Roman" w:hAnsi="Times New Roman" w:cs="Times New Roman"/>
          <w:noProof/>
        </w:rPr>
      </w:pPr>
      <w:r w:rsidRPr="00A40E7D">
        <w:rPr>
          <w:rFonts w:ascii="Times New Roman" w:hAnsi="Times New Roman"/>
          <w:noProof/>
          <w:lang w:val="en-GB" w:eastAsia="en-GB"/>
        </w:rPr>
        <w:drawing>
          <wp:inline distT="0" distB="0" distL="0" distR="0" wp14:anchorId="12345D6A" wp14:editId="34A20D1B">
            <wp:extent cx="2730249" cy="3657600"/>
            <wp:effectExtent l="0" t="0" r="0" b="0"/>
            <wp:docPr id="24719133" name="Obraz 1" descr="Obraz zawierający tekst, zrzut ekranu, diagram,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9133" name="Obraz 1" descr="Obraz zawierający tekst, zrzut ekranu, diagram, Równolegle&#10;&#10;Opis wygenerowany automatycznie"/>
                    <pic:cNvPicPr/>
                  </pic:nvPicPr>
                  <pic:blipFill>
                    <a:blip r:embed="rId35"/>
                    <a:stretch>
                      <a:fillRect/>
                    </a:stretch>
                  </pic:blipFill>
                  <pic:spPr>
                    <a:xfrm>
                      <a:off x="0" y="0"/>
                      <a:ext cx="2741289" cy="3672389"/>
                    </a:xfrm>
                    <a:prstGeom prst="rect">
                      <a:avLst/>
                    </a:prstGeom>
                  </pic:spPr>
                </pic:pic>
              </a:graphicData>
            </a:graphic>
          </wp:inline>
        </w:drawing>
      </w:r>
    </w:p>
    <w:p w14:paraId="4488DEF0" w14:textId="77777777" w:rsidR="00417667" w:rsidRPr="008021A2" w:rsidRDefault="00417667" w:rsidP="004D5024">
      <w:pPr>
        <w:jc w:val="both"/>
        <w:rPr>
          <w:rFonts w:ascii="Times New Roman" w:hAnsi="Times New Roman" w:cs="Times New Roman"/>
          <w:noProof/>
        </w:rPr>
      </w:pPr>
    </w:p>
    <w:p w14:paraId="458C22DE" w14:textId="21005329"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20</w:t>
      </w:r>
      <w:r>
        <w:rPr>
          <w:rFonts w:cs="Times New Roman"/>
          <w:noProof/>
        </w:rPr>
        <w:fldChar w:fldCharType="end"/>
      </w:r>
      <w:r>
        <w:rPr>
          <w:noProof/>
        </w:rPr>
        <w:t>: Liczba wybranych projektów</w:t>
      </w:r>
      <w:r w:rsidR="0076371C">
        <w:rPr>
          <w:noProof/>
        </w:rPr>
        <w:t xml:space="preserve"> w zap</w:t>
      </w:r>
      <w:r>
        <w:rPr>
          <w:noProof/>
        </w:rPr>
        <w:t>roszeniach do składania wniosków</w:t>
      </w:r>
      <w:r w:rsidR="0076371C">
        <w:rPr>
          <w:noProof/>
        </w:rPr>
        <w:t xml:space="preserve"> w ram</w:t>
      </w:r>
      <w:r>
        <w:rPr>
          <w:noProof/>
        </w:rPr>
        <w:t>ach funduszu innowacyjnego</w:t>
      </w:r>
      <w:r w:rsidR="0076371C">
        <w:rPr>
          <w:noProof/>
        </w:rPr>
        <w:t xml:space="preserve"> w pod</w:t>
      </w:r>
      <w:r>
        <w:rPr>
          <w:noProof/>
        </w:rPr>
        <w:t>ziale na państwa</w:t>
      </w:r>
    </w:p>
    <w:p w14:paraId="2C2288E6" w14:textId="6BEF185C" w:rsidR="004D5024" w:rsidRPr="008021A2" w:rsidRDefault="00574F36" w:rsidP="004D5024">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37008368" wp14:editId="29BDFB63">
            <wp:extent cx="2574394" cy="3390900"/>
            <wp:effectExtent l="0" t="0" r="0" b="0"/>
            <wp:docPr id="996029410" name="Obraz 1" descr="Obraz zawierający tekst, zrzut ekranu, diagram, Wielobarw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29410" name="Obraz 1" descr="Obraz zawierający tekst, zrzut ekranu, diagram, Wielobarwność&#10;&#10;Opis wygenerowany automatycznie"/>
                    <pic:cNvPicPr/>
                  </pic:nvPicPr>
                  <pic:blipFill>
                    <a:blip r:embed="rId36"/>
                    <a:stretch>
                      <a:fillRect/>
                    </a:stretch>
                  </pic:blipFill>
                  <pic:spPr>
                    <a:xfrm>
                      <a:off x="0" y="0"/>
                      <a:ext cx="2577536" cy="3395039"/>
                    </a:xfrm>
                    <a:prstGeom prst="rect">
                      <a:avLst/>
                    </a:prstGeom>
                  </pic:spPr>
                </pic:pic>
              </a:graphicData>
            </a:graphic>
          </wp:inline>
        </w:drawing>
      </w:r>
    </w:p>
    <w:p w14:paraId="43EAA8C2" w14:textId="77777777" w:rsidR="004D5024" w:rsidRPr="008021A2" w:rsidRDefault="004D5024" w:rsidP="004D5024">
      <w:pPr>
        <w:jc w:val="both"/>
        <w:rPr>
          <w:rFonts w:ascii="Times New Roman" w:hAnsi="Times New Roman" w:cs="Times New Roman"/>
          <w:noProof/>
          <w:sz w:val="24"/>
        </w:rPr>
      </w:pPr>
    </w:p>
    <w:p w14:paraId="4F52497E" w14:textId="313A3119" w:rsidR="00417667" w:rsidRPr="002001C0" w:rsidRDefault="004D5024" w:rsidP="004D5024">
      <w:pPr>
        <w:jc w:val="both"/>
        <w:rPr>
          <w:rFonts w:ascii="Times New Roman" w:hAnsi="Times New Roman" w:cs="Times New Roman"/>
          <w:noProof/>
          <w:sz w:val="24"/>
        </w:rPr>
      </w:pPr>
      <w:r>
        <w:rPr>
          <w:rFonts w:ascii="Times New Roman" w:hAnsi="Times New Roman"/>
          <w:noProof/>
          <w:sz w:val="24"/>
        </w:rPr>
        <w:lastRenderedPageBreak/>
        <w:t xml:space="preserve">Jeśli przeanalizować sektory, jak przedstawiono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1, dwoma sektorami,</w:t>
      </w:r>
      <w:r w:rsidR="0076371C">
        <w:rPr>
          <w:rFonts w:ascii="Times New Roman" w:hAnsi="Times New Roman"/>
          <w:noProof/>
          <w:sz w:val="24"/>
        </w:rPr>
        <w:t xml:space="preserve"> w któ</w:t>
      </w:r>
      <w:r>
        <w:rPr>
          <w:rFonts w:ascii="Times New Roman" w:hAnsi="Times New Roman"/>
          <w:noProof/>
          <w:sz w:val="24"/>
        </w:rPr>
        <w:t>rych wybrano najwięcej projektów, są sektor „wodoru” (10 projektów) oraz „szkła, ceramiki</w:t>
      </w:r>
      <w:r w:rsidR="0076371C">
        <w:rPr>
          <w:rFonts w:ascii="Times New Roman" w:hAnsi="Times New Roman"/>
          <w:noProof/>
          <w:sz w:val="24"/>
        </w:rPr>
        <w:t xml:space="preserve"> i inn</w:t>
      </w:r>
      <w:r>
        <w:rPr>
          <w:rFonts w:ascii="Times New Roman" w:hAnsi="Times New Roman"/>
          <w:noProof/>
          <w:sz w:val="24"/>
        </w:rPr>
        <w:t>ych materiałów budowlanych” (siedem projektów). Biorąc jednak pod uwagę łączne wsparcie</w:t>
      </w:r>
      <w:r w:rsidR="0076371C">
        <w:rPr>
          <w:rFonts w:ascii="Times New Roman" w:hAnsi="Times New Roman"/>
          <w:noProof/>
          <w:sz w:val="24"/>
        </w:rPr>
        <w:t xml:space="preserve"> w for</w:t>
      </w:r>
      <w:r>
        <w:rPr>
          <w:rFonts w:ascii="Times New Roman" w:hAnsi="Times New Roman"/>
          <w:noProof/>
          <w:sz w:val="24"/>
        </w:rPr>
        <w:t>mie dotacji przydzielone do końca grudnia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(zob.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2), przodujący sektor to „cement</w:t>
      </w:r>
      <w:r w:rsidR="0076371C">
        <w:rPr>
          <w:rFonts w:ascii="Times New Roman" w:hAnsi="Times New Roman"/>
          <w:noProof/>
          <w:sz w:val="24"/>
        </w:rPr>
        <w:t xml:space="preserve"> i wap</w:t>
      </w:r>
      <w:r>
        <w:rPr>
          <w:rFonts w:ascii="Times New Roman" w:hAnsi="Times New Roman"/>
          <w:noProof/>
          <w:sz w:val="24"/>
        </w:rPr>
        <w:t>no” (810,7 mln EUR),</w:t>
      </w:r>
      <w:r w:rsidR="0076371C">
        <w:rPr>
          <w:rFonts w:ascii="Times New Roman" w:hAnsi="Times New Roman"/>
          <w:noProof/>
          <w:sz w:val="24"/>
        </w:rPr>
        <w:t xml:space="preserve"> a nas</w:t>
      </w:r>
      <w:r>
        <w:rPr>
          <w:rFonts w:ascii="Times New Roman" w:hAnsi="Times New Roman"/>
          <w:noProof/>
          <w:sz w:val="24"/>
        </w:rPr>
        <w:t>tępnie „wodór” (411,1 mln EUR). Wynika to głównie</w:t>
      </w:r>
      <w:r w:rsidR="0076371C">
        <w:rPr>
          <w:rFonts w:ascii="Times New Roman" w:hAnsi="Times New Roman"/>
          <w:noProof/>
          <w:sz w:val="24"/>
        </w:rPr>
        <w:t xml:space="preserve"> z fak</w:t>
      </w:r>
      <w:r>
        <w:rPr>
          <w:rFonts w:ascii="Times New Roman" w:hAnsi="Times New Roman"/>
          <w:noProof/>
          <w:sz w:val="24"/>
        </w:rPr>
        <w:t>tu, iż większość emisji</w:t>
      </w:r>
      <w:r w:rsidR="0076371C">
        <w:rPr>
          <w:rFonts w:ascii="Times New Roman" w:hAnsi="Times New Roman"/>
          <w:noProof/>
          <w:sz w:val="24"/>
        </w:rPr>
        <w:t xml:space="preserve"> z prz</w:t>
      </w:r>
      <w:r>
        <w:rPr>
          <w:rFonts w:ascii="Times New Roman" w:hAnsi="Times New Roman"/>
          <w:noProof/>
          <w:sz w:val="24"/>
        </w:rPr>
        <w:t>emysłu cementu</w:t>
      </w:r>
      <w:r w:rsidR="0076371C">
        <w:rPr>
          <w:rFonts w:ascii="Times New Roman" w:hAnsi="Times New Roman"/>
          <w:noProof/>
          <w:sz w:val="24"/>
        </w:rPr>
        <w:t xml:space="preserve"> i wap</w:t>
      </w:r>
      <w:r>
        <w:rPr>
          <w:rFonts w:ascii="Times New Roman" w:hAnsi="Times New Roman"/>
          <w:noProof/>
          <w:sz w:val="24"/>
        </w:rPr>
        <w:t>na powstaje wskutek reakcji chemicznej wewnątrz pieca,</w:t>
      </w:r>
      <w:r w:rsidR="0076371C">
        <w:rPr>
          <w:rFonts w:ascii="Times New Roman" w:hAnsi="Times New Roman"/>
          <w:noProof/>
          <w:sz w:val="24"/>
        </w:rPr>
        <w:t xml:space="preserve"> a naj</w:t>
      </w:r>
      <w:r>
        <w:rPr>
          <w:rFonts w:ascii="Times New Roman" w:hAnsi="Times New Roman"/>
          <w:noProof/>
          <w:sz w:val="24"/>
        </w:rPr>
        <w:t>powszechniejszą technologiczną metodą redukcji tych emisji są rozwiązania</w:t>
      </w:r>
      <w:r w:rsidR="0076371C">
        <w:rPr>
          <w:rFonts w:ascii="Times New Roman" w:hAnsi="Times New Roman"/>
          <w:noProof/>
          <w:sz w:val="24"/>
        </w:rPr>
        <w:t xml:space="preserve"> w zak</w:t>
      </w:r>
      <w:r>
        <w:rPr>
          <w:rFonts w:ascii="Times New Roman" w:hAnsi="Times New Roman"/>
          <w:noProof/>
          <w:sz w:val="24"/>
        </w:rPr>
        <w:t>resie CCS, które nadal wymagają znacznych inwestycji.</w:t>
      </w:r>
    </w:p>
    <w:p w14:paraId="38AB358F" w14:textId="6A108051" w:rsidR="004D5024" w:rsidRPr="008021A2" w:rsidRDefault="004D5024" w:rsidP="00BF4223">
      <w:pPr>
        <w:jc w:val="both"/>
        <w:rPr>
          <w:rFonts w:ascii="Times New Roman" w:hAnsi="Times New Roman" w:cs="Times New Roman"/>
          <w:noProof/>
        </w:rPr>
      </w:pPr>
      <w:r w:rsidRPr="002001C0">
        <w:rPr>
          <w:rFonts w:ascii="Times New Roman" w:hAnsi="Times New Roman"/>
          <w:b/>
          <w:noProof/>
          <w:sz w:val="16"/>
        </w:rPr>
        <w:t>R</w:t>
      </w:r>
      <w:r>
        <w:rPr>
          <w:rFonts w:ascii="Times New Roman" w:hAnsi="Times New Roman"/>
          <w:b/>
          <w:noProof/>
          <w:sz w:val="16"/>
        </w:rPr>
        <w:t xml:space="preserve">ys. </w:t>
      </w:r>
      <w:r>
        <w:rPr>
          <w:rFonts w:ascii="Times New Roman" w:eastAsiaTheme="minorEastAsia" w:hAnsi="Times New Roman" w:cs="Times New Roman"/>
          <w:b/>
          <w:noProof/>
          <w:sz w:val="16"/>
        </w:rPr>
        <w:fldChar w:fldCharType="begin"/>
      </w:r>
      <w:r>
        <w:rPr>
          <w:rFonts w:ascii="Times New Roman" w:eastAsiaTheme="minorEastAsia" w:hAnsi="Times New Roman" w:cs="Times New Roman"/>
          <w:b/>
          <w:noProof/>
          <w:sz w:val="16"/>
        </w:rPr>
        <w:instrText>SEQ Figure \* ARABIC</w:instrText>
      </w:r>
      <w:r>
        <w:rPr>
          <w:rFonts w:ascii="Times New Roman" w:eastAsiaTheme="minorEastAsia" w:hAnsi="Times New Roman" w:cs="Times New Roman"/>
          <w:b/>
          <w:noProof/>
          <w:sz w:val="16"/>
        </w:rPr>
        <w:fldChar w:fldCharType="separate"/>
      </w:r>
      <w:r w:rsidR="00574F36">
        <w:rPr>
          <w:rFonts w:ascii="Times New Roman" w:eastAsiaTheme="minorEastAsia" w:hAnsi="Times New Roman" w:cs="Times New Roman"/>
          <w:b/>
          <w:noProof/>
          <w:sz w:val="16"/>
        </w:rPr>
        <w:t>21</w:t>
      </w:r>
      <w:r>
        <w:rPr>
          <w:rFonts w:ascii="Times New Roman" w:eastAsiaTheme="minorEastAsia" w:hAnsi="Times New Roman" w:cs="Times New Roman"/>
          <w:b/>
          <w:noProof/>
          <w:sz w:val="16"/>
        </w:rPr>
        <w:fldChar w:fldCharType="end"/>
      </w:r>
      <w:r>
        <w:rPr>
          <w:rFonts w:ascii="Times New Roman" w:hAnsi="Times New Roman"/>
          <w:b/>
          <w:noProof/>
          <w:sz w:val="16"/>
        </w:rPr>
        <w:t>: Liczba wybranych projektów</w:t>
      </w:r>
      <w:r w:rsidR="0076371C">
        <w:rPr>
          <w:rFonts w:ascii="Times New Roman" w:hAnsi="Times New Roman"/>
          <w:b/>
          <w:noProof/>
          <w:sz w:val="16"/>
        </w:rPr>
        <w:t xml:space="preserve"> w zap</w:t>
      </w:r>
      <w:r>
        <w:rPr>
          <w:rFonts w:ascii="Times New Roman" w:hAnsi="Times New Roman"/>
          <w:b/>
          <w:noProof/>
          <w:sz w:val="16"/>
        </w:rPr>
        <w:t>roszeniach do składania wniosków</w:t>
      </w:r>
      <w:r w:rsidR="0076371C">
        <w:rPr>
          <w:rFonts w:ascii="Times New Roman" w:hAnsi="Times New Roman"/>
          <w:b/>
          <w:noProof/>
          <w:sz w:val="16"/>
        </w:rPr>
        <w:t xml:space="preserve"> w ram</w:t>
      </w:r>
      <w:r>
        <w:rPr>
          <w:rFonts w:ascii="Times New Roman" w:hAnsi="Times New Roman"/>
          <w:b/>
          <w:noProof/>
          <w:sz w:val="16"/>
        </w:rPr>
        <w:t>ach funduszu innowacyjnego</w:t>
      </w:r>
      <w:r w:rsidR="0076371C">
        <w:rPr>
          <w:rFonts w:ascii="Times New Roman" w:hAnsi="Times New Roman"/>
          <w:b/>
          <w:noProof/>
          <w:sz w:val="16"/>
        </w:rPr>
        <w:t xml:space="preserve"> w pod</w:t>
      </w:r>
      <w:r>
        <w:rPr>
          <w:rFonts w:ascii="Times New Roman" w:hAnsi="Times New Roman"/>
          <w:b/>
          <w:noProof/>
          <w:sz w:val="16"/>
        </w:rPr>
        <w:t>ziale na sektory</w:t>
      </w:r>
    </w:p>
    <w:p w14:paraId="1B32893E" w14:textId="5046E65D" w:rsidR="004D5024" w:rsidRPr="008021A2" w:rsidRDefault="00574F36" w:rsidP="004D5024">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3CFC7C5C" wp14:editId="3D3BB33C">
            <wp:extent cx="5486400" cy="2540180"/>
            <wp:effectExtent l="0" t="0" r="0" b="0"/>
            <wp:docPr id="654933630"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3630" name="Obraz 1" descr="Obraz zawierający tekst, zrzut ekranu, diagram, linia&#10;&#10;Opis wygenerowany automatycznie"/>
                    <pic:cNvPicPr/>
                  </pic:nvPicPr>
                  <pic:blipFill>
                    <a:blip r:embed="rId37"/>
                    <a:stretch>
                      <a:fillRect/>
                    </a:stretch>
                  </pic:blipFill>
                  <pic:spPr>
                    <a:xfrm>
                      <a:off x="0" y="0"/>
                      <a:ext cx="5502684" cy="2547720"/>
                    </a:xfrm>
                    <a:prstGeom prst="rect">
                      <a:avLst/>
                    </a:prstGeom>
                  </pic:spPr>
                </pic:pic>
              </a:graphicData>
            </a:graphic>
          </wp:inline>
        </w:drawing>
      </w:r>
    </w:p>
    <w:p w14:paraId="7CC7BE46" w14:textId="41CAC784"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22</w:t>
      </w:r>
      <w:r>
        <w:rPr>
          <w:rFonts w:cs="Times New Roman"/>
          <w:noProof/>
        </w:rPr>
        <w:fldChar w:fldCharType="end"/>
      </w:r>
      <w:r>
        <w:rPr>
          <w:noProof/>
        </w:rPr>
        <w:t>: Liczba wybranych projektów</w:t>
      </w:r>
      <w:r w:rsidR="0076371C">
        <w:rPr>
          <w:noProof/>
        </w:rPr>
        <w:t xml:space="preserve"> w zap</w:t>
      </w:r>
      <w:r>
        <w:rPr>
          <w:noProof/>
        </w:rPr>
        <w:t>roszeniach do składania wniosków</w:t>
      </w:r>
      <w:r w:rsidR="0076371C">
        <w:rPr>
          <w:noProof/>
        </w:rPr>
        <w:t xml:space="preserve"> w ram</w:t>
      </w:r>
      <w:r>
        <w:rPr>
          <w:noProof/>
        </w:rPr>
        <w:t>ach funduszu innowacyjnego</w:t>
      </w:r>
      <w:r w:rsidR="0076371C">
        <w:rPr>
          <w:noProof/>
        </w:rPr>
        <w:t xml:space="preserve"> w pod</w:t>
      </w:r>
      <w:r>
        <w:rPr>
          <w:noProof/>
        </w:rPr>
        <w:t>ziale na państwa</w:t>
      </w:r>
    </w:p>
    <w:p w14:paraId="15DB90D3" w14:textId="5161450A" w:rsidR="004D5024" w:rsidRPr="008021A2" w:rsidRDefault="00574F36" w:rsidP="004D5024">
      <w:pPr>
        <w:jc w:val="both"/>
        <w:rPr>
          <w:rFonts w:ascii="Times New Roman" w:hAnsi="Times New Roman" w:cs="Times New Roman"/>
          <w:noProof/>
          <w:sz w:val="24"/>
        </w:rPr>
      </w:pPr>
      <w:r w:rsidRPr="00A40E7D">
        <w:rPr>
          <w:rFonts w:ascii="Times New Roman" w:hAnsi="Times New Roman"/>
          <w:noProof/>
          <w:sz w:val="24"/>
          <w:lang w:val="en-GB" w:eastAsia="en-GB"/>
        </w:rPr>
        <w:drawing>
          <wp:inline distT="0" distB="0" distL="0" distR="0" wp14:anchorId="515703FD" wp14:editId="7E2AF761">
            <wp:extent cx="5731510" cy="2821305"/>
            <wp:effectExtent l="0" t="0" r="2540" b="0"/>
            <wp:docPr id="473866533" name="Obraz 1" descr="Obraz zawierający tekst, zrzut ekranu, lini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66533" name="Obraz 1" descr="Obraz zawierający tekst, zrzut ekranu, linia, diagram&#10;&#10;Opis wygenerowany automatycznie"/>
                    <pic:cNvPicPr/>
                  </pic:nvPicPr>
                  <pic:blipFill>
                    <a:blip r:embed="rId38"/>
                    <a:stretch>
                      <a:fillRect/>
                    </a:stretch>
                  </pic:blipFill>
                  <pic:spPr>
                    <a:xfrm>
                      <a:off x="0" y="0"/>
                      <a:ext cx="5731510" cy="2821305"/>
                    </a:xfrm>
                    <a:prstGeom prst="rect">
                      <a:avLst/>
                    </a:prstGeom>
                  </pic:spPr>
                </pic:pic>
              </a:graphicData>
            </a:graphic>
          </wp:inline>
        </w:drawing>
      </w:r>
    </w:p>
    <w:p w14:paraId="234F98D7" w14:textId="77777777" w:rsidR="004D5024" w:rsidRPr="008021A2" w:rsidRDefault="004D5024" w:rsidP="004D5024">
      <w:pPr>
        <w:pStyle w:val="Nagwek3"/>
        <w:framePr w:wrap="notBeside"/>
        <w:jc w:val="both"/>
        <w:rPr>
          <w:rFonts w:cs="Times New Roman"/>
          <w:i/>
          <w:noProof/>
        </w:rPr>
      </w:pPr>
      <w:bookmarkStart w:id="25" w:name="_Toc150504461"/>
      <w:r>
        <w:rPr>
          <w:i/>
          <w:caps w:val="0"/>
          <w:noProof/>
        </w:rPr>
        <w:t>Rozkład geograficzny</w:t>
      </w:r>
      <w:bookmarkEnd w:id="25"/>
    </w:p>
    <w:p w14:paraId="0B90EB58" w14:textId="4E97CFC6"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Celem funduszu innowacyjnego jest osiągnięcie zrównoważenia pod względem geograficznym</w:t>
      </w:r>
      <w:r w:rsidR="0076371C">
        <w:rPr>
          <w:rFonts w:ascii="Times New Roman" w:hAnsi="Times New Roman"/>
          <w:noProof/>
          <w:sz w:val="24"/>
        </w:rPr>
        <w:t xml:space="preserve"> i sek</w:t>
      </w:r>
      <w:r>
        <w:rPr>
          <w:rFonts w:ascii="Times New Roman" w:hAnsi="Times New Roman"/>
          <w:noProof/>
          <w:sz w:val="24"/>
        </w:rPr>
        <w:t>torowym</w:t>
      </w:r>
      <w:r w:rsidR="0076371C">
        <w:rPr>
          <w:rFonts w:ascii="Times New Roman" w:hAnsi="Times New Roman"/>
          <w:noProof/>
          <w:sz w:val="24"/>
        </w:rPr>
        <w:t>. W cza</w:t>
      </w:r>
      <w:r>
        <w:rPr>
          <w:rFonts w:ascii="Times New Roman" w:hAnsi="Times New Roman"/>
          <w:noProof/>
          <w:sz w:val="24"/>
        </w:rPr>
        <w:t xml:space="preserve">sie opracowywania niniejszego sprawozdania wybrane </w:t>
      </w:r>
      <w:r>
        <w:rPr>
          <w:rFonts w:ascii="Times New Roman" w:hAnsi="Times New Roman"/>
          <w:noProof/>
          <w:sz w:val="24"/>
        </w:rPr>
        <w:lastRenderedPageBreak/>
        <w:t>projekty były zlokalizowane</w:t>
      </w:r>
      <w:r w:rsidR="0076371C">
        <w:rPr>
          <w:rFonts w:ascii="Times New Roman" w:hAnsi="Times New Roman"/>
          <w:noProof/>
          <w:sz w:val="24"/>
        </w:rPr>
        <w:t xml:space="preserve"> w 2</w:t>
      </w:r>
      <w:r>
        <w:rPr>
          <w:rFonts w:ascii="Times New Roman" w:hAnsi="Times New Roman"/>
          <w:noProof/>
          <w:sz w:val="24"/>
        </w:rPr>
        <w:t>0</w:t>
      </w:r>
      <w:r w:rsidR="0076371C">
        <w:rPr>
          <w:rFonts w:ascii="Times New Roman" w:hAnsi="Times New Roman"/>
          <w:noProof/>
          <w:sz w:val="24"/>
        </w:rPr>
        <w:t xml:space="preserve"> z 3</w:t>
      </w:r>
      <w:r>
        <w:rPr>
          <w:rFonts w:ascii="Times New Roman" w:hAnsi="Times New Roman"/>
          <w:noProof/>
          <w:sz w:val="24"/>
        </w:rPr>
        <w:t>0 kwalifikujących się państw (państwa członkowskie UE</w:t>
      </w:r>
      <w:r w:rsidR="0076371C">
        <w:rPr>
          <w:rFonts w:ascii="Times New Roman" w:hAnsi="Times New Roman"/>
          <w:noProof/>
          <w:sz w:val="24"/>
        </w:rPr>
        <w:t xml:space="preserve"> i pań</w:t>
      </w:r>
      <w:r>
        <w:rPr>
          <w:rFonts w:ascii="Times New Roman" w:hAnsi="Times New Roman"/>
          <w:noProof/>
          <w:sz w:val="24"/>
        </w:rPr>
        <w:t>stwa EOG)</w:t>
      </w:r>
      <w:r>
        <w:rPr>
          <w:rStyle w:val="Odwoanieprzypisudolnego"/>
          <w:rFonts w:ascii="Times New Roman" w:hAnsi="Times New Roman" w:cs="Times New Roman"/>
          <w:noProof/>
          <w:sz w:val="24"/>
        </w:rPr>
        <w:footnoteReference w:id="30"/>
      </w:r>
      <w:r>
        <w:rPr>
          <w:rFonts w:ascii="Times New Roman" w:hAnsi="Times New Roman"/>
          <w:noProof/>
          <w:sz w:val="24"/>
        </w:rPr>
        <w:t>. Udział projektów</w:t>
      </w:r>
      <w:r w:rsidR="0076371C">
        <w:rPr>
          <w:rFonts w:ascii="Times New Roman" w:hAnsi="Times New Roman"/>
          <w:noProof/>
          <w:sz w:val="24"/>
        </w:rPr>
        <w:t xml:space="preserve"> z Eur</w:t>
      </w:r>
      <w:r>
        <w:rPr>
          <w:rFonts w:ascii="Times New Roman" w:hAnsi="Times New Roman"/>
          <w:noProof/>
          <w:sz w:val="24"/>
        </w:rPr>
        <w:t>opy Środkowo-Wschodniej jest jednak proporcjonalnie mniejszy.</w:t>
      </w:r>
    </w:p>
    <w:p w14:paraId="51A1551A" w14:textId="191793B6"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Na koniec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państwami</w:t>
      </w:r>
      <w:r w:rsidR="0076371C">
        <w:rPr>
          <w:rFonts w:ascii="Times New Roman" w:hAnsi="Times New Roman"/>
          <w:noProof/>
          <w:sz w:val="24"/>
        </w:rPr>
        <w:t xml:space="preserve"> z naj</w:t>
      </w:r>
      <w:r>
        <w:rPr>
          <w:rFonts w:ascii="Times New Roman" w:hAnsi="Times New Roman"/>
          <w:noProof/>
          <w:sz w:val="24"/>
        </w:rPr>
        <w:t>większą liczbą projektów wybranych</w:t>
      </w:r>
      <w:r w:rsidR="0076371C">
        <w:rPr>
          <w:rFonts w:ascii="Times New Roman" w:hAnsi="Times New Roman"/>
          <w:noProof/>
          <w:sz w:val="24"/>
        </w:rPr>
        <w:t xml:space="preserve"> w ram</w:t>
      </w:r>
      <w:r>
        <w:rPr>
          <w:rFonts w:ascii="Times New Roman" w:hAnsi="Times New Roman"/>
          <w:noProof/>
          <w:sz w:val="24"/>
        </w:rPr>
        <w:t>ach funduszu innowacyjnego były Hiszpania (11 projektów), Francja (10 projektów)</w:t>
      </w:r>
      <w:r w:rsidR="0076371C">
        <w:rPr>
          <w:rFonts w:ascii="Times New Roman" w:hAnsi="Times New Roman"/>
          <w:noProof/>
          <w:sz w:val="24"/>
        </w:rPr>
        <w:t xml:space="preserve"> i Szw</w:t>
      </w:r>
      <w:r>
        <w:rPr>
          <w:rFonts w:ascii="Times New Roman" w:hAnsi="Times New Roman"/>
          <w:noProof/>
          <w:sz w:val="24"/>
        </w:rPr>
        <w:t>ecja (siedem projektów). Jeśli wziąć pod uwagę łączne środki przyznane</w:t>
      </w:r>
      <w:r w:rsidR="0076371C">
        <w:rPr>
          <w:rFonts w:ascii="Times New Roman" w:hAnsi="Times New Roman"/>
          <w:noProof/>
          <w:sz w:val="24"/>
        </w:rPr>
        <w:t xml:space="preserve"> z bud</w:t>
      </w:r>
      <w:r>
        <w:rPr>
          <w:rFonts w:ascii="Times New Roman" w:hAnsi="Times New Roman"/>
          <w:noProof/>
          <w:sz w:val="24"/>
        </w:rPr>
        <w:t>żetu funduszu innowacyjnego na dotacje od czasu utworzenia tego funduszu, obraz ulega zmianie – na pierwszym miejscu jest Szwecja (511 mln EUR),</w:t>
      </w:r>
      <w:r w:rsidR="0076371C">
        <w:rPr>
          <w:rFonts w:ascii="Times New Roman" w:hAnsi="Times New Roman"/>
          <w:noProof/>
          <w:sz w:val="24"/>
        </w:rPr>
        <w:t xml:space="preserve"> a nas</w:t>
      </w:r>
      <w:r>
        <w:rPr>
          <w:rFonts w:ascii="Times New Roman" w:hAnsi="Times New Roman"/>
          <w:noProof/>
          <w:sz w:val="24"/>
        </w:rPr>
        <w:t>tępnie Francja (368,8 mln EUR)</w:t>
      </w:r>
      <w:r w:rsidR="0076371C">
        <w:rPr>
          <w:rFonts w:ascii="Times New Roman" w:hAnsi="Times New Roman"/>
          <w:noProof/>
          <w:sz w:val="24"/>
        </w:rPr>
        <w:t xml:space="preserve"> i Bel</w:t>
      </w:r>
      <w:r>
        <w:rPr>
          <w:rFonts w:ascii="Times New Roman" w:hAnsi="Times New Roman"/>
          <w:noProof/>
          <w:sz w:val="24"/>
        </w:rPr>
        <w:t>gia (361,3 mln EUR).</w:t>
      </w:r>
    </w:p>
    <w:p w14:paraId="354AA0E2" w14:textId="5EB22398"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23</w:t>
      </w:r>
      <w:r>
        <w:rPr>
          <w:rFonts w:cs="Times New Roman"/>
          <w:noProof/>
        </w:rPr>
        <w:fldChar w:fldCharType="end"/>
      </w:r>
      <w:r>
        <w:rPr>
          <w:noProof/>
        </w:rPr>
        <w:t>: Liczba wybranych projektów</w:t>
      </w:r>
      <w:r w:rsidR="0076371C">
        <w:rPr>
          <w:noProof/>
        </w:rPr>
        <w:t xml:space="preserve"> w zap</w:t>
      </w:r>
      <w:r>
        <w:rPr>
          <w:noProof/>
        </w:rPr>
        <w:t>roszeniach do składania wniosków</w:t>
      </w:r>
      <w:r w:rsidR="0076371C">
        <w:rPr>
          <w:noProof/>
        </w:rPr>
        <w:t xml:space="preserve"> w ram</w:t>
      </w:r>
      <w:r>
        <w:rPr>
          <w:noProof/>
        </w:rPr>
        <w:t>ach funduszu inwestycyjnego</w:t>
      </w:r>
      <w:r w:rsidR="0076371C">
        <w:rPr>
          <w:noProof/>
        </w:rPr>
        <w:t xml:space="preserve"> w pod</w:t>
      </w:r>
      <w:r>
        <w:rPr>
          <w:noProof/>
        </w:rPr>
        <w:t>ziale na państwa</w:t>
      </w:r>
    </w:p>
    <w:p w14:paraId="3B6C9A51" w14:textId="7085D22A" w:rsidR="004D5024" w:rsidRPr="008021A2" w:rsidRDefault="00574F36" w:rsidP="004D5024">
      <w:pPr>
        <w:jc w:val="both"/>
        <w:rPr>
          <w:rFonts w:ascii="Times New Roman" w:hAnsi="Times New Roman" w:cs="Times New Roman"/>
          <w:noProof/>
          <w:sz w:val="24"/>
        </w:rPr>
      </w:pPr>
      <w:r w:rsidRPr="00CB1C6E">
        <w:rPr>
          <w:rFonts w:ascii="Times New Roman" w:hAnsi="Times New Roman"/>
          <w:noProof/>
          <w:sz w:val="24"/>
          <w:lang w:val="en-GB" w:eastAsia="en-GB"/>
        </w:rPr>
        <w:drawing>
          <wp:inline distT="0" distB="0" distL="0" distR="0" wp14:anchorId="5885CB80" wp14:editId="53BC0E84">
            <wp:extent cx="5731510" cy="2319020"/>
            <wp:effectExtent l="0" t="0" r="2540" b="5080"/>
            <wp:docPr id="1710679930" name="Obraz 1" descr="Obraz zawierający linia, diagram, Wykres,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79930" name="Obraz 1" descr="Obraz zawierający linia, diagram, Wykres, zrzut ekranu&#10;&#10;Opis wygenerowany automatycznie"/>
                    <pic:cNvPicPr/>
                  </pic:nvPicPr>
                  <pic:blipFill>
                    <a:blip r:embed="rId39"/>
                    <a:stretch>
                      <a:fillRect/>
                    </a:stretch>
                  </pic:blipFill>
                  <pic:spPr>
                    <a:xfrm>
                      <a:off x="0" y="0"/>
                      <a:ext cx="5731510" cy="2319020"/>
                    </a:xfrm>
                    <a:prstGeom prst="rect">
                      <a:avLst/>
                    </a:prstGeom>
                  </pic:spPr>
                </pic:pic>
              </a:graphicData>
            </a:graphic>
          </wp:inline>
        </w:drawing>
      </w:r>
    </w:p>
    <w:p w14:paraId="5068E6A6" w14:textId="3E3E3C35"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24</w:t>
      </w:r>
      <w:r>
        <w:rPr>
          <w:rFonts w:cs="Times New Roman"/>
          <w:noProof/>
        </w:rPr>
        <w:fldChar w:fldCharType="end"/>
      </w:r>
      <w:r>
        <w:rPr>
          <w:noProof/>
        </w:rPr>
        <w:t>: Kwota dotacji (w EUR)</w:t>
      </w:r>
      <w:r w:rsidR="0076371C">
        <w:rPr>
          <w:noProof/>
        </w:rPr>
        <w:t xml:space="preserve"> w wyb</w:t>
      </w:r>
      <w:r>
        <w:rPr>
          <w:noProof/>
        </w:rPr>
        <w:t>ranych projektach na podstawie zaproszeń do składania wniosków</w:t>
      </w:r>
      <w:r w:rsidR="0076371C">
        <w:rPr>
          <w:noProof/>
        </w:rPr>
        <w:t xml:space="preserve"> w ram</w:t>
      </w:r>
      <w:r>
        <w:rPr>
          <w:noProof/>
        </w:rPr>
        <w:t>ach funduszu in</w:t>
      </w:r>
      <w:r w:rsidR="00A1639C">
        <w:rPr>
          <w:noProof/>
        </w:rPr>
        <w:t>nowacyjnego</w:t>
      </w:r>
    </w:p>
    <w:p w14:paraId="3EF80BD7" w14:textId="6AA4A391" w:rsidR="004D5024" w:rsidRPr="008021A2" w:rsidRDefault="00574F36" w:rsidP="004D5024">
      <w:pPr>
        <w:jc w:val="both"/>
        <w:rPr>
          <w:rFonts w:ascii="Times New Roman" w:hAnsi="Times New Roman" w:cs="Times New Roman"/>
          <w:noProof/>
          <w:sz w:val="24"/>
        </w:rPr>
      </w:pPr>
      <w:r w:rsidRPr="00CB1C6E">
        <w:rPr>
          <w:rFonts w:ascii="Times New Roman" w:hAnsi="Times New Roman"/>
          <w:noProof/>
          <w:sz w:val="24"/>
          <w:lang w:val="en-GB" w:eastAsia="en-GB"/>
        </w:rPr>
        <w:drawing>
          <wp:inline distT="0" distB="0" distL="0" distR="0" wp14:anchorId="22D9577D" wp14:editId="37E967C9">
            <wp:extent cx="5731510" cy="2304415"/>
            <wp:effectExtent l="0" t="0" r="2540" b="635"/>
            <wp:docPr id="1297924662" name="Obraz 1" descr="Obraz zawierający zrzut ekranu, tekst, lini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24662" name="Obraz 1" descr="Obraz zawierający zrzut ekranu, tekst, linia, diagram&#10;&#10;Opis wygenerowany automatycznie"/>
                    <pic:cNvPicPr/>
                  </pic:nvPicPr>
                  <pic:blipFill>
                    <a:blip r:embed="rId40"/>
                    <a:stretch>
                      <a:fillRect/>
                    </a:stretch>
                  </pic:blipFill>
                  <pic:spPr>
                    <a:xfrm>
                      <a:off x="0" y="0"/>
                      <a:ext cx="5731510" cy="2304415"/>
                    </a:xfrm>
                    <a:prstGeom prst="rect">
                      <a:avLst/>
                    </a:prstGeom>
                  </pic:spPr>
                </pic:pic>
              </a:graphicData>
            </a:graphic>
          </wp:inline>
        </w:drawing>
      </w:r>
    </w:p>
    <w:p w14:paraId="4CEB009C" w14:textId="0931C405"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Zrównoważenie pod względem geograficznym</w:t>
      </w:r>
      <w:r w:rsidR="0076371C">
        <w:rPr>
          <w:rFonts w:ascii="Times New Roman" w:hAnsi="Times New Roman"/>
          <w:noProof/>
          <w:sz w:val="24"/>
        </w:rPr>
        <w:t xml:space="preserve"> w prz</w:t>
      </w:r>
      <w:r>
        <w:rPr>
          <w:rFonts w:ascii="Times New Roman" w:hAnsi="Times New Roman"/>
          <w:noProof/>
          <w:sz w:val="24"/>
        </w:rPr>
        <w:t>yznawaniu środków</w:t>
      </w:r>
      <w:r w:rsidR="0076371C">
        <w:rPr>
          <w:rFonts w:ascii="Times New Roman" w:hAnsi="Times New Roman"/>
          <w:noProof/>
          <w:sz w:val="24"/>
        </w:rPr>
        <w:t xml:space="preserve"> z fun</w:t>
      </w:r>
      <w:r>
        <w:rPr>
          <w:rFonts w:ascii="Times New Roman" w:hAnsi="Times New Roman"/>
          <w:noProof/>
          <w:sz w:val="24"/>
        </w:rPr>
        <w:t>duszu innowacyjnego na wybrane projekty można również ocenić, analizując udział PKB każdego państwa w EOG</w:t>
      </w:r>
      <w:r w:rsidR="0076371C">
        <w:rPr>
          <w:rFonts w:ascii="Times New Roman" w:hAnsi="Times New Roman"/>
          <w:noProof/>
          <w:sz w:val="24"/>
        </w:rPr>
        <w:t>. W ten</w:t>
      </w:r>
      <w:r>
        <w:rPr>
          <w:rFonts w:ascii="Times New Roman" w:hAnsi="Times New Roman"/>
          <w:noProof/>
          <w:sz w:val="24"/>
        </w:rPr>
        <w:t xml:space="preserve"> sposób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5 można zauważyć, że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nadal</w:t>
      </w:r>
      <w:r w:rsidR="0076371C">
        <w:rPr>
          <w:rFonts w:ascii="Times New Roman" w:hAnsi="Times New Roman"/>
          <w:noProof/>
          <w:sz w:val="24"/>
        </w:rPr>
        <w:t xml:space="preserve"> w zna</w:t>
      </w:r>
      <w:r>
        <w:rPr>
          <w:rFonts w:ascii="Times New Roman" w:hAnsi="Times New Roman"/>
          <w:noProof/>
          <w:sz w:val="24"/>
        </w:rPr>
        <w:t>cznym stopniu niewystarczająco reprezentowane były takie państwa, jak: Niemcy</w:t>
      </w:r>
      <w:r>
        <w:rPr>
          <w:rFonts w:ascii="Times New Roman" w:hAnsi="Times New Roman"/>
          <w:noProof/>
        </w:rPr>
        <w:t>,</w:t>
      </w:r>
      <w:r>
        <w:rPr>
          <w:rFonts w:ascii="Times New Roman" w:hAnsi="Times New Roman"/>
          <w:noProof/>
          <w:sz w:val="24"/>
        </w:rPr>
        <w:t xml:space="preserve"> Francja, Włochy lub Hiszpania, mimo wysokości kwot dotacji</w:t>
      </w:r>
      <w:r w:rsidR="0076371C">
        <w:rPr>
          <w:rFonts w:ascii="Times New Roman" w:hAnsi="Times New Roman"/>
          <w:noProof/>
          <w:sz w:val="24"/>
        </w:rPr>
        <w:t xml:space="preserve"> w uję</w:t>
      </w:r>
      <w:r>
        <w:rPr>
          <w:rFonts w:ascii="Times New Roman" w:hAnsi="Times New Roman"/>
          <w:noProof/>
          <w:sz w:val="24"/>
        </w:rPr>
        <w:t xml:space="preserve">ciu bezwzględnym </w:t>
      </w:r>
      <w:r>
        <w:rPr>
          <w:rFonts w:ascii="Times New Roman" w:hAnsi="Times New Roman"/>
          <w:noProof/>
          <w:sz w:val="24"/>
        </w:rPr>
        <w:lastRenderedPageBreak/>
        <w:t>przyznanych</w:t>
      </w:r>
      <w:r w:rsidR="0076371C">
        <w:rPr>
          <w:rFonts w:ascii="Times New Roman" w:hAnsi="Times New Roman"/>
          <w:noProof/>
          <w:sz w:val="24"/>
        </w:rPr>
        <w:t xml:space="preserve"> w tyc</w:t>
      </w:r>
      <w:r>
        <w:rPr>
          <w:rFonts w:ascii="Times New Roman" w:hAnsi="Times New Roman"/>
          <w:noProof/>
          <w:sz w:val="24"/>
        </w:rPr>
        <w:t>h państwach</w:t>
      </w:r>
      <w:r w:rsidR="0076371C">
        <w:rPr>
          <w:rFonts w:ascii="Times New Roman" w:hAnsi="Times New Roman"/>
          <w:noProof/>
          <w:sz w:val="24"/>
        </w:rPr>
        <w:t>. Z dru</w:t>
      </w:r>
      <w:r>
        <w:rPr>
          <w:rFonts w:ascii="Times New Roman" w:hAnsi="Times New Roman"/>
          <w:noProof/>
          <w:sz w:val="24"/>
        </w:rPr>
        <w:t>giej strony widać nadmierną reprezentację Szwecji, Belgii, Bułgarii, Niderlandów</w:t>
      </w:r>
      <w:r w:rsidR="0076371C">
        <w:rPr>
          <w:rFonts w:ascii="Times New Roman" w:hAnsi="Times New Roman"/>
          <w:noProof/>
          <w:sz w:val="24"/>
        </w:rPr>
        <w:t xml:space="preserve"> i Fin</w:t>
      </w:r>
      <w:r>
        <w:rPr>
          <w:rFonts w:ascii="Times New Roman" w:hAnsi="Times New Roman"/>
          <w:noProof/>
          <w:sz w:val="24"/>
        </w:rPr>
        <w:t>landii, jeśli porównać ich PKB</w:t>
      </w:r>
      <w:r w:rsidR="0076371C">
        <w:rPr>
          <w:rFonts w:ascii="Times New Roman" w:hAnsi="Times New Roman"/>
          <w:noProof/>
          <w:sz w:val="24"/>
        </w:rPr>
        <w:t xml:space="preserve"> z kwo</w:t>
      </w:r>
      <w:r>
        <w:rPr>
          <w:rFonts w:ascii="Times New Roman" w:hAnsi="Times New Roman"/>
          <w:noProof/>
          <w:sz w:val="24"/>
        </w:rPr>
        <w:t>tą, którą państwa te otrzymały</w:t>
      </w:r>
      <w:r w:rsidR="0076371C">
        <w:rPr>
          <w:rFonts w:ascii="Times New Roman" w:hAnsi="Times New Roman"/>
          <w:noProof/>
          <w:sz w:val="24"/>
        </w:rPr>
        <w:t xml:space="preserve"> w ram</w:t>
      </w:r>
      <w:r>
        <w:rPr>
          <w:rFonts w:ascii="Times New Roman" w:hAnsi="Times New Roman"/>
          <w:noProof/>
          <w:sz w:val="24"/>
        </w:rPr>
        <w:t>ach dotacji</w:t>
      </w:r>
      <w:r w:rsidR="0076371C">
        <w:rPr>
          <w:rFonts w:ascii="Times New Roman" w:hAnsi="Times New Roman"/>
          <w:noProof/>
          <w:sz w:val="24"/>
        </w:rPr>
        <w:t xml:space="preserve"> z fun</w:t>
      </w:r>
      <w:r>
        <w:rPr>
          <w:rFonts w:ascii="Times New Roman" w:hAnsi="Times New Roman"/>
          <w:noProof/>
          <w:sz w:val="24"/>
        </w:rPr>
        <w:t>duszu innowacyjnego.</w:t>
      </w:r>
    </w:p>
    <w:p w14:paraId="6E8341C7" w14:textId="417D8BB3"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 xml:space="preserve"> SEQ Figure \* ARABIC </w:instrText>
      </w:r>
      <w:r>
        <w:rPr>
          <w:rFonts w:cs="Times New Roman"/>
          <w:noProof/>
        </w:rPr>
        <w:fldChar w:fldCharType="separate"/>
      </w:r>
      <w:r w:rsidR="00574F36">
        <w:rPr>
          <w:rFonts w:cs="Times New Roman"/>
          <w:noProof/>
        </w:rPr>
        <w:t>25</w:t>
      </w:r>
      <w:r>
        <w:rPr>
          <w:rFonts w:cs="Times New Roman"/>
          <w:noProof/>
        </w:rPr>
        <w:fldChar w:fldCharType="end"/>
      </w:r>
      <w:r>
        <w:rPr>
          <w:noProof/>
        </w:rPr>
        <w:t>: Rozkład geograficzny – udział PKB (EOG)</w:t>
      </w:r>
      <w:r w:rsidR="0076371C">
        <w:rPr>
          <w:noProof/>
        </w:rPr>
        <w:t xml:space="preserve"> w por</w:t>
      </w:r>
      <w:r>
        <w:rPr>
          <w:noProof/>
        </w:rPr>
        <w:t>ównaniu</w:t>
      </w:r>
      <w:r w:rsidR="0076371C">
        <w:rPr>
          <w:noProof/>
        </w:rPr>
        <w:t xml:space="preserve"> z udz</w:t>
      </w:r>
      <w:r>
        <w:rPr>
          <w:noProof/>
        </w:rPr>
        <w:t>iałem środków</w:t>
      </w:r>
      <w:r w:rsidR="0076371C">
        <w:rPr>
          <w:noProof/>
        </w:rPr>
        <w:t xml:space="preserve"> z fun</w:t>
      </w:r>
      <w:r>
        <w:rPr>
          <w:noProof/>
        </w:rPr>
        <w:t>duszu innowacyjnego (dane</w:t>
      </w:r>
      <w:r w:rsidR="0076371C">
        <w:rPr>
          <w:noProof/>
        </w:rPr>
        <w:t xml:space="preserve"> z 2</w:t>
      </w:r>
      <w:r>
        <w:rPr>
          <w:noProof/>
        </w:rPr>
        <w:t>0</w:t>
      </w:r>
      <w:r w:rsidRPr="002001C0">
        <w:rPr>
          <w:noProof/>
        </w:rPr>
        <w:t>21</w:t>
      </w:r>
      <w:r w:rsidR="002001C0" w:rsidRPr="002001C0">
        <w:rPr>
          <w:noProof/>
        </w:rPr>
        <w:t> </w:t>
      </w:r>
      <w:r w:rsidRPr="002001C0">
        <w:rPr>
          <w:noProof/>
        </w:rPr>
        <w:t>r.</w:t>
      </w:r>
      <w:r>
        <w:rPr>
          <w:noProof/>
        </w:rPr>
        <w:t>)</w:t>
      </w:r>
    </w:p>
    <w:p w14:paraId="3EBA12B9" w14:textId="29A0A754" w:rsidR="00B00FE8" w:rsidRPr="008021A2" w:rsidRDefault="00574F36" w:rsidP="004D5024">
      <w:pPr>
        <w:jc w:val="both"/>
        <w:rPr>
          <w:rFonts w:ascii="Times New Roman" w:hAnsi="Times New Roman" w:cs="Times New Roman"/>
          <w:noProof/>
          <w:sz w:val="24"/>
        </w:rPr>
      </w:pPr>
      <w:r w:rsidRPr="00CB1C6E">
        <w:rPr>
          <w:rFonts w:ascii="Times New Roman" w:hAnsi="Times New Roman"/>
          <w:noProof/>
          <w:sz w:val="24"/>
          <w:lang w:val="en-GB" w:eastAsia="en-GB"/>
        </w:rPr>
        <w:drawing>
          <wp:inline distT="0" distB="0" distL="0" distR="0" wp14:anchorId="6AC82DB0" wp14:editId="495CAEDE">
            <wp:extent cx="5731510" cy="1986280"/>
            <wp:effectExtent l="0" t="0" r="2540" b="0"/>
            <wp:docPr id="1975396756" name="Obraz 1" descr="Obraz zawierający tekst, zrzut ekranu,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96756" name="Obraz 1" descr="Obraz zawierający tekst, zrzut ekranu, linia, Wykres&#10;&#10;Opis wygenerowany automatycznie"/>
                    <pic:cNvPicPr/>
                  </pic:nvPicPr>
                  <pic:blipFill>
                    <a:blip r:embed="rId41"/>
                    <a:stretch>
                      <a:fillRect/>
                    </a:stretch>
                  </pic:blipFill>
                  <pic:spPr>
                    <a:xfrm>
                      <a:off x="0" y="0"/>
                      <a:ext cx="5731510" cy="1986280"/>
                    </a:xfrm>
                    <a:prstGeom prst="rect">
                      <a:avLst/>
                    </a:prstGeom>
                  </pic:spPr>
                </pic:pic>
              </a:graphicData>
            </a:graphic>
          </wp:inline>
        </w:drawing>
      </w:r>
    </w:p>
    <w:p w14:paraId="2259FBB3" w14:textId="77777777" w:rsidR="004D5024" w:rsidRPr="008021A2" w:rsidRDefault="004D5024" w:rsidP="004D5024">
      <w:pPr>
        <w:pStyle w:val="Nagwek3"/>
        <w:framePr w:wrap="auto" w:vAnchor="margin" w:yAlign="inline"/>
        <w:jc w:val="both"/>
        <w:rPr>
          <w:rFonts w:cs="Times New Roman"/>
          <w:i/>
          <w:noProof/>
        </w:rPr>
      </w:pPr>
      <w:bookmarkStart w:id="26" w:name="_Toc150504462"/>
      <w:r>
        <w:rPr>
          <w:i/>
          <w:caps w:val="0"/>
          <w:noProof/>
        </w:rPr>
        <w:t>Potencjał redukcji emisji gazów cieplarnianych</w:t>
      </w:r>
      <w:bookmarkEnd w:id="26"/>
      <w:r>
        <w:rPr>
          <w:i/>
          <w:caps w:val="0"/>
          <w:noProof/>
        </w:rPr>
        <w:t xml:space="preserve"> </w:t>
      </w:r>
    </w:p>
    <w:p w14:paraId="7119CD7A" w14:textId="42AD50A8"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Fundusz innowacyjny wspiera projekty wykazujące znaczący potencjał redukcji emisji gazów cieplarnianych</w:t>
      </w:r>
      <w:r w:rsidR="0076371C">
        <w:rPr>
          <w:rFonts w:ascii="Times New Roman" w:hAnsi="Times New Roman"/>
          <w:noProof/>
          <w:sz w:val="24"/>
        </w:rPr>
        <w:t xml:space="preserve"> i prz</w:t>
      </w:r>
      <w:r>
        <w:rPr>
          <w:rFonts w:ascii="Times New Roman" w:hAnsi="Times New Roman"/>
          <w:noProof/>
          <w:sz w:val="24"/>
        </w:rPr>
        <w:t>yczynienia się do neutralności klimatycznej UE. Całkowite planowane redukcje emisji gazów cieplarnianych</w:t>
      </w:r>
      <w:r w:rsidR="0076371C">
        <w:rPr>
          <w:rFonts w:ascii="Times New Roman" w:hAnsi="Times New Roman"/>
          <w:noProof/>
          <w:sz w:val="24"/>
        </w:rPr>
        <w:t xml:space="preserve"> w ram</w:t>
      </w:r>
      <w:r>
        <w:rPr>
          <w:rFonts w:ascii="Times New Roman" w:hAnsi="Times New Roman"/>
          <w:noProof/>
          <w:sz w:val="24"/>
        </w:rPr>
        <w:t>ach wszystkich 70 projektów wybranych do końca grudnia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wyniosą około 215 mln ton ekwiwalentu CO₂</w:t>
      </w:r>
      <w:r w:rsidR="0076371C">
        <w:rPr>
          <w:rFonts w:ascii="Times New Roman" w:hAnsi="Times New Roman"/>
          <w:noProof/>
          <w:sz w:val="24"/>
        </w:rPr>
        <w:t xml:space="preserve"> w okr</w:t>
      </w:r>
      <w:r>
        <w:rPr>
          <w:rFonts w:ascii="Times New Roman" w:hAnsi="Times New Roman"/>
          <w:noProof/>
          <w:sz w:val="24"/>
        </w:rPr>
        <w:t xml:space="preserve">esie 10 lat. Dla porównania – jest to około </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całkowitej emisji gazów cieplarnianych</w:t>
      </w:r>
      <w:r w:rsidR="0076371C">
        <w:rPr>
          <w:rFonts w:ascii="Times New Roman" w:hAnsi="Times New Roman"/>
          <w:noProof/>
          <w:sz w:val="24"/>
        </w:rPr>
        <w:t xml:space="preserve"> w Uni</w:t>
      </w:r>
      <w:r>
        <w:rPr>
          <w:rFonts w:ascii="Times New Roman" w:hAnsi="Times New Roman"/>
          <w:noProof/>
          <w:sz w:val="24"/>
        </w:rPr>
        <w:t>i Europejskiej</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Średnia planowana redukcja emisji na projekt wynosi 9,6 mln ton</w:t>
      </w:r>
      <w:r w:rsidR="00830987">
        <w:rPr>
          <w:rFonts w:ascii="Times New Roman" w:hAnsi="Times New Roman"/>
          <w:noProof/>
          <w:sz w:val="24"/>
        </w:rPr>
        <w:t xml:space="preserve"> ekwiwalentu</w:t>
      </w:r>
      <w:r>
        <w:rPr>
          <w:rFonts w:ascii="Times New Roman" w:hAnsi="Times New Roman"/>
          <w:noProof/>
          <w:sz w:val="24"/>
        </w:rPr>
        <w:t xml:space="preserve"> CO₂</w:t>
      </w:r>
      <w:r w:rsidR="0076371C">
        <w:rPr>
          <w:rFonts w:ascii="Times New Roman" w:hAnsi="Times New Roman"/>
          <w:noProof/>
          <w:sz w:val="24"/>
        </w:rPr>
        <w:t xml:space="preserve"> w prz</w:t>
      </w:r>
      <w:r>
        <w:rPr>
          <w:rFonts w:ascii="Times New Roman" w:hAnsi="Times New Roman"/>
          <w:noProof/>
          <w:sz w:val="24"/>
        </w:rPr>
        <w:t>ypadku projektów na dużą skalę oraz 115 312 ton ekwiwalentu CO₂</w:t>
      </w:r>
      <w:r w:rsidR="0076371C">
        <w:rPr>
          <w:rFonts w:ascii="Times New Roman" w:hAnsi="Times New Roman"/>
          <w:noProof/>
          <w:sz w:val="24"/>
        </w:rPr>
        <w:t xml:space="preserve"> w prz</w:t>
      </w:r>
      <w:r>
        <w:rPr>
          <w:rFonts w:ascii="Times New Roman" w:hAnsi="Times New Roman"/>
          <w:noProof/>
          <w:sz w:val="24"/>
        </w:rPr>
        <w:t>ypadku projektów na małą skalę. Można to przełożyć na wartości pieniężne</w:t>
      </w:r>
      <w:r w:rsidR="0076371C">
        <w:rPr>
          <w:rFonts w:ascii="Times New Roman" w:hAnsi="Times New Roman"/>
          <w:noProof/>
          <w:sz w:val="24"/>
        </w:rPr>
        <w:t xml:space="preserve"> w nas</w:t>
      </w:r>
      <w:r>
        <w:rPr>
          <w:rFonts w:ascii="Times New Roman" w:hAnsi="Times New Roman"/>
          <w:noProof/>
          <w:sz w:val="24"/>
        </w:rPr>
        <w:t>tępujący sposób: na każde 1 EUR wsparcia</w:t>
      </w:r>
      <w:r w:rsidR="0076371C">
        <w:rPr>
          <w:rFonts w:ascii="Times New Roman" w:hAnsi="Times New Roman"/>
          <w:noProof/>
          <w:sz w:val="24"/>
        </w:rPr>
        <w:t xml:space="preserve"> z fun</w:t>
      </w:r>
      <w:r>
        <w:rPr>
          <w:rFonts w:ascii="Times New Roman" w:hAnsi="Times New Roman"/>
          <w:noProof/>
          <w:sz w:val="24"/>
        </w:rPr>
        <w:t>duszu innowacyjnego uda się uniknąć średnio 70 kg ekwiwalentu CO₂</w:t>
      </w:r>
      <w:r w:rsidR="0076371C">
        <w:rPr>
          <w:rFonts w:ascii="Times New Roman" w:hAnsi="Times New Roman"/>
          <w:noProof/>
          <w:sz w:val="24"/>
        </w:rPr>
        <w:t xml:space="preserve"> w okr</w:t>
      </w:r>
      <w:r>
        <w:rPr>
          <w:rFonts w:ascii="Times New Roman" w:hAnsi="Times New Roman"/>
          <w:noProof/>
          <w:sz w:val="24"/>
        </w:rPr>
        <w:t>esie 10 lat. Pierwsze ilości, których emisji faktycznie uda się uniknąć, zostaną zgłoszone</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ram</w:t>
      </w:r>
      <w:r>
        <w:rPr>
          <w:rFonts w:ascii="Times New Roman" w:hAnsi="Times New Roman"/>
          <w:noProof/>
          <w:sz w:val="24"/>
        </w:rPr>
        <w:t>ach pierwszych projektów z SSC-2020, których eksploatację rozpoczęto pod koniec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4925135C" w14:textId="77777777" w:rsidR="004C18E4" w:rsidRPr="008021A2" w:rsidRDefault="004C18E4" w:rsidP="004D5024">
      <w:pPr>
        <w:jc w:val="both"/>
        <w:rPr>
          <w:rFonts w:ascii="Times New Roman" w:hAnsi="Times New Roman" w:cs="Times New Roman"/>
          <w:noProof/>
        </w:rPr>
      </w:pPr>
    </w:p>
    <w:p w14:paraId="05ECBE28" w14:textId="4ECF942B"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26</w:t>
      </w:r>
      <w:r>
        <w:rPr>
          <w:rFonts w:cs="Times New Roman"/>
          <w:noProof/>
        </w:rPr>
        <w:fldChar w:fldCharType="end"/>
      </w:r>
      <w:r>
        <w:rPr>
          <w:noProof/>
        </w:rPr>
        <w:t>: Łączna ilość gazów cieplarnianych, których emisji uda się uniknąć dzięki wybranym projektom</w:t>
      </w:r>
      <w:r w:rsidR="0076371C">
        <w:rPr>
          <w:noProof/>
        </w:rPr>
        <w:t xml:space="preserve"> w dzi</w:t>
      </w:r>
      <w:r>
        <w:rPr>
          <w:noProof/>
        </w:rPr>
        <w:t>esięcioletnim okresie realizacji</w:t>
      </w:r>
    </w:p>
    <w:p w14:paraId="6B448A15" w14:textId="5A63D060" w:rsidR="004C18E4" w:rsidRPr="008021A2" w:rsidRDefault="00574F36" w:rsidP="004D5024">
      <w:pPr>
        <w:jc w:val="both"/>
        <w:rPr>
          <w:rFonts w:ascii="Times New Roman" w:hAnsi="Times New Roman" w:cs="Times New Roman"/>
          <w:noProof/>
          <w:sz w:val="24"/>
        </w:rPr>
      </w:pPr>
      <w:r w:rsidRPr="00CB1C6E">
        <w:rPr>
          <w:rFonts w:ascii="Times New Roman" w:hAnsi="Times New Roman"/>
          <w:noProof/>
          <w:sz w:val="24"/>
          <w:lang w:val="en-GB" w:eastAsia="en-GB"/>
        </w:rPr>
        <w:drawing>
          <wp:inline distT="0" distB="0" distL="0" distR="0" wp14:anchorId="04A589D8" wp14:editId="5EC5FAAE">
            <wp:extent cx="5731510" cy="1384300"/>
            <wp:effectExtent l="0" t="0" r="2540" b="6350"/>
            <wp:docPr id="692897777" name="Obraz 1" descr="Obraz zawierający tekst, linia, Czcionk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97777" name="Obraz 1" descr="Obraz zawierający tekst, linia, Czcionka, Wykres&#10;&#10;Opis wygenerowany automatycznie"/>
                    <pic:cNvPicPr/>
                  </pic:nvPicPr>
                  <pic:blipFill>
                    <a:blip r:embed="rId42"/>
                    <a:stretch>
                      <a:fillRect/>
                    </a:stretch>
                  </pic:blipFill>
                  <pic:spPr>
                    <a:xfrm>
                      <a:off x="0" y="0"/>
                      <a:ext cx="5731510" cy="1384300"/>
                    </a:xfrm>
                    <a:prstGeom prst="rect">
                      <a:avLst/>
                    </a:prstGeom>
                  </pic:spPr>
                </pic:pic>
              </a:graphicData>
            </a:graphic>
          </wp:inline>
        </w:drawing>
      </w:r>
    </w:p>
    <w:p w14:paraId="66378FBF" w14:textId="6DBD74F2"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 xml:space="preserve">Ogólnie rzecz biorąc, projekty </w:t>
      </w:r>
      <w:r w:rsidR="00A1639C">
        <w:rPr>
          <w:rFonts w:ascii="Times New Roman" w:hAnsi="Times New Roman"/>
          <w:noProof/>
          <w:sz w:val="24"/>
        </w:rPr>
        <w:t xml:space="preserve">najbardziej racjonalne pod względem </w:t>
      </w:r>
      <w:r>
        <w:rPr>
          <w:rFonts w:ascii="Times New Roman" w:hAnsi="Times New Roman"/>
          <w:noProof/>
          <w:sz w:val="24"/>
        </w:rPr>
        <w:t>kosztów dotyczące redukcji emisji gazów cieplarnianych to projekty</w:t>
      </w:r>
      <w:r w:rsidR="0076371C">
        <w:rPr>
          <w:rFonts w:ascii="Times New Roman" w:hAnsi="Times New Roman"/>
          <w:noProof/>
          <w:sz w:val="24"/>
        </w:rPr>
        <w:t xml:space="preserve"> w sek</w:t>
      </w:r>
      <w:r>
        <w:rPr>
          <w:rFonts w:ascii="Times New Roman" w:hAnsi="Times New Roman"/>
          <w:noProof/>
          <w:sz w:val="24"/>
        </w:rPr>
        <w:t>torze „międzydziennego magazynowania energii”,</w:t>
      </w:r>
      <w:r w:rsidR="0076371C">
        <w:rPr>
          <w:rFonts w:ascii="Times New Roman" w:hAnsi="Times New Roman"/>
          <w:noProof/>
          <w:sz w:val="24"/>
        </w:rPr>
        <w:t xml:space="preserve"> w któ</w:t>
      </w:r>
      <w:r>
        <w:rPr>
          <w:rFonts w:ascii="Times New Roman" w:hAnsi="Times New Roman"/>
          <w:noProof/>
          <w:sz w:val="24"/>
        </w:rPr>
        <w:t>rych średnia wynosi odpowiednio 100 kg ekwiwalentu CO₂/1 EUR wydatków kapitałowych oraz 147 kg ekwiwalentu CO₂/1 EUR otrzymanej dotacji</w:t>
      </w:r>
      <w:r w:rsidR="0076371C">
        <w:rPr>
          <w:rFonts w:ascii="Times New Roman" w:hAnsi="Times New Roman"/>
          <w:noProof/>
          <w:sz w:val="24"/>
        </w:rPr>
        <w:t xml:space="preserve"> z fun</w:t>
      </w:r>
      <w:r>
        <w:rPr>
          <w:rFonts w:ascii="Times New Roman" w:hAnsi="Times New Roman"/>
          <w:noProof/>
          <w:sz w:val="24"/>
        </w:rPr>
        <w:t xml:space="preserve">duszu innowacyjnego. Te poziomy skuteczności osiąga się dzięki rozwiązaniom </w:t>
      </w:r>
      <w:r>
        <w:rPr>
          <w:rFonts w:ascii="Times New Roman" w:hAnsi="Times New Roman"/>
          <w:noProof/>
          <w:sz w:val="24"/>
        </w:rPr>
        <w:lastRenderedPageBreak/>
        <w:t>technologicznym takim jak zastosowane</w:t>
      </w:r>
      <w:r w:rsidR="0076371C">
        <w:rPr>
          <w:rFonts w:ascii="Times New Roman" w:hAnsi="Times New Roman"/>
          <w:noProof/>
          <w:sz w:val="24"/>
        </w:rPr>
        <w:t xml:space="preserve"> w pro</w:t>
      </w:r>
      <w:r>
        <w:rPr>
          <w:rFonts w:ascii="Times New Roman" w:hAnsi="Times New Roman"/>
          <w:noProof/>
          <w:sz w:val="24"/>
        </w:rPr>
        <w:t>jekcie NorthStorePlus,</w:t>
      </w:r>
      <w:r w:rsidR="0076371C">
        <w:rPr>
          <w:rFonts w:ascii="Times New Roman" w:hAnsi="Times New Roman"/>
          <w:noProof/>
          <w:sz w:val="24"/>
        </w:rPr>
        <w:t xml:space="preserve"> w ram</w:t>
      </w:r>
      <w:r>
        <w:rPr>
          <w:rFonts w:ascii="Times New Roman" w:hAnsi="Times New Roman"/>
          <w:noProof/>
          <w:sz w:val="24"/>
        </w:rPr>
        <w:t>ach którego produkowane będą (poprzez budowę dwóch wyspecjalizowanych fabryk – jednej</w:t>
      </w:r>
      <w:r w:rsidR="0076371C">
        <w:rPr>
          <w:rFonts w:ascii="Times New Roman" w:hAnsi="Times New Roman"/>
          <w:noProof/>
          <w:sz w:val="24"/>
        </w:rPr>
        <w:t xml:space="preserve"> w Szw</w:t>
      </w:r>
      <w:r>
        <w:rPr>
          <w:rFonts w:ascii="Times New Roman" w:hAnsi="Times New Roman"/>
          <w:noProof/>
          <w:sz w:val="24"/>
        </w:rPr>
        <w:t>ecji</w:t>
      </w:r>
      <w:r w:rsidR="0076371C">
        <w:rPr>
          <w:rFonts w:ascii="Times New Roman" w:hAnsi="Times New Roman"/>
          <w:noProof/>
          <w:sz w:val="24"/>
        </w:rPr>
        <w:t xml:space="preserve"> i jed</w:t>
      </w:r>
      <w:r>
        <w:rPr>
          <w:rFonts w:ascii="Times New Roman" w:hAnsi="Times New Roman"/>
          <w:noProof/>
          <w:sz w:val="24"/>
        </w:rPr>
        <w:t>nej</w:t>
      </w:r>
      <w:r w:rsidR="0076371C">
        <w:rPr>
          <w:rFonts w:ascii="Times New Roman" w:hAnsi="Times New Roman"/>
          <w:noProof/>
          <w:sz w:val="24"/>
        </w:rPr>
        <w:t xml:space="preserve"> w Pol</w:t>
      </w:r>
      <w:r>
        <w:rPr>
          <w:rFonts w:ascii="Times New Roman" w:hAnsi="Times New Roman"/>
          <w:noProof/>
          <w:sz w:val="24"/>
        </w:rPr>
        <w:t>sce) baterie litowo-jonowe</w:t>
      </w:r>
      <w:r w:rsidR="0076371C">
        <w:rPr>
          <w:rFonts w:ascii="Times New Roman" w:hAnsi="Times New Roman"/>
          <w:noProof/>
          <w:sz w:val="24"/>
        </w:rPr>
        <w:t xml:space="preserve"> o łąc</w:t>
      </w:r>
      <w:r>
        <w:rPr>
          <w:rFonts w:ascii="Times New Roman" w:hAnsi="Times New Roman"/>
          <w:noProof/>
          <w:sz w:val="24"/>
        </w:rPr>
        <w:t>znej mocy 6 GW na potrzeby świadczenia usług na rzecz sieci elektroenergetycznej</w:t>
      </w:r>
      <w:r w:rsidR="0076371C">
        <w:rPr>
          <w:rFonts w:ascii="Times New Roman" w:hAnsi="Times New Roman"/>
          <w:noProof/>
          <w:sz w:val="24"/>
        </w:rPr>
        <w:t>. W ram</w:t>
      </w:r>
      <w:r>
        <w:rPr>
          <w:rFonts w:ascii="Times New Roman" w:hAnsi="Times New Roman"/>
          <w:noProof/>
          <w:sz w:val="24"/>
        </w:rPr>
        <w:t>ach projektu powstanie akumulator</w:t>
      </w:r>
      <w:r w:rsidR="0076371C">
        <w:rPr>
          <w:rFonts w:ascii="Times New Roman" w:hAnsi="Times New Roman"/>
          <w:noProof/>
          <w:sz w:val="24"/>
        </w:rPr>
        <w:t xml:space="preserve"> o wys</w:t>
      </w:r>
      <w:r>
        <w:rPr>
          <w:rFonts w:ascii="Times New Roman" w:hAnsi="Times New Roman"/>
          <w:noProof/>
          <w:sz w:val="24"/>
        </w:rPr>
        <w:t>okiej zawartości niklu, pierwotnie zaprojektowany dla sektora motoryzacyjnego, choć</w:t>
      </w:r>
      <w:r w:rsidR="0076371C">
        <w:rPr>
          <w:rFonts w:ascii="Times New Roman" w:hAnsi="Times New Roman"/>
          <w:noProof/>
          <w:sz w:val="24"/>
        </w:rPr>
        <w:t xml:space="preserve"> o wię</w:t>
      </w:r>
      <w:r>
        <w:rPr>
          <w:rFonts w:ascii="Times New Roman" w:hAnsi="Times New Roman"/>
          <w:noProof/>
          <w:sz w:val="24"/>
        </w:rPr>
        <w:t xml:space="preserve">kszej gęstości energii. </w:t>
      </w:r>
    </w:p>
    <w:p w14:paraId="7C926DDF" w14:textId="77777777" w:rsidR="004D5024" w:rsidRPr="008021A2" w:rsidRDefault="004D5024" w:rsidP="004D5024">
      <w:pPr>
        <w:pStyle w:val="Nagwek3"/>
        <w:framePr w:wrap="auto" w:vAnchor="margin" w:yAlign="inline"/>
        <w:jc w:val="both"/>
        <w:rPr>
          <w:rFonts w:cs="Times New Roman"/>
          <w:i/>
          <w:noProof/>
        </w:rPr>
      </w:pPr>
      <w:bookmarkStart w:id="27" w:name="_Toc150504463"/>
      <w:r>
        <w:rPr>
          <w:i/>
          <w:caps w:val="0"/>
          <w:noProof/>
        </w:rPr>
        <w:t>Poziom zaawansowania</w:t>
      </w:r>
      <w:bookmarkEnd w:id="27"/>
    </w:p>
    <w:p w14:paraId="188DFBE6" w14:textId="424794D2"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Zaproszenia do składania wniosków</w:t>
      </w:r>
      <w:r w:rsidR="0076371C">
        <w:rPr>
          <w:rFonts w:ascii="Times New Roman" w:hAnsi="Times New Roman"/>
          <w:noProof/>
          <w:sz w:val="24"/>
        </w:rPr>
        <w:t xml:space="preserve"> w ram</w:t>
      </w:r>
      <w:r>
        <w:rPr>
          <w:rFonts w:ascii="Times New Roman" w:hAnsi="Times New Roman"/>
          <w:noProof/>
          <w:sz w:val="24"/>
        </w:rPr>
        <w:t>ach funduszu innowacyjnego są ukierunkowane na wsparcie projektów</w:t>
      </w:r>
      <w:r w:rsidR="0076371C">
        <w:rPr>
          <w:rFonts w:ascii="Times New Roman" w:hAnsi="Times New Roman"/>
          <w:noProof/>
          <w:sz w:val="24"/>
        </w:rPr>
        <w:t xml:space="preserve"> w zak</w:t>
      </w:r>
      <w:r>
        <w:rPr>
          <w:rFonts w:ascii="Times New Roman" w:hAnsi="Times New Roman"/>
          <w:noProof/>
          <w:sz w:val="24"/>
        </w:rPr>
        <w:t>resie czystych technologii</w:t>
      </w:r>
      <w:r w:rsidR="0076371C">
        <w:rPr>
          <w:rFonts w:ascii="Times New Roman" w:hAnsi="Times New Roman"/>
          <w:noProof/>
          <w:sz w:val="24"/>
        </w:rPr>
        <w:t xml:space="preserve"> o wys</w:t>
      </w:r>
      <w:r>
        <w:rPr>
          <w:rFonts w:ascii="Times New Roman" w:hAnsi="Times New Roman"/>
          <w:noProof/>
          <w:sz w:val="24"/>
        </w:rPr>
        <w:t>okim poziomie zaawansowania finansowego</w:t>
      </w:r>
      <w:r w:rsidR="0076371C">
        <w:rPr>
          <w:rFonts w:ascii="Times New Roman" w:hAnsi="Times New Roman"/>
          <w:noProof/>
          <w:sz w:val="24"/>
        </w:rPr>
        <w:t xml:space="preserve"> i biz</w:t>
      </w:r>
      <w:r>
        <w:rPr>
          <w:rFonts w:ascii="Times New Roman" w:hAnsi="Times New Roman"/>
          <w:noProof/>
          <w:sz w:val="24"/>
        </w:rPr>
        <w:t>nesowego,</w:t>
      </w:r>
      <w:r w:rsidR="0076371C">
        <w:rPr>
          <w:rFonts w:ascii="Times New Roman" w:hAnsi="Times New Roman"/>
          <w:noProof/>
          <w:sz w:val="24"/>
        </w:rPr>
        <w:t xml:space="preserve"> w wia</w:t>
      </w:r>
      <w:r>
        <w:rPr>
          <w:rFonts w:ascii="Times New Roman" w:hAnsi="Times New Roman"/>
          <w:noProof/>
          <w:sz w:val="24"/>
        </w:rPr>
        <w:t>rygodny sposób dowodzącym, iż projekty te mogą być realizowane</w:t>
      </w:r>
      <w:r w:rsidR="0076371C">
        <w:rPr>
          <w:rFonts w:ascii="Times New Roman" w:hAnsi="Times New Roman"/>
          <w:noProof/>
          <w:sz w:val="24"/>
        </w:rPr>
        <w:t xml:space="preserve"> w per</w:t>
      </w:r>
      <w:r>
        <w:rPr>
          <w:rFonts w:ascii="Times New Roman" w:hAnsi="Times New Roman"/>
          <w:noProof/>
          <w:sz w:val="24"/>
        </w:rPr>
        <w:t>spektywie krótkoterminowej. Projekty ocenia się pod kątem prawdopodobieństwa osiągnięcia przez nie dwóch kluczowych kamieni milowych: (i) zamknięcia finansowego</w:t>
      </w:r>
      <w:r w:rsidR="0076371C">
        <w:rPr>
          <w:rFonts w:ascii="Times New Roman" w:hAnsi="Times New Roman"/>
          <w:noProof/>
          <w:sz w:val="24"/>
        </w:rPr>
        <w:t xml:space="preserve"> w cią</w:t>
      </w:r>
      <w:r>
        <w:rPr>
          <w:rFonts w:ascii="Times New Roman" w:hAnsi="Times New Roman"/>
          <w:noProof/>
          <w:sz w:val="24"/>
        </w:rPr>
        <w:t>gu maksymalnie czterech lat od podpisania umowy</w:t>
      </w:r>
      <w:r w:rsidR="0076371C">
        <w:rPr>
          <w:rFonts w:ascii="Times New Roman" w:hAnsi="Times New Roman"/>
          <w:noProof/>
          <w:sz w:val="24"/>
        </w:rPr>
        <w:t xml:space="preserve"> o udz</w:t>
      </w:r>
      <w:r>
        <w:rPr>
          <w:rFonts w:ascii="Times New Roman" w:hAnsi="Times New Roman"/>
          <w:noProof/>
          <w:sz w:val="24"/>
        </w:rPr>
        <w:t>ielenie dotacji; oraz (ii) rozpoczęcia eksploatacji.</w:t>
      </w:r>
    </w:p>
    <w:p w14:paraId="1A057203" w14:textId="69EF76C0"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Do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średni czas potrzebny na osiągnięcie zamknięcia finansowego od chwili rozpoczęcia wybranych projektów wynosił 23 miesiące</w:t>
      </w:r>
      <w:r w:rsidR="0076371C">
        <w:rPr>
          <w:rFonts w:ascii="Times New Roman" w:hAnsi="Times New Roman"/>
          <w:noProof/>
          <w:sz w:val="24"/>
        </w:rPr>
        <w:t xml:space="preserve"> w prz</w:t>
      </w:r>
      <w:r>
        <w:rPr>
          <w:rFonts w:ascii="Times New Roman" w:hAnsi="Times New Roman"/>
          <w:noProof/>
          <w:sz w:val="24"/>
        </w:rPr>
        <w:t>ypadku projektów na dużą skalę</w:t>
      </w:r>
      <w:r w:rsidR="0076371C">
        <w:rPr>
          <w:rFonts w:ascii="Times New Roman" w:hAnsi="Times New Roman"/>
          <w:noProof/>
          <w:sz w:val="24"/>
        </w:rPr>
        <w:t xml:space="preserve"> i 1</w:t>
      </w:r>
      <w:r>
        <w:rPr>
          <w:rFonts w:ascii="Times New Roman" w:hAnsi="Times New Roman"/>
          <w:noProof/>
          <w:sz w:val="24"/>
        </w:rPr>
        <w:t>6</w:t>
      </w:r>
      <w:r w:rsidR="0076371C">
        <w:rPr>
          <w:rFonts w:ascii="Times New Roman" w:hAnsi="Times New Roman"/>
          <w:noProof/>
          <w:sz w:val="24"/>
        </w:rPr>
        <w:t xml:space="preserve"> w prz</w:t>
      </w:r>
      <w:r>
        <w:rPr>
          <w:rFonts w:ascii="Times New Roman" w:hAnsi="Times New Roman"/>
          <w:noProof/>
          <w:sz w:val="24"/>
        </w:rPr>
        <w:t>ypadku projektów na małą skalę, natomiast czas potrzebny na rozpoczęcie eksploatacji wynosi 53 miesiące</w:t>
      </w:r>
      <w:r w:rsidR="0076371C">
        <w:rPr>
          <w:rFonts w:ascii="Times New Roman" w:hAnsi="Times New Roman"/>
          <w:noProof/>
          <w:sz w:val="24"/>
        </w:rPr>
        <w:t xml:space="preserve"> w prz</w:t>
      </w:r>
      <w:r>
        <w:rPr>
          <w:rFonts w:ascii="Times New Roman" w:hAnsi="Times New Roman"/>
          <w:noProof/>
          <w:sz w:val="24"/>
        </w:rPr>
        <w:t>ypadku projektów na dużą skalę</w:t>
      </w:r>
      <w:r w:rsidR="0076371C">
        <w:rPr>
          <w:rFonts w:ascii="Times New Roman" w:hAnsi="Times New Roman"/>
          <w:noProof/>
          <w:sz w:val="24"/>
        </w:rPr>
        <w:t xml:space="preserve"> i 3</w:t>
      </w:r>
      <w:r>
        <w:rPr>
          <w:rFonts w:ascii="Times New Roman" w:hAnsi="Times New Roman"/>
          <w:noProof/>
          <w:sz w:val="24"/>
        </w:rPr>
        <w:t>1 miesięcy</w:t>
      </w:r>
      <w:r w:rsidR="0076371C">
        <w:rPr>
          <w:rFonts w:ascii="Times New Roman" w:hAnsi="Times New Roman"/>
          <w:noProof/>
          <w:sz w:val="24"/>
        </w:rPr>
        <w:t xml:space="preserve"> w prz</w:t>
      </w:r>
      <w:r>
        <w:rPr>
          <w:rFonts w:ascii="Times New Roman" w:hAnsi="Times New Roman"/>
          <w:noProof/>
          <w:sz w:val="24"/>
        </w:rPr>
        <w:t xml:space="preserve">ypadku projektów na małą skalę, jak widać na </w:t>
      </w:r>
      <w:r w:rsidRPr="002001C0">
        <w:rPr>
          <w:rFonts w:ascii="Times New Roman" w:hAnsi="Times New Roman"/>
          <w:noProof/>
          <w:sz w:val="24"/>
        </w:rPr>
        <w:t>rys.</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6</w:t>
      </w:r>
      <w:r w:rsidR="0076371C">
        <w:rPr>
          <w:rFonts w:ascii="Times New Roman" w:hAnsi="Times New Roman"/>
          <w:noProof/>
          <w:sz w:val="24"/>
        </w:rPr>
        <w:t xml:space="preserve"> i 2</w:t>
      </w:r>
      <w:r>
        <w:rPr>
          <w:rFonts w:ascii="Times New Roman" w:hAnsi="Times New Roman"/>
          <w:noProof/>
          <w:sz w:val="24"/>
        </w:rPr>
        <w:t>7. Te dłuższe terminy potrzebne</w:t>
      </w:r>
      <w:r w:rsidR="0076371C">
        <w:rPr>
          <w:rFonts w:ascii="Times New Roman" w:hAnsi="Times New Roman"/>
          <w:noProof/>
          <w:sz w:val="24"/>
        </w:rPr>
        <w:t xml:space="preserve"> w prz</w:t>
      </w:r>
      <w:r>
        <w:rPr>
          <w:rFonts w:ascii="Times New Roman" w:hAnsi="Times New Roman"/>
          <w:noProof/>
          <w:sz w:val="24"/>
        </w:rPr>
        <w:t>ypadku projektów na większą skalę wynikają</w:t>
      </w:r>
      <w:r w:rsidR="0076371C">
        <w:rPr>
          <w:rFonts w:ascii="Times New Roman" w:hAnsi="Times New Roman"/>
          <w:noProof/>
          <w:sz w:val="24"/>
        </w:rPr>
        <w:t xml:space="preserve"> z wię</w:t>
      </w:r>
      <w:r>
        <w:rPr>
          <w:rFonts w:ascii="Times New Roman" w:hAnsi="Times New Roman"/>
          <w:noProof/>
          <w:sz w:val="24"/>
        </w:rPr>
        <w:t>kszej ich złożoności.</w:t>
      </w:r>
    </w:p>
    <w:p w14:paraId="5DF38D31" w14:textId="07CFDBA5"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czasie opracowywania niniejszego sprawozdania: (i)</w:t>
      </w:r>
      <w:r w:rsidR="0076371C">
        <w:rPr>
          <w:rFonts w:ascii="Times New Roman" w:hAnsi="Times New Roman"/>
          <w:noProof/>
          <w:sz w:val="24"/>
        </w:rPr>
        <w:t xml:space="preserve"> w 7</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projektów zamknięcie finansowe miało zostać osiągnięte do drugiego kwartału 20</w:t>
      </w:r>
      <w:r w:rsidRPr="002001C0">
        <w:rPr>
          <w:rFonts w:ascii="Times New Roman" w:hAnsi="Times New Roman"/>
          <w:noProof/>
          <w:sz w:val="24"/>
        </w:rPr>
        <w:t>24</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(ii)</w:t>
      </w:r>
      <w:r w:rsidR="0076371C">
        <w:rPr>
          <w:rFonts w:ascii="Times New Roman" w:hAnsi="Times New Roman"/>
          <w:noProof/>
          <w:sz w:val="24"/>
        </w:rPr>
        <w:t xml:space="preserve"> w 8</w:t>
      </w:r>
      <w:r w:rsidRPr="002001C0">
        <w:rPr>
          <w:rFonts w:ascii="Times New Roman" w:hAnsi="Times New Roman"/>
          <w:noProof/>
          <w:sz w:val="24"/>
        </w:rPr>
        <w:t>4</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projektów rozpoczęcie eksploatacji miało nastąpić na początku 20</w:t>
      </w:r>
      <w:r w:rsidRPr="002001C0">
        <w:rPr>
          <w:rFonts w:ascii="Times New Roman" w:hAnsi="Times New Roman"/>
          <w:noProof/>
          <w:sz w:val="24"/>
        </w:rPr>
        <w:t>27</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oraz (iii) rozpoczęcie eksploatacji wszystkich projektów miało nastąpić przed końcem 20</w:t>
      </w:r>
      <w:r w:rsidRPr="002001C0">
        <w:rPr>
          <w:rFonts w:ascii="Times New Roman" w:hAnsi="Times New Roman"/>
          <w:noProof/>
          <w:sz w:val="24"/>
        </w:rPr>
        <w:t>28</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rPr>
        <w:t xml:space="preserve"> </w:t>
      </w:r>
      <w:r>
        <w:rPr>
          <w:rFonts w:ascii="Times New Roman" w:hAnsi="Times New Roman"/>
          <w:noProof/>
          <w:sz w:val="24"/>
        </w:rPr>
        <w:t>Zapewni to nie tylko redukcję emisji przed końcem dekady, lecz także pokaże, iż szereg technologii dekarbonizacji może przyczyniać się do transformacji sektora energetycznego</w:t>
      </w:r>
      <w:r w:rsidR="0076371C">
        <w:rPr>
          <w:rFonts w:ascii="Times New Roman" w:hAnsi="Times New Roman"/>
          <w:noProof/>
          <w:sz w:val="24"/>
        </w:rPr>
        <w:t xml:space="preserve"> i prz</w:t>
      </w:r>
      <w:r>
        <w:rPr>
          <w:rFonts w:ascii="Times New Roman" w:hAnsi="Times New Roman"/>
          <w:noProof/>
          <w:sz w:val="24"/>
        </w:rPr>
        <w:t>emysłowego europejskiej gospodarki.</w:t>
      </w:r>
    </w:p>
    <w:p w14:paraId="637C822A" w14:textId="77777777" w:rsidR="004D5024" w:rsidRPr="008021A2" w:rsidRDefault="004D5024" w:rsidP="004D5024">
      <w:pPr>
        <w:jc w:val="both"/>
        <w:rPr>
          <w:rFonts w:ascii="Times New Roman" w:hAnsi="Times New Roman" w:cs="Times New Roman"/>
          <w:noProof/>
          <w:sz w:val="24"/>
        </w:rPr>
      </w:pPr>
    </w:p>
    <w:p w14:paraId="3A9A7EA4" w14:textId="7105D64B" w:rsidR="004D5024" w:rsidRPr="008021A2" w:rsidRDefault="004D5024" w:rsidP="004D5024">
      <w:pPr>
        <w:pStyle w:val="Legenda"/>
        <w:keepNext/>
        <w:jc w:val="both"/>
        <w:rPr>
          <w:rFonts w:cs="Times New Roman"/>
          <w:noProof/>
        </w:rPr>
      </w:pPr>
      <w:r>
        <w:rPr>
          <w:noProof/>
        </w:rPr>
        <w:lastRenderedPageBreak/>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27</w:t>
      </w:r>
      <w:r>
        <w:rPr>
          <w:rFonts w:cs="Times New Roman"/>
          <w:noProof/>
        </w:rPr>
        <w:fldChar w:fldCharType="end"/>
      </w:r>
      <w:r>
        <w:rPr>
          <w:noProof/>
        </w:rPr>
        <w:t>: Planowana data zamknięcia finansowego</w:t>
      </w:r>
      <w:r w:rsidR="0076371C">
        <w:rPr>
          <w:noProof/>
        </w:rPr>
        <w:t xml:space="preserve"> w wyb</w:t>
      </w:r>
      <w:r>
        <w:rPr>
          <w:noProof/>
        </w:rPr>
        <w:t>ranych projektach</w:t>
      </w:r>
    </w:p>
    <w:p w14:paraId="53F93D4F" w14:textId="3E23D1BE" w:rsidR="004D5024" w:rsidRPr="008021A2" w:rsidRDefault="00574F36" w:rsidP="004D5024">
      <w:pPr>
        <w:jc w:val="both"/>
        <w:rPr>
          <w:rFonts w:ascii="Times New Roman" w:hAnsi="Times New Roman" w:cs="Times New Roman"/>
          <w:noProof/>
          <w:sz w:val="24"/>
        </w:rPr>
      </w:pPr>
      <w:r w:rsidRPr="00CB1C6E">
        <w:rPr>
          <w:rFonts w:ascii="Times New Roman" w:hAnsi="Times New Roman"/>
          <w:noProof/>
          <w:sz w:val="24"/>
          <w:lang w:val="en-GB" w:eastAsia="en-GB"/>
        </w:rPr>
        <w:drawing>
          <wp:inline distT="0" distB="0" distL="0" distR="0" wp14:anchorId="4C932B2E" wp14:editId="24CF4200">
            <wp:extent cx="5731510" cy="2978150"/>
            <wp:effectExtent l="0" t="0" r="2540" b="0"/>
            <wp:docPr id="58120498" name="Obraz 1" descr="Obraz zawierający tekst, zrzut ekranu, Czcionk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0498" name="Obraz 1" descr="Obraz zawierający tekst, zrzut ekranu, Czcionka, Wykres&#10;&#10;Opis wygenerowany automatycznie"/>
                    <pic:cNvPicPr/>
                  </pic:nvPicPr>
                  <pic:blipFill>
                    <a:blip r:embed="rId43"/>
                    <a:stretch>
                      <a:fillRect/>
                    </a:stretch>
                  </pic:blipFill>
                  <pic:spPr>
                    <a:xfrm>
                      <a:off x="0" y="0"/>
                      <a:ext cx="5731510" cy="2978150"/>
                    </a:xfrm>
                    <a:prstGeom prst="rect">
                      <a:avLst/>
                    </a:prstGeom>
                  </pic:spPr>
                </pic:pic>
              </a:graphicData>
            </a:graphic>
          </wp:inline>
        </w:drawing>
      </w:r>
    </w:p>
    <w:p w14:paraId="1BB1D079" w14:textId="26648CB4" w:rsidR="004D5024" w:rsidRPr="008021A2" w:rsidRDefault="004D5024" w:rsidP="004D5024">
      <w:pPr>
        <w:pStyle w:val="Legenda"/>
        <w:keepNext/>
        <w:jc w:val="both"/>
        <w:rPr>
          <w:rFonts w:cs="Times New Roman"/>
          <w:noProof/>
        </w:rPr>
      </w:pPr>
      <w:r>
        <w:rPr>
          <w:noProof/>
        </w:rPr>
        <w:t xml:space="preserve">Rys. </w:t>
      </w:r>
      <w:r>
        <w:rPr>
          <w:rFonts w:cs="Times New Roman"/>
          <w:noProof/>
        </w:rPr>
        <w:fldChar w:fldCharType="begin"/>
      </w:r>
      <w:r>
        <w:rPr>
          <w:rFonts w:cs="Times New Roman"/>
          <w:noProof/>
        </w:rPr>
        <w:instrText>SEQ Figure \* ARABIC</w:instrText>
      </w:r>
      <w:r>
        <w:rPr>
          <w:rFonts w:cs="Times New Roman"/>
          <w:noProof/>
        </w:rPr>
        <w:fldChar w:fldCharType="separate"/>
      </w:r>
      <w:r w:rsidR="00574F36">
        <w:rPr>
          <w:rFonts w:cs="Times New Roman"/>
          <w:noProof/>
        </w:rPr>
        <w:t>28</w:t>
      </w:r>
      <w:r>
        <w:rPr>
          <w:rFonts w:cs="Times New Roman"/>
          <w:noProof/>
        </w:rPr>
        <w:fldChar w:fldCharType="end"/>
      </w:r>
      <w:r>
        <w:rPr>
          <w:noProof/>
        </w:rPr>
        <w:t>: Planowana data rozpoczęcia eksploatacji</w:t>
      </w:r>
      <w:r w:rsidR="0076371C">
        <w:rPr>
          <w:noProof/>
        </w:rPr>
        <w:t xml:space="preserve"> w prz</w:t>
      </w:r>
      <w:r>
        <w:rPr>
          <w:noProof/>
        </w:rPr>
        <w:t>ypadku wybranych projektów</w:t>
      </w:r>
    </w:p>
    <w:p w14:paraId="42C12F75" w14:textId="322DB234" w:rsidR="004D5024" w:rsidRPr="008021A2" w:rsidRDefault="00574F36" w:rsidP="004D5024">
      <w:pPr>
        <w:jc w:val="both"/>
        <w:rPr>
          <w:rFonts w:ascii="Times New Roman" w:hAnsi="Times New Roman" w:cs="Times New Roman"/>
          <w:noProof/>
          <w:sz w:val="24"/>
        </w:rPr>
      </w:pPr>
      <w:r w:rsidRPr="00CB1C6E">
        <w:rPr>
          <w:rFonts w:ascii="Times New Roman" w:hAnsi="Times New Roman"/>
          <w:noProof/>
          <w:sz w:val="24"/>
          <w:lang w:val="en-GB" w:eastAsia="en-GB"/>
        </w:rPr>
        <w:drawing>
          <wp:inline distT="0" distB="0" distL="0" distR="0" wp14:anchorId="394EA587" wp14:editId="79B0DEE2">
            <wp:extent cx="5731510" cy="2592070"/>
            <wp:effectExtent l="0" t="0" r="2540" b="0"/>
            <wp:docPr id="438401726" name="Obraz 1" descr="Obraz zawierający tekst, zrzut ekranu, Czcionk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01726" name="Obraz 1" descr="Obraz zawierający tekst, zrzut ekranu, Czcionka, Wykres&#10;&#10;Opis wygenerowany automatycznie"/>
                    <pic:cNvPicPr/>
                  </pic:nvPicPr>
                  <pic:blipFill>
                    <a:blip r:embed="rId44"/>
                    <a:stretch>
                      <a:fillRect/>
                    </a:stretch>
                  </pic:blipFill>
                  <pic:spPr>
                    <a:xfrm>
                      <a:off x="0" y="0"/>
                      <a:ext cx="5731510" cy="2592070"/>
                    </a:xfrm>
                    <a:prstGeom prst="rect">
                      <a:avLst/>
                    </a:prstGeom>
                  </pic:spPr>
                </pic:pic>
              </a:graphicData>
            </a:graphic>
          </wp:inline>
        </w:drawing>
      </w:r>
    </w:p>
    <w:p w14:paraId="084662C4" w14:textId="221AD8A9"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niektórych przypadkach samo wsparcie funduszu innowacyjnego może być wystarczające do terminowej realizacji projektów. Dotyczy to</w:t>
      </w:r>
      <w:r w:rsidR="0076371C">
        <w:rPr>
          <w:rFonts w:ascii="Times New Roman" w:hAnsi="Times New Roman"/>
          <w:noProof/>
          <w:sz w:val="24"/>
        </w:rPr>
        <w:t xml:space="preserve"> w szc</w:t>
      </w:r>
      <w:r>
        <w:rPr>
          <w:rFonts w:ascii="Times New Roman" w:hAnsi="Times New Roman"/>
          <w:noProof/>
          <w:sz w:val="24"/>
        </w:rPr>
        <w:t>zególności sytuacji,</w:t>
      </w:r>
      <w:r w:rsidR="0076371C">
        <w:rPr>
          <w:rFonts w:ascii="Times New Roman" w:hAnsi="Times New Roman"/>
          <w:noProof/>
          <w:sz w:val="24"/>
        </w:rPr>
        <w:t xml:space="preserve"> w któ</w:t>
      </w:r>
      <w:r>
        <w:rPr>
          <w:rFonts w:ascii="Times New Roman" w:hAnsi="Times New Roman"/>
          <w:noProof/>
          <w:sz w:val="24"/>
        </w:rPr>
        <w:t>rej oczekuje się, że projekty: (i) przyniosą wystarczające przychody (w tym poza okresem uwzględnionym przy obliczaniu odpowiednich kosztów); (ii) wytworzą synergię</w:t>
      </w:r>
      <w:r w:rsidR="0076371C">
        <w:rPr>
          <w:rFonts w:ascii="Times New Roman" w:hAnsi="Times New Roman"/>
          <w:noProof/>
          <w:sz w:val="24"/>
        </w:rPr>
        <w:t xml:space="preserve"> z inn</w:t>
      </w:r>
      <w:r>
        <w:rPr>
          <w:rFonts w:ascii="Times New Roman" w:hAnsi="Times New Roman"/>
          <w:noProof/>
          <w:sz w:val="24"/>
        </w:rPr>
        <w:t>ymi działaniami koordynatorów projektów; lub (iii) przyciągną zewnętrzne finansowanie prywatne</w:t>
      </w:r>
      <w:r w:rsidR="0076371C">
        <w:rPr>
          <w:rFonts w:ascii="Times New Roman" w:hAnsi="Times New Roman"/>
          <w:noProof/>
          <w:sz w:val="24"/>
        </w:rPr>
        <w:t>. W nie</w:t>
      </w:r>
      <w:r>
        <w:rPr>
          <w:rFonts w:ascii="Times New Roman" w:hAnsi="Times New Roman"/>
          <w:noProof/>
          <w:sz w:val="24"/>
        </w:rPr>
        <w:t>których przypadkach projekty mogą wymagać zabezpieczenia innych środków publicznych, takich jak pomoc państwa lub wsparcie</w:t>
      </w:r>
      <w:r w:rsidR="0076371C">
        <w:rPr>
          <w:rFonts w:ascii="Times New Roman" w:hAnsi="Times New Roman"/>
          <w:noProof/>
          <w:sz w:val="24"/>
        </w:rPr>
        <w:t xml:space="preserve"> z inn</w:t>
      </w:r>
      <w:r>
        <w:rPr>
          <w:rFonts w:ascii="Times New Roman" w:hAnsi="Times New Roman"/>
          <w:noProof/>
          <w:sz w:val="24"/>
        </w:rPr>
        <w:t>ych unijnych programów finansowania, które to środki nie stanowią pomocy państwa (ogółem uznawane są za „wsparcie publiczne”). Ponieważ regularne zaproszenia do składania wniosków</w:t>
      </w:r>
      <w:r w:rsidR="0076371C">
        <w:rPr>
          <w:rFonts w:ascii="Times New Roman" w:hAnsi="Times New Roman"/>
          <w:noProof/>
          <w:sz w:val="24"/>
        </w:rPr>
        <w:t xml:space="preserve"> w ram</w:t>
      </w:r>
      <w:r>
        <w:rPr>
          <w:rFonts w:ascii="Times New Roman" w:hAnsi="Times New Roman"/>
          <w:noProof/>
          <w:sz w:val="24"/>
        </w:rPr>
        <w:t>ach funduszu innowacyjnego umożliwiają kumulację wsparcia</w:t>
      </w:r>
      <w:r w:rsidR="0076371C">
        <w:rPr>
          <w:rFonts w:ascii="Times New Roman" w:hAnsi="Times New Roman"/>
          <w:noProof/>
          <w:sz w:val="24"/>
        </w:rPr>
        <w:t xml:space="preserve"> z pom</w:t>
      </w:r>
      <w:r>
        <w:rPr>
          <w:rFonts w:ascii="Times New Roman" w:hAnsi="Times New Roman"/>
          <w:noProof/>
          <w:sz w:val="24"/>
        </w:rPr>
        <w:t>ocą państwa, ogółem</w:t>
      </w:r>
      <w:r w:rsidR="0076371C">
        <w:rPr>
          <w:rFonts w:ascii="Times New Roman" w:hAnsi="Times New Roman"/>
          <w:noProof/>
          <w:sz w:val="24"/>
        </w:rPr>
        <w:t xml:space="preserve"> w prz</w:t>
      </w:r>
      <w:r>
        <w:rPr>
          <w:rFonts w:ascii="Times New Roman" w:hAnsi="Times New Roman"/>
          <w:noProof/>
          <w:sz w:val="24"/>
        </w:rPr>
        <w:t xml:space="preserve">ypadku 13 </w:t>
      </w:r>
      <w:r w:rsidR="00BF3DBD">
        <w:rPr>
          <w:rFonts w:ascii="Times New Roman" w:hAnsi="Times New Roman"/>
          <w:noProof/>
          <w:sz w:val="24"/>
        </w:rPr>
        <w:t>projektów</w:t>
      </w:r>
      <w:r w:rsidR="0076371C">
        <w:rPr>
          <w:rFonts w:ascii="Times New Roman" w:hAnsi="Times New Roman"/>
          <w:noProof/>
          <w:sz w:val="24"/>
        </w:rPr>
        <w:t xml:space="preserve"> z pro</w:t>
      </w:r>
      <w:r>
        <w:rPr>
          <w:rFonts w:ascii="Times New Roman" w:hAnsi="Times New Roman"/>
          <w:noProof/>
          <w:sz w:val="24"/>
        </w:rPr>
        <w:t>jektów wybranych</w:t>
      </w:r>
      <w:r w:rsidR="0076371C">
        <w:rPr>
          <w:rFonts w:ascii="Times New Roman" w:hAnsi="Times New Roman"/>
          <w:noProof/>
          <w:sz w:val="24"/>
        </w:rPr>
        <w:t xml:space="preserve"> w ram</w:t>
      </w:r>
      <w:r>
        <w:rPr>
          <w:rFonts w:ascii="Times New Roman" w:hAnsi="Times New Roman"/>
          <w:noProof/>
          <w:sz w:val="24"/>
        </w:rPr>
        <w:t>ach LSC-2020 i LSC-2021 zdecydowano się skorzystać</w:t>
      </w:r>
      <w:r w:rsidR="0076371C">
        <w:rPr>
          <w:rFonts w:ascii="Times New Roman" w:hAnsi="Times New Roman"/>
          <w:noProof/>
          <w:sz w:val="24"/>
        </w:rPr>
        <w:t xml:space="preserve"> z teg</w:t>
      </w:r>
      <w:r>
        <w:rPr>
          <w:rFonts w:ascii="Times New Roman" w:hAnsi="Times New Roman"/>
          <w:noProof/>
          <w:sz w:val="24"/>
        </w:rPr>
        <w:t xml:space="preserve">o dodatkowego źródła finansowania. </w:t>
      </w:r>
    </w:p>
    <w:p w14:paraId="0F47A2B7" w14:textId="77777777" w:rsidR="004D5024" w:rsidRPr="008021A2" w:rsidRDefault="004D5024" w:rsidP="004D5024">
      <w:pPr>
        <w:jc w:val="both"/>
        <w:rPr>
          <w:rFonts w:ascii="Times New Roman" w:hAnsi="Times New Roman" w:cs="Times New Roman"/>
          <w:noProof/>
          <w:sz w:val="24"/>
        </w:rPr>
      </w:pPr>
    </w:p>
    <w:p w14:paraId="4A3A1215" w14:textId="77777777" w:rsidR="004D5024" w:rsidRPr="008021A2" w:rsidRDefault="004D5024" w:rsidP="004D5024">
      <w:pPr>
        <w:pStyle w:val="Nagwek2"/>
        <w:framePr w:wrap="auto" w:vAnchor="margin" w:yAlign="inline"/>
        <w:jc w:val="both"/>
        <w:rPr>
          <w:rFonts w:cs="Times New Roman"/>
          <w:b/>
          <w:noProof/>
        </w:rPr>
      </w:pPr>
      <w:bookmarkStart w:id="28" w:name="_Toc150504464"/>
      <w:r>
        <w:rPr>
          <w:b/>
          <w:caps w:val="0"/>
          <w:noProof/>
        </w:rPr>
        <w:t>Wspierane innowacyjne technologie</w:t>
      </w:r>
      <w:bookmarkEnd w:id="28"/>
    </w:p>
    <w:p w14:paraId="30D49409" w14:textId="6CA845D2"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Projekty wybrane do otrzymania wsparcia</w:t>
      </w:r>
      <w:r w:rsidR="0076371C">
        <w:rPr>
          <w:rFonts w:ascii="Times New Roman" w:hAnsi="Times New Roman"/>
          <w:noProof/>
          <w:sz w:val="24"/>
        </w:rPr>
        <w:t xml:space="preserve"> z fun</w:t>
      </w:r>
      <w:r>
        <w:rPr>
          <w:rFonts w:ascii="Times New Roman" w:hAnsi="Times New Roman"/>
          <w:noProof/>
          <w:sz w:val="24"/>
        </w:rPr>
        <w:t>duszu innowacyjnego obejmują wiele innowacji technologicznych, które będą miały kluczowe znaczenie dla dekarbonizacji gospodarki europejskiej</w:t>
      </w:r>
      <w:r w:rsidR="0076371C">
        <w:rPr>
          <w:rFonts w:ascii="Times New Roman" w:hAnsi="Times New Roman"/>
          <w:noProof/>
          <w:sz w:val="24"/>
        </w:rPr>
        <w:t xml:space="preserve"> w nad</w:t>
      </w:r>
      <w:r>
        <w:rPr>
          <w:rFonts w:ascii="Times New Roman" w:hAnsi="Times New Roman"/>
          <w:noProof/>
          <w:sz w:val="24"/>
        </w:rPr>
        <w:t>chodzących latach. Jak wyjaśniono powyżej, projekty objęte wsparciem są sklasyfikowane</w:t>
      </w:r>
      <w:r w:rsidR="0076371C">
        <w:rPr>
          <w:rFonts w:ascii="Times New Roman" w:hAnsi="Times New Roman"/>
          <w:noProof/>
          <w:sz w:val="24"/>
        </w:rPr>
        <w:t xml:space="preserve"> w czt</w:t>
      </w:r>
      <w:r>
        <w:rPr>
          <w:rFonts w:ascii="Times New Roman" w:hAnsi="Times New Roman"/>
          <w:noProof/>
          <w:sz w:val="24"/>
        </w:rPr>
        <w:t>erech kategoriach</w:t>
      </w:r>
      <w:r w:rsidR="0076371C">
        <w:rPr>
          <w:rFonts w:ascii="Times New Roman" w:hAnsi="Times New Roman"/>
          <w:noProof/>
          <w:sz w:val="24"/>
        </w:rPr>
        <w:t xml:space="preserve"> i 1</w:t>
      </w:r>
      <w:r>
        <w:rPr>
          <w:rFonts w:ascii="Times New Roman" w:hAnsi="Times New Roman"/>
          <w:noProof/>
          <w:sz w:val="24"/>
        </w:rPr>
        <w:t>9 sektorach. Niektóre spośród wspieranych technologii przedstawiono</w:t>
      </w:r>
      <w:r w:rsidR="0076371C">
        <w:rPr>
          <w:rFonts w:ascii="Times New Roman" w:hAnsi="Times New Roman"/>
          <w:noProof/>
          <w:sz w:val="24"/>
        </w:rPr>
        <w:t xml:space="preserve"> w pun</w:t>
      </w:r>
      <w:r>
        <w:rPr>
          <w:rFonts w:ascii="Times New Roman" w:hAnsi="Times New Roman"/>
          <w:noProof/>
          <w:sz w:val="24"/>
        </w:rPr>
        <w:t>ktach poniżej.</w:t>
      </w:r>
    </w:p>
    <w:p w14:paraId="663FE007" w14:textId="3719E0D6" w:rsidR="004D5024" w:rsidRPr="008021A2" w:rsidRDefault="004D5024" w:rsidP="004D5024">
      <w:pPr>
        <w:pStyle w:val="Akapitzlist"/>
        <w:numPr>
          <w:ilvl w:val="0"/>
          <w:numId w:val="14"/>
        </w:numPr>
        <w:jc w:val="both"/>
        <w:rPr>
          <w:rFonts w:ascii="Times New Roman" w:hAnsi="Times New Roman" w:cs="Times New Roman"/>
          <w:noProof/>
          <w:sz w:val="24"/>
        </w:rPr>
      </w:pPr>
      <w:r>
        <w:rPr>
          <w:rFonts w:ascii="Times New Roman" w:hAnsi="Times New Roman"/>
          <w:i/>
          <w:noProof/>
          <w:sz w:val="24"/>
        </w:rPr>
        <w:t>Energia ze źródeł odnawialnych</w:t>
      </w:r>
      <w:r>
        <w:rPr>
          <w:rFonts w:ascii="Times New Roman" w:hAnsi="Times New Roman"/>
          <w:noProof/>
          <w:sz w:val="24"/>
        </w:rPr>
        <w:t>:</w:t>
      </w:r>
      <w:r w:rsidR="0076371C">
        <w:rPr>
          <w:rFonts w:ascii="Times New Roman" w:hAnsi="Times New Roman"/>
          <w:noProof/>
          <w:sz w:val="24"/>
        </w:rPr>
        <w:t xml:space="preserve"> w ram</w:t>
      </w:r>
      <w:r>
        <w:rPr>
          <w:rFonts w:ascii="Times New Roman" w:hAnsi="Times New Roman"/>
          <w:noProof/>
          <w:sz w:val="24"/>
        </w:rPr>
        <w:t>ach funduszu innowacyjnego aktywnie wspiera się projekty</w:t>
      </w:r>
      <w:r w:rsidR="0076371C">
        <w:rPr>
          <w:rFonts w:ascii="Times New Roman" w:hAnsi="Times New Roman"/>
          <w:noProof/>
          <w:sz w:val="24"/>
        </w:rPr>
        <w:t xml:space="preserve"> w sek</w:t>
      </w:r>
      <w:r>
        <w:rPr>
          <w:rFonts w:ascii="Times New Roman" w:hAnsi="Times New Roman"/>
          <w:noProof/>
          <w:sz w:val="24"/>
        </w:rPr>
        <w:t>torach energii słonecznej, wiatrowej</w:t>
      </w:r>
      <w:r w:rsidR="0076371C">
        <w:rPr>
          <w:rFonts w:ascii="Times New Roman" w:hAnsi="Times New Roman"/>
          <w:noProof/>
          <w:sz w:val="24"/>
        </w:rPr>
        <w:t xml:space="preserve"> i geo</w:t>
      </w:r>
      <w:r>
        <w:rPr>
          <w:rFonts w:ascii="Times New Roman" w:hAnsi="Times New Roman"/>
          <w:noProof/>
          <w:sz w:val="24"/>
        </w:rPr>
        <w:t>termalnej. Chociaż produkcję energii fotowoltaicznej można już uznać za dojrzałą technologię, nadal istnieje potrzeba podniesienia wydajności</w:t>
      </w:r>
      <w:r w:rsidR="0076371C">
        <w:rPr>
          <w:rFonts w:ascii="Times New Roman" w:hAnsi="Times New Roman"/>
          <w:noProof/>
          <w:sz w:val="24"/>
        </w:rPr>
        <w:t xml:space="preserve"> i kon</w:t>
      </w:r>
      <w:r>
        <w:rPr>
          <w:rFonts w:ascii="Times New Roman" w:hAnsi="Times New Roman"/>
          <w:noProof/>
          <w:sz w:val="24"/>
        </w:rPr>
        <w:t>kurencyjności procesów produkcyjnych</w:t>
      </w:r>
      <w:r w:rsidR="0076371C">
        <w:rPr>
          <w:rFonts w:ascii="Times New Roman" w:hAnsi="Times New Roman"/>
          <w:noProof/>
          <w:sz w:val="24"/>
        </w:rPr>
        <w:t xml:space="preserve"> w tym</w:t>
      </w:r>
      <w:r>
        <w:rPr>
          <w:rFonts w:ascii="Times New Roman" w:hAnsi="Times New Roman"/>
          <w:noProof/>
          <w:sz w:val="24"/>
        </w:rPr>
        <w:t xml:space="preserve"> sektorze</w:t>
      </w:r>
      <w:r w:rsidR="0076371C">
        <w:rPr>
          <w:rFonts w:ascii="Times New Roman" w:hAnsi="Times New Roman"/>
          <w:noProof/>
          <w:sz w:val="24"/>
        </w:rPr>
        <w:t xml:space="preserve"> w Eur</w:t>
      </w:r>
      <w:r>
        <w:rPr>
          <w:rFonts w:ascii="Times New Roman" w:hAnsi="Times New Roman"/>
          <w:noProof/>
          <w:sz w:val="24"/>
        </w:rPr>
        <w:t>opie. Na przykład</w:t>
      </w:r>
      <w:r w:rsidR="0076371C">
        <w:rPr>
          <w:rFonts w:ascii="Times New Roman" w:hAnsi="Times New Roman"/>
          <w:noProof/>
          <w:sz w:val="24"/>
        </w:rPr>
        <w:t xml:space="preserve"> w ram</w:t>
      </w:r>
      <w:r>
        <w:rPr>
          <w:rFonts w:ascii="Times New Roman" w:hAnsi="Times New Roman"/>
          <w:noProof/>
          <w:sz w:val="24"/>
        </w:rPr>
        <w:t>ach projektu TANGO powstanie jeden</w:t>
      </w:r>
      <w:r w:rsidR="0076371C">
        <w:rPr>
          <w:rFonts w:ascii="Times New Roman" w:hAnsi="Times New Roman"/>
          <w:noProof/>
          <w:sz w:val="24"/>
        </w:rPr>
        <w:t xml:space="preserve"> z naj</w:t>
      </w:r>
      <w:r>
        <w:rPr>
          <w:rFonts w:ascii="Times New Roman" w:hAnsi="Times New Roman"/>
          <w:noProof/>
          <w:sz w:val="24"/>
        </w:rPr>
        <w:t>większych zakładów produkcji paneli fotowoltaicznych</w:t>
      </w:r>
      <w:r w:rsidR="0076371C">
        <w:rPr>
          <w:rFonts w:ascii="Times New Roman" w:hAnsi="Times New Roman"/>
          <w:noProof/>
          <w:sz w:val="24"/>
        </w:rPr>
        <w:t xml:space="preserve"> w Eur</w:t>
      </w:r>
      <w:r>
        <w:rPr>
          <w:rFonts w:ascii="Times New Roman" w:hAnsi="Times New Roman"/>
          <w:noProof/>
          <w:sz w:val="24"/>
        </w:rPr>
        <w:t>opie, którego celem będzie wytwarzanie dwustronnych paneli</w:t>
      </w:r>
      <w:r w:rsidR="0076371C">
        <w:rPr>
          <w:rFonts w:ascii="Times New Roman" w:hAnsi="Times New Roman"/>
          <w:noProof/>
          <w:sz w:val="24"/>
        </w:rPr>
        <w:t xml:space="preserve"> o moc</w:t>
      </w:r>
      <w:r>
        <w:rPr>
          <w:rFonts w:ascii="Times New Roman" w:hAnsi="Times New Roman"/>
          <w:noProof/>
          <w:sz w:val="24"/>
        </w:rPr>
        <w:t>y 3 GW rocznie. Panele te będą produkowane</w:t>
      </w:r>
      <w:r w:rsidR="0076371C">
        <w:rPr>
          <w:rFonts w:ascii="Times New Roman" w:hAnsi="Times New Roman"/>
          <w:noProof/>
          <w:sz w:val="24"/>
        </w:rPr>
        <w:t xml:space="preserve"> z wyk</w:t>
      </w:r>
      <w:r>
        <w:rPr>
          <w:rFonts w:ascii="Times New Roman" w:hAnsi="Times New Roman"/>
          <w:noProof/>
          <w:sz w:val="24"/>
        </w:rPr>
        <w:t>orzystaniem technologii heterozłączy, która zwiększa wydajność</w:t>
      </w:r>
      <w:r w:rsidR="0076371C">
        <w:rPr>
          <w:rFonts w:ascii="Times New Roman" w:hAnsi="Times New Roman"/>
          <w:noProof/>
          <w:sz w:val="24"/>
        </w:rPr>
        <w:t xml:space="preserve"> i trw</w:t>
      </w:r>
      <w:r>
        <w:rPr>
          <w:rFonts w:ascii="Times New Roman" w:hAnsi="Times New Roman"/>
          <w:noProof/>
          <w:sz w:val="24"/>
        </w:rPr>
        <w:t>ałość</w:t>
      </w:r>
      <w:r w:rsidR="0076371C">
        <w:rPr>
          <w:rFonts w:ascii="Times New Roman" w:hAnsi="Times New Roman"/>
          <w:noProof/>
          <w:sz w:val="24"/>
        </w:rPr>
        <w:t xml:space="preserve"> w por</w:t>
      </w:r>
      <w:r>
        <w:rPr>
          <w:rFonts w:ascii="Times New Roman" w:hAnsi="Times New Roman"/>
          <w:noProof/>
          <w:sz w:val="24"/>
        </w:rPr>
        <w:t>ównaniu</w:t>
      </w:r>
      <w:r w:rsidR="0076371C">
        <w:rPr>
          <w:rFonts w:ascii="Times New Roman" w:hAnsi="Times New Roman"/>
          <w:noProof/>
          <w:sz w:val="24"/>
        </w:rPr>
        <w:t xml:space="preserve"> z bar</w:t>
      </w:r>
      <w:r>
        <w:rPr>
          <w:rFonts w:ascii="Times New Roman" w:hAnsi="Times New Roman"/>
          <w:noProof/>
          <w:sz w:val="24"/>
        </w:rPr>
        <w:t>dziej tradycyjnymi technologiami</w:t>
      </w:r>
      <w:r w:rsidR="0076371C">
        <w:rPr>
          <w:rFonts w:ascii="Times New Roman" w:hAnsi="Times New Roman"/>
          <w:noProof/>
          <w:sz w:val="24"/>
        </w:rPr>
        <w:t>. W ram</w:t>
      </w:r>
      <w:r>
        <w:rPr>
          <w:rFonts w:ascii="Times New Roman" w:hAnsi="Times New Roman"/>
          <w:noProof/>
          <w:sz w:val="24"/>
        </w:rPr>
        <w:t>ach innego projektu, HELEXIO, opracowane zostaną procesy produkcji lżejszych paneli fotowoltaicznych</w:t>
      </w:r>
      <w:r w:rsidR="0076371C">
        <w:rPr>
          <w:rFonts w:ascii="Times New Roman" w:hAnsi="Times New Roman"/>
          <w:noProof/>
          <w:sz w:val="24"/>
        </w:rPr>
        <w:t xml:space="preserve"> z dłu</w:t>
      </w:r>
      <w:r>
        <w:rPr>
          <w:rFonts w:ascii="Times New Roman" w:hAnsi="Times New Roman"/>
          <w:noProof/>
          <w:sz w:val="24"/>
        </w:rPr>
        <w:t>ższymi modułami, aby ułatwić instalację paneli na większej liczbie rodzajów dachów budynków. Jeśli chodzi</w:t>
      </w:r>
      <w:r w:rsidR="0076371C">
        <w:rPr>
          <w:rFonts w:ascii="Times New Roman" w:hAnsi="Times New Roman"/>
          <w:noProof/>
          <w:sz w:val="24"/>
        </w:rPr>
        <w:t xml:space="preserve"> o ene</w:t>
      </w:r>
      <w:r>
        <w:rPr>
          <w:rFonts w:ascii="Times New Roman" w:hAnsi="Times New Roman"/>
          <w:noProof/>
          <w:sz w:val="24"/>
        </w:rPr>
        <w:t>rgię wiatrową, jeden</w:t>
      </w:r>
      <w:r w:rsidR="0076371C">
        <w:rPr>
          <w:rFonts w:ascii="Times New Roman" w:hAnsi="Times New Roman"/>
          <w:noProof/>
          <w:sz w:val="24"/>
        </w:rPr>
        <w:t xml:space="preserve"> z pro</w:t>
      </w:r>
      <w:r>
        <w:rPr>
          <w:rFonts w:ascii="Times New Roman" w:hAnsi="Times New Roman"/>
          <w:noProof/>
          <w:sz w:val="24"/>
        </w:rPr>
        <w:t>jektów wspieranych</w:t>
      </w:r>
      <w:r w:rsidR="0076371C">
        <w:rPr>
          <w:rFonts w:ascii="Times New Roman" w:hAnsi="Times New Roman"/>
          <w:noProof/>
          <w:sz w:val="24"/>
        </w:rPr>
        <w:t xml:space="preserve"> z fun</w:t>
      </w:r>
      <w:r>
        <w:rPr>
          <w:rFonts w:ascii="Times New Roman" w:hAnsi="Times New Roman"/>
          <w:noProof/>
          <w:sz w:val="24"/>
        </w:rPr>
        <w:t>duszu innowacyjnego dotyczy rozwoju morskich turbin wiatrowych nowej generacji</w:t>
      </w:r>
      <w:r w:rsidR="0076371C">
        <w:rPr>
          <w:rFonts w:ascii="Times New Roman" w:hAnsi="Times New Roman"/>
          <w:noProof/>
          <w:sz w:val="24"/>
        </w:rPr>
        <w:t xml:space="preserve"> w ram</w:t>
      </w:r>
      <w:r>
        <w:rPr>
          <w:rFonts w:ascii="Times New Roman" w:hAnsi="Times New Roman"/>
          <w:noProof/>
          <w:sz w:val="24"/>
        </w:rPr>
        <w:t>ach projektu N2OWF. Projekt ten może zmniejszyć liczbę niezbędnych turbin wiatrowych</w:t>
      </w:r>
      <w:r w:rsidR="0076371C">
        <w:rPr>
          <w:rFonts w:ascii="Times New Roman" w:hAnsi="Times New Roman"/>
          <w:noProof/>
          <w:sz w:val="24"/>
        </w:rPr>
        <w:t xml:space="preserve"> o 4</w:t>
      </w:r>
      <w:r w:rsidRPr="002001C0">
        <w:rPr>
          <w:rFonts w:ascii="Times New Roman" w:hAnsi="Times New Roman"/>
          <w:noProof/>
          <w:sz w:val="24"/>
        </w:rPr>
        <w:t>0</w:t>
      </w:r>
      <w:r w:rsidR="002001C0" w:rsidRPr="002001C0">
        <w:rPr>
          <w:rFonts w:ascii="Times New Roman" w:hAnsi="Times New Roman"/>
          <w:noProof/>
          <w:sz w:val="24"/>
        </w:rPr>
        <w:t> </w:t>
      </w:r>
      <w:r w:rsidRPr="002001C0">
        <w:rPr>
          <w:rFonts w:ascii="Times New Roman" w:hAnsi="Times New Roman"/>
          <w:noProof/>
          <w:sz w:val="24"/>
        </w:rPr>
        <w:t>%</w:t>
      </w:r>
      <w:r w:rsidR="0076371C">
        <w:rPr>
          <w:rFonts w:ascii="Times New Roman" w:hAnsi="Times New Roman"/>
          <w:noProof/>
          <w:sz w:val="24"/>
        </w:rPr>
        <w:t xml:space="preserve"> w por</w:t>
      </w:r>
      <w:r>
        <w:rPr>
          <w:rFonts w:ascii="Times New Roman" w:hAnsi="Times New Roman"/>
          <w:noProof/>
          <w:sz w:val="24"/>
        </w:rPr>
        <w:t>ównaniu</w:t>
      </w:r>
      <w:r w:rsidR="0076371C">
        <w:rPr>
          <w:rFonts w:ascii="Times New Roman" w:hAnsi="Times New Roman"/>
          <w:noProof/>
          <w:sz w:val="24"/>
        </w:rPr>
        <w:t xml:space="preserve"> z kon</w:t>
      </w:r>
      <w:r>
        <w:rPr>
          <w:rFonts w:ascii="Times New Roman" w:hAnsi="Times New Roman"/>
          <w:noProof/>
          <w:sz w:val="24"/>
        </w:rPr>
        <w:t>wencjonalnymi technologiami. Energia geotermalna to kolejny obszar finansowany</w:t>
      </w:r>
      <w:r w:rsidR="0076371C">
        <w:rPr>
          <w:rFonts w:ascii="Times New Roman" w:hAnsi="Times New Roman"/>
          <w:noProof/>
          <w:sz w:val="24"/>
        </w:rPr>
        <w:t xml:space="preserve"> z fun</w:t>
      </w:r>
      <w:r>
        <w:rPr>
          <w:rFonts w:ascii="Times New Roman" w:hAnsi="Times New Roman"/>
          <w:noProof/>
          <w:sz w:val="24"/>
        </w:rPr>
        <w:t>duszu innowacyjnego. Jest to stosunkowo niezagospodarowany zasób, który można wykorzystać do skojarzonego wytwarzania ciepła</w:t>
      </w:r>
      <w:r w:rsidR="0076371C">
        <w:rPr>
          <w:rFonts w:ascii="Times New Roman" w:hAnsi="Times New Roman"/>
          <w:noProof/>
          <w:sz w:val="24"/>
        </w:rPr>
        <w:t xml:space="preserve"> i ene</w:t>
      </w:r>
      <w:r>
        <w:rPr>
          <w:rFonts w:ascii="Times New Roman" w:hAnsi="Times New Roman"/>
          <w:noProof/>
          <w:sz w:val="24"/>
        </w:rPr>
        <w:t>rgii elektrycznej. Potencjał energii geotermalnej można zwiększyć przez wykorzystanie możliwości</w:t>
      </w:r>
      <w:r w:rsidR="0076371C">
        <w:rPr>
          <w:rFonts w:ascii="Times New Roman" w:hAnsi="Times New Roman"/>
          <w:noProof/>
          <w:sz w:val="24"/>
        </w:rPr>
        <w:t xml:space="preserve"> w dzi</w:t>
      </w:r>
      <w:r>
        <w:rPr>
          <w:rFonts w:ascii="Times New Roman" w:hAnsi="Times New Roman"/>
          <w:noProof/>
          <w:sz w:val="24"/>
        </w:rPr>
        <w:t>edzinie sprężonych gazów rozpuszczonych</w:t>
      </w:r>
      <w:r w:rsidR="0076371C">
        <w:rPr>
          <w:rFonts w:ascii="Times New Roman" w:hAnsi="Times New Roman"/>
          <w:noProof/>
          <w:sz w:val="24"/>
        </w:rPr>
        <w:t xml:space="preserve"> w pły</w:t>
      </w:r>
      <w:r>
        <w:rPr>
          <w:rFonts w:ascii="Times New Roman" w:hAnsi="Times New Roman"/>
          <w:noProof/>
          <w:sz w:val="24"/>
        </w:rPr>
        <w:t>nach geotermalnych (np.</w:t>
      </w:r>
      <w:r w:rsidR="0076371C">
        <w:rPr>
          <w:rFonts w:ascii="Times New Roman" w:hAnsi="Times New Roman"/>
          <w:noProof/>
          <w:sz w:val="24"/>
        </w:rPr>
        <w:t xml:space="preserve"> w pro</w:t>
      </w:r>
      <w:r>
        <w:rPr>
          <w:rFonts w:ascii="Times New Roman" w:hAnsi="Times New Roman"/>
          <w:noProof/>
          <w:sz w:val="24"/>
        </w:rPr>
        <w:t>jekcie CCGeo finansowanym</w:t>
      </w:r>
      <w:r w:rsidR="0076371C">
        <w:rPr>
          <w:rFonts w:ascii="Times New Roman" w:hAnsi="Times New Roman"/>
          <w:noProof/>
          <w:sz w:val="24"/>
        </w:rPr>
        <w:t xml:space="preserve"> z fun</w:t>
      </w:r>
      <w:r>
        <w:rPr>
          <w:rFonts w:ascii="Times New Roman" w:hAnsi="Times New Roman"/>
          <w:noProof/>
          <w:sz w:val="24"/>
        </w:rPr>
        <w:t>duszu innowacyjnego) lub przez rozwój głębokich zamkniętych pętli, które pozwolą przezwyciężyć znaczną część ograniczeń geograficznych wiążących się z tą technologią (np.</w:t>
      </w:r>
      <w:r w:rsidR="0076371C">
        <w:rPr>
          <w:rFonts w:ascii="Times New Roman" w:hAnsi="Times New Roman"/>
          <w:noProof/>
          <w:sz w:val="24"/>
        </w:rPr>
        <w:t xml:space="preserve"> w pro</w:t>
      </w:r>
      <w:r>
        <w:rPr>
          <w:rFonts w:ascii="Times New Roman" w:hAnsi="Times New Roman"/>
          <w:noProof/>
          <w:sz w:val="24"/>
        </w:rPr>
        <w:t>jekcie EavorLoop finansowanym</w:t>
      </w:r>
      <w:r w:rsidR="0076371C">
        <w:rPr>
          <w:rFonts w:ascii="Times New Roman" w:hAnsi="Times New Roman"/>
          <w:noProof/>
          <w:sz w:val="24"/>
        </w:rPr>
        <w:t xml:space="preserve"> z fun</w:t>
      </w:r>
      <w:r>
        <w:rPr>
          <w:rFonts w:ascii="Times New Roman" w:hAnsi="Times New Roman"/>
          <w:noProof/>
          <w:sz w:val="24"/>
        </w:rPr>
        <w:t xml:space="preserve">duszu innowacyjnego). Fundusz innowacyjny wspiera również rozwój </w:t>
      </w:r>
      <w:r w:rsidR="008A2F48">
        <w:rPr>
          <w:rFonts w:ascii="Times New Roman" w:hAnsi="Times New Roman"/>
          <w:noProof/>
          <w:sz w:val="24"/>
        </w:rPr>
        <w:t>instalacji grzewczych</w:t>
      </w:r>
      <w:r w:rsidR="0076371C">
        <w:rPr>
          <w:rFonts w:ascii="Times New Roman" w:hAnsi="Times New Roman"/>
          <w:noProof/>
          <w:sz w:val="24"/>
        </w:rPr>
        <w:t xml:space="preserve"> i sys</w:t>
      </w:r>
      <w:r>
        <w:rPr>
          <w:rFonts w:ascii="Times New Roman" w:hAnsi="Times New Roman"/>
          <w:noProof/>
          <w:sz w:val="24"/>
        </w:rPr>
        <w:t>temów chłodzenia, m.in.</w:t>
      </w:r>
      <w:r w:rsidR="0076371C">
        <w:rPr>
          <w:rFonts w:ascii="Times New Roman" w:hAnsi="Times New Roman"/>
          <w:noProof/>
          <w:sz w:val="24"/>
        </w:rPr>
        <w:t xml:space="preserve"> w pro</w:t>
      </w:r>
      <w:r>
        <w:rPr>
          <w:rFonts w:ascii="Times New Roman" w:hAnsi="Times New Roman"/>
          <w:noProof/>
          <w:sz w:val="24"/>
        </w:rPr>
        <w:t>jekcie DMC,</w:t>
      </w:r>
      <w:r w:rsidR="0076371C">
        <w:rPr>
          <w:rFonts w:ascii="Times New Roman" w:hAnsi="Times New Roman"/>
          <w:noProof/>
          <w:sz w:val="24"/>
        </w:rPr>
        <w:t xml:space="preserve"> w ram</w:t>
      </w:r>
      <w:r>
        <w:rPr>
          <w:rFonts w:ascii="Times New Roman" w:hAnsi="Times New Roman"/>
          <w:noProof/>
          <w:sz w:val="24"/>
        </w:rPr>
        <w:t>ach którego wybudowane zostaną ciepłownia fotowoltaiczno-termalna, pompy ciepła oraz instalacja magazynowa służące do dostarczania ciepła ze źródeł odnawialnych na potrzeby energochłonnego procesu produkcji słodu.</w:t>
      </w:r>
    </w:p>
    <w:p w14:paraId="3B8266AD" w14:textId="23A4A536" w:rsidR="004D5024" w:rsidRPr="008021A2" w:rsidRDefault="004D5024" w:rsidP="004D5024">
      <w:pPr>
        <w:pStyle w:val="Akapitzlist"/>
        <w:numPr>
          <w:ilvl w:val="0"/>
          <w:numId w:val="14"/>
        </w:numPr>
        <w:jc w:val="both"/>
        <w:rPr>
          <w:rFonts w:ascii="Times New Roman" w:hAnsi="Times New Roman" w:cs="Times New Roman"/>
          <w:noProof/>
          <w:sz w:val="24"/>
        </w:rPr>
      </w:pPr>
      <w:r>
        <w:rPr>
          <w:rFonts w:ascii="Times New Roman" w:hAnsi="Times New Roman"/>
          <w:i/>
          <w:noProof/>
          <w:sz w:val="24"/>
        </w:rPr>
        <w:t>W przypadku sektorów energochłonnych</w:t>
      </w:r>
      <w:r w:rsidR="0076371C">
        <w:rPr>
          <w:rFonts w:ascii="Times New Roman" w:hAnsi="Times New Roman"/>
          <w:noProof/>
          <w:sz w:val="24"/>
        </w:rPr>
        <w:t xml:space="preserve"> w ram</w:t>
      </w:r>
      <w:r>
        <w:rPr>
          <w:rFonts w:ascii="Times New Roman" w:hAnsi="Times New Roman"/>
          <w:noProof/>
          <w:sz w:val="24"/>
        </w:rPr>
        <w:t>ach projektów opracowywane są strategie dekarbonizacji, które polegają głównie na: (i) zastąpieniu paliw kopalnych paliwami odnawialnymi lub elektryfikacją; oraz (ii) włączeniu technologii CCS do procesów produkcji. Na przykład celem projektu CLYNGAS jest włączenie do sektora cementowego paliwa syntetycznego wytwarzanego</w:t>
      </w:r>
      <w:r w:rsidR="0076371C">
        <w:rPr>
          <w:rFonts w:ascii="Times New Roman" w:hAnsi="Times New Roman"/>
          <w:noProof/>
          <w:sz w:val="24"/>
        </w:rPr>
        <w:t xml:space="preserve"> z odp</w:t>
      </w:r>
      <w:r>
        <w:rPr>
          <w:rFonts w:ascii="Times New Roman" w:hAnsi="Times New Roman"/>
          <w:noProof/>
          <w:sz w:val="24"/>
        </w:rPr>
        <w:t>adów, natomiast projekt C2B stanowi demonstrację możliwości wychwytywania emisji</w:t>
      </w:r>
      <w:r w:rsidR="0076371C">
        <w:rPr>
          <w:rFonts w:ascii="Times New Roman" w:hAnsi="Times New Roman"/>
          <w:noProof/>
          <w:sz w:val="24"/>
        </w:rPr>
        <w:t xml:space="preserve"> z pro</w:t>
      </w:r>
      <w:r>
        <w:rPr>
          <w:rFonts w:ascii="Times New Roman" w:hAnsi="Times New Roman"/>
          <w:noProof/>
          <w:sz w:val="24"/>
        </w:rPr>
        <w:t>dukcji cementu</w:t>
      </w:r>
      <w:r w:rsidR="0076371C">
        <w:rPr>
          <w:rFonts w:ascii="Times New Roman" w:hAnsi="Times New Roman"/>
          <w:noProof/>
          <w:sz w:val="24"/>
        </w:rPr>
        <w:t xml:space="preserve"> i wyk</w:t>
      </w:r>
      <w:r>
        <w:rPr>
          <w:rFonts w:ascii="Times New Roman" w:hAnsi="Times New Roman"/>
          <w:noProof/>
          <w:sz w:val="24"/>
        </w:rPr>
        <w:t>orzystania ich surowca</w:t>
      </w:r>
      <w:r w:rsidR="0076371C">
        <w:rPr>
          <w:rFonts w:ascii="Times New Roman" w:hAnsi="Times New Roman"/>
          <w:noProof/>
          <w:sz w:val="24"/>
        </w:rPr>
        <w:t xml:space="preserve"> w inn</w:t>
      </w:r>
      <w:r>
        <w:rPr>
          <w:rFonts w:ascii="Times New Roman" w:hAnsi="Times New Roman"/>
          <w:noProof/>
          <w:sz w:val="24"/>
        </w:rPr>
        <w:t xml:space="preserve">ej działalności produkcyjnej. Fundusz innowacyjny </w:t>
      </w:r>
      <w:r>
        <w:rPr>
          <w:rFonts w:ascii="Times New Roman" w:hAnsi="Times New Roman"/>
          <w:noProof/>
          <w:sz w:val="24"/>
        </w:rPr>
        <w:lastRenderedPageBreak/>
        <w:t>wspiera również rozwój nowych zrównoważonych materiałów</w:t>
      </w:r>
      <w:r w:rsidR="0076371C">
        <w:rPr>
          <w:rFonts w:ascii="Times New Roman" w:hAnsi="Times New Roman"/>
          <w:noProof/>
          <w:sz w:val="24"/>
        </w:rPr>
        <w:t xml:space="preserve"> i pro</w:t>
      </w:r>
      <w:r>
        <w:rPr>
          <w:rFonts w:ascii="Times New Roman" w:hAnsi="Times New Roman"/>
          <w:noProof/>
          <w:sz w:val="24"/>
        </w:rPr>
        <w:t>cesów recyklingu, jak</w:t>
      </w:r>
      <w:r w:rsidR="0076371C">
        <w:rPr>
          <w:rFonts w:ascii="Times New Roman" w:hAnsi="Times New Roman"/>
          <w:noProof/>
          <w:sz w:val="24"/>
        </w:rPr>
        <w:t xml:space="preserve"> w ram</w:t>
      </w:r>
      <w:r>
        <w:rPr>
          <w:rFonts w:ascii="Times New Roman" w:hAnsi="Times New Roman"/>
          <w:noProof/>
          <w:sz w:val="24"/>
        </w:rPr>
        <w:t>ach projektu TLP dotyczącego biomateriału biodegradowalnego wytwarzanego</w:t>
      </w:r>
      <w:r w:rsidR="0076371C">
        <w:rPr>
          <w:rFonts w:ascii="Times New Roman" w:hAnsi="Times New Roman"/>
          <w:noProof/>
          <w:sz w:val="24"/>
        </w:rPr>
        <w:t xml:space="preserve"> z lig</w:t>
      </w:r>
      <w:r>
        <w:rPr>
          <w:rFonts w:ascii="Times New Roman" w:hAnsi="Times New Roman"/>
          <w:noProof/>
          <w:sz w:val="24"/>
        </w:rPr>
        <w:t>niny, który może być wykorzystywany</w:t>
      </w:r>
      <w:r w:rsidR="0076371C">
        <w:rPr>
          <w:rFonts w:ascii="Times New Roman" w:hAnsi="Times New Roman"/>
          <w:noProof/>
          <w:sz w:val="24"/>
        </w:rPr>
        <w:t xml:space="preserve"> w bio</w:t>
      </w:r>
      <w:r>
        <w:rPr>
          <w:rFonts w:ascii="Times New Roman" w:hAnsi="Times New Roman"/>
          <w:noProof/>
          <w:sz w:val="24"/>
        </w:rPr>
        <w:t>kompozytach do produkcji powłok opakowaniowych</w:t>
      </w:r>
      <w:r w:rsidR="0076371C">
        <w:rPr>
          <w:rFonts w:ascii="Times New Roman" w:hAnsi="Times New Roman"/>
          <w:noProof/>
          <w:sz w:val="24"/>
        </w:rPr>
        <w:t xml:space="preserve"> i któ</w:t>
      </w:r>
      <w:r>
        <w:rPr>
          <w:rFonts w:ascii="Times New Roman" w:hAnsi="Times New Roman"/>
          <w:noProof/>
          <w:sz w:val="24"/>
        </w:rPr>
        <w:t>ry</w:t>
      </w:r>
      <w:r w:rsidR="0076371C">
        <w:rPr>
          <w:rFonts w:ascii="Times New Roman" w:hAnsi="Times New Roman"/>
          <w:noProof/>
          <w:sz w:val="24"/>
        </w:rPr>
        <w:t xml:space="preserve"> w zwi</w:t>
      </w:r>
      <w:r>
        <w:rPr>
          <w:rFonts w:ascii="Times New Roman" w:hAnsi="Times New Roman"/>
          <w:noProof/>
          <w:sz w:val="24"/>
        </w:rPr>
        <w:t>ązku</w:t>
      </w:r>
      <w:r w:rsidR="0076371C">
        <w:rPr>
          <w:rFonts w:ascii="Times New Roman" w:hAnsi="Times New Roman"/>
          <w:noProof/>
          <w:sz w:val="24"/>
        </w:rPr>
        <w:t xml:space="preserve"> z tym</w:t>
      </w:r>
      <w:r>
        <w:rPr>
          <w:rFonts w:ascii="Times New Roman" w:hAnsi="Times New Roman"/>
          <w:noProof/>
          <w:sz w:val="24"/>
        </w:rPr>
        <w:t xml:space="preserve"> może zastąpić tradycyjne tworzywa sztuczne oparte na paliwach kopalnych. Kolejnym projektem wspieranym</w:t>
      </w:r>
      <w:r w:rsidR="0076371C">
        <w:rPr>
          <w:rFonts w:ascii="Times New Roman" w:hAnsi="Times New Roman"/>
          <w:noProof/>
          <w:sz w:val="24"/>
        </w:rPr>
        <w:t xml:space="preserve"> z fun</w:t>
      </w:r>
      <w:r>
        <w:rPr>
          <w:rFonts w:ascii="Times New Roman" w:hAnsi="Times New Roman"/>
          <w:noProof/>
          <w:sz w:val="24"/>
        </w:rPr>
        <w:t>duszu innowacyjnego</w:t>
      </w:r>
      <w:r w:rsidR="0076371C">
        <w:rPr>
          <w:rFonts w:ascii="Times New Roman" w:hAnsi="Times New Roman"/>
          <w:noProof/>
          <w:sz w:val="24"/>
        </w:rPr>
        <w:t xml:space="preserve"> w tym</w:t>
      </w:r>
      <w:r>
        <w:rPr>
          <w:rFonts w:ascii="Times New Roman" w:hAnsi="Times New Roman"/>
          <w:noProof/>
          <w:sz w:val="24"/>
        </w:rPr>
        <w:t xml:space="preserve"> obszarze jest projekt PULSE, którego celem jest wdrożenie ulepszonych technologii chemicznego recyklingu tworzyw sztucznych.</w:t>
      </w:r>
    </w:p>
    <w:p w14:paraId="14A9D789" w14:textId="5085CE06" w:rsidR="004D5024" w:rsidRPr="008021A2" w:rsidRDefault="004D5024" w:rsidP="004D5024">
      <w:pPr>
        <w:pStyle w:val="Akapitzlist"/>
        <w:numPr>
          <w:ilvl w:val="0"/>
          <w:numId w:val="14"/>
        </w:numPr>
        <w:jc w:val="both"/>
        <w:rPr>
          <w:rFonts w:ascii="Times New Roman" w:hAnsi="Times New Roman" w:cs="Times New Roman"/>
          <w:noProof/>
          <w:sz w:val="24"/>
        </w:rPr>
      </w:pPr>
      <w:r>
        <w:rPr>
          <w:rFonts w:ascii="Times New Roman" w:hAnsi="Times New Roman"/>
          <w:i/>
          <w:noProof/>
          <w:sz w:val="24"/>
        </w:rPr>
        <w:t>Jeżeli chodzi</w:t>
      </w:r>
      <w:r w:rsidR="0076371C">
        <w:rPr>
          <w:rFonts w:ascii="Times New Roman" w:hAnsi="Times New Roman"/>
          <w:i/>
          <w:noProof/>
          <w:sz w:val="24"/>
        </w:rPr>
        <w:t xml:space="preserve"> o mag</w:t>
      </w:r>
      <w:r>
        <w:rPr>
          <w:rFonts w:ascii="Times New Roman" w:hAnsi="Times New Roman"/>
          <w:i/>
          <w:noProof/>
          <w:sz w:val="24"/>
        </w:rPr>
        <w:t>azynowanie energii</w:t>
      </w:r>
      <w:r>
        <w:rPr>
          <w:rFonts w:ascii="Times New Roman" w:hAnsi="Times New Roman"/>
          <w:noProof/>
          <w:sz w:val="24"/>
        </w:rPr>
        <w:t>,</w:t>
      </w:r>
      <w:r w:rsidR="0076371C">
        <w:rPr>
          <w:rFonts w:ascii="Times New Roman" w:hAnsi="Times New Roman"/>
          <w:noProof/>
          <w:sz w:val="24"/>
        </w:rPr>
        <w:t xml:space="preserve"> w szc</w:t>
      </w:r>
      <w:r>
        <w:rPr>
          <w:rFonts w:ascii="Times New Roman" w:hAnsi="Times New Roman"/>
          <w:noProof/>
          <w:sz w:val="24"/>
        </w:rPr>
        <w:t>zególności za pomocą technologii elektrochemicznych, pomoże ono włączyć do sieci energetycznych technologie wytwarzania energii ze źródeł odnawialnych, zapewniając jednocześnie elastyczność systemu. Fundusz innowacyjny wspiera wytwarzanie</w:t>
      </w:r>
      <w:r w:rsidR="0076371C">
        <w:rPr>
          <w:rFonts w:ascii="Times New Roman" w:hAnsi="Times New Roman"/>
          <w:noProof/>
          <w:sz w:val="24"/>
        </w:rPr>
        <w:t xml:space="preserve"> i wdr</w:t>
      </w:r>
      <w:r>
        <w:rPr>
          <w:rFonts w:ascii="Times New Roman" w:hAnsi="Times New Roman"/>
          <w:noProof/>
          <w:sz w:val="24"/>
        </w:rPr>
        <w:t>ażanie ulepszonych materiałów</w:t>
      </w:r>
      <w:r w:rsidR="0076371C">
        <w:rPr>
          <w:rFonts w:ascii="Times New Roman" w:hAnsi="Times New Roman"/>
          <w:noProof/>
          <w:sz w:val="24"/>
        </w:rPr>
        <w:t xml:space="preserve"> w ins</w:t>
      </w:r>
      <w:r>
        <w:rPr>
          <w:rFonts w:ascii="Times New Roman" w:hAnsi="Times New Roman"/>
          <w:noProof/>
          <w:sz w:val="24"/>
        </w:rPr>
        <w:t>talacjach magazynowania energii takich jak baterie litowo-jonowe</w:t>
      </w:r>
      <w:r w:rsidR="0076371C">
        <w:rPr>
          <w:rFonts w:ascii="Times New Roman" w:hAnsi="Times New Roman"/>
          <w:noProof/>
          <w:sz w:val="24"/>
        </w:rPr>
        <w:t xml:space="preserve"> o wys</w:t>
      </w:r>
      <w:r>
        <w:rPr>
          <w:rFonts w:ascii="Times New Roman" w:hAnsi="Times New Roman"/>
          <w:noProof/>
          <w:sz w:val="24"/>
        </w:rPr>
        <w:t>okiej zawartości niklu, które zostaną opracowane</w:t>
      </w:r>
      <w:r w:rsidR="0076371C">
        <w:rPr>
          <w:rFonts w:ascii="Times New Roman" w:hAnsi="Times New Roman"/>
          <w:noProof/>
          <w:sz w:val="24"/>
        </w:rPr>
        <w:t xml:space="preserve"> w ram</w:t>
      </w:r>
      <w:r>
        <w:rPr>
          <w:rFonts w:ascii="Times New Roman" w:hAnsi="Times New Roman"/>
          <w:noProof/>
          <w:sz w:val="24"/>
        </w:rPr>
        <w:t>ach projektu NorthStorePlus. Fundusz innowacyjny będzie również wspierać gospodarkę</w:t>
      </w:r>
      <w:r w:rsidR="0076371C">
        <w:rPr>
          <w:rFonts w:ascii="Times New Roman" w:hAnsi="Times New Roman"/>
          <w:noProof/>
          <w:sz w:val="24"/>
        </w:rPr>
        <w:t xml:space="preserve"> o obi</w:t>
      </w:r>
      <w:r>
        <w:rPr>
          <w:rFonts w:ascii="Times New Roman" w:hAnsi="Times New Roman"/>
          <w:noProof/>
          <w:sz w:val="24"/>
        </w:rPr>
        <w:t>egu zamkniętym</w:t>
      </w:r>
      <w:r w:rsidR="0076371C">
        <w:rPr>
          <w:rFonts w:ascii="Times New Roman" w:hAnsi="Times New Roman"/>
          <w:noProof/>
          <w:sz w:val="24"/>
        </w:rPr>
        <w:t xml:space="preserve"> w odn</w:t>
      </w:r>
      <w:r>
        <w:rPr>
          <w:rFonts w:ascii="Times New Roman" w:hAnsi="Times New Roman"/>
          <w:noProof/>
          <w:sz w:val="24"/>
        </w:rPr>
        <w:t>iesieniu do baterii, na przykład poprzez projekt CarBatteryReFactory, który dotyczy rozwiązań</w:t>
      </w:r>
      <w:r w:rsidR="0076371C">
        <w:rPr>
          <w:rFonts w:ascii="Times New Roman" w:hAnsi="Times New Roman"/>
          <w:noProof/>
          <w:sz w:val="24"/>
        </w:rPr>
        <w:t xml:space="preserve"> w zak</w:t>
      </w:r>
      <w:r>
        <w:rPr>
          <w:rFonts w:ascii="Times New Roman" w:hAnsi="Times New Roman"/>
          <w:noProof/>
          <w:sz w:val="24"/>
        </w:rPr>
        <w:t>resie drugiego cyklu życia akumulatorów pojazdów elektrycznych.</w:t>
      </w:r>
    </w:p>
    <w:p w14:paraId="52BE70B2" w14:textId="50CF7806" w:rsidR="004D5024" w:rsidRPr="008021A2" w:rsidRDefault="004D5024" w:rsidP="004D5024">
      <w:pPr>
        <w:pStyle w:val="Akapitzlist"/>
        <w:numPr>
          <w:ilvl w:val="0"/>
          <w:numId w:val="14"/>
        </w:numPr>
        <w:jc w:val="both"/>
        <w:rPr>
          <w:rFonts w:ascii="Times New Roman" w:hAnsi="Times New Roman" w:cs="Times New Roman"/>
          <w:noProof/>
          <w:sz w:val="24"/>
        </w:rPr>
      </w:pPr>
      <w:r>
        <w:rPr>
          <w:rFonts w:ascii="Times New Roman" w:hAnsi="Times New Roman"/>
          <w:i/>
          <w:noProof/>
          <w:sz w:val="24"/>
        </w:rPr>
        <w:t>Jeśli chodzi o CCS</w:t>
      </w:r>
      <w:r>
        <w:rPr>
          <w:rFonts w:ascii="Times New Roman" w:hAnsi="Times New Roman"/>
          <w:noProof/>
          <w:sz w:val="24"/>
        </w:rPr>
        <w:t>, fundusz innowacyjny wspiera projekty na dużą skalę</w:t>
      </w:r>
      <w:r w:rsidR="0076371C">
        <w:rPr>
          <w:rFonts w:ascii="Times New Roman" w:hAnsi="Times New Roman"/>
          <w:noProof/>
          <w:sz w:val="24"/>
        </w:rPr>
        <w:t xml:space="preserve"> w dzi</w:t>
      </w:r>
      <w:r>
        <w:rPr>
          <w:rFonts w:ascii="Times New Roman" w:hAnsi="Times New Roman"/>
          <w:noProof/>
          <w:sz w:val="24"/>
        </w:rPr>
        <w:t>edzinie składowania dwutlenku węgla. Na przykład projekt KAIROS-AT-C będzie pierwszym europejskim projektem łączącym kriogeniczne wychwytywanie dwutlenku węgla</w:t>
      </w:r>
      <w:r w:rsidR="0076371C">
        <w:rPr>
          <w:rFonts w:ascii="Times New Roman" w:hAnsi="Times New Roman"/>
          <w:noProof/>
          <w:sz w:val="24"/>
        </w:rPr>
        <w:t xml:space="preserve"> z róż</w:t>
      </w:r>
      <w:r>
        <w:rPr>
          <w:rFonts w:ascii="Times New Roman" w:hAnsi="Times New Roman"/>
          <w:noProof/>
          <w:sz w:val="24"/>
        </w:rPr>
        <w:t>nych źródeł przemysłowych ze skraplaniem, transportem morskim</w:t>
      </w:r>
      <w:r w:rsidR="0076371C">
        <w:rPr>
          <w:rFonts w:ascii="Times New Roman" w:hAnsi="Times New Roman"/>
          <w:noProof/>
          <w:sz w:val="24"/>
        </w:rPr>
        <w:t xml:space="preserve"> i trw</w:t>
      </w:r>
      <w:r>
        <w:rPr>
          <w:rFonts w:ascii="Times New Roman" w:hAnsi="Times New Roman"/>
          <w:noProof/>
          <w:sz w:val="24"/>
        </w:rPr>
        <w:t>ałym podmorskim składowaniem CO</w:t>
      </w:r>
      <w:r>
        <w:rPr>
          <w:rFonts w:ascii="Times New Roman" w:hAnsi="Times New Roman"/>
          <w:noProof/>
          <w:sz w:val="24"/>
          <w:vertAlign w:val="subscript"/>
        </w:rPr>
        <w:t>2</w:t>
      </w:r>
      <w:r>
        <w:rPr>
          <w:rFonts w:ascii="Times New Roman" w:hAnsi="Times New Roman"/>
          <w:noProof/>
          <w:sz w:val="24"/>
        </w:rPr>
        <w:t>. Inne projekty, takie jak GO4ECOPANET i CALCC, będą również służyły demonstracji wychwytywania</w:t>
      </w:r>
      <w:r w:rsidR="0076371C">
        <w:rPr>
          <w:rFonts w:ascii="Times New Roman" w:hAnsi="Times New Roman"/>
          <w:noProof/>
          <w:sz w:val="24"/>
        </w:rPr>
        <w:t xml:space="preserve"> i geo</w:t>
      </w:r>
      <w:r>
        <w:rPr>
          <w:rFonts w:ascii="Times New Roman" w:hAnsi="Times New Roman"/>
          <w:noProof/>
          <w:sz w:val="24"/>
        </w:rPr>
        <w:t>logicznego składowania CO₂ na dużą skalę</w:t>
      </w:r>
      <w:r w:rsidR="0076371C">
        <w:rPr>
          <w:rFonts w:ascii="Times New Roman" w:hAnsi="Times New Roman"/>
          <w:noProof/>
          <w:sz w:val="24"/>
        </w:rPr>
        <w:t xml:space="preserve"> z tak</w:t>
      </w:r>
      <w:r>
        <w:rPr>
          <w:rFonts w:ascii="Times New Roman" w:hAnsi="Times New Roman"/>
          <w:noProof/>
          <w:sz w:val="24"/>
        </w:rPr>
        <w:t>ich gałęzi przemysłu jak produkcja cementu</w:t>
      </w:r>
      <w:r w:rsidR="0076371C">
        <w:rPr>
          <w:rFonts w:ascii="Times New Roman" w:hAnsi="Times New Roman"/>
          <w:noProof/>
          <w:sz w:val="24"/>
        </w:rPr>
        <w:t xml:space="preserve"> i wap</w:t>
      </w:r>
      <w:r>
        <w:rPr>
          <w:rFonts w:ascii="Times New Roman" w:hAnsi="Times New Roman"/>
          <w:noProof/>
          <w:sz w:val="24"/>
        </w:rPr>
        <w:t xml:space="preserve">na. </w:t>
      </w:r>
    </w:p>
    <w:p w14:paraId="6EF632E7" w14:textId="250B7AB7" w:rsidR="004D5024" w:rsidRPr="008021A2" w:rsidRDefault="004D5024" w:rsidP="004D5024">
      <w:pPr>
        <w:pStyle w:val="Nagwek2"/>
        <w:framePr w:wrap="notBeside"/>
        <w:jc w:val="both"/>
        <w:rPr>
          <w:rFonts w:cs="Times New Roman"/>
          <w:b/>
          <w:noProof/>
        </w:rPr>
      </w:pPr>
      <w:bookmarkStart w:id="29" w:name="_Toc150504465"/>
      <w:r>
        <w:rPr>
          <w:b/>
          <w:caps w:val="0"/>
          <w:noProof/>
        </w:rPr>
        <w:t>Wkład</w:t>
      </w:r>
      <w:r w:rsidR="0076371C">
        <w:rPr>
          <w:b/>
          <w:caps w:val="0"/>
          <w:noProof/>
        </w:rPr>
        <w:t xml:space="preserve"> w rea</w:t>
      </w:r>
      <w:r>
        <w:rPr>
          <w:b/>
          <w:caps w:val="0"/>
          <w:noProof/>
        </w:rPr>
        <w:t>lizację innych celów polityki UE</w:t>
      </w:r>
      <w:bookmarkEnd w:id="29"/>
    </w:p>
    <w:p w14:paraId="760BCABD" w14:textId="11F682D9" w:rsidR="004D5024" w:rsidRPr="008021A2" w:rsidRDefault="004D5024" w:rsidP="004D5024">
      <w:pPr>
        <w:pStyle w:val="Tekstpodstawowy"/>
        <w:spacing w:before="240"/>
        <w:jc w:val="both"/>
        <w:rPr>
          <w:rFonts w:ascii="Times New Roman" w:hAnsi="Times New Roman" w:cs="Times New Roman"/>
          <w:noProof/>
          <w:sz w:val="24"/>
        </w:rPr>
      </w:pPr>
      <w:r>
        <w:rPr>
          <w:rFonts w:ascii="Times New Roman" w:hAnsi="Times New Roman"/>
          <w:noProof/>
          <w:sz w:val="24"/>
        </w:rPr>
        <w:t>Fundusz innowacyjny przyczynił się już do osiągnięcia konkretnych celów polityki</w:t>
      </w:r>
      <w:r w:rsidR="0076371C">
        <w:rPr>
          <w:rFonts w:ascii="Times New Roman" w:hAnsi="Times New Roman"/>
          <w:noProof/>
          <w:sz w:val="24"/>
        </w:rPr>
        <w:t xml:space="preserve"> w ram</w:t>
      </w:r>
      <w:r>
        <w:rPr>
          <w:rFonts w:ascii="Times New Roman" w:hAnsi="Times New Roman"/>
          <w:noProof/>
          <w:sz w:val="24"/>
        </w:rPr>
        <w:t>ach Europejskiego Zielonego Ładu przez wspieranie różnych projektów,</w:t>
      </w:r>
      <w:r w:rsidR="0076371C">
        <w:rPr>
          <w:rFonts w:ascii="Times New Roman" w:hAnsi="Times New Roman"/>
          <w:noProof/>
          <w:sz w:val="24"/>
        </w:rPr>
        <w:t xml:space="preserve"> z któ</w:t>
      </w:r>
      <w:r>
        <w:rPr>
          <w:rFonts w:ascii="Times New Roman" w:hAnsi="Times New Roman"/>
          <w:noProof/>
          <w:sz w:val="24"/>
        </w:rPr>
        <w:t>rych część przedstawiono</w:t>
      </w:r>
      <w:r w:rsidR="0076371C">
        <w:rPr>
          <w:rFonts w:ascii="Times New Roman" w:hAnsi="Times New Roman"/>
          <w:noProof/>
          <w:sz w:val="24"/>
        </w:rPr>
        <w:t xml:space="preserve"> w pun</w:t>
      </w:r>
      <w:r>
        <w:rPr>
          <w:rFonts w:ascii="Times New Roman" w:hAnsi="Times New Roman"/>
          <w:noProof/>
          <w:sz w:val="24"/>
        </w:rPr>
        <w:t>ktach poniżej.</w:t>
      </w:r>
    </w:p>
    <w:p w14:paraId="3D6DBA8F" w14:textId="74DCDCD0" w:rsidR="004D5024" w:rsidRPr="008021A2" w:rsidRDefault="004D5024" w:rsidP="004D5024">
      <w:pPr>
        <w:pStyle w:val="Tekstpodstawowy"/>
        <w:numPr>
          <w:ilvl w:val="0"/>
          <w:numId w:val="12"/>
        </w:numPr>
        <w:spacing w:before="240"/>
        <w:jc w:val="both"/>
        <w:rPr>
          <w:rFonts w:ascii="Times New Roman" w:hAnsi="Times New Roman" w:cs="Times New Roman"/>
          <w:noProof/>
          <w:sz w:val="24"/>
        </w:rPr>
      </w:pPr>
      <w:r>
        <w:rPr>
          <w:rFonts w:ascii="Times New Roman" w:hAnsi="Times New Roman"/>
          <w:noProof/>
          <w:sz w:val="24"/>
        </w:rPr>
        <w:t>Oczekuje się, że projekty już wybrane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ram</w:t>
      </w:r>
      <w:r>
        <w:rPr>
          <w:rFonts w:ascii="Times New Roman" w:hAnsi="Times New Roman"/>
          <w:noProof/>
          <w:sz w:val="24"/>
        </w:rPr>
        <w:t>ach funduszu innowacyjnego pozwolą uniknąć emisji 215 mln ton ekwiwalentu CO₂</w:t>
      </w:r>
      <w:r w:rsidR="0076371C">
        <w:rPr>
          <w:rFonts w:ascii="Times New Roman" w:hAnsi="Times New Roman"/>
          <w:noProof/>
          <w:sz w:val="24"/>
        </w:rPr>
        <w:t xml:space="preserve"> w cią</w:t>
      </w:r>
      <w:r>
        <w:rPr>
          <w:rFonts w:ascii="Times New Roman" w:hAnsi="Times New Roman"/>
          <w:noProof/>
          <w:sz w:val="24"/>
        </w:rPr>
        <w:t>gu pierwszych 10 lat eksploatacji, co przyczyni się do osiągnięcia celów</w:t>
      </w:r>
      <w:r w:rsidR="0076371C">
        <w:rPr>
          <w:rFonts w:ascii="Times New Roman" w:hAnsi="Times New Roman"/>
          <w:noProof/>
          <w:sz w:val="24"/>
        </w:rPr>
        <w:t xml:space="preserve"> w zak</w:t>
      </w:r>
      <w:r>
        <w:rPr>
          <w:rFonts w:ascii="Times New Roman" w:hAnsi="Times New Roman"/>
          <w:noProof/>
          <w:sz w:val="24"/>
        </w:rPr>
        <w:t>resie redukcji emisji gazów cieplarnianych określonych</w:t>
      </w:r>
      <w:r w:rsidR="0076371C">
        <w:rPr>
          <w:rFonts w:ascii="Times New Roman" w:hAnsi="Times New Roman"/>
          <w:noProof/>
          <w:sz w:val="24"/>
        </w:rPr>
        <w:t xml:space="preserve"> w pra</w:t>
      </w:r>
      <w:r>
        <w:rPr>
          <w:rFonts w:ascii="Times New Roman" w:hAnsi="Times New Roman"/>
          <w:noProof/>
          <w:sz w:val="24"/>
        </w:rPr>
        <w:t>wie</w:t>
      </w:r>
      <w:r w:rsidR="0076371C">
        <w:rPr>
          <w:rFonts w:ascii="Times New Roman" w:hAnsi="Times New Roman"/>
          <w:noProof/>
          <w:sz w:val="24"/>
        </w:rPr>
        <w:t xml:space="preserve"> o kli</w:t>
      </w:r>
      <w:r>
        <w:rPr>
          <w:rFonts w:ascii="Times New Roman" w:hAnsi="Times New Roman"/>
          <w:noProof/>
          <w:sz w:val="24"/>
        </w:rPr>
        <w:t>macie</w:t>
      </w:r>
      <w:r>
        <w:rPr>
          <w:rStyle w:val="Odwoanieprzypisudolnego"/>
          <w:rFonts w:ascii="Times New Roman" w:hAnsi="Times New Roman" w:cs="Times New Roman"/>
          <w:noProof/>
          <w:sz w:val="24"/>
        </w:rPr>
        <w:footnoteReference w:id="31"/>
      </w:r>
      <w:r>
        <w:rPr>
          <w:rFonts w:ascii="Times New Roman" w:hAnsi="Times New Roman"/>
          <w:noProof/>
          <w:sz w:val="24"/>
        </w:rPr>
        <w:t>.</w:t>
      </w:r>
    </w:p>
    <w:p w14:paraId="359ACA34" w14:textId="0D7E5A60" w:rsidR="004D5024" w:rsidRPr="008021A2" w:rsidRDefault="004D5024" w:rsidP="004D5024">
      <w:pPr>
        <w:pStyle w:val="Tekstpodstawowy"/>
        <w:numPr>
          <w:ilvl w:val="0"/>
          <w:numId w:val="12"/>
        </w:numPr>
        <w:spacing w:before="240"/>
        <w:jc w:val="both"/>
        <w:rPr>
          <w:rFonts w:ascii="Times New Roman" w:hAnsi="Times New Roman" w:cs="Times New Roman"/>
          <w:noProof/>
          <w:sz w:val="24"/>
        </w:rPr>
      </w:pPr>
      <w:r>
        <w:rPr>
          <w:rFonts w:ascii="Times New Roman" w:hAnsi="Times New Roman"/>
          <w:noProof/>
          <w:sz w:val="24"/>
        </w:rPr>
        <w:t>Z funduszu innowacyjnego przeznaczono 411 mln EUR na sfinansowanie 10 projektów związanych</w:t>
      </w:r>
      <w:r w:rsidR="0076371C">
        <w:rPr>
          <w:rFonts w:ascii="Times New Roman" w:hAnsi="Times New Roman"/>
          <w:noProof/>
          <w:sz w:val="24"/>
        </w:rPr>
        <w:t xml:space="preserve"> z wyt</w:t>
      </w:r>
      <w:r>
        <w:rPr>
          <w:rFonts w:ascii="Times New Roman" w:hAnsi="Times New Roman"/>
          <w:noProof/>
          <w:sz w:val="24"/>
        </w:rPr>
        <w:t>warzaniem</w:t>
      </w:r>
      <w:r w:rsidR="0076371C">
        <w:rPr>
          <w:rFonts w:ascii="Times New Roman" w:hAnsi="Times New Roman"/>
          <w:noProof/>
          <w:sz w:val="24"/>
        </w:rPr>
        <w:t xml:space="preserve"> i wyk</w:t>
      </w:r>
      <w:r>
        <w:rPr>
          <w:rFonts w:ascii="Times New Roman" w:hAnsi="Times New Roman"/>
          <w:noProof/>
          <w:sz w:val="24"/>
        </w:rPr>
        <w:t>orzystaniem wodoru. Przyczynia się to do osiągnięcia celów UE</w:t>
      </w:r>
      <w:r w:rsidR="0076371C">
        <w:rPr>
          <w:rFonts w:ascii="Times New Roman" w:hAnsi="Times New Roman"/>
          <w:noProof/>
          <w:sz w:val="24"/>
        </w:rPr>
        <w:t xml:space="preserve"> w zak</w:t>
      </w:r>
      <w:r>
        <w:rPr>
          <w:rFonts w:ascii="Times New Roman" w:hAnsi="Times New Roman"/>
          <w:noProof/>
          <w:sz w:val="24"/>
        </w:rPr>
        <w:t>resie wykorzystywania wodoru odnawialnego, określonych</w:t>
      </w:r>
      <w:r w:rsidR="0076371C">
        <w:rPr>
          <w:rFonts w:ascii="Times New Roman" w:hAnsi="Times New Roman"/>
          <w:noProof/>
          <w:sz w:val="24"/>
        </w:rPr>
        <w:t xml:space="preserve"> w tak</w:t>
      </w:r>
      <w:r>
        <w:rPr>
          <w:rFonts w:ascii="Times New Roman" w:hAnsi="Times New Roman"/>
          <w:noProof/>
          <w:sz w:val="24"/>
        </w:rPr>
        <w:t>ich inicjatywach jak REPowerEU, europejska strategia</w:t>
      </w:r>
      <w:r w:rsidR="0076371C">
        <w:rPr>
          <w:rFonts w:ascii="Times New Roman" w:hAnsi="Times New Roman"/>
          <w:noProof/>
          <w:sz w:val="24"/>
        </w:rPr>
        <w:t xml:space="preserve"> w zak</w:t>
      </w:r>
      <w:r>
        <w:rPr>
          <w:rFonts w:ascii="Times New Roman" w:hAnsi="Times New Roman"/>
          <w:noProof/>
          <w:sz w:val="24"/>
        </w:rPr>
        <w:t>resie wodoru</w:t>
      </w:r>
      <w:r w:rsidR="0076371C">
        <w:rPr>
          <w:rFonts w:ascii="Times New Roman" w:hAnsi="Times New Roman"/>
          <w:noProof/>
          <w:sz w:val="24"/>
        </w:rPr>
        <w:t xml:space="preserve"> i dyr</w:t>
      </w:r>
      <w:r>
        <w:rPr>
          <w:rFonts w:ascii="Times New Roman" w:hAnsi="Times New Roman"/>
          <w:noProof/>
          <w:sz w:val="24"/>
        </w:rPr>
        <w:t>ektywa</w:t>
      </w:r>
      <w:r w:rsidR="0076371C">
        <w:rPr>
          <w:rFonts w:ascii="Times New Roman" w:hAnsi="Times New Roman"/>
          <w:noProof/>
          <w:sz w:val="24"/>
        </w:rPr>
        <w:t xml:space="preserve"> w spr</w:t>
      </w:r>
      <w:r>
        <w:rPr>
          <w:rFonts w:ascii="Times New Roman" w:hAnsi="Times New Roman"/>
          <w:noProof/>
          <w:sz w:val="24"/>
        </w:rPr>
        <w:t xml:space="preserve">awie energii odnawialnej. </w:t>
      </w:r>
    </w:p>
    <w:p w14:paraId="0E4C06F5" w14:textId="6ABC0BEB" w:rsidR="004D5024" w:rsidRPr="008021A2" w:rsidRDefault="004D5024" w:rsidP="004D5024">
      <w:pPr>
        <w:pStyle w:val="Tekstpodstawowy"/>
        <w:numPr>
          <w:ilvl w:val="0"/>
          <w:numId w:val="12"/>
        </w:numPr>
        <w:spacing w:before="240"/>
        <w:jc w:val="both"/>
        <w:rPr>
          <w:rFonts w:ascii="Times New Roman" w:hAnsi="Times New Roman" w:cs="Times New Roman"/>
          <w:noProof/>
          <w:sz w:val="24"/>
        </w:rPr>
      </w:pPr>
      <w:r>
        <w:rPr>
          <w:rFonts w:ascii="Times New Roman" w:hAnsi="Times New Roman"/>
          <w:noProof/>
          <w:sz w:val="24"/>
        </w:rPr>
        <w:lastRenderedPageBreak/>
        <w:t>Z funduszu inwestycyjnego przeznaczono 10,8 mln EUR</w:t>
      </w:r>
      <w:r w:rsidR="0076371C">
        <w:rPr>
          <w:rFonts w:ascii="Times New Roman" w:hAnsi="Times New Roman"/>
          <w:noProof/>
          <w:sz w:val="24"/>
        </w:rPr>
        <w:t xml:space="preserve"> w for</w:t>
      </w:r>
      <w:r>
        <w:rPr>
          <w:rFonts w:ascii="Times New Roman" w:hAnsi="Times New Roman"/>
          <w:noProof/>
          <w:sz w:val="24"/>
        </w:rPr>
        <w:t>mie dotacji na trzy projekty związane</w:t>
      </w:r>
      <w:r w:rsidR="0076371C">
        <w:rPr>
          <w:rFonts w:ascii="Times New Roman" w:hAnsi="Times New Roman"/>
          <w:noProof/>
          <w:sz w:val="24"/>
        </w:rPr>
        <w:t xml:space="preserve"> z bio</w:t>
      </w:r>
      <w:r>
        <w:rPr>
          <w:rFonts w:ascii="Times New Roman" w:hAnsi="Times New Roman"/>
          <w:noProof/>
          <w:sz w:val="24"/>
        </w:rPr>
        <w:t>paliwami</w:t>
      </w:r>
      <w:r w:rsidR="0076371C">
        <w:rPr>
          <w:rFonts w:ascii="Times New Roman" w:hAnsi="Times New Roman"/>
          <w:noProof/>
          <w:sz w:val="24"/>
        </w:rPr>
        <w:t xml:space="preserve"> i bio</w:t>
      </w:r>
      <w:r>
        <w:rPr>
          <w:rFonts w:ascii="Times New Roman" w:hAnsi="Times New Roman"/>
          <w:noProof/>
          <w:sz w:val="24"/>
        </w:rPr>
        <w:t>rafineriami, co przyczynia się do osiągnięcia celów</w:t>
      </w:r>
      <w:r w:rsidR="0076371C">
        <w:rPr>
          <w:rFonts w:ascii="Times New Roman" w:hAnsi="Times New Roman"/>
          <w:noProof/>
          <w:sz w:val="24"/>
        </w:rPr>
        <w:t xml:space="preserve"> w zak</w:t>
      </w:r>
      <w:r>
        <w:rPr>
          <w:rFonts w:ascii="Times New Roman" w:hAnsi="Times New Roman"/>
          <w:noProof/>
          <w:sz w:val="24"/>
        </w:rPr>
        <w:t>resie rozwoju paliw alternatywnych, które określono w ReFuelEU</w:t>
      </w:r>
      <w:r w:rsidR="0076371C">
        <w:rPr>
          <w:rFonts w:ascii="Times New Roman" w:hAnsi="Times New Roman"/>
          <w:noProof/>
          <w:sz w:val="24"/>
        </w:rPr>
        <w:t xml:space="preserve"> i pla</w:t>
      </w:r>
      <w:r>
        <w:rPr>
          <w:rFonts w:ascii="Times New Roman" w:hAnsi="Times New Roman"/>
          <w:noProof/>
          <w:sz w:val="24"/>
        </w:rPr>
        <w:t>nie działania dotyczącym biometanu.</w:t>
      </w:r>
    </w:p>
    <w:p w14:paraId="15B3A538" w14:textId="65891A53" w:rsidR="004D5024" w:rsidRPr="008021A2" w:rsidRDefault="004D5024" w:rsidP="004D5024">
      <w:pPr>
        <w:pStyle w:val="Tekstpodstawowy"/>
        <w:numPr>
          <w:ilvl w:val="0"/>
          <w:numId w:val="12"/>
        </w:numPr>
        <w:spacing w:before="240"/>
        <w:jc w:val="both"/>
        <w:rPr>
          <w:rFonts w:ascii="Times New Roman" w:hAnsi="Times New Roman" w:cs="Times New Roman"/>
          <w:noProof/>
          <w:sz w:val="24"/>
        </w:rPr>
      </w:pPr>
      <w:r>
        <w:rPr>
          <w:rFonts w:ascii="Times New Roman" w:hAnsi="Times New Roman"/>
          <w:noProof/>
          <w:sz w:val="24"/>
        </w:rPr>
        <w:t xml:space="preserve">Z funduszu innowacyjnego przeznaczono łącznie 330 mln EUR </w:t>
      </w:r>
      <w:r w:rsidRPr="002001C0">
        <w:rPr>
          <w:rFonts w:ascii="Times New Roman" w:hAnsi="Times New Roman"/>
          <w:noProof/>
          <w:sz w:val="24"/>
        </w:rPr>
        <w:t>na</w:t>
      </w:r>
      <w:r w:rsidR="002001C0" w:rsidRPr="002001C0">
        <w:rPr>
          <w:rFonts w:ascii="Times New Roman" w:hAnsi="Times New Roman"/>
          <w:noProof/>
          <w:sz w:val="24"/>
        </w:rPr>
        <w:t> </w:t>
      </w:r>
      <w:r w:rsidRPr="002001C0">
        <w:rPr>
          <w:rFonts w:ascii="Times New Roman" w:hAnsi="Times New Roman"/>
          <w:noProof/>
          <w:sz w:val="24"/>
        </w:rPr>
        <w:t>1</w:t>
      </w:r>
      <w:r>
        <w:rPr>
          <w:rFonts w:ascii="Times New Roman" w:hAnsi="Times New Roman"/>
          <w:noProof/>
          <w:sz w:val="24"/>
        </w:rPr>
        <w:t>0 projektów bezpośrednio związanych</w:t>
      </w:r>
      <w:r w:rsidR="0076371C">
        <w:rPr>
          <w:rFonts w:ascii="Times New Roman" w:hAnsi="Times New Roman"/>
          <w:noProof/>
          <w:sz w:val="24"/>
        </w:rPr>
        <w:t xml:space="preserve"> z ene</w:t>
      </w:r>
      <w:r>
        <w:rPr>
          <w:rFonts w:ascii="Times New Roman" w:hAnsi="Times New Roman"/>
          <w:noProof/>
          <w:sz w:val="24"/>
        </w:rPr>
        <w:t>rgią słoneczną, wiatrową</w:t>
      </w:r>
      <w:r w:rsidR="0076371C">
        <w:rPr>
          <w:rFonts w:ascii="Times New Roman" w:hAnsi="Times New Roman"/>
          <w:noProof/>
          <w:sz w:val="24"/>
        </w:rPr>
        <w:t xml:space="preserve"> i geo</w:t>
      </w:r>
      <w:r>
        <w:rPr>
          <w:rFonts w:ascii="Times New Roman" w:hAnsi="Times New Roman"/>
          <w:noProof/>
          <w:sz w:val="24"/>
        </w:rPr>
        <w:t>termalną. Dzięki temu wsparciu fundusz innowacyjny bezpośrednio przyczynia się do osiągnięcia celów określonych</w:t>
      </w:r>
      <w:r w:rsidR="0076371C">
        <w:rPr>
          <w:rFonts w:ascii="Times New Roman" w:hAnsi="Times New Roman"/>
          <w:noProof/>
          <w:sz w:val="24"/>
        </w:rPr>
        <w:t xml:space="preserve"> w dyr</w:t>
      </w:r>
      <w:r>
        <w:rPr>
          <w:rFonts w:ascii="Times New Roman" w:hAnsi="Times New Roman"/>
          <w:noProof/>
          <w:sz w:val="24"/>
        </w:rPr>
        <w:t>ektywie</w:t>
      </w:r>
      <w:r w:rsidR="0076371C">
        <w:rPr>
          <w:rFonts w:ascii="Times New Roman" w:hAnsi="Times New Roman"/>
          <w:noProof/>
          <w:sz w:val="24"/>
        </w:rPr>
        <w:t xml:space="preserve"> w spr</w:t>
      </w:r>
      <w:r>
        <w:rPr>
          <w:rFonts w:ascii="Times New Roman" w:hAnsi="Times New Roman"/>
          <w:noProof/>
          <w:sz w:val="24"/>
        </w:rPr>
        <w:t>awie energii odnawialnej i w REPowerEU – zarówno rozwoju produkcji energii ze źródeł odnawialnych, jak</w:t>
      </w:r>
      <w:r w:rsidR="0076371C">
        <w:rPr>
          <w:rFonts w:ascii="Times New Roman" w:hAnsi="Times New Roman"/>
          <w:noProof/>
          <w:sz w:val="24"/>
        </w:rPr>
        <w:t xml:space="preserve"> i opr</w:t>
      </w:r>
      <w:r>
        <w:rPr>
          <w:rFonts w:ascii="Times New Roman" w:hAnsi="Times New Roman"/>
          <w:noProof/>
          <w:sz w:val="24"/>
        </w:rPr>
        <w:t>acowania strategii UE na rzecz energii</w:t>
      </w:r>
      <w:r w:rsidR="0076371C">
        <w:rPr>
          <w:rFonts w:ascii="Times New Roman" w:hAnsi="Times New Roman"/>
          <w:noProof/>
          <w:sz w:val="24"/>
        </w:rPr>
        <w:t xml:space="preserve"> z mor</w:t>
      </w:r>
      <w:r>
        <w:rPr>
          <w:rFonts w:ascii="Times New Roman" w:hAnsi="Times New Roman"/>
          <w:noProof/>
          <w:sz w:val="24"/>
        </w:rPr>
        <w:t>skich źródeł odnawialnych</w:t>
      </w:r>
      <w:r>
        <w:rPr>
          <w:rStyle w:val="Odwoanieprzypisudolnego"/>
          <w:rFonts w:ascii="Times New Roman" w:hAnsi="Times New Roman" w:cs="Times New Roman"/>
          <w:noProof/>
          <w:sz w:val="24"/>
        </w:rPr>
        <w:footnoteReference w:id="32"/>
      </w:r>
      <w:r>
        <w:rPr>
          <w:rFonts w:ascii="Times New Roman" w:hAnsi="Times New Roman"/>
          <w:noProof/>
          <w:sz w:val="24"/>
        </w:rPr>
        <w:t>.</w:t>
      </w:r>
    </w:p>
    <w:p w14:paraId="27D6225F" w14:textId="56D291B6" w:rsidR="004D5024" w:rsidRPr="008021A2" w:rsidRDefault="004D5024" w:rsidP="004D5024">
      <w:pPr>
        <w:pStyle w:val="Tekstpodstawowy"/>
        <w:numPr>
          <w:ilvl w:val="0"/>
          <w:numId w:val="12"/>
        </w:numPr>
        <w:spacing w:before="240"/>
        <w:jc w:val="both"/>
        <w:rPr>
          <w:rFonts w:ascii="Times New Roman" w:hAnsi="Times New Roman" w:cs="Times New Roman"/>
          <w:noProof/>
          <w:sz w:val="24"/>
        </w:rPr>
      </w:pPr>
      <w:r>
        <w:rPr>
          <w:rFonts w:ascii="Times New Roman" w:hAnsi="Times New Roman"/>
          <w:noProof/>
          <w:sz w:val="24"/>
        </w:rPr>
        <w:t>Z funduszu innowacyjnego przeznaczono 89 mln EUR</w:t>
      </w:r>
      <w:r w:rsidR="0076371C">
        <w:rPr>
          <w:rFonts w:ascii="Times New Roman" w:hAnsi="Times New Roman"/>
          <w:noProof/>
          <w:sz w:val="24"/>
        </w:rPr>
        <w:t xml:space="preserve"> w for</w:t>
      </w:r>
      <w:r>
        <w:rPr>
          <w:rFonts w:ascii="Times New Roman" w:hAnsi="Times New Roman"/>
          <w:noProof/>
          <w:sz w:val="24"/>
        </w:rPr>
        <w:t>mie dotacji na pięć projektów związanych</w:t>
      </w:r>
      <w:r w:rsidR="0076371C">
        <w:rPr>
          <w:rFonts w:ascii="Times New Roman" w:hAnsi="Times New Roman"/>
          <w:noProof/>
          <w:sz w:val="24"/>
        </w:rPr>
        <w:t xml:space="preserve"> z mię</w:t>
      </w:r>
      <w:r>
        <w:rPr>
          <w:rFonts w:ascii="Times New Roman" w:hAnsi="Times New Roman"/>
          <w:noProof/>
          <w:sz w:val="24"/>
        </w:rPr>
        <w:t>dzydziennym magazynowaniem energii elektrycznej, przyczyniając się</w:t>
      </w:r>
      <w:r w:rsidR="0076371C">
        <w:rPr>
          <w:rFonts w:ascii="Times New Roman" w:hAnsi="Times New Roman"/>
          <w:noProof/>
          <w:sz w:val="24"/>
        </w:rPr>
        <w:t xml:space="preserve"> w ten</w:t>
      </w:r>
      <w:r>
        <w:rPr>
          <w:rFonts w:ascii="Times New Roman" w:hAnsi="Times New Roman"/>
          <w:noProof/>
          <w:sz w:val="24"/>
        </w:rPr>
        <w:t xml:space="preserve"> sposób do osiągnięcia celów rozporządzenia</w:t>
      </w:r>
      <w:r w:rsidR="0076371C">
        <w:rPr>
          <w:rFonts w:ascii="Times New Roman" w:hAnsi="Times New Roman"/>
          <w:noProof/>
          <w:sz w:val="24"/>
        </w:rPr>
        <w:t xml:space="preserve"> w spr</w:t>
      </w:r>
      <w:r>
        <w:rPr>
          <w:rFonts w:ascii="Times New Roman" w:hAnsi="Times New Roman"/>
          <w:noProof/>
          <w:sz w:val="24"/>
        </w:rPr>
        <w:t>awie baterii</w:t>
      </w:r>
      <w:r w:rsidR="0076371C">
        <w:rPr>
          <w:rFonts w:ascii="Times New Roman" w:hAnsi="Times New Roman"/>
          <w:noProof/>
          <w:sz w:val="24"/>
        </w:rPr>
        <w:t xml:space="preserve"> w zak</w:t>
      </w:r>
      <w:r>
        <w:rPr>
          <w:rFonts w:ascii="Times New Roman" w:hAnsi="Times New Roman"/>
          <w:noProof/>
          <w:sz w:val="24"/>
        </w:rPr>
        <w:t>resie promowania krajowej gospodarki</w:t>
      </w:r>
      <w:r w:rsidR="0076371C">
        <w:rPr>
          <w:rFonts w:ascii="Times New Roman" w:hAnsi="Times New Roman"/>
          <w:noProof/>
          <w:sz w:val="24"/>
        </w:rPr>
        <w:t xml:space="preserve"> o obi</w:t>
      </w:r>
      <w:r>
        <w:rPr>
          <w:rFonts w:ascii="Times New Roman" w:hAnsi="Times New Roman"/>
          <w:noProof/>
          <w:sz w:val="24"/>
        </w:rPr>
        <w:t>egu zamkniętym</w:t>
      </w:r>
      <w:r w:rsidR="0076371C">
        <w:rPr>
          <w:rFonts w:ascii="Times New Roman" w:hAnsi="Times New Roman"/>
          <w:noProof/>
          <w:sz w:val="24"/>
        </w:rPr>
        <w:t xml:space="preserve"> w odn</w:t>
      </w:r>
      <w:r>
        <w:rPr>
          <w:rFonts w:ascii="Times New Roman" w:hAnsi="Times New Roman"/>
          <w:noProof/>
          <w:sz w:val="24"/>
        </w:rPr>
        <w:t>iesieniu do baterii.</w:t>
      </w:r>
    </w:p>
    <w:p w14:paraId="5CF165DC" w14:textId="787A6E5F" w:rsidR="004D5024" w:rsidRPr="008021A2" w:rsidRDefault="004D5024" w:rsidP="004D5024">
      <w:pPr>
        <w:pStyle w:val="Tekstpodstawowy"/>
        <w:numPr>
          <w:ilvl w:val="0"/>
          <w:numId w:val="12"/>
        </w:numPr>
        <w:spacing w:before="240"/>
        <w:jc w:val="both"/>
        <w:rPr>
          <w:rFonts w:ascii="Times New Roman" w:hAnsi="Times New Roman" w:cs="Times New Roman"/>
          <w:noProof/>
          <w:sz w:val="24"/>
        </w:rPr>
      </w:pPr>
      <w:r>
        <w:rPr>
          <w:rFonts w:ascii="Times New Roman" w:hAnsi="Times New Roman"/>
          <w:noProof/>
          <w:sz w:val="24"/>
        </w:rPr>
        <w:t>Z funduszu innowacyjnego przeznaczono 71 mln EUR na sfinansowanie dwóch projektów związanych</w:t>
      </w:r>
      <w:r w:rsidR="0076371C">
        <w:rPr>
          <w:rFonts w:ascii="Times New Roman" w:hAnsi="Times New Roman"/>
          <w:noProof/>
          <w:sz w:val="24"/>
        </w:rPr>
        <w:t xml:space="preserve"> z pro</w:t>
      </w:r>
      <w:r>
        <w:rPr>
          <w:rFonts w:ascii="Times New Roman" w:hAnsi="Times New Roman"/>
          <w:noProof/>
          <w:sz w:val="24"/>
        </w:rPr>
        <w:t>dukcją komponentów na potrzeby wytwarzania energii ze źródeł odnawialnych lub magazynowania energii. Przeznaczono</w:t>
      </w:r>
      <w:r w:rsidR="0076371C">
        <w:rPr>
          <w:rFonts w:ascii="Times New Roman" w:hAnsi="Times New Roman"/>
          <w:noProof/>
          <w:sz w:val="24"/>
        </w:rPr>
        <w:t xml:space="preserve"> z nie</w:t>
      </w:r>
      <w:r>
        <w:rPr>
          <w:rFonts w:ascii="Times New Roman" w:hAnsi="Times New Roman"/>
          <w:noProof/>
          <w:sz w:val="24"/>
        </w:rPr>
        <w:t>go również 1,08 mld EUR na sześć projektów związanych z CCS oraz zainwestowano 1,45 mld EUR</w:t>
      </w:r>
      <w:r w:rsidR="0076371C">
        <w:rPr>
          <w:rFonts w:ascii="Times New Roman" w:hAnsi="Times New Roman"/>
          <w:noProof/>
          <w:sz w:val="24"/>
        </w:rPr>
        <w:t xml:space="preserve"> w 3</w:t>
      </w:r>
      <w:r>
        <w:rPr>
          <w:rFonts w:ascii="Times New Roman" w:hAnsi="Times New Roman"/>
          <w:noProof/>
          <w:sz w:val="24"/>
        </w:rPr>
        <w:t>8 projektów związanych</w:t>
      </w:r>
      <w:r w:rsidR="0076371C">
        <w:rPr>
          <w:rFonts w:ascii="Times New Roman" w:hAnsi="Times New Roman"/>
          <w:noProof/>
          <w:sz w:val="24"/>
        </w:rPr>
        <w:t xml:space="preserve"> z sek</w:t>
      </w:r>
      <w:r>
        <w:rPr>
          <w:rFonts w:ascii="Times New Roman" w:hAnsi="Times New Roman"/>
          <w:noProof/>
          <w:sz w:val="24"/>
        </w:rPr>
        <w:t>torami energochłonnymi</w:t>
      </w:r>
      <w:r w:rsidR="0076371C">
        <w:rPr>
          <w:rFonts w:ascii="Times New Roman" w:hAnsi="Times New Roman"/>
          <w:noProof/>
          <w:sz w:val="24"/>
        </w:rPr>
        <w:t>. W ten</w:t>
      </w:r>
      <w:r>
        <w:rPr>
          <w:rFonts w:ascii="Times New Roman" w:hAnsi="Times New Roman"/>
          <w:noProof/>
          <w:sz w:val="24"/>
        </w:rPr>
        <w:t xml:space="preserve"> sposób fundusz innowacyjny już teraz przyczynia się do osiągnięcia ogólnych celów aktu</w:t>
      </w:r>
      <w:r w:rsidR="0076371C">
        <w:rPr>
          <w:rFonts w:ascii="Times New Roman" w:hAnsi="Times New Roman"/>
          <w:noProof/>
          <w:sz w:val="24"/>
        </w:rPr>
        <w:t xml:space="preserve"> w spr</w:t>
      </w:r>
      <w:r>
        <w:rPr>
          <w:rFonts w:ascii="Times New Roman" w:hAnsi="Times New Roman"/>
          <w:noProof/>
          <w:sz w:val="24"/>
        </w:rPr>
        <w:t>awie przemysłu neutralnego emisyjnie</w:t>
      </w:r>
      <w:r w:rsidR="0076371C">
        <w:rPr>
          <w:rFonts w:ascii="Times New Roman" w:hAnsi="Times New Roman"/>
          <w:noProof/>
          <w:sz w:val="24"/>
        </w:rPr>
        <w:t xml:space="preserve"> i dot</w:t>
      </w:r>
      <w:r>
        <w:rPr>
          <w:rFonts w:ascii="Times New Roman" w:hAnsi="Times New Roman"/>
          <w:noProof/>
          <w:sz w:val="24"/>
        </w:rPr>
        <w:t>yczącego go komunikatu</w:t>
      </w:r>
      <w:r>
        <w:rPr>
          <w:rStyle w:val="Odwoanieprzypisudolnego"/>
          <w:rFonts w:ascii="Times New Roman" w:hAnsi="Times New Roman" w:cs="Times New Roman"/>
          <w:noProof/>
          <w:sz w:val="24"/>
        </w:rPr>
        <w:footnoteReference w:id="33"/>
      </w:r>
      <w:r>
        <w:rPr>
          <w:rFonts w:ascii="Times New Roman" w:hAnsi="Times New Roman"/>
          <w:noProof/>
          <w:sz w:val="24"/>
        </w:rPr>
        <w:t>.</w:t>
      </w:r>
    </w:p>
    <w:p w14:paraId="33DD9079" w14:textId="197753A2" w:rsidR="004D5024" w:rsidRPr="008021A2" w:rsidRDefault="004D5024" w:rsidP="004D5024">
      <w:pPr>
        <w:pStyle w:val="Nagwek3"/>
        <w:framePr w:wrap="auto" w:vAnchor="margin" w:yAlign="inline"/>
        <w:jc w:val="both"/>
        <w:rPr>
          <w:rFonts w:cs="Times New Roman"/>
          <w:i/>
          <w:noProof/>
        </w:rPr>
      </w:pPr>
      <w:bookmarkStart w:id="30" w:name="_Toc150504466"/>
      <w:r>
        <w:rPr>
          <w:i/>
          <w:caps w:val="0"/>
          <w:noProof/>
        </w:rPr>
        <w:t>Synergia</w:t>
      </w:r>
      <w:r w:rsidR="0076371C">
        <w:rPr>
          <w:i/>
          <w:caps w:val="0"/>
          <w:noProof/>
        </w:rPr>
        <w:t xml:space="preserve"> z inn</w:t>
      </w:r>
      <w:r>
        <w:rPr>
          <w:i/>
          <w:caps w:val="0"/>
          <w:noProof/>
        </w:rPr>
        <w:t>ymi instrumentami finansowania</w:t>
      </w:r>
      <w:bookmarkEnd w:id="30"/>
    </w:p>
    <w:p w14:paraId="55FC4CD8" w14:textId="587B8130"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Jak wspomniano na początku niniejszego sprawozdania, celem funduszu innowacyjnego jest zapewnienie synergii</w:t>
      </w:r>
      <w:r w:rsidR="0076371C">
        <w:rPr>
          <w:rFonts w:ascii="Times New Roman" w:hAnsi="Times New Roman"/>
          <w:noProof/>
          <w:sz w:val="24"/>
        </w:rPr>
        <w:t xml:space="preserve"> i kom</w:t>
      </w:r>
      <w:r>
        <w:rPr>
          <w:rFonts w:ascii="Times New Roman" w:hAnsi="Times New Roman"/>
          <w:noProof/>
          <w:sz w:val="24"/>
        </w:rPr>
        <w:t>plementarności</w:t>
      </w:r>
      <w:r w:rsidR="0076371C">
        <w:rPr>
          <w:rFonts w:ascii="Times New Roman" w:hAnsi="Times New Roman"/>
          <w:noProof/>
          <w:sz w:val="24"/>
        </w:rPr>
        <w:t xml:space="preserve"> z inn</w:t>
      </w:r>
      <w:r>
        <w:rPr>
          <w:rFonts w:ascii="Times New Roman" w:hAnsi="Times New Roman"/>
          <w:noProof/>
          <w:sz w:val="24"/>
        </w:rPr>
        <w:t>ymi instrumentami wsparcia inwestycji.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ram</w:t>
      </w:r>
      <w:r>
        <w:rPr>
          <w:rFonts w:ascii="Times New Roman" w:hAnsi="Times New Roman"/>
          <w:noProof/>
          <w:sz w:val="24"/>
        </w:rPr>
        <w:t>ach funduszu innowacyjnego przeprowadzono konkretne działania ukierunkowane na wsparcie synergii</w:t>
      </w:r>
      <w:r w:rsidR="0076371C">
        <w:rPr>
          <w:rFonts w:ascii="Times New Roman" w:hAnsi="Times New Roman"/>
          <w:noProof/>
          <w:sz w:val="24"/>
        </w:rPr>
        <w:t xml:space="preserve"> z pro</w:t>
      </w:r>
      <w:r>
        <w:rPr>
          <w:rFonts w:ascii="Times New Roman" w:hAnsi="Times New Roman"/>
          <w:noProof/>
          <w:sz w:val="24"/>
        </w:rPr>
        <w:t>gramem „Horyzont Europa”</w:t>
      </w:r>
      <w:r w:rsidR="0076371C">
        <w:rPr>
          <w:rFonts w:ascii="Times New Roman" w:hAnsi="Times New Roman"/>
          <w:noProof/>
          <w:sz w:val="24"/>
        </w:rPr>
        <w:t xml:space="preserve"> i z Eur</w:t>
      </w:r>
      <w:r>
        <w:rPr>
          <w:rFonts w:ascii="Times New Roman" w:hAnsi="Times New Roman"/>
          <w:noProof/>
          <w:sz w:val="24"/>
        </w:rPr>
        <w:t xml:space="preserve">opejskim Bankiem Inwestycyjnym. </w:t>
      </w:r>
    </w:p>
    <w:p w14:paraId="4B1CE0F8" w14:textId="4EA297D1" w:rsidR="004D5024" w:rsidRPr="008021A2" w:rsidRDefault="004D5024" w:rsidP="004D5024">
      <w:pPr>
        <w:pStyle w:val="paragraph"/>
        <w:spacing w:before="0" w:beforeAutospacing="0" w:after="0" w:afterAutospacing="0"/>
        <w:jc w:val="both"/>
        <w:rPr>
          <w:noProof/>
        </w:rPr>
      </w:pPr>
      <w:r>
        <w:rPr>
          <w:noProof/>
        </w:rPr>
        <w:t>Unijne programy ramowe</w:t>
      </w:r>
      <w:r w:rsidR="0076371C">
        <w:rPr>
          <w:noProof/>
        </w:rPr>
        <w:t xml:space="preserve"> w zak</w:t>
      </w:r>
      <w:r>
        <w:rPr>
          <w:noProof/>
        </w:rPr>
        <w:t>resie badań naukowych</w:t>
      </w:r>
      <w:r w:rsidR="0076371C">
        <w:rPr>
          <w:noProof/>
        </w:rPr>
        <w:t xml:space="preserve"> i inn</w:t>
      </w:r>
      <w:r>
        <w:rPr>
          <w:noProof/>
        </w:rPr>
        <w:t>owacji (tj. „Horyzont 2020” i „Horyzont Europa”) oraz fundusz innowacyjny mają potencjał synergii. Aby pomóc</w:t>
      </w:r>
      <w:r w:rsidR="0076371C">
        <w:rPr>
          <w:noProof/>
        </w:rPr>
        <w:t xml:space="preserve"> w osi</w:t>
      </w:r>
      <w:r>
        <w:rPr>
          <w:noProof/>
        </w:rPr>
        <w:t>ągnięciu tych synergii, podjęto szereg działań. Na przykład niektóre istotne tematy</w:t>
      </w:r>
      <w:r w:rsidR="0076371C">
        <w:rPr>
          <w:noProof/>
        </w:rPr>
        <w:t xml:space="preserve"> w pro</w:t>
      </w:r>
      <w:r>
        <w:rPr>
          <w:noProof/>
        </w:rPr>
        <w:t>gramie prac programu „Horyzont Europa” na lata 2023–2024 (zwłaszcza</w:t>
      </w:r>
      <w:r w:rsidR="0076371C">
        <w:rPr>
          <w:noProof/>
        </w:rPr>
        <w:t xml:space="preserve"> w kla</w:t>
      </w:r>
      <w:r>
        <w:rPr>
          <w:noProof/>
        </w:rPr>
        <w:t>strach 4</w:t>
      </w:r>
      <w:r w:rsidR="0076371C">
        <w:rPr>
          <w:noProof/>
        </w:rPr>
        <w:t xml:space="preserve"> i 5</w:t>
      </w:r>
      <w:r>
        <w:rPr>
          <w:noProof/>
        </w:rPr>
        <w:t>) zawierały standardowe sformułowanie zachęcające wnioskodawców, by włączyli do swoich wniosków strategię biznesową</w:t>
      </w:r>
      <w:r w:rsidR="0076371C">
        <w:rPr>
          <w:noProof/>
        </w:rPr>
        <w:t xml:space="preserve"> i stu</w:t>
      </w:r>
      <w:r>
        <w:rPr>
          <w:noProof/>
        </w:rPr>
        <w:t>dium wykonalności, które mogłyby później ułatwić ewentualne złożenie przyszłych wniosków</w:t>
      </w:r>
      <w:r w:rsidR="0076371C">
        <w:rPr>
          <w:noProof/>
        </w:rPr>
        <w:t xml:space="preserve"> w ram</w:t>
      </w:r>
      <w:r>
        <w:rPr>
          <w:noProof/>
        </w:rPr>
        <w:t>ach funduszu innowacyjnego. Ten sam program prac obejmował również</w:t>
      </w:r>
      <w:r w:rsidR="0076371C">
        <w:rPr>
          <w:noProof/>
        </w:rPr>
        <w:t xml:space="preserve"> w swo</w:t>
      </w:r>
      <w:r>
        <w:rPr>
          <w:noProof/>
        </w:rPr>
        <w:t>im klastrze 5 specjalne „działanie koordynacyjne</w:t>
      </w:r>
      <w:r w:rsidR="0076371C">
        <w:rPr>
          <w:noProof/>
        </w:rPr>
        <w:t xml:space="preserve"> i wsp</w:t>
      </w:r>
      <w:r>
        <w:rPr>
          <w:noProof/>
        </w:rPr>
        <w:t>ierające” ukierunkowane na promowanie wymiany najlepszych praktyk między czterema konsorcjami składającymi się</w:t>
      </w:r>
      <w:r w:rsidR="0076371C">
        <w:rPr>
          <w:noProof/>
        </w:rPr>
        <w:t xml:space="preserve"> z ben</w:t>
      </w:r>
      <w:r>
        <w:rPr>
          <w:noProof/>
        </w:rPr>
        <w:t>eficjentów programu „Horyzont 2020”</w:t>
      </w:r>
      <w:r w:rsidR="0076371C">
        <w:rPr>
          <w:noProof/>
        </w:rPr>
        <w:t xml:space="preserve"> i pom</w:t>
      </w:r>
      <w:r>
        <w:rPr>
          <w:noProof/>
        </w:rPr>
        <w:t>oc tym konsorcjom</w:t>
      </w:r>
      <w:r w:rsidR="0076371C">
        <w:rPr>
          <w:noProof/>
        </w:rPr>
        <w:t xml:space="preserve"> w prz</w:t>
      </w:r>
      <w:r>
        <w:rPr>
          <w:noProof/>
        </w:rPr>
        <w:t>ygotowywaniu wysokiej jakości wniosków do funduszu innowacyjnego</w:t>
      </w:r>
      <w:r w:rsidR="0076371C">
        <w:rPr>
          <w:noProof/>
        </w:rPr>
        <w:t xml:space="preserve">. </w:t>
      </w:r>
      <w:r w:rsidR="0076371C">
        <w:rPr>
          <w:noProof/>
        </w:rPr>
        <w:lastRenderedPageBreak/>
        <w:t>W ram</w:t>
      </w:r>
      <w:r>
        <w:rPr>
          <w:noProof/>
        </w:rPr>
        <w:t>ach funduszu innowacyjnego zorganizowano ponadto</w:t>
      </w:r>
      <w:r w:rsidR="0076371C">
        <w:rPr>
          <w:noProof/>
        </w:rPr>
        <w:t xml:space="preserve"> w 2</w:t>
      </w:r>
      <w:r>
        <w:rPr>
          <w:noProof/>
        </w:rPr>
        <w:t>0</w:t>
      </w:r>
      <w:r w:rsidRPr="002001C0">
        <w:rPr>
          <w:noProof/>
        </w:rPr>
        <w:t>22</w:t>
      </w:r>
      <w:r w:rsidR="002001C0" w:rsidRPr="002001C0">
        <w:rPr>
          <w:noProof/>
        </w:rPr>
        <w:t> </w:t>
      </w:r>
      <w:r w:rsidRPr="002001C0">
        <w:rPr>
          <w:noProof/>
        </w:rPr>
        <w:t>r.</w:t>
      </w:r>
      <w:r>
        <w:rPr>
          <w:noProof/>
        </w:rPr>
        <w:t xml:space="preserve"> specjalne wirtualne warsztaty, aby: (i) poinformować uczestników zaawansowanych projektów</w:t>
      </w:r>
      <w:r w:rsidR="0076371C">
        <w:rPr>
          <w:noProof/>
        </w:rPr>
        <w:t xml:space="preserve"> w ram</w:t>
      </w:r>
      <w:r>
        <w:rPr>
          <w:noProof/>
        </w:rPr>
        <w:t>ach programu „Horyzont 2020”</w:t>
      </w:r>
      <w:r w:rsidR="0076371C">
        <w:rPr>
          <w:noProof/>
        </w:rPr>
        <w:t xml:space="preserve"> o obs</w:t>
      </w:r>
      <w:r>
        <w:rPr>
          <w:noProof/>
        </w:rPr>
        <w:t>zarach tematycznych objętych funduszem innowacyjnym oraz</w:t>
      </w:r>
      <w:r w:rsidR="0076371C">
        <w:rPr>
          <w:noProof/>
        </w:rPr>
        <w:t xml:space="preserve"> o moż</w:t>
      </w:r>
      <w:r>
        <w:rPr>
          <w:noProof/>
        </w:rPr>
        <w:t>liwościach finansowania oferowanych przez ten fundusz; oraz (ii) umożliwić promotorom projektów podzielenie się</w:t>
      </w:r>
      <w:r w:rsidR="0076371C">
        <w:rPr>
          <w:noProof/>
        </w:rPr>
        <w:t xml:space="preserve"> z pot</w:t>
      </w:r>
      <w:r>
        <w:rPr>
          <w:noProof/>
        </w:rPr>
        <w:t>encjalnymi przyszłymi wnioskodawcami doświadczeniami związanymi</w:t>
      </w:r>
      <w:r w:rsidR="0076371C">
        <w:rPr>
          <w:noProof/>
        </w:rPr>
        <w:t xml:space="preserve"> z pro</w:t>
      </w:r>
      <w:r>
        <w:rPr>
          <w:noProof/>
        </w:rPr>
        <w:t>cesem składania wniosków do funduszu innowacyjnego oraz</w:t>
      </w:r>
      <w:r w:rsidR="0076371C">
        <w:rPr>
          <w:noProof/>
        </w:rPr>
        <w:t xml:space="preserve"> z ewe</w:t>
      </w:r>
      <w:r>
        <w:rPr>
          <w:noProof/>
        </w:rPr>
        <w:t>ntualnymi przeszkodami, jakie napotkali przy wdrażaniu swoich rozwiązań technologicznych.</w:t>
      </w:r>
    </w:p>
    <w:p w14:paraId="2DEF7684" w14:textId="77777777" w:rsidR="004D5024" w:rsidRPr="008021A2" w:rsidRDefault="004D5024" w:rsidP="004D5024">
      <w:pPr>
        <w:pStyle w:val="paragraph"/>
        <w:spacing w:before="0" w:beforeAutospacing="0" w:after="0" w:afterAutospacing="0"/>
        <w:jc w:val="both"/>
        <w:rPr>
          <w:rFonts w:eastAsiaTheme="minorEastAsia"/>
          <w:noProof/>
        </w:rPr>
      </w:pPr>
    </w:p>
    <w:p w14:paraId="56A2796C" w14:textId="37042E5D" w:rsidR="004D5024" w:rsidRPr="008021A2" w:rsidRDefault="004D5024" w:rsidP="004D5024">
      <w:pPr>
        <w:pStyle w:val="paragraph"/>
        <w:spacing w:before="0" w:beforeAutospacing="0" w:after="0" w:afterAutospacing="0"/>
        <w:jc w:val="both"/>
        <w:textAlignment w:val="baseline"/>
        <w:rPr>
          <w:rFonts w:eastAsiaTheme="minorEastAsia"/>
          <w:noProof/>
        </w:rPr>
      </w:pPr>
      <w:r>
        <w:rPr>
          <w:noProof/>
        </w:rPr>
        <w:t>Programy funduszu innowacyjnego</w:t>
      </w:r>
      <w:r w:rsidR="0076371C">
        <w:rPr>
          <w:noProof/>
        </w:rPr>
        <w:t xml:space="preserve"> i pro</w:t>
      </w:r>
      <w:r>
        <w:rPr>
          <w:noProof/>
        </w:rPr>
        <w:t>gramu „Horyzont Europa” współdziałają również</w:t>
      </w:r>
      <w:r w:rsidR="0076371C">
        <w:rPr>
          <w:noProof/>
        </w:rPr>
        <w:t xml:space="preserve"> z Eur</w:t>
      </w:r>
      <w:r>
        <w:rPr>
          <w:noProof/>
        </w:rPr>
        <w:t>opejskim Bankiem Inwestycyjnym poprzez mieszane instrumenty finansowe</w:t>
      </w:r>
      <w:r w:rsidR="0076371C">
        <w:rPr>
          <w:noProof/>
        </w:rPr>
        <w:t xml:space="preserve"> w ram</w:t>
      </w:r>
      <w:r>
        <w:rPr>
          <w:noProof/>
        </w:rPr>
        <w:t>ach partnerstwa UE–Catalyst</w:t>
      </w:r>
      <w:r w:rsidR="0076371C">
        <w:rPr>
          <w:noProof/>
        </w:rPr>
        <w:t>. W par</w:t>
      </w:r>
      <w:r>
        <w:rPr>
          <w:noProof/>
        </w:rPr>
        <w:t xml:space="preserve">tnerstwie tym uczestniczą Komisja Europejska, Europejski Bank Inwestycyjny i </w:t>
      </w:r>
      <w:hyperlink r:id="rId45" w:tgtFrame="_blank" w:history="1">
        <w:r>
          <w:rPr>
            <w:noProof/>
          </w:rPr>
          <w:t>Breakthrough Energy Catalyst</w:t>
        </w:r>
      </w:hyperlink>
      <w:r>
        <w:rPr>
          <w:noProof/>
        </w:rPr>
        <w:t xml:space="preserve"> (BEC). Partnerstwo UE–Catalyst uruchomiono</w:t>
      </w:r>
      <w:r w:rsidR="0076371C">
        <w:rPr>
          <w:noProof/>
        </w:rPr>
        <w:t xml:space="preserve"> w 2</w:t>
      </w:r>
      <w:r>
        <w:rPr>
          <w:noProof/>
        </w:rPr>
        <w:t>0</w:t>
      </w:r>
      <w:r w:rsidRPr="002001C0">
        <w:rPr>
          <w:noProof/>
        </w:rPr>
        <w:t>21</w:t>
      </w:r>
      <w:r w:rsidR="002001C0" w:rsidRPr="002001C0">
        <w:rPr>
          <w:noProof/>
        </w:rPr>
        <w:t> </w:t>
      </w:r>
      <w:r w:rsidRPr="002001C0">
        <w:rPr>
          <w:noProof/>
        </w:rPr>
        <w:t>r.</w:t>
      </w:r>
      <w:r w:rsidR="0076371C">
        <w:rPr>
          <w:noProof/>
        </w:rPr>
        <w:t xml:space="preserve"> w kon</w:t>
      </w:r>
      <w:r>
        <w:rPr>
          <w:noProof/>
        </w:rPr>
        <w:t>tekście COP26</w:t>
      </w:r>
      <w:r w:rsidR="0076371C">
        <w:rPr>
          <w:noProof/>
        </w:rPr>
        <w:t xml:space="preserve"> w Gla</w:t>
      </w:r>
      <w:r>
        <w:rPr>
          <w:noProof/>
        </w:rPr>
        <w:t>sgow, aby zmobilizować</w:t>
      </w:r>
      <w:r w:rsidR="0076371C">
        <w:rPr>
          <w:noProof/>
        </w:rPr>
        <w:t xml:space="preserve"> w Eur</w:t>
      </w:r>
      <w:r>
        <w:rPr>
          <w:noProof/>
        </w:rPr>
        <w:t>opie</w:t>
      </w:r>
      <w:r w:rsidR="0076371C">
        <w:rPr>
          <w:noProof/>
        </w:rPr>
        <w:t xml:space="preserve"> w lat</w:t>
      </w:r>
      <w:r>
        <w:rPr>
          <w:noProof/>
        </w:rPr>
        <w:t>ach 2022–2026 820 mln EUR na inwestycje</w:t>
      </w:r>
      <w:r w:rsidR="0076371C">
        <w:rPr>
          <w:noProof/>
        </w:rPr>
        <w:t xml:space="preserve"> w tec</w:t>
      </w:r>
      <w:r>
        <w:rPr>
          <w:noProof/>
        </w:rPr>
        <w:t>hnologie klimatyczne</w:t>
      </w:r>
      <w:r w:rsidR="0076371C">
        <w:rPr>
          <w:noProof/>
        </w:rPr>
        <w:t xml:space="preserve"> o zna</w:t>
      </w:r>
      <w:r>
        <w:rPr>
          <w:noProof/>
        </w:rPr>
        <w:t>czeniu krytycznym. Działania tego partnerstwa będą skoncentrowane na obszarach czystego wodoru, zrównoważonych paliw lotniczych, wychwytywania dwutlenku węgla bezpośrednio</w:t>
      </w:r>
      <w:r w:rsidR="0076371C">
        <w:rPr>
          <w:noProof/>
        </w:rPr>
        <w:t xml:space="preserve"> z pow</w:t>
      </w:r>
      <w:r>
        <w:rPr>
          <w:noProof/>
        </w:rPr>
        <w:t>ietrza, długotrwałego magazynowania energii oraz dekarbonizacji przemysłu. Ogółem wkład</w:t>
      </w:r>
      <w:r w:rsidR="0076371C">
        <w:rPr>
          <w:noProof/>
        </w:rPr>
        <w:t xml:space="preserve"> z fun</w:t>
      </w:r>
      <w:r>
        <w:rPr>
          <w:noProof/>
        </w:rPr>
        <w:t xml:space="preserve">duszu innowacyjnego na rzecz partnerstwa wyniesie </w:t>
      </w:r>
      <w:r w:rsidRPr="002001C0">
        <w:rPr>
          <w:noProof/>
        </w:rPr>
        <w:t>do</w:t>
      </w:r>
      <w:r w:rsidR="002001C0" w:rsidRPr="002001C0">
        <w:rPr>
          <w:noProof/>
        </w:rPr>
        <w:t> </w:t>
      </w:r>
      <w:r w:rsidRPr="002001C0">
        <w:rPr>
          <w:noProof/>
        </w:rPr>
        <w:t>2</w:t>
      </w:r>
      <w:r>
        <w:rPr>
          <w:noProof/>
        </w:rPr>
        <w:t>20 mln EUR,</w:t>
      </w:r>
      <w:r w:rsidR="0076371C">
        <w:rPr>
          <w:noProof/>
        </w:rPr>
        <w:t xml:space="preserve"> a z pro</w:t>
      </w:r>
      <w:r>
        <w:rPr>
          <w:noProof/>
        </w:rPr>
        <w:t xml:space="preserve">gramu „Horyzont Europa” – </w:t>
      </w:r>
      <w:r w:rsidRPr="002001C0">
        <w:rPr>
          <w:noProof/>
        </w:rPr>
        <w:t>do</w:t>
      </w:r>
      <w:r w:rsidR="002001C0" w:rsidRPr="002001C0">
        <w:rPr>
          <w:noProof/>
        </w:rPr>
        <w:t> </w:t>
      </w:r>
      <w:r w:rsidRPr="002001C0">
        <w:rPr>
          <w:noProof/>
        </w:rPr>
        <w:t>2</w:t>
      </w:r>
      <w:r>
        <w:rPr>
          <w:noProof/>
        </w:rPr>
        <w:t>00 mln EUR. Na początku 20</w:t>
      </w:r>
      <w:r w:rsidRPr="002001C0">
        <w:rPr>
          <w:noProof/>
        </w:rPr>
        <w:t>22</w:t>
      </w:r>
      <w:r w:rsidR="002001C0" w:rsidRPr="002001C0">
        <w:rPr>
          <w:noProof/>
        </w:rPr>
        <w:t> </w:t>
      </w:r>
      <w:r w:rsidRPr="002001C0">
        <w:rPr>
          <w:noProof/>
        </w:rPr>
        <w:t>r.</w:t>
      </w:r>
      <w:r>
        <w:rPr>
          <w:noProof/>
        </w:rPr>
        <w:t xml:space="preserve"> BEC ogłosił pierwsze zaproszenie do składania wniosków</w:t>
      </w:r>
      <w:r w:rsidR="0076371C">
        <w:rPr>
          <w:noProof/>
        </w:rPr>
        <w:t xml:space="preserve"> w ram</w:t>
      </w:r>
      <w:r>
        <w:rPr>
          <w:noProof/>
        </w:rPr>
        <w:t>ach współpracy</w:t>
      </w:r>
      <w:r w:rsidR="0076371C">
        <w:rPr>
          <w:noProof/>
        </w:rPr>
        <w:t xml:space="preserve"> z Uni</w:t>
      </w:r>
      <w:r>
        <w:rPr>
          <w:noProof/>
        </w:rPr>
        <w:t>ą Europejską. Pierwsze zaproszenie do składania wniosków nie spotkało się</w:t>
      </w:r>
      <w:r w:rsidR="0076371C">
        <w:rPr>
          <w:noProof/>
        </w:rPr>
        <w:t xml:space="preserve"> z wys</w:t>
      </w:r>
      <w:r>
        <w:rPr>
          <w:noProof/>
        </w:rPr>
        <w:t>tarczającym zainteresowaniem ze strony promotorów projektów,</w:t>
      </w:r>
      <w:r w:rsidR="0076371C">
        <w:rPr>
          <w:noProof/>
        </w:rPr>
        <w:t xml:space="preserve"> a pla</w:t>
      </w:r>
      <w:r>
        <w:rPr>
          <w:noProof/>
        </w:rPr>
        <w:t>tformę ponownie uruchomiono na początku 20</w:t>
      </w:r>
      <w:r w:rsidRPr="002001C0">
        <w:rPr>
          <w:noProof/>
        </w:rPr>
        <w:t>23</w:t>
      </w:r>
      <w:r w:rsidR="002001C0" w:rsidRPr="002001C0">
        <w:rPr>
          <w:noProof/>
        </w:rPr>
        <w:t> </w:t>
      </w:r>
      <w:r w:rsidRPr="002001C0">
        <w:rPr>
          <w:noProof/>
        </w:rPr>
        <w:t>r.</w:t>
      </w:r>
      <w:r>
        <w:rPr>
          <w:noProof/>
        </w:rPr>
        <w:t>, zapewniając bardziej elastyczne systemy finansowania zaawansowanych etapów technologicznych (instalacji demonstracyjnych</w:t>
      </w:r>
      <w:r w:rsidR="0076371C">
        <w:rPr>
          <w:noProof/>
        </w:rPr>
        <w:t xml:space="preserve"> i zak</w:t>
      </w:r>
      <w:r>
        <w:rPr>
          <w:noProof/>
        </w:rPr>
        <w:t>ładów pierwszych</w:t>
      </w:r>
      <w:r w:rsidR="0076371C">
        <w:rPr>
          <w:noProof/>
        </w:rPr>
        <w:t xml:space="preserve"> w swo</w:t>
      </w:r>
      <w:r>
        <w:rPr>
          <w:noProof/>
        </w:rPr>
        <w:t>im rodzaju) oraz rozszerzając zakres sektorów objętych partnerstwem.</w:t>
      </w:r>
    </w:p>
    <w:p w14:paraId="32190B69" w14:textId="008AF715" w:rsidR="004D5024" w:rsidRPr="008021A2" w:rsidRDefault="004D5024" w:rsidP="004D5024">
      <w:pPr>
        <w:pStyle w:val="Nagwek3"/>
        <w:framePr w:wrap="notBeside"/>
        <w:jc w:val="both"/>
        <w:rPr>
          <w:rFonts w:cs="Times New Roman"/>
          <w:i/>
          <w:noProof/>
        </w:rPr>
      </w:pPr>
      <w:bookmarkStart w:id="31" w:name="_Toc150504467"/>
      <w:r>
        <w:rPr>
          <w:i/>
          <w:noProof/>
        </w:rPr>
        <w:t>D</w:t>
      </w:r>
      <w:r>
        <w:rPr>
          <w:i/>
          <w:caps w:val="0"/>
          <w:noProof/>
        </w:rPr>
        <w:t>zielenie się wiedzą na temat rozwiązań</w:t>
      </w:r>
      <w:r w:rsidR="0076371C">
        <w:rPr>
          <w:i/>
          <w:noProof/>
        </w:rPr>
        <w:t xml:space="preserve"> </w:t>
      </w:r>
      <w:r w:rsidR="0076371C">
        <w:rPr>
          <w:i/>
          <w:caps w:val="0"/>
          <w:noProof/>
        </w:rPr>
        <w:t>w</w:t>
      </w:r>
      <w:r w:rsidR="0076371C">
        <w:rPr>
          <w:i/>
          <w:noProof/>
        </w:rPr>
        <w:t> </w:t>
      </w:r>
      <w:r w:rsidR="0076371C">
        <w:rPr>
          <w:i/>
          <w:caps w:val="0"/>
          <w:noProof/>
        </w:rPr>
        <w:t>zak</w:t>
      </w:r>
      <w:r>
        <w:rPr>
          <w:i/>
          <w:caps w:val="0"/>
          <w:noProof/>
        </w:rPr>
        <w:t>resie czystych technologii</w:t>
      </w:r>
      <w:bookmarkEnd w:id="31"/>
    </w:p>
    <w:p w14:paraId="05D7998F" w14:textId="31DE4187"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Dzielenie się wiedzą jest istotnym elementem funduszu innowacyjnego, ponieważ wspiera powielanie technologii lub rozwiązań wspieranych</w:t>
      </w:r>
      <w:r w:rsidR="0076371C">
        <w:rPr>
          <w:rFonts w:ascii="Times New Roman" w:hAnsi="Times New Roman"/>
          <w:noProof/>
          <w:sz w:val="24"/>
        </w:rPr>
        <w:t xml:space="preserve"> z teg</w:t>
      </w:r>
      <w:r>
        <w:rPr>
          <w:rFonts w:ascii="Times New Roman" w:hAnsi="Times New Roman"/>
          <w:noProof/>
          <w:sz w:val="24"/>
        </w:rPr>
        <w:t>o funduszu</w:t>
      </w:r>
      <w:r w:rsidR="0076371C">
        <w:rPr>
          <w:rFonts w:ascii="Times New Roman" w:hAnsi="Times New Roman"/>
          <w:noProof/>
          <w:sz w:val="24"/>
        </w:rPr>
        <w:t xml:space="preserve"> i szy</w:t>
      </w:r>
      <w:r>
        <w:rPr>
          <w:rFonts w:ascii="Times New Roman" w:hAnsi="Times New Roman"/>
          <w:noProof/>
          <w:sz w:val="24"/>
        </w:rPr>
        <w:t>bszą penetrację rynku przez te technologie</w:t>
      </w:r>
      <w:r w:rsidR="0076371C">
        <w:rPr>
          <w:rFonts w:ascii="Times New Roman" w:hAnsi="Times New Roman"/>
          <w:noProof/>
          <w:sz w:val="24"/>
        </w:rPr>
        <w:t xml:space="preserve"> i roz</w:t>
      </w:r>
      <w:r>
        <w:rPr>
          <w:rFonts w:ascii="Times New Roman" w:hAnsi="Times New Roman"/>
          <w:noProof/>
          <w:sz w:val="24"/>
        </w:rPr>
        <w:t>wiązania.</w:t>
      </w:r>
    </w:p>
    <w:p w14:paraId="3B2AB155" w14:textId="2B4070F1"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W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ram</w:t>
      </w:r>
      <w:r>
        <w:rPr>
          <w:rFonts w:ascii="Times New Roman" w:hAnsi="Times New Roman"/>
          <w:noProof/>
          <w:sz w:val="24"/>
        </w:rPr>
        <w:t>ach projektów objętych wsparciem przedłożono pierwsze sprawozdania</w:t>
      </w:r>
      <w:r w:rsidR="0076371C">
        <w:rPr>
          <w:rFonts w:ascii="Times New Roman" w:hAnsi="Times New Roman"/>
          <w:noProof/>
          <w:sz w:val="24"/>
        </w:rPr>
        <w:t xml:space="preserve"> z dzi</w:t>
      </w:r>
      <w:r>
        <w:rPr>
          <w:rFonts w:ascii="Times New Roman" w:hAnsi="Times New Roman"/>
          <w:noProof/>
          <w:sz w:val="24"/>
        </w:rPr>
        <w:t>elenia się wiedzą</w:t>
      </w:r>
      <w:r w:rsidR="0076371C">
        <w:rPr>
          <w:rFonts w:ascii="Times New Roman" w:hAnsi="Times New Roman"/>
          <w:noProof/>
          <w:sz w:val="24"/>
        </w:rPr>
        <w:t>. W tym</w:t>
      </w:r>
      <w:r>
        <w:rPr>
          <w:rFonts w:ascii="Times New Roman" w:hAnsi="Times New Roman"/>
          <w:noProof/>
          <w:sz w:val="24"/>
        </w:rPr>
        <w:t xml:space="preserve"> okresie Komisja Europejska wraz z CINEA podjęły znaczne starania na rzecz przekazywania</w:t>
      </w:r>
      <w:r w:rsidR="0076371C">
        <w:rPr>
          <w:rFonts w:ascii="Times New Roman" w:hAnsi="Times New Roman"/>
          <w:noProof/>
          <w:sz w:val="24"/>
        </w:rPr>
        <w:t xml:space="preserve"> i roz</w:t>
      </w:r>
      <w:r>
        <w:rPr>
          <w:rFonts w:ascii="Times New Roman" w:hAnsi="Times New Roman"/>
          <w:noProof/>
          <w:sz w:val="24"/>
        </w:rPr>
        <w:t>powszechniania wiedzy zgromadzonej</w:t>
      </w:r>
      <w:r w:rsidR="0076371C">
        <w:rPr>
          <w:rFonts w:ascii="Times New Roman" w:hAnsi="Times New Roman"/>
          <w:noProof/>
          <w:sz w:val="24"/>
        </w:rPr>
        <w:t xml:space="preserve"> w ram</w:t>
      </w:r>
      <w:r>
        <w:rPr>
          <w:rFonts w:ascii="Times New Roman" w:hAnsi="Times New Roman"/>
          <w:noProof/>
          <w:sz w:val="24"/>
        </w:rPr>
        <w:t>ach projektów</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ram</w:t>
      </w:r>
      <w:r>
        <w:rPr>
          <w:rFonts w:ascii="Times New Roman" w:hAnsi="Times New Roman"/>
          <w:noProof/>
          <w:sz w:val="24"/>
        </w:rPr>
        <w:t>ach funduszu innowacyjnego zorganizowano jedno wydarzenie zamknięte: „Main Challenges in Reaching Financial Close (FC) and Ways to Tackle Them” [„Główne wyzwania związane</w:t>
      </w:r>
      <w:r w:rsidR="0076371C">
        <w:rPr>
          <w:rFonts w:ascii="Times New Roman" w:hAnsi="Times New Roman"/>
          <w:noProof/>
          <w:sz w:val="24"/>
        </w:rPr>
        <w:t xml:space="preserve"> z osi</w:t>
      </w:r>
      <w:r>
        <w:rPr>
          <w:rFonts w:ascii="Times New Roman" w:hAnsi="Times New Roman"/>
          <w:noProof/>
          <w:sz w:val="24"/>
        </w:rPr>
        <w:t>ągnięciem zamknięcia finansowego</w:t>
      </w:r>
      <w:r w:rsidR="0076371C">
        <w:rPr>
          <w:rFonts w:ascii="Times New Roman" w:hAnsi="Times New Roman"/>
          <w:noProof/>
          <w:sz w:val="24"/>
        </w:rPr>
        <w:t xml:space="preserve"> i spo</w:t>
      </w:r>
      <w:r>
        <w:rPr>
          <w:rFonts w:ascii="Times New Roman" w:hAnsi="Times New Roman"/>
          <w:noProof/>
          <w:sz w:val="24"/>
        </w:rPr>
        <w:t>soby ich przezwyciężenia”] (wrzesień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Podczas tego wydarzenia omówiono takie kwestie, jak wyzwania związane</w:t>
      </w:r>
      <w:r w:rsidR="0076371C">
        <w:rPr>
          <w:rFonts w:ascii="Times New Roman" w:hAnsi="Times New Roman"/>
          <w:noProof/>
          <w:sz w:val="24"/>
        </w:rPr>
        <w:t xml:space="preserve"> z zab</w:t>
      </w:r>
      <w:r>
        <w:rPr>
          <w:rFonts w:ascii="Times New Roman" w:hAnsi="Times New Roman"/>
          <w:noProof/>
          <w:sz w:val="24"/>
        </w:rPr>
        <w:t>ezpieczeniem finansowania, wpływ ram regulacyjnych</w:t>
      </w:r>
      <w:r w:rsidR="0076371C">
        <w:rPr>
          <w:rFonts w:ascii="Times New Roman" w:hAnsi="Times New Roman"/>
          <w:noProof/>
          <w:sz w:val="24"/>
        </w:rPr>
        <w:t xml:space="preserve"> i pro</w:t>
      </w:r>
      <w:r>
        <w:rPr>
          <w:rFonts w:ascii="Times New Roman" w:hAnsi="Times New Roman"/>
          <w:noProof/>
          <w:sz w:val="24"/>
        </w:rPr>
        <w:t>cesów wydawania pozwoleń oraz niepewność rynku.</w:t>
      </w:r>
    </w:p>
    <w:p w14:paraId="6FE1CE10" w14:textId="56F28166" w:rsidR="004D5024" w:rsidRPr="008021A2" w:rsidRDefault="004D5024" w:rsidP="004D5024">
      <w:pPr>
        <w:jc w:val="both"/>
        <w:rPr>
          <w:rFonts w:ascii="Times New Roman" w:hAnsi="Times New Roman" w:cs="Times New Roman"/>
          <w:noProof/>
          <w:sz w:val="24"/>
        </w:rPr>
      </w:pPr>
      <w:r>
        <w:rPr>
          <w:rFonts w:ascii="Times New Roman" w:hAnsi="Times New Roman"/>
          <w:noProof/>
          <w:sz w:val="24"/>
        </w:rPr>
        <w:t xml:space="preserve">Przez cały </w:t>
      </w:r>
      <w:r w:rsidRPr="002001C0">
        <w:rPr>
          <w:rFonts w:ascii="Times New Roman" w:hAnsi="Times New Roman"/>
          <w:noProof/>
          <w:sz w:val="24"/>
        </w:rPr>
        <w:t>rok</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022 Komisja organizowała również regularne spotkania grupy ekspertów ds. funduszu innowacyjnego, aby omawiać</w:t>
      </w:r>
      <w:r w:rsidR="0076371C">
        <w:rPr>
          <w:rFonts w:ascii="Times New Roman" w:hAnsi="Times New Roman"/>
          <w:noProof/>
          <w:sz w:val="24"/>
        </w:rPr>
        <w:t xml:space="preserve"> z pań</w:t>
      </w:r>
      <w:r>
        <w:rPr>
          <w:rFonts w:ascii="Times New Roman" w:hAnsi="Times New Roman"/>
          <w:noProof/>
          <w:sz w:val="24"/>
        </w:rPr>
        <w:t>stwami członkowskimi</w:t>
      </w:r>
      <w:r w:rsidR="0076371C">
        <w:rPr>
          <w:rFonts w:ascii="Times New Roman" w:hAnsi="Times New Roman"/>
          <w:noProof/>
          <w:sz w:val="24"/>
        </w:rPr>
        <w:t xml:space="preserve"> i prz</w:t>
      </w:r>
      <w:r>
        <w:rPr>
          <w:rFonts w:ascii="Times New Roman" w:hAnsi="Times New Roman"/>
          <w:noProof/>
          <w:sz w:val="24"/>
        </w:rPr>
        <w:t>edstawicielami przemysłu wdrażanie tego funduszu oraz jego przyszłe kierunki. DG CLIMA lub CINEA uczestniczyły ponadto</w:t>
      </w:r>
      <w:r w:rsidR="0076371C">
        <w:rPr>
          <w:rFonts w:ascii="Times New Roman" w:hAnsi="Times New Roman"/>
          <w:noProof/>
          <w:sz w:val="24"/>
        </w:rPr>
        <w:t xml:space="preserve"> w pon</w:t>
      </w:r>
      <w:r>
        <w:rPr>
          <w:rFonts w:ascii="Times New Roman" w:hAnsi="Times New Roman"/>
          <w:noProof/>
          <w:sz w:val="24"/>
        </w:rPr>
        <w:t>ad 50 wydarzeniach zorganizowanych przez osoby trzecie, aby podnosić poziom wiedzy</w:t>
      </w:r>
      <w:r w:rsidR="0076371C">
        <w:rPr>
          <w:rFonts w:ascii="Times New Roman" w:hAnsi="Times New Roman"/>
          <w:noProof/>
          <w:sz w:val="24"/>
        </w:rPr>
        <w:t xml:space="preserve"> i świ</w:t>
      </w:r>
      <w:r>
        <w:rPr>
          <w:rFonts w:ascii="Times New Roman" w:hAnsi="Times New Roman"/>
          <w:noProof/>
          <w:sz w:val="24"/>
        </w:rPr>
        <w:t>adomości na temat funduszu innowacyjnego.</w:t>
      </w:r>
      <w:r>
        <w:rPr>
          <w:rFonts w:ascii="Times New Roman" w:hAnsi="Times New Roman"/>
          <w:noProof/>
        </w:rPr>
        <w:t xml:space="preserve"> </w:t>
      </w:r>
      <w:r>
        <w:rPr>
          <w:rFonts w:ascii="Times New Roman" w:hAnsi="Times New Roman"/>
          <w:noProof/>
          <w:sz w:val="24"/>
        </w:rPr>
        <w:t>Jak wynika</w:t>
      </w:r>
      <w:r w:rsidR="0076371C">
        <w:rPr>
          <w:rFonts w:ascii="Times New Roman" w:hAnsi="Times New Roman"/>
          <w:noProof/>
          <w:sz w:val="24"/>
        </w:rPr>
        <w:t xml:space="preserve"> z bad</w:t>
      </w:r>
      <w:r>
        <w:rPr>
          <w:rFonts w:ascii="Times New Roman" w:hAnsi="Times New Roman"/>
          <w:noProof/>
          <w:sz w:val="24"/>
        </w:rPr>
        <w:t>ania przeprowadzonego</w:t>
      </w:r>
      <w:r w:rsidR="0076371C">
        <w:rPr>
          <w:rFonts w:ascii="Times New Roman" w:hAnsi="Times New Roman"/>
          <w:noProof/>
          <w:sz w:val="24"/>
        </w:rPr>
        <w:t xml:space="preserve"> w tra</w:t>
      </w:r>
      <w:r>
        <w:rPr>
          <w:rFonts w:ascii="Times New Roman" w:hAnsi="Times New Roman"/>
          <w:noProof/>
          <w:sz w:val="24"/>
        </w:rPr>
        <w:t>kcie wydarzenia związanego</w:t>
      </w:r>
      <w:r w:rsidR="0076371C">
        <w:rPr>
          <w:rFonts w:ascii="Times New Roman" w:hAnsi="Times New Roman"/>
          <w:noProof/>
          <w:sz w:val="24"/>
        </w:rPr>
        <w:t xml:space="preserve"> z pro</w:t>
      </w:r>
      <w:r>
        <w:rPr>
          <w:rFonts w:ascii="Times New Roman" w:hAnsi="Times New Roman"/>
          <w:noProof/>
          <w:sz w:val="24"/>
        </w:rPr>
        <w:t>jektami</w:t>
      </w:r>
      <w:r w:rsidR="0076371C">
        <w:rPr>
          <w:rFonts w:ascii="Times New Roman" w:hAnsi="Times New Roman"/>
          <w:noProof/>
          <w:sz w:val="24"/>
        </w:rPr>
        <w:t xml:space="preserve"> w ram</w:t>
      </w:r>
      <w:r>
        <w:rPr>
          <w:rFonts w:ascii="Times New Roman" w:hAnsi="Times New Roman"/>
          <w:noProof/>
          <w:sz w:val="24"/>
        </w:rPr>
        <w:t>ach funduszu innowacyjnego, główne czynniki decydujące</w:t>
      </w:r>
      <w:r w:rsidR="0076371C">
        <w:rPr>
          <w:rFonts w:ascii="Times New Roman" w:hAnsi="Times New Roman"/>
          <w:noProof/>
          <w:sz w:val="24"/>
        </w:rPr>
        <w:t xml:space="preserve"> o tym</w:t>
      </w:r>
      <w:r>
        <w:rPr>
          <w:rFonts w:ascii="Times New Roman" w:hAnsi="Times New Roman"/>
          <w:noProof/>
          <w:sz w:val="24"/>
        </w:rPr>
        <w:t>, czy</w:t>
      </w:r>
      <w:r w:rsidR="0076371C">
        <w:rPr>
          <w:rFonts w:ascii="Times New Roman" w:hAnsi="Times New Roman"/>
          <w:noProof/>
          <w:sz w:val="24"/>
        </w:rPr>
        <w:t xml:space="preserve"> w pro</w:t>
      </w:r>
      <w:r>
        <w:rPr>
          <w:rFonts w:ascii="Times New Roman" w:hAnsi="Times New Roman"/>
          <w:noProof/>
          <w:sz w:val="24"/>
        </w:rPr>
        <w:t xml:space="preserve">jekcie uda się osiągnąć </w:t>
      </w:r>
      <w:r>
        <w:rPr>
          <w:rFonts w:ascii="Times New Roman" w:hAnsi="Times New Roman"/>
          <w:noProof/>
          <w:sz w:val="24"/>
        </w:rPr>
        <w:lastRenderedPageBreak/>
        <w:t>zamknięcie finansowe, to (w kolejności od najważniejszego): (i) wyzwania napotkane podczas zawierania umów</w:t>
      </w:r>
      <w:r w:rsidR="0076371C">
        <w:rPr>
          <w:rFonts w:ascii="Times New Roman" w:hAnsi="Times New Roman"/>
          <w:noProof/>
          <w:sz w:val="24"/>
        </w:rPr>
        <w:t xml:space="preserve"> z dos</w:t>
      </w:r>
      <w:r>
        <w:rPr>
          <w:rFonts w:ascii="Times New Roman" w:hAnsi="Times New Roman"/>
          <w:noProof/>
          <w:sz w:val="24"/>
        </w:rPr>
        <w:t>tawcami</w:t>
      </w:r>
      <w:r w:rsidR="0076371C">
        <w:rPr>
          <w:rFonts w:ascii="Times New Roman" w:hAnsi="Times New Roman"/>
          <w:noProof/>
          <w:sz w:val="24"/>
        </w:rPr>
        <w:t xml:space="preserve"> i odb</w:t>
      </w:r>
      <w:r>
        <w:rPr>
          <w:rFonts w:ascii="Times New Roman" w:hAnsi="Times New Roman"/>
          <w:noProof/>
          <w:sz w:val="24"/>
        </w:rPr>
        <w:t>iorcami; (ii) niespodziewany wzrost wydatków kapitałowych; (iii) opóźnienia</w:t>
      </w:r>
      <w:r w:rsidR="0076371C">
        <w:rPr>
          <w:rFonts w:ascii="Times New Roman" w:hAnsi="Times New Roman"/>
          <w:noProof/>
          <w:sz w:val="24"/>
        </w:rPr>
        <w:t xml:space="preserve"> w dos</w:t>
      </w:r>
      <w:r>
        <w:rPr>
          <w:rFonts w:ascii="Times New Roman" w:hAnsi="Times New Roman"/>
          <w:noProof/>
          <w:sz w:val="24"/>
        </w:rPr>
        <w:t>tawie sprzętu, surowca lub wsadu; oraz (iv) procedury wydawania pozwoleń</w:t>
      </w:r>
      <w:r w:rsidR="0076371C">
        <w:rPr>
          <w:rFonts w:ascii="Times New Roman" w:hAnsi="Times New Roman"/>
          <w:noProof/>
          <w:sz w:val="24"/>
        </w:rPr>
        <w:t xml:space="preserve"> i zgó</w:t>
      </w:r>
      <w:r>
        <w:rPr>
          <w:rFonts w:ascii="Times New Roman" w:hAnsi="Times New Roman"/>
          <w:noProof/>
          <w:sz w:val="24"/>
        </w:rPr>
        <w:t>d władz.</w:t>
      </w:r>
    </w:p>
    <w:p w14:paraId="75D0F9C5" w14:textId="77777777" w:rsidR="00474C7F" w:rsidRPr="008021A2" w:rsidRDefault="00474C7F" w:rsidP="004D5024">
      <w:pPr>
        <w:jc w:val="both"/>
        <w:rPr>
          <w:rFonts w:ascii="Times New Roman" w:hAnsi="Times New Roman" w:cs="Times New Roman"/>
          <w:noProof/>
          <w:sz w:val="24"/>
        </w:rPr>
      </w:pPr>
    </w:p>
    <w:p w14:paraId="5A515D28" w14:textId="77777777" w:rsidR="00474C7F" w:rsidRPr="008021A2" w:rsidRDefault="00474C7F" w:rsidP="004D5024">
      <w:pPr>
        <w:jc w:val="both"/>
        <w:rPr>
          <w:rFonts w:ascii="Times New Roman" w:hAnsi="Times New Roman" w:cs="Times New Roman"/>
          <w:noProof/>
          <w:sz w:val="24"/>
        </w:rPr>
      </w:pPr>
    </w:p>
    <w:p w14:paraId="2DA77FDA" w14:textId="77777777" w:rsidR="00145757" w:rsidRPr="008021A2" w:rsidRDefault="00145757" w:rsidP="00145757">
      <w:pPr>
        <w:pStyle w:val="Nagwek1"/>
        <w:framePr w:wrap="notBeside"/>
        <w:rPr>
          <w:rFonts w:cs="Times New Roman"/>
          <w:noProof/>
        </w:rPr>
      </w:pPr>
      <w:bookmarkStart w:id="32" w:name="_Toc150504468"/>
      <w:r>
        <w:rPr>
          <w:noProof/>
        </w:rPr>
        <w:t>POMOC W ZAKRESIE OPRACOWYWANIA PROJEKTU W PRZYPADKU MNIEJ ZAAWANSOWANYCH PROJEKTÓW</w:t>
      </w:r>
      <w:bookmarkEnd w:id="32"/>
    </w:p>
    <w:p w14:paraId="0DE09D66" w14:textId="77777777" w:rsidR="00145757" w:rsidRPr="008021A2" w:rsidRDefault="00145757" w:rsidP="00145757">
      <w:pPr>
        <w:jc w:val="both"/>
        <w:rPr>
          <w:rFonts w:ascii="Times New Roman" w:hAnsi="Times New Roman" w:cs="Times New Roman"/>
          <w:noProof/>
          <w:sz w:val="24"/>
        </w:rPr>
      </w:pPr>
    </w:p>
    <w:tbl>
      <w:tblPr>
        <w:tblStyle w:val="Tabela-Siatka"/>
        <w:tblW w:w="0" w:type="auto"/>
        <w:tblLook w:val="04A0" w:firstRow="1" w:lastRow="0" w:firstColumn="1" w:lastColumn="0" w:noHBand="0" w:noVBand="1"/>
      </w:tblPr>
      <w:tblGrid>
        <w:gridCol w:w="9016"/>
      </w:tblGrid>
      <w:tr w:rsidR="00145757" w:rsidRPr="008021A2" w14:paraId="77EF6477" w14:textId="77777777" w:rsidTr="004E1128">
        <w:tc>
          <w:tcPr>
            <w:tcW w:w="0" w:type="auto"/>
          </w:tcPr>
          <w:p w14:paraId="7D03054D" w14:textId="300C79C4" w:rsidR="00145757" w:rsidRPr="008021A2" w:rsidRDefault="00145757" w:rsidP="004E1128">
            <w:pPr>
              <w:jc w:val="both"/>
              <w:rPr>
                <w:rFonts w:ascii="Times New Roman" w:hAnsi="Times New Roman" w:cs="Times New Roman"/>
                <w:i/>
                <w:noProof/>
                <w:color w:val="000000" w:themeColor="text1"/>
                <w:sz w:val="24"/>
              </w:rPr>
            </w:pPr>
            <w:r>
              <w:rPr>
                <w:rFonts w:ascii="Times New Roman" w:hAnsi="Times New Roman"/>
                <w:i/>
                <w:noProof/>
                <w:color w:val="000000" w:themeColor="text1"/>
                <w:sz w:val="24"/>
              </w:rPr>
              <w:t>Dotychczas</w:t>
            </w:r>
            <w:r w:rsidR="0076371C">
              <w:rPr>
                <w:rFonts w:ascii="Times New Roman" w:hAnsi="Times New Roman"/>
                <w:i/>
                <w:noProof/>
                <w:color w:val="000000" w:themeColor="text1"/>
                <w:sz w:val="24"/>
              </w:rPr>
              <w:t xml:space="preserve"> w ram</w:t>
            </w:r>
            <w:r>
              <w:rPr>
                <w:rFonts w:ascii="Times New Roman" w:hAnsi="Times New Roman"/>
                <w:i/>
                <w:noProof/>
                <w:color w:val="000000" w:themeColor="text1"/>
                <w:sz w:val="24"/>
              </w:rPr>
              <w:t>ach programu pomocy</w:t>
            </w:r>
            <w:r w:rsidR="0076371C">
              <w:rPr>
                <w:rFonts w:ascii="Times New Roman" w:hAnsi="Times New Roman"/>
                <w:i/>
                <w:noProof/>
                <w:color w:val="000000" w:themeColor="text1"/>
                <w:sz w:val="24"/>
              </w:rPr>
              <w:t xml:space="preserve"> w zak</w:t>
            </w:r>
            <w:r>
              <w:rPr>
                <w:rFonts w:ascii="Times New Roman" w:hAnsi="Times New Roman"/>
                <w:i/>
                <w:noProof/>
                <w:color w:val="000000" w:themeColor="text1"/>
                <w:sz w:val="24"/>
              </w:rPr>
              <w:t>resie opracowywania projektu udzielono wsparcia na rzecz 22 projektów</w:t>
            </w:r>
            <w:r w:rsidR="0076371C">
              <w:rPr>
                <w:rFonts w:ascii="Times New Roman" w:hAnsi="Times New Roman"/>
                <w:i/>
                <w:noProof/>
                <w:color w:val="000000" w:themeColor="text1"/>
                <w:sz w:val="24"/>
              </w:rPr>
              <w:t>. W prz</w:t>
            </w:r>
            <w:r>
              <w:rPr>
                <w:rFonts w:ascii="Times New Roman" w:hAnsi="Times New Roman"/>
                <w:i/>
                <w:noProof/>
                <w:color w:val="000000" w:themeColor="text1"/>
                <w:sz w:val="24"/>
              </w:rPr>
              <w:t>ypadku 19</w:t>
            </w:r>
            <w:r w:rsidR="0076371C">
              <w:rPr>
                <w:rFonts w:ascii="Times New Roman" w:hAnsi="Times New Roman"/>
                <w:i/>
                <w:noProof/>
                <w:color w:val="000000" w:themeColor="text1"/>
                <w:sz w:val="24"/>
              </w:rPr>
              <w:t xml:space="preserve"> z tyc</w:t>
            </w:r>
            <w:r>
              <w:rPr>
                <w:rFonts w:ascii="Times New Roman" w:hAnsi="Times New Roman"/>
                <w:i/>
                <w:noProof/>
                <w:color w:val="000000" w:themeColor="text1"/>
                <w:sz w:val="24"/>
              </w:rPr>
              <w:t>h 22 projektów program wsparcia zakończono już do końca 20</w:t>
            </w:r>
            <w:r w:rsidRPr="002001C0">
              <w:rPr>
                <w:rFonts w:ascii="Times New Roman" w:hAnsi="Times New Roman"/>
                <w:i/>
                <w:noProof/>
                <w:color w:val="000000" w:themeColor="text1"/>
                <w:sz w:val="24"/>
              </w:rPr>
              <w:t>22</w:t>
            </w:r>
            <w:r w:rsidR="002001C0" w:rsidRPr="002001C0">
              <w:rPr>
                <w:rFonts w:ascii="Times New Roman" w:hAnsi="Times New Roman"/>
                <w:i/>
                <w:noProof/>
                <w:color w:val="000000" w:themeColor="text1"/>
                <w:sz w:val="24"/>
              </w:rPr>
              <w:t> </w:t>
            </w:r>
            <w:r w:rsidRPr="002001C0">
              <w:rPr>
                <w:rFonts w:ascii="Times New Roman" w:hAnsi="Times New Roman"/>
                <w:i/>
                <w:noProof/>
                <w:color w:val="000000" w:themeColor="text1"/>
                <w:sz w:val="24"/>
              </w:rPr>
              <w:t>r.</w:t>
            </w:r>
            <w:r>
              <w:rPr>
                <w:rFonts w:ascii="Times New Roman" w:hAnsi="Times New Roman"/>
                <w:i/>
                <w:noProof/>
                <w:color w:val="000000" w:themeColor="text1"/>
                <w:sz w:val="24"/>
              </w:rPr>
              <w:t>,</w:t>
            </w:r>
            <w:r w:rsidR="0076371C">
              <w:rPr>
                <w:rFonts w:ascii="Times New Roman" w:hAnsi="Times New Roman"/>
                <w:i/>
                <w:noProof/>
                <w:color w:val="000000" w:themeColor="text1"/>
                <w:sz w:val="24"/>
              </w:rPr>
              <w:t xml:space="preserve"> a trz</w:t>
            </w:r>
            <w:r>
              <w:rPr>
                <w:rFonts w:ascii="Times New Roman" w:hAnsi="Times New Roman"/>
                <w:i/>
                <w:noProof/>
                <w:color w:val="000000" w:themeColor="text1"/>
                <w:sz w:val="24"/>
              </w:rPr>
              <w:t>y nadal są objęte wsparciem. Europejski Bank Inwestycyjny prowadzi również negocjacje</w:t>
            </w:r>
            <w:r w:rsidR="0076371C">
              <w:rPr>
                <w:rFonts w:ascii="Times New Roman" w:hAnsi="Times New Roman"/>
                <w:i/>
                <w:noProof/>
                <w:color w:val="000000" w:themeColor="text1"/>
                <w:sz w:val="24"/>
              </w:rPr>
              <w:t xml:space="preserve"> w spr</w:t>
            </w:r>
            <w:r>
              <w:rPr>
                <w:rFonts w:ascii="Times New Roman" w:hAnsi="Times New Roman"/>
                <w:i/>
                <w:noProof/>
                <w:color w:val="000000" w:themeColor="text1"/>
                <w:sz w:val="24"/>
              </w:rPr>
              <w:t>awie udzielenia pomocy</w:t>
            </w:r>
            <w:r w:rsidR="0076371C">
              <w:rPr>
                <w:rFonts w:ascii="Times New Roman" w:hAnsi="Times New Roman"/>
                <w:i/>
                <w:noProof/>
                <w:color w:val="000000" w:themeColor="text1"/>
                <w:sz w:val="24"/>
              </w:rPr>
              <w:t xml:space="preserve"> w zak</w:t>
            </w:r>
            <w:r>
              <w:rPr>
                <w:rFonts w:ascii="Times New Roman" w:hAnsi="Times New Roman"/>
                <w:i/>
                <w:noProof/>
                <w:color w:val="000000" w:themeColor="text1"/>
                <w:sz w:val="24"/>
              </w:rPr>
              <w:t>resie opracowywania projektu</w:t>
            </w:r>
            <w:r w:rsidR="0076371C">
              <w:rPr>
                <w:rFonts w:ascii="Times New Roman" w:hAnsi="Times New Roman"/>
                <w:i/>
                <w:noProof/>
                <w:color w:val="000000" w:themeColor="text1"/>
                <w:sz w:val="24"/>
              </w:rPr>
              <w:t xml:space="preserve"> w odn</w:t>
            </w:r>
            <w:r>
              <w:rPr>
                <w:rFonts w:ascii="Times New Roman" w:hAnsi="Times New Roman"/>
                <w:i/>
                <w:noProof/>
                <w:color w:val="000000" w:themeColor="text1"/>
                <w:sz w:val="24"/>
              </w:rPr>
              <w:t>iesieniu do kolejnych 15 projektów. Wsparcie to miało kluczowe znaczenie dla podniesienia poziomu zaawansowania projektów,</w:t>
            </w:r>
            <w:r w:rsidR="0076371C">
              <w:rPr>
                <w:rFonts w:ascii="Times New Roman" w:hAnsi="Times New Roman"/>
                <w:i/>
                <w:noProof/>
                <w:color w:val="000000" w:themeColor="text1"/>
                <w:sz w:val="24"/>
              </w:rPr>
              <w:t xml:space="preserve"> a tym</w:t>
            </w:r>
            <w:r>
              <w:rPr>
                <w:rFonts w:ascii="Times New Roman" w:hAnsi="Times New Roman"/>
                <w:i/>
                <w:noProof/>
                <w:color w:val="000000" w:themeColor="text1"/>
                <w:sz w:val="24"/>
              </w:rPr>
              <w:t xml:space="preserve"> samym dla poprawy dotyczących ich wniosków</w:t>
            </w:r>
            <w:r w:rsidR="0076371C">
              <w:rPr>
                <w:rFonts w:ascii="Times New Roman" w:hAnsi="Times New Roman"/>
                <w:i/>
                <w:noProof/>
                <w:color w:val="000000" w:themeColor="text1"/>
                <w:sz w:val="24"/>
              </w:rPr>
              <w:t xml:space="preserve"> w zap</w:t>
            </w:r>
            <w:r>
              <w:rPr>
                <w:rFonts w:ascii="Times New Roman" w:hAnsi="Times New Roman"/>
                <w:i/>
                <w:noProof/>
                <w:color w:val="000000" w:themeColor="text1"/>
                <w:sz w:val="24"/>
              </w:rPr>
              <w:t>roszeniach do składania wniosków</w:t>
            </w:r>
            <w:r w:rsidR="0076371C">
              <w:rPr>
                <w:rFonts w:ascii="Times New Roman" w:hAnsi="Times New Roman"/>
                <w:i/>
                <w:noProof/>
                <w:color w:val="000000" w:themeColor="text1"/>
                <w:sz w:val="24"/>
              </w:rPr>
              <w:t xml:space="preserve"> w ram</w:t>
            </w:r>
            <w:r>
              <w:rPr>
                <w:rFonts w:ascii="Times New Roman" w:hAnsi="Times New Roman"/>
                <w:i/>
                <w:noProof/>
                <w:color w:val="000000" w:themeColor="text1"/>
                <w:sz w:val="24"/>
              </w:rPr>
              <w:t>ach funduszu innowacyjnego. Program okazał się skuteczny, jeżeli chodzi</w:t>
            </w:r>
            <w:r w:rsidR="0076371C">
              <w:rPr>
                <w:rFonts w:ascii="Times New Roman" w:hAnsi="Times New Roman"/>
                <w:i/>
                <w:noProof/>
                <w:color w:val="000000" w:themeColor="text1"/>
                <w:sz w:val="24"/>
              </w:rPr>
              <w:t xml:space="preserve"> o pom</w:t>
            </w:r>
            <w:r>
              <w:rPr>
                <w:rFonts w:ascii="Times New Roman" w:hAnsi="Times New Roman"/>
                <w:i/>
                <w:noProof/>
                <w:color w:val="000000" w:themeColor="text1"/>
                <w:sz w:val="24"/>
              </w:rPr>
              <w:t>oc</w:t>
            </w:r>
            <w:r w:rsidR="0076371C">
              <w:rPr>
                <w:rFonts w:ascii="Times New Roman" w:hAnsi="Times New Roman"/>
                <w:i/>
                <w:noProof/>
                <w:color w:val="000000" w:themeColor="text1"/>
                <w:sz w:val="24"/>
              </w:rPr>
              <w:t xml:space="preserve"> w pon</w:t>
            </w:r>
            <w:r>
              <w:rPr>
                <w:rFonts w:ascii="Times New Roman" w:hAnsi="Times New Roman"/>
                <w:i/>
                <w:noProof/>
                <w:color w:val="000000" w:themeColor="text1"/>
                <w:sz w:val="24"/>
              </w:rPr>
              <w:t>ownym przedłożeniu niektórych projektów, którym</w:t>
            </w:r>
            <w:r w:rsidR="0076371C">
              <w:rPr>
                <w:rFonts w:ascii="Times New Roman" w:hAnsi="Times New Roman"/>
                <w:i/>
                <w:noProof/>
                <w:color w:val="000000" w:themeColor="text1"/>
                <w:sz w:val="24"/>
              </w:rPr>
              <w:t xml:space="preserve"> w pop</w:t>
            </w:r>
            <w:r>
              <w:rPr>
                <w:rFonts w:ascii="Times New Roman" w:hAnsi="Times New Roman"/>
                <w:i/>
                <w:noProof/>
                <w:color w:val="000000" w:themeColor="text1"/>
                <w:sz w:val="24"/>
              </w:rPr>
              <w:t>rzednim roku się nie powiodło,</w:t>
            </w:r>
            <w:r w:rsidR="0076371C">
              <w:rPr>
                <w:rFonts w:ascii="Times New Roman" w:hAnsi="Times New Roman"/>
                <w:i/>
                <w:noProof/>
                <w:color w:val="000000" w:themeColor="text1"/>
                <w:sz w:val="24"/>
              </w:rPr>
              <w:t xml:space="preserve"> w ram</w:t>
            </w:r>
            <w:r>
              <w:rPr>
                <w:rFonts w:ascii="Times New Roman" w:hAnsi="Times New Roman"/>
                <w:i/>
                <w:noProof/>
                <w:color w:val="000000" w:themeColor="text1"/>
                <w:sz w:val="24"/>
              </w:rPr>
              <w:t>ach zaproszenia do składania wniosków. Spośród wniosków złożonych ponownie w LSC-2021 i SSC-2021 do etapu przygotowań do zawarcia umowy</w:t>
            </w:r>
            <w:r w:rsidR="0076371C">
              <w:rPr>
                <w:rFonts w:ascii="Times New Roman" w:hAnsi="Times New Roman"/>
                <w:i/>
                <w:noProof/>
                <w:color w:val="000000" w:themeColor="text1"/>
                <w:sz w:val="24"/>
              </w:rPr>
              <w:t xml:space="preserve"> o udz</w:t>
            </w:r>
            <w:r>
              <w:rPr>
                <w:rFonts w:ascii="Times New Roman" w:hAnsi="Times New Roman"/>
                <w:i/>
                <w:noProof/>
                <w:color w:val="000000" w:themeColor="text1"/>
                <w:sz w:val="24"/>
              </w:rPr>
              <w:t>ielenie dotacji wybrano 4</w:t>
            </w:r>
            <w:r w:rsidRPr="002001C0">
              <w:rPr>
                <w:rFonts w:ascii="Times New Roman" w:hAnsi="Times New Roman"/>
                <w:i/>
                <w:noProof/>
                <w:color w:val="000000" w:themeColor="text1"/>
                <w:sz w:val="24"/>
              </w:rPr>
              <w:t>0</w:t>
            </w:r>
            <w:r w:rsidR="002001C0" w:rsidRPr="002001C0">
              <w:rPr>
                <w:rFonts w:ascii="Times New Roman" w:hAnsi="Times New Roman"/>
                <w:i/>
                <w:noProof/>
                <w:color w:val="000000" w:themeColor="text1"/>
                <w:sz w:val="24"/>
              </w:rPr>
              <w:t> </w:t>
            </w:r>
            <w:r w:rsidRPr="002001C0">
              <w:rPr>
                <w:rFonts w:ascii="Times New Roman" w:hAnsi="Times New Roman"/>
                <w:i/>
                <w:noProof/>
                <w:color w:val="000000" w:themeColor="text1"/>
                <w:sz w:val="24"/>
              </w:rPr>
              <w:t>%</w:t>
            </w:r>
            <w:r>
              <w:rPr>
                <w:rFonts w:ascii="Times New Roman" w:hAnsi="Times New Roman"/>
                <w:i/>
                <w:noProof/>
                <w:color w:val="000000" w:themeColor="text1"/>
                <w:sz w:val="24"/>
              </w:rPr>
              <w:t xml:space="preserve">. </w:t>
            </w:r>
          </w:p>
        </w:tc>
      </w:tr>
    </w:tbl>
    <w:p w14:paraId="35EE0F0F" w14:textId="77777777" w:rsidR="00145757" w:rsidRPr="008021A2" w:rsidRDefault="00145757" w:rsidP="00145757">
      <w:pPr>
        <w:jc w:val="both"/>
        <w:rPr>
          <w:rFonts w:ascii="Times New Roman" w:hAnsi="Times New Roman" w:cs="Times New Roman"/>
          <w:noProof/>
          <w:color w:val="000000" w:themeColor="text1"/>
          <w:sz w:val="24"/>
        </w:rPr>
      </w:pPr>
    </w:p>
    <w:p w14:paraId="08C48699" w14:textId="0A63473A" w:rsidR="00145757" w:rsidRPr="008021A2" w:rsidRDefault="00210945" w:rsidP="00145757">
      <w:pPr>
        <w:jc w:val="both"/>
        <w:rPr>
          <w:rFonts w:ascii="Times New Roman" w:hAnsi="Times New Roman" w:cs="Times New Roman"/>
          <w:noProof/>
          <w:color w:val="000000" w:themeColor="text1"/>
          <w:sz w:val="24"/>
        </w:rPr>
      </w:pPr>
      <w:r>
        <w:rPr>
          <w:rFonts w:ascii="Times New Roman" w:hAnsi="Times New Roman"/>
          <w:noProof/>
          <w:color w:val="000000" w:themeColor="text1"/>
          <w:sz w:val="24"/>
        </w:rPr>
        <w:t>Program pomocy</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w:t>
      </w:r>
      <w:r>
        <w:rPr>
          <w:rFonts w:ascii="Times New Roman" w:hAnsi="Times New Roman" w:cs="Times New Roman"/>
          <w:noProof/>
          <w:color w:val="000000" w:themeColor="text1"/>
          <w:sz w:val="24"/>
          <w:vertAlign w:val="superscript"/>
        </w:rPr>
        <w:footnoteReference w:id="34"/>
      </w:r>
      <w:r>
        <w:rPr>
          <w:rFonts w:ascii="Times New Roman" w:hAnsi="Times New Roman"/>
          <w:noProof/>
          <w:color w:val="000000" w:themeColor="text1"/>
          <w:sz w:val="24"/>
        </w:rPr>
        <w:t xml:space="preserve"> stanowi element funduszu innowacyjnego służący podniesieniu stopnia zaawansowania pewnych wybranych projektów dzięki wysokiej jakości doradztwu technicznemu</w:t>
      </w:r>
      <w:r w:rsidR="0076371C">
        <w:rPr>
          <w:rFonts w:ascii="Times New Roman" w:hAnsi="Times New Roman"/>
          <w:noProof/>
          <w:color w:val="000000" w:themeColor="text1"/>
          <w:sz w:val="24"/>
        </w:rPr>
        <w:t xml:space="preserve"> i fin</w:t>
      </w:r>
      <w:r>
        <w:rPr>
          <w:rFonts w:ascii="Times New Roman" w:hAnsi="Times New Roman"/>
          <w:noProof/>
          <w:color w:val="000000" w:themeColor="text1"/>
          <w:sz w:val="24"/>
        </w:rPr>
        <w:t>ansowemu udzielanemu przez Europejski Bank Inwestycyjny (EBI)</w:t>
      </w:r>
      <w:r>
        <w:rPr>
          <w:rStyle w:val="Odwoanieprzypisudolnego"/>
          <w:rFonts w:ascii="Times New Roman" w:hAnsi="Times New Roman" w:cs="Times New Roman"/>
          <w:noProof/>
          <w:color w:val="000000" w:themeColor="text1"/>
          <w:sz w:val="24"/>
        </w:rPr>
        <w:footnoteReference w:id="35"/>
      </w:r>
      <w:r>
        <w:rPr>
          <w:rFonts w:ascii="Times New Roman" w:hAnsi="Times New Roman"/>
          <w:noProof/>
          <w:color w:val="000000" w:themeColor="text1"/>
          <w:sz w:val="24"/>
        </w:rPr>
        <w:t>. Wsparcie to jest dostosowane do potrzeb poszczególnych projektów, aby zwiększyć ich konkurencyjność</w:t>
      </w:r>
      <w:r w:rsidR="0076371C">
        <w:rPr>
          <w:rFonts w:ascii="Times New Roman" w:hAnsi="Times New Roman"/>
          <w:noProof/>
          <w:color w:val="000000" w:themeColor="text1"/>
          <w:sz w:val="24"/>
        </w:rPr>
        <w:t xml:space="preserve"> w odn</w:t>
      </w:r>
      <w:r>
        <w:rPr>
          <w:rFonts w:ascii="Times New Roman" w:hAnsi="Times New Roman"/>
          <w:noProof/>
          <w:color w:val="000000" w:themeColor="text1"/>
          <w:sz w:val="24"/>
        </w:rPr>
        <w:t>iesieniu do aspektów zaawansowania</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yszłych zaproszeniach do składania wniosków</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funduszu innowacyjnego. Pomoc</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 może również przyczynić się do wypełnienia zobowiązania dotyczącego lepszego zrównoważenia wsparcia</w:t>
      </w:r>
      <w:r w:rsidR="0076371C">
        <w:rPr>
          <w:rFonts w:ascii="Times New Roman" w:hAnsi="Times New Roman"/>
          <w:noProof/>
          <w:color w:val="000000" w:themeColor="text1"/>
          <w:sz w:val="24"/>
        </w:rPr>
        <w:t xml:space="preserve"> z fun</w:t>
      </w:r>
      <w:r>
        <w:rPr>
          <w:rFonts w:ascii="Times New Roman" w:hAnsi="Times New Roman"/>
          <w:noProof/>
          <w:color w:val="000000" w:themeColor="text1"/>
          <w:sz w:val="24"/>
        </w:rPr>
        <w:t>duszu innowacyjnego pod względem geograficznym.</w:t>
      </w:r>
    </w:p>
    <w:p w14:paraId="766C4E61" w14:textId="332A2DC7" w:rsidR="00145757" w:rsidRPr="008021A2" w:rsidRDefault="004772F1" w:rsidP="00145757">
      <w:pPr>
        <w:jc w:val="both"/>
        <w:rPr>
          <w:rFonts w:ascii="Times New Roman" w:hAnsi="Times New Roman" w:cs="Times New Roman"/>
          <w:noProof/>
          <w:color w:val="000000" w:themeColor="text1"/>
          <w:sz w:val="24"/>
        </w:rPr>
      </w:pPr>
      <w:r>
        <w:rPr>
          <w:rFonts w:ascii="Times New Roman" w:hAnsi="Times New Roman"/>
          <w:noProof/>
          <w:color w:val="000000" w:themeColor="text1"/>
          <w:sz w:val="24"/>
        </w:rPr>
        <w:t>Pomoc</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 jest dostępna zarówno</w:t>
      </w:r>
      <w:r w:rsidR="0076371C">
        <w:rPr>
          <w:rFonts w:ascii="Times New Roman" w:hAnsi="Times New Roman"/>
          <w:noProof/>
          <w:color w:val="000000" w:themeColor="text1"/>
          <w:sz w:val="24"/>
        </w:rPr>
        <w:t xml:space="preserve"> w odn</w:t>
      </w:r>
      <w:r>
        <w:rPr>
          <w:rFonts w:ascii="Times New Roman" w:hAnsi="Times New Roman"/>
          <w:noProof/>
          <w:color w:val="000000" w:themeColor="text1"/>
          <w:sz w:val="24"/>
        </w:rPr>
        <w:t>iesieniu do projektów na dużą skalę, jak</w:t>
      </w:r>
      <w:r w:rsidR="0076371C">
        <w:rPr>
          <w:rFonts w:ascii="Times New Roman" w:hAnsi="Times New Roman"/>
          <w:noProof/>
          <w:color w:val="000000" w:themeColor="text1"/>
          <w:sz w:val="24"/>
        </w:rPr>
        <w:t xml:space="preserve"> i pro</w:t>
      </w:r>
      <w:r>
        <w:rPr>
          <w:rFonts w:ascii="Times New Roman" w:hAnsi="Times New Roman"/>
          <w:noProof/>
          <w:color w:val="000000" w:themeColor="text1"/>
          <w:sz w:val="24"/>
        </w:rPr>
        <w:t>jektów na małą skalę,</w:t>
      </w:r>
      <w:r w:rsidR="0076371C">
        <w:rPr>
          <w:rFonts w:ascii="Times New Roman" w:hAnsi="Times New Roman"/>
          <w:noProof/>
          <w:color w:val="000000" w:themeColor="text1"/>
          <w:sz w:val="24"/>
        </w:rPr>
        <w:t xml:space="preserve"> a doc</w:t>
      </w:r>
      <w:r>
        <w:rPr>
          <w:rFonts w:ascii="Times New Roman" w:hAnsi="Times New Roman"/>
          <w:noProof/>
          <w:color w:val="000000" w:themeColor="text1"/>
          <w:sz w:val="24"/>
        </w:rPr>
        <w:t>elowo wsparcie takie ma otrzymywać 20 odrzuconych wniosków</w:t>
      </w:r>
      <w:r w:rsidR="0076371C">
        <w:rPr>
          <w:rFonts w:ascii="Times New Roman" w:hAnsi="Times New Roman"/>
          <w:noProof/>
          <w:color w:val="000000" w:themeColor="text1"/>
          <w:sz w:val="24"/>
        </w:rPr>
        <w:t xml:space="preserve"> z każ</w:t>
      </w:r>
      <w:r>
        <w:rPr>
          <w:rFonts w:ascii="Times New Roman" w:hAnsi="Times New Roman"/>
          <w:noProof/>
          <w:color w:val="000000" w:themeColor="text1"/>
          <w:sz w:val="24"/>
        </w:rPr>
        <w:t>dego zaproszenia. Po pierwszym zaproszeniu do składania wniosków, LSC-2020,</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programu pomocy</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 zaoferowano pomoc</w:t>
      </w:r>
      <w:r w:rsidR="0076371C">
        <w:rPr>
          <w:rFonts w:ascii="Times New Roman" w:hAnsi="Times New Roman"/>
          <w:noProof/>
          <w:color w:val="000000" w:themeColor="text1"/>
          <w:sz w:val="24"/>
        </w:rPr>
        <w:t xml:space="preserve"> w odn</w:t>
      </w:r>
      <w:r>
        <w:rPr>
          <w:rFonts w:ascii="Times New Roman" w:hAnsi="Times New Roman"/>
          <w:noProof/>
          <w:color w:val="000000" w:themeColor="text1"/>
          <w:sz w:val="24"/>
        </w:rPr>
        <w:t xml:space="preserve">iesieniu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2 projektów,</w:t>
      </w:r>
      <w:r w:rsidR="0076371C">
        <w:rPr>
          <w:rFonts w:ascii="Times New Roman" w:hAnsi="Times New Roman"/>
          <w:noProof/>
          <w:color w:val="000000" w:themeColor="text1"/>
          <w:sz w:val="24"/>
        </w:rPr>
        <w:t xml:space="preserve"> z któ</w:t>
      </w:r>
      <w:r>
        <w:rPr>
          <w:rFonts w:ascii="Times New Roman" w:hAnsi="Times New Roman"/>
          <w:noProof/>
          <w:color w:val="000000" w:themeColor="text1"/>
          <w:sz w:val="24"/>
        </w:rPr>
        <w:t>rych ostatecznie pomoc tę otrzymało 19. Po LSC-2021 pomoc zaoferowano</w:t>
      </w:r>
      <w:r w:rsidR="0076371C">
        <w:rPr>
          <w:rFonts w:ascii="Times New Roman" w:hAnsi="Times New Roman"/>
          <w:noProof/>
          <w:color w:val="000000" w:themeColor="text1"/>
          <w:sz w:val="24"/>
        </w:rPr>
        <w:t xml:space="preserve"> w odn</w:t>
      </w:r>
      <w:r>
        <w:rPr>
          <w:rFonts w:ascii="Times New Roman" w:hAnsi="Times New Roman"/>
          <w:noProof/>
          <w:color w:val="000000" w:themeColor="text1"/>
          <w:sz w:val="24"/>
        </w:rPr>
        <w:t>iesieniu do kolejnych 18 projektów. Do końca 20</w:t>
      </w:r>
      <w:r w:rsidRPr="002001C0">
        <w:rPr>
          <w:rFonts w:ascii="Times New Roman" w:hAnsi="Times New Roman"/>
          <w:noProof/>
          <w:color w:val="000000" w:themeColor="text1"/>
          <w:sz w:val="24"/>
        </w:rPr>
        <w:t>22</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programu pomocy</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 realizowanego przez EBI, udzielono usług doradztwa</w:t>
      </w:r>
      <w:r w:rsidR="0076371C">
        <w:rPr>
          <w:rFonts w:ascii="Times New Roman" w:hAnsi="Times New Roman"/>
          <w:noProof/>
          <w:color w:val="000000" w:themeColor="text1"/>
          <w:sz w:val="24"/>
        </w:rPr>
        <w:t xml:space="preserve"> o war</w:t>
      </w:r>
      <w:r>
        <w:rPr>
          <w:rFonts w:ascii="Times New Roman" w:hAnsi="Times New Roman"/>
          <w:noProof/>
          <w:color w:val="000000" w:themeColor="text1"/>
          <w:sz w:val="24"/>
        </w:rPr>
        <w:t>tości łącznie 2,5 mln EUR na rzecz 22 projektów: pomoc</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w:t>
      </w:r>
      <w:r w:rsidR="0076371C">
        <w:rPr>
          <w:rFonts w:ascii="Times New Roman" w:hAnsi="Times New Roman"/>
          <w:noProof/>
          <w:color w:val="000000" w:themeColor="text1"/>
          <w:sz w:val="24"/>
        </w:rPr>
        <w:t xml:space="preserve"> w peł</w:t>
      </w:r>
      <w:r>
        <w:rPr>
          <w:rFonts w:ascii="Times New Roman" w:hAnsi="Times New Roman"/>
          <w:noProof/>
          <w:color w:val="000000" w:themeColor="text1"/>
          <w:sz w:val="24"/>
        </w:rPr>
        <w:t>ni zakończono</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ypadku 19 projektów,</w:t>
      </w:r>
      <w:r w:rsidR="0076371C">
        <w:rPr>
          <w:rFonts w:ascii="Times New Roman" w:hAnsi="Times New Roman"/>
          <w:noProof/>
          <w:color w:val="000000" w:themeColor="text1"/>
          <w:sz w:val="24"/>
        </w:rPr>
        <w:t xml:space="preserve"> a w prz</w:t>
      </w:r>
      <w:r>
        <w:rPr>
          <w:rFonts w:ascii="Times New Roman" w:hAnsi="Times New Roman"/>
          <w:noProof/>
          <w:color w:val="000000" w:themeColor="text1"/>
          <w:sz w:val="24"/>
        </w:rPr>
        <w:t>ypadku trzech projektów nadal jest udzielana</w:t>
      </w:r>
      <w:r w:rsidR="0076371C">
        <w:rPr>
          <w:rFonts w:ascii="Times New Roman" w:hAnsi="Times New Roman"/>
          <w:noProof/>
          <w:color w:val="000000" w:themeColor="text1"/>
          <w:sz w:val="24"/>
        </w:rPr>
        <w:t>. W cza</w:t>
      </w:r>
      <w:r>
        <w:rPr>
          <w:rFonts w:ascii="Times New Roman" w:hAnsi="Times New Roman"/>
          <w:noProof/>
          <w:color w:val="000000" w:themeColor="text1"/>
          <w:sz w:val="24"/>
        </w:rPr>
        <w:t xml:space="preserve">sie sporządzania niniejszego </w:t>
      </w:r>
      <w:r>
        <w:rPr>
          <w:rFonts w:ascii="Times New Roman" w:hAnsi="Times New Roman"/>
          <w:noProof/>
          <w:color w:val="000000" w:themeColor="text1"/>
          <w:sz w:val="24"/>
        </w:rPr>
        <w:lastRenderedPageBreak/>
        <w:t>sprawozdania EBI nadal negocjował umowę dotyczącą pomocy</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w:t>
      </w:r>
      <w:r w:rsidR="0076371C">
        <w:rPr>
          <w:rFonts w:ascii="Times New Roman" w:hAnsi="Times New Roman"/>
          <w:noProof/>
          <w:color w:val="000000" w:themeColor="text1"/>
          <w:sz w:val="24"/>
        </w:rPr>
        <w:t xml:space="preserve"> w odn</w:t>
      </w:r>
      <w:r>
        <w:rPr>
          <w:rFonts w:ascii="Times New Roman" w:hAnsi="Times New Roman"/>
          <w:noProof/>
          <w:color w:val="000000" w:themeColor="text1"/>
          <w:sz w:val="24"/>
        </w:rPr>
        <w:t xml:space="preserve">iesieniu </w:t>
      </w:r>
      <w:r w:rsidRPr="002001C0">
        <w:rPr>
          <w:rFonts w:ascii="Times New Roman" w:hAnsi="Times New Roman"/>
          <w:noProof/>
          <w:color w:val="000000" w:themeColor="text1"/>
          <w:sz w:val="24"/>
        </w:rPr>
        <w:t>do</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1</w:t>
      </w:r>
      <w:r>
        <w:rPr>
          <w:rFonts w:ascii="Times New Roman" w:hAnsi="Times New Roman"/>
          <w:noProof/>
          <w:color w:val="000000" w:themeColor="text1"/>
          <w:sz w:val="24"/>
        </w:rPr>
        <w:t xml:space="preserve">5 dodatkowych projektów (zob. </w:t>
      </w:r>
      <w:r w:rsidRPr="002001C0">
        <w:rPr>
          <w:rFonts w:ascii="Times New Roman" w:hAnsi="Times New Roman"/>
          <w:noProof/>
          <w:color w:val="000000" w:themeColor="text1"/>
          <w:sz w:val="24"/>
        </w:rPr>
        <w:t>rys.</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9</w:t>
      </w:r>
      <w:r w:rsidR="0076371C">
        <w:rPr>
          <w:rFonts w:ascii="Times New Roman" w:hAnsi="Times New Roman"/>
          <w:noProof/>
          <w:color w:val="000000" w:themeColor="text1"/>
          <w:sz w:val="24"/>
        </w:rPr>
        <w:t xml:space="preserve"> i 3</w:t>
      </w:r>
      <w:r>
        <w:rPr>
          <w:rFonts w:ascii="Times New Roman" w:hAnsi="Times New Roman"/>
          <w:noProof/>
          <w:color w:val="000000" w:themeColor="text1"/>
          <w:sz w:val="24"/>
        </w:rPr>
        <w:t>0). Spośród 19 projektów,</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ypadku których do końca 20</w:t>
      </w:r>
      <w:r w:rsidRPr="002001C0">
        <w:rPr>
          <w:rFonts w:ascii="Times New Roman" w:hAnsi="Times New Roman"/>
          <w:noProof/>
          <w:color w:val="000000" w:themeColor="text1"/>
          <w:sz w:val="24"/>
        </w:rPr>
        <w:t>22</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sidR="0076371C">
        <w:rPr>
          <w:rFonts w:ascii="Times New Roman" w:hAnsi="Times New Roman"/>
          <w:noProof/>
          <w:color w:val="000000" w:themeColor="text1"/>
          <w:sz w:val="24"/>
        </w:rPr>
        <w:t xml:space="preserve"> w peł</w:t>
      </w:r>
      <w:r>
        <w:rPr>
          <w:rFonts w:ascii="Times New Roman" w:hAnsi="Times New Roman"/>
          <w:noProof/>
          <w:color w:val="000000" w:themeColor="text1"/>
          <w:sz w:val="24"/>
        </w:rPr>
        <w:t>ni ukończono udzielanie pomocy</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 18 ponownie przedłożono</w:t>
      </w:r>
      <w:r w:rsidR="0076371C">
        <w:rPr>
          <w:rFonts w:ascii="Times New Roman" w:hAnsi="Times New Roman"/>
          <w:noProof/>
          <w:color w:val="000000" w:themeColor="text1"/>
          <w:sz w:val="24"/>
        </w:rPr>
        <w:t xml:space="preserve"> w odp</w:t>
      </w:r>
      <w:r>
        <w:rPr>
          <w:rFonts w:ascii="Times New Roman" w:hAnsi="Times New Roman"/>
          <w:noProof/>
          <w:color w:val="000000" w:themeColor="text1"/>
          <w:sz w:val="24"/>
        </w:rPr>
        <w:t>owiedzi na jedno</w:t>
      </w:r>
      <w:r w:rsidR="0076371C">
        <w:rPr>
          <w:rFonts w:ascii="Times New Roman" w:hAnsi="Times New Roman"/>
          <w:noProof/>
          <w:color w:val="000000" w:themeColor="text1"/>
          <w:sz w:val="24"/>
        </w:rPr>
        <w:t xml:space="preserve"> z ogł</w:t>
      </w:r>
      <w:r>
        <w:rPr>
          <w:rFonts w:ascii="Times New Roman" w:hAnsi="Times New Roman"/>
          <w:noProof/>
          <w:color w:val="000000" w:themeColor="text1"/>
          <w:sz w:val="24"/>
        </w:rPr>
        <w:t>oszonych</w:t>
      </w:r>
      <w:r w:rsidR="0076371C">
        <w:rPr>
          <w:rFonts w:ascii="Times New Roman" w:hAnsi="Times New Roman"/>
          <w:noProof/>
          <w:color w:val="000000" w:themeColor="text1"/>
          <w:sz w:val="24"/>
        </w:rPr>
        <w:t xml:space="preserve"> w 2</w:t>
      </w:r>
      <w:r>
        <w:rPr>
          <w:rFonts w:ascii="Times New Roman" w:hAnsi="Times New Roman"/>
          <w:noProof/>
          <w:color w:val="000000" w:themeColor="text1"/>
          <w:sz w:val="24"/>
        </w:rPr>
        <w:t>0</w:t>
      </w:r>
      <w:r w:rsidRPr="002001C0">
        <w:rPr>
          <w:rFonts w:ascii="Times New Roman" w:hAnsi="Times New Roman"/>
          <w:noProof/>
          <w:color w:val="000000" w:themeColor="text1"/>
          <w:sz w:val="24"/>
        </w:rPr>
        <w:t>22</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zaproszeń do składania wniosków</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funduszu innowacyjnego,</w:t>
      </w:r>
      <w:r w:rsidR="0076371C">
        <w:rPr>
          <w:rFonts w:ascii="Times New Roman" w:hAnsi="Times New Roman"/>
          <w:noProof/>
          <w:color w:val="000000" w:themeColor="text1"/>
          <w:sz w:val="24"/>
        </w:rPr>
        <w:t xml:space="preserve"> a dwa z tyc</w:t>
      </w:r>
      <w:r>
        <w:rPr>
          <w:rFonts w:ascii="Times New Roman" w:hAnsi="Times New Roman"/>
          <w:noProof/>
          <w:color w:val="000000" w:themeColor="text1"/>
          <w:sz w:val="24"/>
        </w:rPr>
        <w:t>h projektów już zakwalifikowano do etapu podpisania</w:t>
      </w:r>
      <w:r w:rsidR="0076371C">
        <w:rPr>
          <w:rFonts w:ascii="Times New Roman" w:hAnsi="Times New Roman"/>
          <w:noProof/>
          <w:color w:val="000000" w:themeColor="text1"/>
          <w:sz w:val="24"/>
        </w:rPr>
        <w:t xml:space="preserve"> w 2</w:t>
      </w:r>
      <w:r>
        <w:rPr>
          <w:rFonts w:ascii="Times New Roman" w:hAnsi="Times New Roman"/>
          <w:noProof/>
          <w:color w:val="000000" w:themeColor="text1"/>
          <w:sz w:val="24"/>
        </w:rPr>
        <w:t>0</w:t>
      </w:r>
      <w:r w:rsidRPr="002001C0">
        <w:rPr>
          <w:rFonts w:ascii="Times New Roman" w:hAnsi="Times New Roman"/>
          <w:noProof/>
          <w:color w:val="000000" w:themeColor="text1"/>
          <w:sz w:val="24"/>
        </w:rPr>
        <w:t>22</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umowy</w:t>
      </w:r>
      <w:r w:rsidR="0076371C">
        <w:rPr>
          <w:rFonts w:ascii="Times New Roman" w:hAnsi="Times New Roman"/>
          <w:noProof/>
          <w:color w:val="000000" w:themeColor="text1"/>
          <w:sz w:val="24"/>
        </w:rPr>
        <w:t xml:space="preserve"> o udz</w:t>
      </w:r>
      <w:r>
        <w:rPr>
          <w:rFonts w:ascii="Times New Roman" w:hAnsi="Times New Roman"/>
          <w:noProof/>
          <w:color w:val="000000" w:themeColor="text1"/>
          <w:sz w:val="24"/>
        </w:rPr>
        <w:t>ielenie dotacji. Ponieważ</w:t>
      </w:r>
      <w:r w:rsidR="0076371C">
        <w:rPr>
          <w:rFonts w:ascii="Times New Roman" w:hAnsi="Times New Roman"/>
          <w:noProof/>
          <w:color w:val="000000" w:themeColor="text1"/>
          <w:sz w:val="24"/>
        </w:rPr>
        <w:t xml:space="preserve"> w prz</w:t>
      </w:r>
      <w:r>
        <w:rPr>
          <w:rFonts w:ascii="Times New Roman" w:hAnsi="Times New Roman"/>
          <w:noProof/>
          <w:color w:val="000000" w:themeColor="text1"/>
          <w:sz w:val="24"/>
        </w:rPr>
        <w:t>ypadku większości projektów otrzymujących pomoc</w:t>
      </w:r>
      <w:r w:rsidR="0076371C">
        <w:rPr>
          <w:rFonts w:ascii="Times New Roman" w:hAnsi="Times New Roman"/>
          <w:noProof/>
          <w:color w:val="000000" w:themeColor="text1"/>
          <w:sz w:val="24"/>
        </w:rPr>
        <w:t xml:space="preserve"> w zak</w:t>
      </w:r>
      <w:r>
        <w:rPr>
          <w:rFonts w:ascii="Times New Roman" w:hAnsi="Times New Roman"/>
          <w:noProof/>
          <w:color w:val="000000" w:themeColor="text1"/>
          <w:sz w:val="24"/>
        </w:rPr>
        <w:t>resie opracowywania projektu postanowiono ponownie złożyć wniosek</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LSC-2022, ocena wyników zostanie przedstawiona</w:t>
      </w:r>
      <w:r w:rsidR="0076371C">
        <w:rPr>
          <w:rFonts w:ascii="Times New Roman" w:hAnsi="Times New Roman"/>
          <w:noProof/>
          <w:color w:val="000000" w:themeColor="text1"/>
          <w:sz w:val="24"/>
        </w:rPr>
        <w:t xml:space="preserve"> w spr</w:t>
      </w:r>
      <w:r>
        <w:rPr>
          <w:rFonts w:ascii="Times New Roman" w:hAnsi="Times New Roman"/>
          <w:noProof/>
          <w:color w:val="000000" w:themeColor="text1"/>
          <w:sz w:val="24"/>
        </w:rPr>
        <w:t xml:space="preserve">awozdaniu dotyczącym funduszu innowacyjnego </w:t>
      </w:r>
      <w:r w:rsidRPr="002001C0">
        <w:rPr>
          <w:rFonts w:ascii="Times New Roman" w:hAnsi="Times New Roman"/>
          <w:noProof/>
          <w:color w:val="000000" w:themeColor="text1"/>
          <w:sz w:val="24"/>
        </w:rPr>
        <w:t>za</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2</w:t>
      </w:r>
      <w:r>
        <w:rPr>
          <w:rFonts w:ascii="Times New Roman" w:hAnsi="Times New Roman"/>
          <w:noProof/>
          <w:color w:val="000000" w:themeColor="text1"/>
          <w:sz w:val="24"/>
        </w:rPr>
        <w:t>0</w:t>
      </w:r>
      <w:r w:rsidRPr="002001C0">
        <w:rPr>
          <w:rFonts w:ascii="Times New Roman" w:hAnsi="Times New Roman"/>
          <w:noProof/>
          <w:color w:val="000000" w:themeColor="text1"/>
          <w:sz w:val="24"/>
        </w:rPr>
        <w:t>23</w:t>
      </w:r>
      <w:r w:rsidR="002001C0" w:rsidRPr="002001C0">
        <w:rPr>
          <w:rFonts w:ascii="Times New Roman" w:hAnsi="Times New Roman"/>
          <w:noProof/>
          <w:color w:val="000000" w:themeColor="text1"/>
          <w:sz w:val="24"/>
        </w:rPr>
        <w:t> </w:t>
      </w:r>
      <w:r w:rsidRPr="002001C0">
        <w:rPr>
          <w:rFonts w:ascii="Times New Roman" w:hAnsi="Times New Roman"/>
          <w:noProof/>
          <w:color w:val="000000" w:themeColor="text1"/>
          <w:sz w:val="24"/>
        </w:rPr>
        <w:t>r.</w:t>
      </w:r>
      <w:r>
        <w:rPr>
          <w:rFonts w:ascii="Times New Roman" w:hAnsi="Times New Roman"/>
          <w:noProof/>
          <w:color w:val="000000" w:themeColor="text1"/>
          <w:sz w:val="24"/>
        </w:rPr>
        <w:t xml:space="preserve"> </w:t>
      </w:r>
    </w:p>
    <w:p w14:paraId="3407E549" w14:textId="0E5F0A3D" w:rsidR="00145757" w:rsidRPr="0076371C" w:rsidRDefault="00145757" w:rsidP="00145757">
      <w:pPr>
        <w:pStyle w:val="Legenda"/>
        <w:keepNext/>
        <w:jc w:val="both"/>
        <w:rPr>
          <w:rFonts w:cs="Times New Roman"/>
          <w:noProof/>
          <w:color w:val="2F5496" w:themeColor="accent1" w:themeShade="BF"/>
        </w:rPr>
      </w:pPr>
      <w:r w:rsidRPr="0076371C">
        <w:rPr>
          <w:noProof/>
          <w:color w:val="2F5496" w:themeColor="accent1" w:themeShade="BF"/>
        </w:rPr>
        <w:t xml:space="preserve">Rys. </w:t>
      </w:r>
      <w:r w:rsidRPr="0076371C">
        <w:rPr>
          <w:rFonts w:cs="Times New Roman"/>
          <w:noProof/>
          <w:color w:val="2F5496" w:themeColor="accent1" w:themeShade="BF"/>
        </w:rPr>
        <w:fldChar w:fldCharType="begin"/>
      </w:r>
      <w:r w:rsidRPr="0076371C">
        <w:rPr>
          <w:rFonts w:cs="Times New Roman"/>
          <w:noProof/>
          <w:color w:val="2F5496" w:themeColor="accent1" w:themeShade="BF"/>
        </w:rPr>
        <w:instrText>SEQ Figure \* ARABIC</w:instrText>
      </w:r>
      <w:r w:rsidRPr="0076371C">
        <w:rPr>
          <w:rFonts w:cs="Times New Roman"/>
          <w:noProof/>
          <w:color w:val="2F5496" w:themeColor="accent1" w:themeShade="BF"/>
        </w:rPr>
        <w:fldChar w:fldCharType="separate"/>
      </w:r>
      <w:r w:rsidR="00574F36" w:rsidRPr="0076371C">
        <w:rPr>
          <w:rFonts w:cs="Times New Roman"/>
          <w:noProof/>
          <w:color w:val="2F5496" w:themeColor="accent1" w:themeShade="BF"/>
        </w:rPr>
        <w:t>29</w:t>
      </w:r>
      <w:r w:rsidRPr="0076371C">
        <w:rPr>
          <w:rFonts w:cs="Times New Roman"/>
          <w:noProof/>
          <w:color w:val="2F5496" w:themeColor="accent1" w:themeShade="BF"/>
        </w:rPr>
        <w:fldChar w:fldCharType="end"/>
      </w:r>
      <w:r w:rsidRPr="0076371C">
        <w:rPr>
          <w:noProof/>
          <w:color w:val="2F5496" w:themeColor="accent1" w:themeShade="BF"/>
        </w:rPr>
        <w:t>: Liczba projektów objętych pomocą</w:t>
      </w:r>
      <w:r w:rsidR="0076371C" w:rsidRPr="0076371C">
        <w:rPr>
          <w:noProof/>
          <w:color w:val="2F5496" w:themeColor="accent1" w:themeShade="BF"/>
        </w:rPr>
        <w:t xml:space="preserve"> w</w:t>
      </w:r>
      <w:r w:rsidR="0076371C">
        <w:rPr>
          <w:noProof/>
          <w:color w:val="2F5496" w:themeColor="accent1" w:themeShade="BF"/>
        </w:rPr>
        <w:t> </w:t>
      </w:r>
      <w:r w:rsidR="0076371C" w:rsidRPr="0076371C">
        <w:rPr>
          <w:noProof/>
          <w:color w:val="2F5496" w:themeColor="accent1" w:themeShade="BF"/>
        </w:rPr>
        <w:t>zak</w:t>
      </w:r>
      <w:r w:rsidRPr="0076371C">
        <w:rPr>
          <w:noProof/>
          <w:color w:val="2F5496" w:themeColor="accent1" w:themeShade="BF"/>
        </w:rPr>
        <w:t>resie opracowywania projektu do grudnia 2022</w:t>
      </w:r>
      <w:r w:rsidR="002001C0" w:rsidRPr="0076371C">
        <w:rPr>
          <w:noProof/>
          <w:color w:val="2F5496" w:themeColor="accent1" w:themeShade="BF"/>
        </w:rPr>
        <w:t> </w:t>
      </w:r>
      <w:r w:rsidRPr="0076371C">
        <w:rPr>
          <w:noProof/>
          <w:color w:val="2F5496" w:themeColor="accent1" w:themeShade="BF"/>
        </w:rPr>
        <w:t>r.</w:t>
      </w:r>
      <w:r w:rsidR="0076371C" w:rsidRPr="0076371C">
        <w:rPr>
          <w:noProof/>
          <w:color w:val="2F5496" w:themeColor="accent1" w:themeShade="BF"/>
        </w:rPr>
        <w:t xml:space="preserve"> w</w:t>
      </w:r>
      <w:r w:rsidR="0076371C">
        <w:rPr>
          <w:noProof/>
          <w:color w:val="2F5496" w:themeColor="accent1" w:themeShade="BF"/>
        </w:rPr>
        <w:t> </w:t>
      </w:r>
      <w:r w:rsidR="0076371C" w:rsidRPr="0076371C">
        <w:rPr>
          <w:noProof/>
          <w:color w:val="2F5496" w:themeColor="accent1" w:themeShade="BF"/>
        </w:rPr>
        <w:t>pod</w:t>
      </w:r>
      <w:r w:rsidRPr="0076371C">
        <w:rPr>
          <w:noProof/>
          <w:color w:val="2F5496" w:themeColor="accent1" w:themeShade="BF"/>
        </w:rPr>
        <w:t>ziale na sektory</w:t>
      </w:r>
    </w:p>
    <w:p w14:paraId="03BF8CF1" w14:textId="287C8694" w:rsidR="00145757" w:rsidRPr="008021A2" w:rsidRDefault="00574F36" w:rsidP="00145757">
      <w:pPr>
        <w:jc w:val="both"/>
        <w:rPr>
          <w:rFonts w:ascii="Times New Roman" w:hAnsi="Times New Roman" w:cs="Times New Roman"/>
          <w:noProof/>
          <w:color w:val="000000" w:themeColor="text1"/>
          <w:sz w:val="24"/>
        </w:rPr>
      </w:pPr>
      <w:r w:rsidRPr="00CB1C6E">
        <w:rPr>
          <w:rFonts w:ascii="Times New Roman" w:hAnsi="Times New Roman"/>
          <w:noProof/>
          <w:color w:val="000000" w:themeColor="text1"/>
          <w:sz w:val="24"/>
          <w:lang w:val="en-GB" w:eastAsia="en-GB"/>
        </w:rPr>
        <w:drawing>
          <wp:inline distT="0" distB="0" distL="0" distR="0" wp14:anchorId="4ECEC4B5" wp14:editId="6AB44DB0">
            <wp:extent cx="5731510" cy="2469515"/>
            <wp:effectExtent l="0" t="0" r="2540" b="6985"/>
            <wp:docPr id="1824218695"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18695" name="Obraz 1" descr="Obraz zawierający tekst, zrzut ekranu, diagram, linia&#10;&#10;Opis wygenerowany automatycznie"/>
                    <pic:cNvPicPr/>
                  </pic:nvPicPr>
                  <pic:blipFill>
                    <a:blip r:embed="rId46"/>
                    <a:stretch>
                      <a:fillRect/>
                    </a:stretch>
                  </pic:blipFill>
                  <pic:spPr>
                    <a:xfrm>
                      <a:off x="0" y="0"/>
                      <a:ext cx="5731510" cy="2469515"/>
                    </a:xfrm>
                    <a:prstGeom prst="rect">
                      <a:avLst/>
                    </a:prstGeom>
                  </pic:spPr>
                </pic:pic>
              </a:graphicData>
            </a:graphic>
          </wp:inline>
        </w:drawing>
      </w:r>
    </w:p>
    <w:p w14:paraId="668EBA83" w14:textId="5AE1FA03" w:rsidR="00145757" w:rsidRPr="0076371C" w:rsidRDefault="00145757" w:rsidP="00145757">
      <w:pPr>
        <w:pStyle w:val="Legenda"/>
        <w:keepNext/>
        <w:jc w:val="both"/>
        <w:rPr>
          <w:rFonts w:cs="Times New Roman"/>
          <w:noProof/>
          <w:color w:val="2F5496" w:themeColor="accent1" w:themeShade="BF"/>
        </w:rPr>
      </w:pPr>
      <w:r w:rsidRPr="0076371C">
        <w:rPr>
          <w:noProof/>
          <w:color w:val="2F5496" w:themeColor="accent1" w:themeShade="BF"/>
        </w:rPr>
        <w:t xml:space="preserve">Rys. </w:t>
      </w:r>
      <w:r w:rsidRPr="0076371C">
        <w:rPr>
          <w:rFonts w:cs="Times New Roman"/>
          <w:noProof/>
          <w:color w:val="2F5496" w:themeColor="accent1" w:themeShade="BF"/>
        </w:rPr>
        <w:fldChar w:fldCharType="begin"/>
      </w:r>
      <w:r w:rsidRPr="0076371C">
        <w:rPr>
          <w:rFonts w:cs="Times New Roman"/>
          <w:noProof/>
          <w:color w:val="2F5496" w:themeColor="accent1" w:themeShade="BF"/>
        </w:rPr>
        <w:instrText>SEQ Figure \* ARABIC</w:instrText>
      </w:r>
      <w:r w:rsidRPr="0076371C">
        <w:rPr>
          <w:rFonts w:cs="Times New Roman"/>
          <w:noProof/>
          <w:color w:val="2F5496" w:themeColor="accent1" w:themeShade="BF"/>
        </w:rPr>
        <w:fldChar w:fldCharType="separate"/>
      </w:r>
      <w:r w:rsidR="00574F36" w:rsidRPr="0076371C">
        <w:rPr>
          <w:rFonts w:cs="Times New Roman"/>
          <w:noProof/>
          <w:color w:val="2F5496" w:themeColor="accent1" w:themeShade="BF"/>
        </w:rPr>
        <w:t>30</w:t>
      </w:r>
      <w:r w:rsidRPr="0076371C">
        <w:rPr>
          <w:rFonts w:cs="Times New Roman"/>
          <w:noProof/>
          <w:color w:val="2F5496" w:themeColor="accent1" w:themeShade="BF"/>
        </w:rPr>
        <w:fldChar w:fldCharType="end"/>
      </w:r>
      <w:r w:rsidRPr="0076371C">
        <w:rPr>
          <w:noProof/>
          <w:color w:val="2F5496" w:themeColor="accent1" w:themeShade="BF"/>
        </w:rPr>
        <w:t>: Liczba projektów objętych pomocą</w:t>
      </w:r>
      <w:r w:rsidR="0076371C" w:rsidRPr="0076371C">
        <w:rPr>
          <w:noProof/>
          <w:color w:val="2F5496" w:themeColor="accent1" w:themeShade="BF"/>
        </w:rPr>
        <w:t xml:space="preserve"> w</w:t>
      </w:r>
      <w:r w:rsidR="0076371C">
        <w:rPr>
          <w:noProof/>
          <w:color w:val="2F5496" w:themeColor="accent1" w:themeShade="BF"/>
        </w:rPr>
        <w:t> </w:t>
      </w:r>
      <w:r w:rsidR="0076371C" w:rsidRPr="0076371C">
        <w:rPr>
          <w:noProof/>
          <w:color w:val="2F5496" w:themeColor="accent1" w:themeShade="BF"/>
        </w:rPr>
        <w:t>zak</w:t>
      </w:r>
      <w:r w:rsidRPr="0076371C">
        <w:rPr>
          <w:noProof/>
          <w:color w:val="2F5496" w:themeColor="accent1" w:themeShade="BF"/>
        </w:rPr>
        <w:t>resie opracowywania projektu do grudnia 2022</w:t>
      </w:r>
      <w:r w:rsidR="002001C0" w:rsidRPr="0076371C">
        <w:rPr>
          <w:noProof/>
          <w:color w:val="2F5496" w:themeColor="accent1" w:themeShade="BF"/>
        </w:rPr>
        <w:t> </w:t>
      </w:r>
      <w:r w:rsidRPr="0076371C">
        <w:rPr>
          <w:noProof/>
          <w:color w:val="2F5496" w:themeColor="accent1" w:themeShade="BF"/>
        </w:rPr>
        <w:t>r.</w:t>
      </w:r>
      <w:r w:rsidR="0076371C" w:rsidRPr="0076371C">
        <w:rPr>
          <w:noProof/>
          <w:color w:val="2F5496" w:themeColor="accent1" w:themeShade="BF"/>
        </w:rPr>
        <w:t xml:space="preserve"> w</w:t>
      </w:r>
      <w:r w:rsidR="0076371C">
        <w:rPr>
          <w:noProof/>
          <w:color w:val="2F5496" w:themeColor="accent1" w:themeShade="BF"/>
        </w:rPr>
        <w:t> </w:t>
      </w:r>
      <w:r w:rsidR="0076371C" w:rsidRPr="0076371C">
        <w:rPr>
          <w:noProof/>
          <w:color w:val="2F5496" w:themeColor="accent1" w:themeShade="BF"/>
        </w:rPr>
        <w:t>pod</w:t>
      </w:r>
      <w:r w:rsidRPr="0076371C">
        <w:rPr>
          <w:noProof/>
          <w:color w:val="2F5496" w:themeColor="accent1" w:themeShade="BF"/>
        </w:rPr>
        <w:t>ziale na państwa</w:t>
      </w:r>
    </w:p>
    <w:p w14:paraId="37E4D0D5" w14:textId="0BB21D9C" w:rsidR="00145757" w:rsidRPr="008021A2" w:rsidRDefault="00574F36" w:rsidP="00145757">
      <w:pPr>
        <w:jc w:val="both"/>
        <w:rPr>
          <w:rFonts w:ascii="Times New Roman" w:hAnsi="Times New Roman" w:cs="Times New Roman"/>
          <w:noProof/>
          <w:color w:val="000000" w:themeColor="text1"/>
          <w:sz w:val="24"/>
        </w:rPr>
      </w:pPr>
      <w:r w:rsidRPr="00CB1C6E">
        <w:rPr>
          <w:rFonts w:ascii="Times New Roman" w:hAnsi="Times New Roman"/>
          <w:noProof/>
          <w:color w:val="000000" w:themeColor="text1"/>
          <w:sz w:val="24"/>
          <w:lang w:val="en-GB" w:eastAsia="en-GB"/>
        </w:rPr>
        <w:drawing>
          <wp:inline distT="0" distB="0" distL="0" distR="0" wp14:anchorId="76B4AA35" wp14:editId="1154EC2E">
            <wp:extent cx="5731510" cy="2472055"/>
            <wp:effectExtent l="0" t="0" r="2540" b="4445"/>
            <wp:docPr id="492280352" name="Obraz 1" descr="Obraz zawierający tekst, zrzut ekranu,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0352" name="Obraz 1" descr="Obraz zawierający tekst, zrzut ekranu, linia, Wykres&#10;&#10;Opis wygenerowany automatycznie"/>
                    <pic:cNvPicPr/>
                  </pic:nvPicPr>
                  <pic:blipFill>
                    <a:blip r:embed="rId47"/>
                    <a:stretch>
                      <a:fillRect/>
                    </a:stretch>
                  </pic:blipFill>
                  <pic:spPr>
                    <a:xfrm>
                      <a:off x="0" y="0"/>
                      <a:ext cx="5731510" cy="2472055"/>
                    </a:xfrm>
                    <a:prstGeom prst="rect">
                      <a:avLst/>
                    </a:prstGeom>
                  </pic:spPr>
                </pic:pic>
              </a:graphicData>
            </a:graphic>
          </wp:inline>
        </w:drawing>
      </w:r>
    </w:p>
    <w:p w14:paraId="602C53A5" w14:textId="77777777" w:rsidR="00145757" w:rsidRPr="008021A2" w:rsidRDefault="00145757" w:rsidP="00145757">
      <w:pPr>
        <w:pStyle w:val="Nagwek1"/>
        <w:framePr w:wrap="notBeside"/>
        <w:jc w:val="both"/>
        <w:rPr>
          <w:rFonts w:cs="Times New Roman"/>
          <w:noProof/>
        </w:rPr>
      </w:pPr>
      <w:bookmarkStart w:id="33" w:name="_Toc150504469"/>
      <w:r>
        <w:rPr>
          <w:caps w:val="0"/>
          <w:noProof/>
        </w:rPr>
        <w:t>WNIOSKI I DALSZE DZIAŁANIA</w:t>
      </w:r>
      <w:bookmarkEnd w:id="33"/>
    </w:p>
    <w:p w14:paraId="1F91B9BC" w14:textId="77777777" w:rsidR="00145757" w:rsidRPr="008021A2" w:rsidRDefault="00145757" w:rsidP="00145757">
      <w:pPr>
        <w:jc w:val="both"/>
        <w:rPr>
          <w:rFonts w:ascii="Times New Roman" w:hAnsi="Times New Roman" w:cs="Times New Roman"/>
          <w:noProof/>
          <w:sz w:val="24"/>
        </w:rPr>
      </w:pPr>
    </w:p>
    <w:p w14:paraId="348F1E24" w14:textId="0157A308" w:rsidR="00145757" w:rsidRPr="008021A2" w:rsidRDefault="00145757" w:rsidP="00145757">
      <w:pPr>
        <w:jc w:val="both"/>
        <w:rPr>
          <w:rFonts w:ascii="Times New Roman" w:hAnsi="Times New Roman" w:cs="Times New Roman"/>
          <w:noProof/>
          <w:sz w:val="24"/>
        </w:rPr>
      </w:pPr>
      <w:r>
        <w:rPr>
          <w:rFonts w:ascii="Times New Roman" w:hAnsi="Times New Roman"/>
          <w:noProof/>
          <w:sz w:val="24"/>
        </w:rPr>
        <w:t xml:space="preserve">Fundusz innowacyjny stał się kluczowym instrumentem służącym osiągnięciu neutralności klimatycznej </w:t>
      </w:r>
      <w:r w:rsidRPr="002001C0">
        <w:rPr>
          <w:rFonts w:ascii="Times New Roman" w:hAnsi="Times New Roman"/>
          <w:noProof/>
          <w:sz w:val="24"/>
        </w:rPr>
        <w:t>do</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50</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w Uni</w:t>
      </w:r>
      <w:r>
        <w:rPr>
          <w:rFonts w:ascii="Times New Roman" w:hAnsi="Times New Roman"/>
          <w:noProof/>
          <w:sz w:val="24"/>
        </w:rPr>
        <w:t>i Europejskiej, wspierając ambicje</w:t>
      </w:r>
      <w:r w:rsidR="0076371C">
        <w:rPr>
          <w:rFonts w:ascii="Times New Roman" w:hAnsi="Times New Roman"/>
          <w:noProof/>
          <w:sz w:val="24"/>
        </w:rPr>
        <w:t xml:space="preserve"> w zak</w:t>
      </w:r>
      <w:r>
        <w:rPr>
          <w:rFonts w:ascii="Times New Roman" w:hAnsi="Times New Roman"/>
          <w:noProof/>
          <w:sz w:val="24"/>
        </w:rPr>
        <w:t>resie neutralności emisyjnej</w:t>
      </w:r>
      <w:r w:rsidR="0076371C">
        <w:rPr>
          <w:rFonts w:ascii="Times New Roman" w:hAnsi="Times New Roman"/>
          <w:noProof/>
          <w:sz w:val="24"/>
        </w:rPr>
        <w:t xml:space="preserve"> i inn</w:t>
      </w:r>
      <w:r>
        <w:rPr>
          <w:rFonts w:ascii="Times New Roman" w:hAnsi="Times New Roman"/>
          <w:noProof/>
          <w:sz w:val="24"/>
        </w:rPr>
        <w:t>owacyjnych technologii.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70 projektów wybranych do </w:t>
      </w:r>
      <w:r>
        <w:rPr>
          <w:rFonts w:ascii="Times New Roman" w:hAnsi="Times New Roman"/>
          <w:noProof/>
          <w:sz w:val="24"/>
        </w:rPr>
        <w:lastRenderedPageBreak/>
        <w:t>otrzymania wsparcia</w:t>
      </w:r>
      <w:r w:rsidR="0076371C">
        <w:rPr>
          <w:rFonts w:ascii="Times New Roman" w:hAnsi="Times New Roman"/>
          <w:noProof/>
          <w:sz w:val="24"/>
        </w:rPr>
        <w:t xml:space="preserve"> z fun</w:t>
      </w:r>
      <w:r>
        <w:rPr>
          <w:rFonts w:ascii="Times New Roman" w:hAnsi="Times New Roman"/>
          <w:noProof/>
          <w:sz w:val="24"/>
        </w:rPr>
        <w:t>duszu innowacyjnego obejmowało 19 sektorów</w:t>
      </w:r>
      <w:r w:rsidR="0076371C">
        <w:rPr>
          <w:rFonts w:ascii="Times New Roman" w:hAnsi="Times New Roman"/>
          <w:noProof/>
          <w:sz w:val="24"/>
        </w:rPr>
        <w:t xml:space="preserve"> w kat</w:t>
      </w:r>
      <w:r>
        <w:rPr>
          <w:rFonts w:ascii="Times New Roman" w:hAnsi="Times New Roman"/>
          <w:noProof/>
          <w:sz w:val="24"/>
        </w:rPr>
        <w:t>egoriach sektorów energochłonnych, magazynowania energii, energii ze źródeł odnawialnych i CCS. Przewiduje się, że projekty te pozwolą uniknąć emisji 215 mln ton ekwiwalentu CO₂</w:t>
      </w:r>
      <w:r w:rsidR="0076371C">
        <w:rPr>
          <w:rFonts w:ascii="Times New Roman" w:hAnsi="Times New Roman"/>
          <w:noProof/>
          <w:sz w:val="24"/>
        </w:rPr>
        <w:t xml:space="preserve"> w cią</w:t>
      </w:r>
      <w:r>
        <w:rPr>
          <w:rFonts w:ascii="Times New Roman" w:hAnsi="Times New Roman"/>
          <w:noProof/>
          <w:sz w:val="24"/>
        </w:rPr>
        <w:t xml:space="preserve">gu 10 lat ich eksploatacji. Dla porównania – jest to około </w:t>
      </w:r>
      <w:r w:rsidRPr="002001C0">
        <w:rPr>
          <w:rFonts w:ascii="Times New Roman" w:hAnsi="Times New Roman"/>
          <w:noProof/>
          <w:sz w:val="24"/>
        </w:rPr>
        <w:t>7</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całkowitej emisji gazów cieplarnianych</w:t>
      </w:r>
      <w:r w:rsidR="0076371C">
        <w:rPr>
          <w:rFonts w:ascii="Times New Roman" w:hAnsi="Times New Roman"/>
          <w:noProof/>
          <w:sz w:val="24"/>
        </w:rPr>
        <w:t xml:space="preserve"> w Uni</w:t>
      </w:r>
      <w:r>
        <w:rPr>
          <w:rFonts w:ascii="Times New Roman" w:hAnsi="Times New Roman"/>
          <w:noProof/>
          <w:sz w:val="24"/>
        </w:rPr>
        <w:t>i Europejskiej</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p>
    <w:p w14:paraId="7184116F" w14:textId="33EFE1C2" w:rsidR="00145757" w:rsidRPr="008021A2" w:rsidRDefault="00145757" w:rsidP="00145757">
      <w:pPr>
        <w:jc w:val="both"/>
        <w:rPr>
          <w:rFonts w:ascii="Times New Roman" w:hAnsi="Times New Roman" w:cs="Times New Roman"/>
          <w:noProof/>
          <w:sz w:val="24"/>
        </w:rPr>
      </w:pPr>
      <w:r>
        <w:rPr>
          <w:rFonts w:ascii="Times New Roman" w:hAnsi="Times New Roman"/>
          <w:noProof/>
          <w:sz w:val="24"/>
        </w:rPr>
        <w:t>Nadwyżka zapotrzebowania</w:t>
      </w:r>
      <w:r w:rsidR="0076371C">
        <w:rPr>
          <w:rFonts w:ascii="Times New Roman" w:hAnsi="Times New Roman"/>
          <w:noProof/>
          <w:sz w:val="24"/>
        </w:rPr>
        <w:t xml:space="preserve"> w prz</w:t>
      </w:r>
      <w:r>
        <w:rPr>
          <w:rFonts w:ascii="Times New Roman" w:hAnsi="Times New Roman"/>
          <w:noProof/>
          <w:sz w:val="24"/>
        </w:rPr>
        <w:t>ypadku LSC-2021 była niezwykła, ponieważ dostępny był budżet na pokrycie jedynie 3</w:t>
      </w:r>
      <w:r w:rsidRPr="002001C0">
        <w:rPr>
          <w:rFonts w:ascii="Times New Roman" w:hAnsi="Times New Roman"/>
          <w:noProof/>
          <w:sz w:val="24"/>
        </w:rPr>
        <w:t>6</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całkowitej kwoty dotacji,</w:t>
      </w:r>
      <w:r w:rsidR="0076371C">
        <w:rPr>
          <w:rFonts w:ascii="Times New Roman" w:hAnsi="Times New Roman"/>
          <w:noProof/>
          <w:sz w:val="24"/>
        </w:rPr>
        <w:t xml:space="preserve"> o któ</w:t>
      </w:r>
      <w:r>
        <w:rPr>
          <w:rFonts w:ascii="Times New Roman" w:hAnsi="Times New Roman"/>
          <w:noProof/>
          <w:sz w:val="24"/>
        </w:rPr>
        <w:t>rą ubiegano się we wnioskach osiągających minimalny próg. Wydaje się jednak, że zainteresowanie zaproszeniem do składania wniosków dotyczących projektów na małą skalę znacznie się zmniejszyło:</w:t>
      </w:r>
      <w:r w:rsidR="0076371C">
        <w:rPr>
          <w:rFonts w:ascii="Times New Roman" w:hAnsi="Times New Roman"/>
          <w:noProof/>
          <w:sz w:val="24"/>
        </w:rPr>
        <w:t xml:space="preserve"> w odp</w:t>
      </w:r>
      <w:r>
        <w:rPr>
          <w:rFonts w:ascii="Times New Roman" w:hAnsi="Times New Roman"/>
          <w:noProof/>
          <w:sz w:val="24"/>
        </w:rPr>
        <w:t>owiedzi na SSC-2021 wpłynęło 66 wniosków, zaś</w:t>
      </w:r>
      <w:r w:rsidR="0076371C">
        <w:rPr>
          <w:rFonts w:ascii="Times New Roman" w:hAnsi="Times New Roman"/>
          <w:noProof/>
          <w:sz w:val="24"/>
        </w:rPr>
        <w:t xml:space="preserve"> w ram</w:t>
      </w:r>
      <w:r>
        <w:rPr>
          <w:rFonts w:ascii="Times New Roman" w:hAnsi="Times New Roman"/>
          <w:noProof/>
          <w:sz w:val="24"/>
        </w:rPr>
        <w:t>ach SSC-2020 232 wnioski. Oznaczało to, że</w:t>
      </w:r>
      <w:r w:rsidR="0076371C">
        <w:rPr>
          <w:rFonts w:ascii="Times New Roman" w:hAnsi="Times New Roman"/>
          <w:noProof/>
          <w:sz w:val="24"/>
        </w:rPr>
        <w:t xml:space="preserve"> w prz</w:t>
      </w:r>
      <w:r>
        <w:rPr>
          <w:rFonts w:ascii="Times New Roman" w:hAnsi="Times New Roman"/>
          <w:noProof/>
          <w:sz w:val="24"/>
        </w:rPr>
        <w:t>ypadku wszystkich kwalifikujących się wniosków, które spełniły lub przekroczyły wymogi progowe na potrzeby klasyfikacji w SSC-2021 (17), wystosowano zaproszenie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w:t>
      </w:r>
      <w:r w:rsidR="0076371C">
        <w:rPr>
          <w:rFonts w:ascii="Times New Roman" w:hAnsi="Times New Roman"/>
          <w:noProof/>
          <w:sz w:val="24"/>
        </w:rPr>
        <w:t xml:space="preserve"> a 3</w:t>
      </w:r>
      <w:r w:rsidRPr="002001C0">
        <w:rPr>
          <w:rFonts w:ascii="Times New Roman" w:hAnsi="Times New Roman"/>
          <w:noProof/>
          <w:sz w:val="24"/>
        </w:rPr>
        <w:t>8</w:t>
      </w:r>
      <w:r w:rsidR="002001C0" w:rsidRPr="002001C0">
        <w:rPr>
          <w:rFonts w:ascii="Times New Roman" w:hAnsi="Times New Roman"/>
          <w:noProof/>
          <w:sz w:val="24"/>
        </w:rPr>
        <w:t> </w:t>
      </w:r>
      <w:r w:rsidRPr="002001C0">
        <w:rPr>
          <w:rFonts w:ascii="Times New Roman" w:hAnsi="Times New Roman"/>
          <w:noProof/>
          <w:sz w:val="24"/>
        </w:rPr>
        <w:t>%</w:t>
      </w:r>
      <w:r>
        <w:rPr>
          <w:rFonts w:ascii="Times New Roman" w:hAnsi="Times New Roman"/>
          <w:noProof/>
          <w:sz w:val="24"/>
        </w:rPr>
        <w:t xml:space="preserve"> budżetu dostępnego</w:t>
      </w:r>
      <w:r w:rsidR="0076371C">
        <w:rPr>
          <w:rFonts w:ascii="Times New Roman" w:hAnsi="Times New Roman"/>
          <w:noProof/>
          <w:sz w:val="24"/>
        </w:rPr>
        <w:t xml:space="preserve"> w ram</w:t>
      </w:r>
      <w:r>
        <w:rPr>
          <w:rFonts w:ascii="Times New Roman" w:hAnsi="Times New Roman"/>
          <w:noProof/>
          <w:sz w:val="24"/>
        </w:rPr>
        <w:t>ach zaproszenia pozostało nierozdysponowane. Jedną</w:t>
      </w:r>
      <w:r w:rsidR="0076371C">
        <w:rPr>
          <w:rFonts w:ascii="Times New Roman" w:hAnsi="Times New Roman"/>
          <w:noProof/>
          <w:sz w:val="24"/>
        </w:rPr>
        <w:t xml:space="preserve"> z prz</w:t>
      </w:r>
      <w:r>
        <w:rPr>
          <w:rFonts w:ascii="Times New Roman" w:hAnsi="Times New Roman"/>
          <w:noProof/>
          <w:sz w:val="24"/>
        </w:rPr>
        <w:t>yczyn tego spadku zainteresowania</w:t>
      </w:r>
      <w:r w:rsidR="0076371C">
        <w:rPr>
          <w:rFonts w:ascii="Times New Roman" w:hAnsi="Times New Roman"/>
          <w:noProof/>
          <w:sz w:val="24"/>
        </w:rPr>
        <w:t xml:space="preserve"> w odn</w:t>
      </w:r>
      <w:r>
        <w:rPr>
          <w:rFonts w:ascii="Times New Roman" w:hAnsi="Times New Roman"/>
          <w:noProof/>
          <w:sz w:val="24"/>
        </w:rPr>
        <w:t>iesieniu do projektów na małą skalę może być zbyt niski limit wydatków kapitałowych</w:t>
      </w:r>
      <w:r w:rsidR="0076371C">
        <w:rPr>
          <w:rFonts w:ascii="Times New Roman" w:hAnsi="Times New Roman"/>
          <w:noProof/>
          <w:sz w:val="24"/>
        </w:rPr>
        <w:t xml:space="preserve"> w zgł</w:t>
      </w:r>
      <w:r>
        <w:rPr>
          <w:rFonts w:ascii="Times New Roman" w:hAnsi="Times New Roman"/>
          <w:noProof/>
          <w:sz w:val="24"/>
        </w:rPr>
        <w:t>aszanych projektach, ustalony na poziomie 7,5 mln EUR. Okazało się to niewystarczająco atrakcyjne, jeżeli wziąć pod uwagę liczne krajowe programy finansowania dostępne przy takich poziomach wsparcia.</w:t>
      </w:r>
    </w:p>
    <w:p w14:paraId="729DBEAA" w14:textId="78AEE83E" w:rsidR="00145757" w:rsidRPr="008021A2" w:rsidRDefault="00145757" w:rsidP="00145757">
      <w:pPr>
        <w:jc w:val="both"/>
        <w:rPr>
          <w:rFonts w:ascii="Times New Roman" w:hAnsi="Times New Roman" w:cs="Times New Roman"/>
          <w:noProof/>
          <w:sz w:val="24"/>
        </w:rPr>
      </w:pPr>
      <w:r>
        <w:rPr>
          <w:rFonts w:ascii="Times New Roman" w:hAnsi="Times New Roman"/>
          <w:noProof/>
          <w:sz w:val="24"/>
        </w:rPr>
        <w:t>Program pomocy</w:t>
      </w:r>
      <w:r w:rsidR="0076371C">
        <w:rPr>
          <w:rFonts w:ascii="Times New Roman" w:hAnsi="Times New Roman"/>
          <w:noProof/>
          <w:sz w:val="24"/>
        </w:rPr>
        <w:t xml:space="preserve"> w zak</w:t>
      </w:r>
      <w:r>
        <w:rPr>
          <w:rFonts w:ascii="Times New Roman" w:hAnsi="Times New Roman"/>
          <w:noProof/>
          <w:sz w:val="24"/>
        </w:rPr>
        <w:t>resie opracowywania projektu zaczął funkcjonować</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21</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a do końca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pełne wsparcie EBI</w:t>
      </w:r>
      <w:r w:rsidR="0076371C">
        <w:rPr>
          <w:rFonts w:ascii="Times New Roman" w:hAnsi="Times New Roman"/>
          <w:noProof/>
          <w:sz w:val="24"/>
        </w:rPr>
        <w:t xml:space="preserve"> w tym</w:t>
      </w:r>
      <w:r>
        <w:rPr>
          <w:rFonts w:ascii="Times New Roman" w:hAnsi="Times New Roman"/>
          <w:noProof/>
          <w:sz w:val="24"/>
        </w:rPr>
        <w:t xml:space="preserve"> zakresie uzyskało 19 projektów. Spośród tych objętych pomocą projektów 18 (z których wszystkie odrzucono</w:t>
      </w:r>
      <w:r w:rsidR="0076371C">
        <w:rPr>
          <w:rFonts w:ascii="Times New Roman" w:hAnsi="Times New Roman"/>
          <w:noProof/>
          <w:sz w:val="24"/>
        </w:rPr>
        <w:t xml:space="preserve"> w pop</w:t>
      </w:r>
      <w:r>
        <w:rPr>
          <w:rFonts w:ascii="Times New Roman" w:hAnsi="Times New Roman"/>
          <w:noProof/>
          <w:sz w:val="24"/>
        </w:rPr>
        <w:t>rzednich zaproszeniach do składania wniosków) zostało ponownie złożonych</w:t>
      </w:r>
      <w:r w:rsidR="0076371C">
        <w:rPr>
          <w:rFonts w:ascii="Times New Roman" w:hAnsi="Times New Roman"/>
          <w:noProof/>
          <w:sz w:val="24"/>
        </w:rPr>
        <w:t xml:space="preserve"> w odp</w:t>
      </w:r>
      <w:r>
        <w:rPr>
          <w:rFonts w:ascii="Times New Roman" w:hAnsi="Times New Roman"/>
          <w:noProof/>
          <w:sz w:val="24"/>
        </w:rPr>
        <w:t>owiedzi na zaproszenia do składania wniosków ogłoszone</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r w:rsidR="0076371C">
        <w:rPr>
          <w:rFonts w:ascii="Times New Roman" w:hAnsi="Times New Roman"/>
          <w:noProof/>
          <w:sz w:val="24"/>
        </w:rPr>
        <w:t xml:space="preserve"> a w prz</w:t>
      </w:r>
      <w:r>
        <w:rPr>
          <w:rFonts w:ascii="Times New Roman" w:hAnsi="Times New Roman"/>
          <w:noProof/>
          <w:sz w:val="24"/>
        </w:rPr>
        <w:t>ypadku dwóch</w:t>
      </w:r>
      <w:r w:rsidR="0076371C">
        <w:rPr>
          <w:rFonts w:ascii="Times New Roman" w:hAnsi="Times New Roman"/>
          <w:noProof/>
          <w:sz w:val="24"/>
        </w:rPr>
        <w:t xml:space="preserve"> z tyc</w:t>
      </w:r>
      <w:r>
        <w:rPr>
          <w:rFonts w:ascii="Times New Roman" w:hAnsi="Times New Roman"/>
          <w:noProof/>
          <w:sz w:val="24"/>
        </w:rPr>
        <w:t>h 18 projektów wnioskodawców już z</w:t>
      </w:r>
      <w:r>
        <w:rPr>
          <w:rFonts w:ascii="Times New Roman" w:hAnsi="Times New Roman"/>
          <w:noProof/>
          <w:color w:val="000000" w:themeColor="text1"/>
          <w:sz w:val="24"/>
        </w:rPr>
        <w:t>aproszono do podpisania umowy</w:t>
      </w:r>
      <w:r w:rsidR="0076371C">
        <w:rPr>
          <w:rFonts w:ascii="Times New Roman" w:hAnsi="Times New Roman"/>
          <w:noProof/>
          <w:color w:val="000000" w:themeColor="text1"/>
          <w:sz w:val="24"/>
        </w:rPr>
        <w:t xml:space="preserve"> o udz</w:t>
      </w:r>
      <w:r>
        <w:rPr>
          <w:rFonts w:ascii="Times New Roman" w:hAnsi="Times New Roman"/>
          <w:noProof/>
          <w:color w:val="000000" w:themeColor="text1"/>
          <w:sz w:val="24"/>
        </w:rPr>
        <w:t>ielenie dotacji</w:t>
      </w:r>
      <w:r w:rsidR="0076371C">
        <w:rPr>
          <w:rFonts w:ascii="Times New Roman" w:hAnsi="Times New Roman"/>
          <w:noProof/>
          <w:color w:val="000000" w:themeColor="text1"/>
          <w:sz w:val="24"/>
        </w:rPr>
        <w:t xml:space="preserve"> w ram</w:t>
      </w:r>
      <w:r>
        <w:rPr>
          <w:rFonts w:ascii="Times New Roman" w:hAnsi="Times New Roman"/>
          <w:noProof/>
          <w:color w:val="000000" w:themeColor="text1"/>
          <w:sz w:val="24"/>
        </w:rPr>
        <w:t>ach SSC-2021</w:t>
      </w:r>
      <w:r>
        <w:rPr>
          <w:rFonts w:ascii="Times New Roman" w:hAnsi="Times New Roman"/>
          <w:noProof/>
          <w:sz w:val="24"/>
        </w:rPr>
        <w:t xml:space="preserve"> (większość pozostałych projektów została ponownie złożona</w:t>
      </w:r>
      <w:r w:rsidR="0076371C">
        <w:rPr>
          <w:rFonts w:ascii="Times New Roman" w:hAnsi="Times New Roman"/>
          <w:noProof/>
          <w:sz w:val="24"/>
        </w:rPr>
        <w:t xml:space="preserve"> w ram</w:t>
      </w:r>
      <w:r>
        <w:rPr>
          <w:rFonts w:ascii="Times New Roman" w:hAnsi="Times New Roman"/>
          <w:noProof/>
          <w:sz w:val="24"/>
        </w:rPr>
        <w:t>ach LSC-2022, którego wyniki zostaną ocenione</w:t>
      </w:r>
      <w:r w:rsidR="0076371C">
        <w:rPr>
          <w:rFonts w:ascii="Times New Roman" w:hAnsi="Times New Roman"/>
          <w:noProof/>
          <w:sz w:val="24"/>
        </w:rPr>
        <w:t xml:space="preserve"> w prz</w:t>
      </w:r>
      <w:r>
        <w:rPr>
          <w:rFonts w:ascii="Times New Roman" w:hAnsi="Times New Roman"/>
          <w:noProof/>
          <w:sz w:val="24"/>
        </w:rPr>
        <w:t xml:space="preserve">yszłorocznym sprawozdaniu). </w:t>
      </w:r>
    </w:p>
    <w:p w14:paraId="28A87CF7" w14:textId="2D7B9B55" w:rsidR="00145757" w:rsidRPr="008021A2" w:rsidRDefault="00BA06BB" w:rsidP="00145757">
      <w:pPr>
        <w:jc w:val="both"/>
        <w:rPr>
          <w:rFonts w:ascii="Times New Roman" w:hAnsi="Times New Roman" w:cs="Times New Roman"/>
          <w:noProof/>
          <w:sz w:val="24"/>
        </w:rPr>
      </w:pPr>
      <w:r>
        <w:rPr>
          <w:rFonts w:ascii="Times New Roman" w:hAnsi="Times New Roman"/>
          <w:noProof/>
          <w:sz w:val="24"/>
        </w:rPr>
        <w:t>W chwili publikacji niniejszego sprawozdania</w:t>
      </w:r>
      <w:r w:rsidR="0076371C">
        <w:rPr>
          <w:rFonts w:ascii="Times New Roman" w:hAnsi="Times New Roman"/>
          <w:noProof/>
          <w:sz w:val="24"/>
        </w:rPr>
        <w:t xml:space="preserve"> w fun</w:t>
      </w:r>
      <w:r>
        <w:rPr>
          <w:rFonts w:ascii="Times New Roman" w:hAnsi="Times New Roman"/>
          <w:noProof/>
          <w:sz w:val="24"/>
        </w:rPr>
        <w:t>duszu innowacyjnym podjęto już pewne kolejne kroki, które zostaną przedstawione</w:t>
      </w:r>
      <w:r w:rsidR="0076371C">
        <w:rPr>
          <w:rFonts w:ascii="Times New Roman" w:hAnsi="Times New Roman"/>
          <w:noProof/>
          <w:sz w:val="24"/>
        </w:rPr>
        <w:t xml:space="preserve"> w spr</w:t>
      </w:r>
      <w:r>
        <w:rPr>
          <w:rFonts w:ascii="Times New Roman" w:hAnsi="Times New Roman"/>
          <w:noProof/>
          <w:sz w:val="24"/>
        </w:rPr>
        <w:t>awozdaniu rocznym dotyczącym funduszu</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w:t>
      </w:r>
    </w:p>
    <w:p w14:paraId="62CED749" w14:textId="09D04DA8" w:rsidR="00145757" w:rsidRPr="008021A2" w:rsidRDefault="00145757" w:rsidP="00145757">
      <w:pPr>
        <w:pStyle w:val="Akapitzlist"/>
        <w:numPr>
          <w:ilvl w:val="0"/>
          <w:numId w:val="13"/>
        </w:numPr>
        <w:spacing w:before="0" w:after="0"/>
        <w:jc w:val="both"/>
        <w:rPr>
          <w:rFonts w:ascii="Times New Roman" w:hAnsi="Times New Roman" w:cs="Times New Roman"/>
          <w:noProof/>
          <w:sz w:val="24"/>
        </w:rPr>
      </w:pPr>
      <w:r>
        <w:rPr>
          <w:rFonts w:ascii="Times New Roman" w:hAnsi="Times New Roman"/>
          <w:noProof/>
          <w:sz w:val="24"/>
        </w:rPr>
        <w:t>Trzecie zaproszenie do składania wniosków dotyczące projektów na dużą skalę (LSC-2022) ogłoszono 3 listopada 20</w:t>
      </w:r>
      <w:r w:rsidRPr="002001C0">
        <w:rPr>
          <w:rFonts w:ascii="Times New Roman" w:hAnsi="Times New Roman"/>
          <w:noProof/>
          <w:sz w:val="24"/>
        </w:rPr>
        <w:t>22</w:t>
      </w:r>
      <w:r w:rsidR="002001C0" w:rsidRPr="002001C0">
        <w:rPr>
          <w:rFonts w:ascii="Times New Roman" w:hAnsi="Times New Roman"/>
          <w:noProof/>
          <w:sz w:val="24"/>
        </w:rPr>
        <w:t> </w:t>
      </w:r>
      <w:r w:rsidRPr="002001C0">
        <w:rPr>
          <w:rFonts w:ascii="Times New Roman" w:hAnsi="Times New Roman"/>
          <w:noProof/>
          <w:sz w:val="24"/>
        </w:rPr>
        <w:t>r.</w:t>
      </w:r>
      <w:r w:rsidR="0076371C">
        <w:rPr>
          <w:rFonts w:ascii="Times New Roman" w:hAnsi="Times New Roman"/>
          <w:noProof/>
          <w:sz w:val="24"/>
        </w:rPr>
        <w:t xml:space="preserve"> i zam</w:t>
      </w:r>
      <w:r>
        <w:rPr>
          <w:rFonts w:ascii="Times New Roman" w:hAnsi="Times New Roman"/>
          <w:noProof/>
          <w:sz w:val="24"/>
        </w:rPr>
        <w:t>knięto</w:t>
      </w:r>
      <w:r w:rsidR="0076371C">
        <w:rPr>
          <w:rFonts w:ascii="Times New Roman" w:hAnsi="Times New Roman"/>
          <w:noProof/>
          <w:sz w:val="24"/>
        </w:rPr>
        <w:t xml:space="preserve"> w mar</w:t>
      </w:r>
      <w:r>
        <w:rPr>
          <w:rFonts w:ascii="Times New Roman" w:hAnsi="Times New Roman"/>
          <w:noProof/>
          <w:sz w:val="24"/>
        </w:rPr>
        <w:t>cu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sidR="0076371C" w:rsidRPr="002001C0">
        <w:rPr>
          <w:rFonts w:ascii="Times New Roman" w:hAnsi="Times New Roman"/>
          <w:noProof/>
          <w:sz w:val="24"/>
        </w:rPr>
        <w:t>.</w:t>
      </w:r>
      <w:r w:rsidR="0076371C">
        <w:rPr>
          <w:rFonts w:ascii="Times New Roman" w:hAnsi="Times New Roman"/>
          <w:noProof/>
          <w:sz w:val="24"/>
        </w:rPr>
        <w:t xml:space="preserve"> W odp</w:t>
      </w:r>
      <w:r>
        <w:rPr>
          <w:rFonts w:ascii="Times New Roman" w:hAnsi="Times New Roman"/>
          <w:noProof/>
          <w:sz w:val="24"/>
        </w:rPr>
        <w:t>owiedzi otrzymano 239 wniosków,</w:t>
      </w:r>
      <w:r w:rsidR="0076371C">
        <w:rPr>
          <w:rFonts w:ascii="Times New Roman" w:hAnsi="Times New Roman"/>
          <w:noProof/>
          <w:sz w:val="24"/>
        </w:rPr>
        <w:t xml:space="preserve"> z któ</w:t>
      </w:r>
      <w:r>
        <w:rPr>
          <w:rFonts w:ascii="Times New Roman" w:hAnsi="Times New Roman"/>
          <w:noProof/>
          <w:sz w:val="24"/>
        </w:rPr>
        <w:t>rych</w:t>
      </w:r>
      <w:r w:rsidR="0076371C">
        <w:rPr>
          <w:rFonts w:ascii="Times New Roman" w:hAnsi="Times New Roman"/>
          <w:noProof/>
          <w:sz w:val="24"/>
        </w:rPr>
        <w:t xml:space="preserve"> w prz</w:t>
      </w:r>
      <w:r>
        <w:rPr>
          <w:rFonts w:ascii="Times New Roman" w:hAnsi="Times New Roman"/>
          <w:noProof/>
          <w:sz w:val="24"/>
        </w:rPr>
        <w:t>ypadku 41 wniosków wystosowano zaproszenie do etapu przygotowań do zawarcia umowy</w:t>
      </w:r>
      <w:r w:rsidR="0076371C">
        <w:rPr>
          <w:rFonts w:ascii="Times New Roman" w:hAnsi="Times New Roman"/>
          <w:noProof/>
          <w:sz w:val="24"/>
        </w:rPr>
        <w:t xml:space="preserve"> o udz</w:t>
      </w:r>
      <w:r>
        <w:rPr>
          <w:rFonts w:ascii="Times New Roman" w:hAnsi="Times New Roman"/>
          <w:noProof/>
          <w:sz w:val="24"/>
        </w:rPr>
        <w:t>ielenie dotacji. Ogółem kwota dotacji dostępnych</w:t>
      </w:r>
      <w:r w:rsidR="0076371C">
        <w:rPr>
          <w:rFonts w:ascii="Times New Roman" w:hAnsi="Times New Roman"/>
          <w:noProof/>
          <w:sz w:val="24"/>
        </w:rPr>
        <w:t xml:space="preserve"> w ram</w:t>
      </w:r>
      <w:r>
        <w:rPr>
          <w:rFonts w:ascii="Times New Roman" w:hAnsi="Times New Roman"/>
          <w:noProof/>
          <w:sz w:val="24"/>
        </w:rPr>
        <w:t>ach tego zaproszenia wynosi ponad 3,6 mld EUR</w:t>
      </w:r>
      <w:r w:rsidR="0076371C">
        <w:rPr>
          <w:rFonts w:ascii="Times New Roman" w:hAnsi="Times New Roman"/>
          <w:noProof/>
          <w:sz w:val="24"/>
        </w:rPr>
        <w:t xml:space="preserve"> i będ</w:t>
      </w:r>
      <w:r>
        <w:rPr>
          <w:rFonts w:ascii="Times New Roman" w:hAnsi="Times New Roman"/>
          <w:noProof/>
          <w:sz w:val="24"/>
        </w:rPr>
        <w:t>zie przeznaczona na wsparcie projektów, których celem jest wprowadzenie na rynek innowacyjnych technologii</w:t>
      </w:r>
      <w:r w:rsidR="0076371C">
        <w:rPr>
          <w:rFonts w:ascii="Times New Roman" w:hAnsi="Times New Roman"/>
          <w:noProof/>
          <w:sz w:val="24"/>
        </w:rPr>
        <w:t xml:space="preserve"> w sek</w:t>
      </w:r>
      <w:r>
        <w:rPr>
          <w:rFonts w:ascii="Times New Roman" w:hAnsi="Times New Roman"/>
          <w:noProof/>
          <w:sz w:val="24"/>
        </w:rPr>
        <w:t>torach energochłonnych, sektorach wodoru, energii ze źródeł odnawialnych oraz produkcji komponentów na potrzeby magazynowania energii</w:t>
      </w:r>
      <w:r w:rsidR="0076371C">
        <w:rPr>
          <w:rFonts w:ascii="Times New Roman" w:hAnsi="Times New Roman"/>
          <w:noProof/>
          <w:sz w:val="24"/>
        </w:rPr>
        <w:t xml:space="preserve"> i wyt</w:t>
      </w:r>
      <w:r>
        <w:rPr>
          <w:rFonts w:ascii="Times New Roman" w:hAnsi="Times New Roman"/>
          <w:noProof/>
          <w:sz w:val="24"/>
        </w:rPr>
        <w:t>warzania energii ze źródeł odnawialnych. Decyzja</w:t>
      </w:r>
      <w:r w:rsidR="0076371C">
        <w:rPr>
          <w:rFonts w:ascii="Times New Roman" w:hAnsi="Times New Roman"/>
          <w:noProof/>
          <w:sz w:val="24"/>
        </w:rPr>
        <w:t xml:space="preserve"> o prz</w:t>
      </w:r>
      <w:r>
        <w:rPr>
          <w:rFonts w:ascii="Times New Roman" w:hAnsi="Times New Roman"/>
          <w:noProof/>
          <w:sz w:val="24"/>
        </w:rPr>
        <w:t>yznaniu wsparcia</w:t>
      </w:r>
      <w:r w:rsidR="0076371C">
        <w:rPr>
          <w:rFonts w:ascii="Times New Roman" w:hAnsi="Times New Roman"/>
          <w:noProof/>
          <w:sz w:val="24"/>
        </w:rPr>
        <w:t xml:space="preserve"> w ram</w:t>
      </w:r>
      <w:r>
        <w:rPr>
          <w:rFonts w:ascii="Times New Roman" w:hAnsi="Times New Roman"/>
          <w:noProof/>
          <w:sz w:val="24"/>
        </w:rPr>
        <w:t>ach trzeciego zaproszenia do składania wniosków dotyczących projektów na małą skalę ma zapaść do końca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Dalsze szczegółowe informacje na temat tych zaproszeń zostaną przedstawione</w:t>
      </w:r>
      <w:r w:rsidR="0076371C">
        <w:rPr>
          <w:rFonts w:ascii="Times New Roman" w:hAnsi="Times New Roman"/>
          <w:noProof/>
          <w:sz w:val="24"/>
        </w:rPr>
        <w:t xml:space="preserve"> w spr</w:t>
      </w:r>
      <w:r>
        <w:rPr>
          <w:rFonts w:ascii="Times New Roman" w:hAnsi="Times New Roman"/>
          <w:noProof/>
          <w:sz w:val="24"/>
        </w:rPr>
        <w:t xml:space="preserve">awozdaniu rocznym dotyczącym funduszu innowacyjnego </w:t>
      </w:r>
      <w:r w:rsidRPr="002001C0">
        <w:rPr>
          <w:rFonts w:ascii="Times New Roman" w:hAnsi="Times New Roman"/>
          <w:noProof/>
          <w:sz w:val="24"/>
        </w:rPr>
        <w:t>za</w:t>
      </w:r>
      <w:r w:rsidR="002001C0" w:rsidRPr="002001C0">
        <w:rPr>
          <w:rFonts w:ascii="Times New Roman" w:hAnsi="Times New Roman"/>
          <w:noProof/>
          <w:sz w:val="24"/>
        </w:rPr>
        <w:t> </w:t>
      </w:r>
      <w:r w:rsidRPr="002001C0">
        <w:rPr>
          <w:rFonts w:ascii="Times New Roman" w:hAnsi="Times New Roman"/>
          <w:noProof/>
          <w:sz w:val="24"/>
        </w:rPr>
        <w:t>2</w:t>
      </w:r>
      <w:r>
        <w:rPr>
          <w:rFonts w:ascii="Times New Roman" w:hAnsi="Times New Roman"/>
          <w:noProof/>
          <w:sz w:val="24"/>
        </w:rPr>
        <w:t>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Na początku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pomoc</w:t>
      </w:r>
      <w:r w:rsidR="0076371C">
        <w:rPr>
          <w:rFonts w:ascii="Times New Roman" w:hAnsi="Times New Roman"/>
          <w:noProof/>
          <w:sz w:val="24"/>
        </w:rPr>
        <w:t xml:space="preserve"> </w:t>
      </w:r>
      <w:r w:rsidR="0076371C">
        <w:rPr>
          <w:rFonts w:ascii="Times New Roman" w:hAnsi="Times New Roman"/>
          <w:noProof/>
          <w:sz w:val="24"/>
        </w:rPr>
        <w:lastRenderedPageBreak/>
        <w:t>w zak</w:t>
      </w:r>
      <w:r>
        <w:rPr>
          <w:rFonts w:ascii="Times New Roman" w:hAnsi="Times New Roman"/>
          <w:noProof/>
          <w:sz w:val="24"/>
        </w:rPr>
        <w:t>resie opracowywania projektu zaoferowano ponadto</w:t>
      </w:r>
      <w:r w:rsidR="0076371C">
        <w:rPr>
          <w:rFonts w:ascii="Times New Roman" w:hAnsi="Times New Roman"/>
          <w:noProof/>
          <w:sz w:val="24"/>
        </w:rPr>
        <w:t xml:space="preserve"> w odn</w:t>
      </w:r>
      <w:r>
        <w:rPr>
          <w:rFonts w:ascii="Times New Roman" w:hAnsi="Times New Roman"/>
          <w:noProof/>
          <w:sz w:val="24"/>
        </w:rPr>
        <w:t>iesieniu do trzech dodatkowych projektów zgłoszonych</w:t>
      </w:r>
      <w:r w:rsidR="0076371C">
        <w:rPr>
          <w:rFonts w:ascii="Times New Roman" w:hAnsi="Times New Roman"/>
          <w:noProof/>
          <w:sz w:val="24"/>
        </w:rPr>
        <w:t xml:space="preserve"> w ram</w:t>
      </w:r>
      <w:r>
        <w:rPr>
          <w:rFonts w:ascii="Times New Roman" w:hAnsi="Times New Roman"/>
          <w:noProof/>
          <w:sz w:val="24"/>
        </w:rPr>
        <w:t>ach SSC-2021.</w:t>
      </w:r>
    </w:p>
    <w:p w14:paraId="3425F744" w14:textId="77777777" w:rsidR="00145757" w:rsidRPr="008021A2" w:rsidRDefault="00145757" w:rsidP="00145757">
      <w:pPr>
        <w:pStyle w:val="Akapitzlist"/>
        <w:spacing w:before="0" w:after="0"/>
        <w:jc w:val="both"/>
        <w:rPr>
          <w:rFonts w:ascii="Times New Roman" w:hAnsi="Times New Roman" w:cs="Times New Roman"/>
          <w:noProof/>
          <w:sz w:val="24"/>
        </w:rPr>
      </w:pPr>
    </w:p>
    <w:p w14:paraId="2F8BCD30" w14:textId="5E9CA40B" w:rsidR="00145757" w:rsidRPr="008021A2" w:rsidRDefault="00145757" w:rsidP="00145757">
      <w:pPr>
        <w:pStyle w:val="Akapitzlist"/>
        <w:numPr>
          <w:ilvl w:val="0"/>
          <w:numId w:val="13"/>
        </w:numPr>
        <w:spacing w:before="0" w:after="0"/>
        <w:jc w:val="both"/>
        <w:rPr>
          <w:rFonts w:ascii="Times New Roman" w:hAnsi="Times New Roman" w:cs="Times New Roman"/>
          <w:noProof/>
          <w:sz w:val="24"/>
        </w:rPr>
      </w:pPr>
      <w:r>
        <w:rPr>
          <w:rFonts w:ascii="Times New Roman" w:hAnsi="Times New Roman"/>
          <w:noProof/>
          <w:sz w:val="24"/>
        </w:rPr>
        <w:t>W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wdrożony zostanie nowy mechanizm wyboru projektów</w:t>
      </w:r>
      <w:r w:rsidR="0076371C">
        <w:rPr>
          <w:rFonts w:ascii="Times New Roman" w:hAnsi="Times New Roman"/>
          <w:noProof/>
          <w:sz w:val="24"/>
        </w:rPr>
        <w:t xml:space="preserve"> w opa</w:t>
      </w:r>
      <w:r>
        <w:rPr>
          <w:rFonts w:ascii="Times New Roman" w:hAnsi="Times New Roman"/>
          <w:noProof/>
          <w:sz w:val="24"/>
        </w:rPr>
        <w:t>rciu</w:t>
      </w:r>
      <w:r w:rsidR="0076371C">
        <w:rPr>
          <w:rFonts w:ascii="Times New Roman" w:hAnsi="Times New Roman"/>
          <w:noProof/>
          <w:sz w:val="24"/>
        </w:rPr>
        <w:t xml:space="preserve"> o prz</w:t>
      </w:r>
      <w:r>
        <w:rPr>
          <w:rFonts w:ascii="Times New Roman" w:hAnsi="Times New Roman"/>
          <w:noProof/>
          <w:sz w:val="24"/>
        </w:rPr>
        <w:t>etarg konkurencyjny. Pierwsza aukcja pilotażowa</w:t>
      </w:r>
      <w:r w:rsidR="0076371C">
        <w:rPr>
          <w:rFonts w:ascii="Times New Roman" w:hAnsi="Times New Roman"/>
          <w:noProof/>
          <w:sz w:val="24"/>
        </w:rPr>
        <w:t xml:space="preserve"> w ram</w:t>
      </w:r>
      <w:r>
        <w:rPr>
          <w:rFonts w:ascii="Times New Roman" w:hAnsi="Times New Roman"/>
          <w:noProof/>
          <w:sz w:val="24"/>
        </w:rPr>
        <w:t>ach funduszu innowacyjnego zostanie zorganizowana</w:t>
      </w:r>
      <w:r w:rsidR="0076371C">
        <w:rPr>
          <w:rFonts w:ascii="Times New Roman" w:hAnsi="Times New Roman"/>
          <w:noProof/>
          <w:sz w:val="24"/>
        </w:rPr>
        <w:t xml:space="preserve"> w kon</w:t>
      </w:r>
      <w:r>
        <w:rPr>
          <w:rFonts w:ascii="Times New Roman" w:hAnsi="Times New Roman"/>
          <w:noProof/>
          <w:sz w:val="24"/>
        </w:rPr>
        <w:t>tekście Europejskiego Banku Wodoru, ukierunkowanego na krajową produkcję wodoru odnawialnego. Przetarg konkurencyjny będzie obejmował również mechanizm „aukcji jako usługi”, który umożliwi państwom EOG wykorzystanie ich budżetów krajowych do udzielania wsparcia projektom zlokalizowanym na ich terytorium</w:t>
      </w:r>
      <w:r w:rsidR="0076371C">
        <w:rPr>
          <w:rFonts w:ascii="Times New Roman" w:hAnsi="Times New Roman"/>
          <w:noProof/>
          <w:sz w:val="24"/>
        </w:rPr>
        <w:t xml:space="preserve"> i pos</w:t>
      </w:r>
      <w:r>
        <w:rPr>
          <w:rFonts w:ascii="Times New Roman" w:hAnsi="Times New Roman"/>
          <w:noProof/>
          <w:sz w:val="24"/>
        </w:rPr>
        <w:t>łużenie się przy tym ogólnounijnym mechanizmem aukcyjnym do identyfikacji najbardziej konkurencyjnych projektów.</w:t>
      </w:r>
    </w:p>
    <w:p w14:paraId="214B69FB" w14:textId="77777777" w:rsidR="00145757" w:rsidRPr="008021A2" w:rsidRDefault="00145757" w:rsidP="00145757">
      <w:pPr>
        <w:pStyle w:val="Akapitzlist"/>
        <w:jc w:val="both"/>
        <w:rPr>
          <w:rFonts w:ascii="Times New Roman" w:hAnsi="Times New Roman" w:cs="Times New Roman"/>
          <w:noProof/>
          <w:sz w:val="24"/>
        </w:rPr>
      </w:pPr>
    </w:p>
    <w:p w14:paraId="652D76DB" w14:textId="37FD76CD" w:rsidR="00145757" w:rsidRPr="008021A2" w:rsidRDefault="00145757" w:rsidP="00145757">
      <w:pPr>
        <w:pStyle w:val="Akapitzlist"/>
        <w:numPr>
          <w:ilvl w:val="0"/>
          <w:numId w:val="13"/>
        </w:numPr>
        <w:spacing w:before="0" w:after="0"/>
        <w:jc w:val="both"/>
        <w:rPr>
          <w:rFonts w:ascii="Times New Roman" w:hAnsi="Times New Roman" w:cs="Times New Roman"/>
          <w:noProof/>
          <w:sz w:val="24"/>
        </w:rPr>
      </w:pPr>
      <w:r>
        <w:rPr>
          <w:rFonts w:ascii="Times New Roman" w:hAnsi="Times New Roman"/>
          <w:noProof/>
          <w:sz w:val="24"/>
        </w:rPr>
        <w:t>Przed końcem 20</w:t>
      </w:r>
      <w:r w:rsidRPr="002001C0">
        <w:rPr>
          <w:rFonts w:ascii="Times New Roman" w:hAnsi="Times New Roman"/>
          <w:noProof/>
          <w:sz w:val="24"/>
        </w:rPr>
        <w:t>23</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ogłoszone zostanie zaproszenie do składania wniosków,</w:t>
      </w:r>
      <w:r w:rsidR="0076371C">
        <w:rPr>
          <w:rFonts w:ascii="Times New Roman" w:hAnsi="Times New Roman"/>
          <w:noProof/>
          <w:sz w:val="24"/>
        </w:rPr>
        <w:t xml:space="preserve"> w któ</w:t>
      </w:r>
      <w:r>
        <w:rPr>
          <w:rFonts w:ascii="Times New Roman" w:hAnsi="Times New Roman"/>
          <w:noProof/>
          <w:sz w:val="24"/>
        </w:rPr>
        <w:t>rym łączone będą segmenty dotyczące projektów na małą, średnią</w:t>
      </w:r>
      <w:r w:rsidR="0076371C">
        <w:rPr>
          <w:rFonts w:ascii="Times New Roman" w:hAnsi="Times New Roman"/>
          <w:noProof/>
          <w:sz w:val="24"/>
        </w:rPr>
        <w:t xml:space="preserve"> i duż</w:t>
      </w:r>
      <w:r>
        <w:rPr>
          <w:rFonts w:ascii="Times New Roman" w:hAnsi="Times New Roman"/>
          <w:noProof/>
          <w:sz w:val="24"/>
        </w:rPr>
        <w:t>ą skalę oraz konkretne segmenty dla projektów produkcyjnych</w:t>
      </w:r>
      <w:r w:rsidR="0076371C">
        <w:rPr>
          <w:rFonts w:ascii="Times New Roman" w:hAnsi="Times New Roman"/>
          <w:noProof/>
          <w:sz w:val="24"/>
        </w:rPr>
        <w:t xml:space="preserve"> i pil</w:t>
      </w:r>
      <w:r>
        <w:rPr>
          <w:rFonts w:ascii="Times New Roman" w:hAnsi="Times New Roman"/>
          <w:noProof/>
          <w:sz w:val="24"/>
        </w:rPr>
        <w:t>otażowych. Rozstrzygnięcie zaproszenia nastąpi</w:t>
      </w:r>
      <w:r w:rsidR="0076371C">
        <w:rPr>
          <w:rFonts w:ascii="Times New Roman" w:hAnsi="Times New Roman"/>
          <w:noProof/>
          <w:sz w:val="24"/>
        </w:rPr>
        <w:t xml:space="preserve"> w 2</w:t>
      </w:r>
      <w:r>
        <w:rPr>
          <w:rFonts w:ascii="Times New Roman" w:hAnsi="Times New Roman"/>
          <w:noProof/>
          <w:sz w:val="24"/>
        </w:rPr>
        <w:t>0</w:t>
      </w:r>
      <w:r w:rsidRPr="002001C0">
        <w:rPr>
          <w:rFonts w:ascii="Times New Roman" w:hAnsi="Times New Roman"/>
          <w:noProof/>
          <w:sz w:val="24"/>
        </w:rPr>
        <w:t>24</w:t>
      </w:r>
      <w:r w:rsidR="002001C0" w:rsidRPr="002001C0">
        <w:rPr>
          <w:rFonts w:ascii="Times New Roman" w:hAnsi="Times New Roman"/>
          <w:noProof/>
          <w:sz w:val="24"/>
        </w:rPr>
        <w:t> </w:t>
      </w:r>
      <w:r w:rsidRPr="002001C0">
        <w:rPr>
          <w:rFonts w:ascii="Times New Roman" w:hAnsi="Times New Roman"/>
          <w:noProof/>
          <w:sz w:val="24"/>
        </w:rPr>
        <w:t>r.</w:t>
      </w:r>
      <w:r>
        <w:rPr>
          <w:rFonts w:ascii="Times New Roman" w:hAnsi="Times New Roman"/>
          <w:noProof/>
          <w:sz w:val="24"/>
        </w:rPr>
        <w:t xml:space="preserve"> </w:t>
      </w:r>
    </w:p>
    <w:p w14:paraId="1C35A400" w14:textId="77777777" w:rsidR="00145757" w:rsidRPr="008021A2" w:rsidRDefault="00145757" w:rsidP="00145757">
      <w:pPr>
        <w:pStyle w:val="Akapitzlist"/>
        <w:spacing w:before="0" w:after="0"/>
        <w:jc w:val="both"/>
        <w:rPr>
          <w:rFonts w:ascii="Times New Roman" w:hAnsi="Times New Roman" w:cs="Times New Roman"/>
          <w:noProof/>
          <w:sz w:val="24"/>
        </w:rPr>
      </w:pPr>
    </w:p>
    <w:p w14:paraId="50E151D1" w14:textId="002ED943" w:rsidR="00145757" w:rsidRPr="008021A2" w:rsidRDefault="00145757" w:rsidP="00145757">
      <w:pPr>
        <w:pStyle w:val="Akapitzlist"/>
        <w:numPr>
          <w:ilvl w:val="0"/>
          <w:numId w:val="13"/>
        </w:numPr>
        <w:spacing w:before="0" w:after="0"/>
        <w:jc w:val="both"/>
        <w:rPr>
          <w:rFonts w:ascii="Times New Roman" w:hAnsi="Times New Roman" w:cs="Times New Roman"/>
          <w:noProof/>
          <w:sz w:val="24"/>
        </w:rPr>
      </w:pPr>
      <w:r>
        <w:rPr>
          <w:rFonts w:ascii="Times New Roman" w:hAnsi="Times New Roman"/>
          <w:noProof/>
          <w:sz w:val="24"/>
        </w:rPr>
        <w:t>Przyjęto zmieniony akt delegowany dotyczący funduszu innowacyjnego, aby dostosować funkcjonowanie tego funduszu do zmienionej dyrektywy EU ETS,</w:t>
      </w:r>
      <w:r w:rsidR="0076371C">
        <w:rPr>
          <w:rFonts w:ascii="Times New Roman" w:hAnsi="Times New Roman"/>
          <w:noProof/>
          <w:sz w:val="24"/>
        </w:rPr>
        <w:t xml:space="preserve"> w któ</w:t>
      </w:r>
      <w:r>
        <w:rPr>
          <w:rFonts w:ascii="Times New Roman" w:hAnsi="Times New Roman"/>
          <w:noProof/>
          <w:sz w:val="24"/>
        </w:rPr>
        <w:t>rej rozszerzono zakres sektorów wspieranych przez fundusz innowacyjny (obecnie należą do nich również transport morski, lotnictwo, CCS</w:t>
      </w:r>
      <w:r w:rsidR="0076371C">
        <w:rPr>
          <w:rFonts w:ascii="Times New Roman" w:hAnsi="Times New Roman"/>
          <w:noProof/>
          <w:sz w:val="24"/>
        </w:rPr>
        <w:t xml:space="preserve"> i tra</w:t>
      </w:r>
      <w:r>
        <w:rPr>
          <w:rFonts w:ascii="Times New Roman" w:hAnsi="Times New Roman"/>
          <w:noProof/>
          <w:sz w:val="24"/>
        </w:rPr>
        <w:t xml:space="preserve">nsport lądowy). </w:t>
      </w:r>
    </w:p>
    <w:p w14:paraId="6F0C9325" w14:textId="77777777" w:rsidR="00145757" w:rsidRPr="008021A2" w:rsidRDefault="00145757" w:rsidP="00145757">
      <w:pPr>
        <w:pStyle w:val="Akapitzlist"/>
        <w:spacing w:before="0" w:after="0"/>
        <w:jc w:val="both"/>
        <w:rPr>
          <w:rFonts w:ascii="Times New Roman" w:hAnsi="Times New Roman" w:cs="Times New Roman"/>
          <w:noProof/>
          <w:sz w:val="24"/>
        </w:rPr>
      </w:pPr>
    </w:p>
    <w:p w14:paraId="531C2D0A" w14:textId="77777777" w:rsidR="00145757" w:rsidRPr="008021A2" w:rsidRDefault="00145757" w:rsidP="00145757">
      <w:pPr>
        <w:pStyle w:val="Akapitzlist"/>
        <w:spacing w:before="0" w:after="0"/>
        <w:jc w:val="both"/>
        <w:rPr>
          <w:rFonts w:ascii="Times New Roman" w:hAnsi="Times New Roman" w:cs="Times New Roman"/>
          <w:noProof/>
          <w:sz w:val="24"/>
        </w:rPr>
      </w:pPr>
    </w:p>
    <w:p w14:paraId="32BB33EE" w14:textId="77777777" w:rsidR="00145757" w:rsidRPr="008021A2" w:rsidRDefault="00145757" w:rsidP="00145757">
      <w:pPr>
        <w:pStyle w:val="Akapitzlist"/>
        <w:spacing w:before="0" w:after="0"/>
        <w:jc w:val="both"/>
        <w:rPr>
          <w:rFonts w:ascii="Times New Roman" w:hAnsi="Times New Roman" w:cs="Times New Roman"/>
          <w:noProof/>
          <w:sz w:val="24"/>
        </w:rPr>
      </w:pPr>
    </w:p>
    <w:p w14:paraId="45909F0B" w14:textId="77777777" w:rsidR="00145757" w:rsidRPr="008021A2" w:rsidRDefault="00145757" w:rsidP="00145757">
      <w:pPr>
        <w:pStyle w:val="Akapitzlist"/>
        <w:spacing w:before="0" w:after="0"/>
        <w:jc w:val="both"/>
        <w:rPr>
          <w:rFonts w:ascii="Times New Roman" w:hAnsi="Times New Roman" w:cs="Times New Roman"/>
          <w:noProof/>
          <w:sz w:val="24"/>
        </w:rPr>
      </w:pPr>
    </w:p>
    <w:p w14:paraId="1929F536" w14:textId="77777777" w:rsidR="00145757" w:rsidRPr="008021A2" w:rsidRDefault="00145757" w:rsidP="00145757">
      <w:pPr>
        <w:rPr>
          <w:rFonts w:ascii="Times New Roman" w:hAnsi="Times New Roman" w:cs="Times New Roman"/>
          <w:noProof/>
        </w:rPr>
      </w:pPr>
    </w:p>
    <w:p w14:paraId="3DFD7301" w14:textId="77777777" w:rsidR="00145757" w:rsidRPr="008021A2" w:rsidRDefault="00145757" w:rsidP="004D5024">
      <w:pPr>
        <w:jc w:val="both"/>
        <w:rPr>
          <w:rFonts w:ascii="Times New Roman" w:hAnsi="Times New Roman" w:cs="Times New Roman"/>
          <w:noProof/>
          <w:sz w:val="24"/>
        </w:rPr>
      </w:pPr>
    </w:p>
    <w:p w14:paraId="614B9683" w14:textId="77777777" w:rsidR="004D5024" w:rsidRPr="008021A2" w:rsidRDefault="004D5024" w:rsidP="0084004E">
      <w:pPr>
        <w:jc w:val="both"/>
        <w:rPr>
          <w:rFonts w:ascii="Times New Roman" w:hAnsi="Times New Roman" w:cs="Times New Roman"/>
          <w:noProof/>
          <w:sz w:val="24"/>
        </w:rPr>
      </w:pPr>
    </w:p>
    <w:p w14:paraId="2B953FEC" w14:textId="77777777" w:rsidR="0084004E" w:rsidRPr="008021A2" w:rsidRDefault="0084004E" w:rsidP="0084004E">
      <w:pPr>
        <w:jc w:val="both"/>
        <w:rPr>
          <w:rFonts w:ascii="Times New Roman" w:hAnsi="Times New Roman" w:cs="Times New Roman"/>
          <w:noProof/>
          <w:sz w:val="24"/>
        </w:rPr>
      </w:pPr>
    </w:p>
    <w:p w14:paraId="00900C23" w14:textId="77777777" w:rsidR="00145A49" w:rsidRPr="008021A2" w:rsidRDefault="00145A49" w:rsidP="0018295A">
      <w:pPr>
        <w:jc w:val="both"/>
        <w:rPr>
          <w:rFonts w:ascii="Times New Roman" w:hAnsi="Times New Roman" w:cs="Times New Roman"/>
          <w:noProof/>
          <w:sz w:val="24"/>
        </w:rPr>
      </w:pPr>
    </w:p>
    <w:sectPr w:rsidR="00145A49" w:rsidRPr="008021A2" w:rsidSect="00B96AF8">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7E40" w14:textId="77777777" w:rsidR="004B0571" w:rsidRDefault="004B0571" w:rsidP="0018295A">
      <w:pPr>
        <w:spacing w:after="0" w:line="240" w:lineRule="auto"/>
      </w:pPr>
      <w:r>
        <w:separator/>
      </w:r>
    </w:p>
  </w:endnote>
  <w:endnote w:type="continuationSeparator" w:id="0">
    <w:p w14:paraId="7946D21C" w14:textId="77777777" w:rsidR="004B0571" w:rsidRDefault="004B0571" w:rsidP="0018295A">
      <w:pPr>
        <w:spacing w:after="0" w:line="240" w:lineRule="auto"/>
      </w:pPr>
      <w:r>
        <w:continuationSeparator/>
      </w:r>
    </w:p>
  </w:endnote>
  <w:endnote w:type="continuationNotice" w:id="1">
    <w:p w14:paraId="2A15871C" w14:textId="77777777" w:rsidR="004B0571" w:rsidRDefault="004B0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30D4" w14:textId="6C4F25A7" w:rsidR="0076371C" w:rsidRPr="007A7DA3" w:rsidRDefault="0076371C" w:rsidP="007A7D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8FBC" w14:textId="331A72DE" w:rsidR="0076371C" w:rsidRPr="007A7DA3" w:rsidRDefault="007A7DA3" w:rsidP="007A7DA3">
    <w:pPr>
      <w:pStyle w:val="FooterCoverPage"/>
      <w:rPr>
        <w:rFonts w:ascii="Arial" w:hAnsi="Arial" w:cs="Arial"/>
        <w:b/>
        <w:sz w:val="48"/>
      </w:rPr>
    </w:pPr>
    <w:r w:rsidRPr="007A7DA3">
      <w:rPr>
        <w:rFonts w:ascii="Arial" w:hAnsi="Arial" w:cs="Arial"/>
        <w:b/>
        <w:sz w:val="48"/>
      </w:rPr>
      <w:t>PL</w:t>
    </w:r>
    <w:r w:rsidRPr="007A7DA3">
      <w:rPr>
        <w:rFonts w:ascii="Arial" w:hAnsi="Arial" w:cs="Arial"/>
        <w:b/>
        <w:sz w:val="48"/>
      </w:rPr>
      <w:tab/>
    </w:r>
    <w:r w:rsidRPr="007A7DA3">
      <w:rPr>
        <w:rFonts w:ascii="Arial" w:hAnsi="Arial" w:cs="Arial"/>
        <w:b/>
        <w:sz w:val="48"/>
      </w:rPr>
      <w:tab/>
    </w:r>
    <w:r w:rsidRPr="007A7DA3">
      <w:tab/>
    </w:r>
    <w:proofErr w:type="spellStart"/>
    <w:r w:rsidRPr="007A7DA3">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4B42" w14:textId="77777777" w:rsidR="007A7DA3" w:rsidRPr="007A7DA3" w:rsidRDefault="007A7DA3" w:rsidP="007A7DA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D977" w14:textId="77777777" w:rsidR="0018295A" w:rsidRPr="0018295A" w:rsidRDefault="0018295A" w:rsidP="0018295A">
    <w:pPr>
      <w:pStyle w:val="FooterCoverPage"/>
      <w:rPr>
        <w:rFonts w:ascii="Arial" w:hAnsi="Arial" w:cs="Arial"/>
        <w:b/>
        <w:sz w:val="48"/>
      </w:rPr>
    </w:pPr>
    <w:r>
      <w:rPr>
        <w:rFonts w:ascii="Arial" w:hAnsi="Arial"/>
        <w:b/>
        <w:sz w:val="48"/>
      </w:rPr>
      <w:t>EN</w:t>
    </w:r>
    <w:r>
      <w:tab/>
    </w:r>
    <w:r>
      <w:tab/>
    </w:r>
    <w:r>
      <w:tab/>
    </w:r>
    <w:proofErr w:type="spellStart"/>
    <w:r>
      <w:rPr>
        <w:rFonts w:ascii="Arial" w:hAnsi="Arial"/>
        <w:b/>
        <w:sz w:val="48"/>
      </w:rPr>
      <w:t>EN</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758392"/>
      <w:docPartObj>
        <w:docPartGallery w:val="Page Numbers (Bottom of Page)"/>
        <w:docPartUnique/>
      </w:docPartObj>
    </w:sdtPr>
    <w:sdtContent>
      <w:p w14:paraId="1C2A51C1" w14:textId="023AE711" w:rsidR="00B96AF8" w:rsidRPr="008021A2" w:rsidRDefault="00282CBF">
        <w:pPr>
          <w:pStyle w:val="Stopka"/>
          <w:jc w:val="center"/>
        </w:pPr>
        <w:r>
          <w:fldChar w:fldCharType="begin"/>
        </w:r>
        <w:r>
          <w:instrText xml:space="preserve"> PAGE   \* MERGEFORMAT </w:instrText>
        </w:r>
        <w:r>
          <w:fldChar w:fldCharType="separate"/>
        </w:r>
        <w:r w:rsidR="007A7DA3">
          <w:rPr>
            <w:noProof/>
          </w:rPr>
          <w:t>1</w:t>
        </w:r>
        <w:r>
          <w:fldChar w:fldCharType="end"/>
        </w:r>
      </w:p>
    </w:sdtContent>
  </w:sdt>
  <w:p w14:paraId="1E8F25C4" w14:textId="77777777" w:rsidR="00B96AF8" w:rsidRDefault="00B96AF8">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439" w14:textId="77777777" w:rsidR="0018295A" w:rsidRDefault="001829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E087" w14:textId="77777777" w:rsidR="004B0571" w:rsidRDefault="004B0571" w:rsidP="0018295A">
      <w:pPr>
        <w:spacing w:after="0" w:line="240" w:lineRule="auto"/>
      </w:pPr>
      <w:r>
        <w:separator/>
      </w:r>
    </w:p>
  </w:footnote>
  <w:footnote w:type="continuationSeparator" w:id="0">
    <w:p w14:paraId="210D5AB0" w14:textId="77777777" w:rsidR="004B0571" w:rsidRDefault="004B0571" w:rsidP="0018295A">
      <w:pPr>
        <w:spacing w:after="0" w:line="240" w:lineRule="auto"/>
      </w:pPr>
      <w:r>
        <w:continuationSeparator/>
      </w:r>
    </w:p>
  </w:footnote>
  <w:footnote w:type="continuationNotice" w:id="1">
    <w:p w14:paraId="3E04F787" w14:textId="77777777" w:rsidR="004B0571" w:rsidRDefault="004B0571">
      <w:pPr>
        <w:spacing w:after="0" w:line="240" w:lineRule="auto"/>
      </w:pPr>
    </w:p>
  </w:footnote>
  <w:footnote w:id="2">
    <w:p w14:paraId="6C7F2E3A" w14:textId="2430DE12" w:rsidR="0018295A" w:rsidRPr="002001C0" w:rsidRDefault="0018295A" w:rsidP="0018295A">
      <w:pPr>
        <w:pStyle w:val="Tekstprzypisudolnego"/>
      </w:pPr>
      <w:r>
        <w:rPr>
          <w:rStyle w:val="Odwoanieprzypisudolnego"/>
        </w:rPr>
        <w:footnoteRef/>
      </w:r>
      <w:r>
        <w:t xml:space="preserve"> Rozporządzenie Parlamentu Europejskiego</w:t>
      </w:r>
      <w:r w:rsidR="0076371C">
        <w:t xml:space="preserve"> i Rad</w:t>
      </w:r>
      <w:r>
        <w:t>y (UE) 2021/1119</w:t>
      </w:r>
      <w:r w:rsidR="0076371C">
        <w:t xml:space="preserve"> z dni</w:t>
      </w:r>
      <w:r>
        <w:t>a 30 czerwca 20</w:t>
      </w:r>
      <w:r w:rsidRPr="002001C0">
        <w:t>21</w:t>
      </w:r>
      <w:r w:rsidR="002001C0" w:rsidRPr="002001C0">
        <w:t> </w:t>
      </w:r>
      <w:r w:rsidRPr="002001C0">
        <w:t>r.</w:t>
      </w:r>
      <w:r w:rsidR="0076371C">
        <w:t xml:space="preserve"> w spr</w:t>
      </w:r>
      <w:r>
        <w:t>awie ustanowienia ram na potrzeby osiągnięcia neutralności klimatycznej</w:t>
      </w:r>
      <w:r w:rsidR="0076371C">
        <w:t xml:space="preserve"> i zmi</w:t>
      </w:r>
      <w:r>
        <w:t xml:space="preserve">any rozporządzeń (WE) </w:t>
      </w:r>
      <w:r w:rsidRPr="002001C0">
        <w:t>nr</w:t>
      </w:r>
      <w:r w:rsidR="002001C0" w:rsidRPr="002001C0">
        <w:t> </w:t>
      </w:r>
      <w:r w:rsidRPr="002001C0">
        <w:t>4</w:t>
      </w:r>
      <w:r>
        <w:t>01/2009 i (UE) 2018/1999 (Europejskie prawo</w:t>
      </w:r>
      <w:r w:rsidR="0076371C">
        <w:t xml:space="preserve"> o kli</w:t>
      </w:r>
      <w:r>
        <w:t xml:space="preserve">macie), dostępne pod adresem: </w:t>
      </w:r>
      <w:hyperlink r:id="rId1" w:history="1">
        <w:r>
          <w:rPr>
            <w:rStyle w:val="Hipercze"/>
          </w:rPr>
          <w:t>https://eur-lex.europa.eu/legal-content/PL/TXT/?uri=CELEX:32021R1119</w:t>
        </w:r>
      </w:hyperlink>
      <w:r w:rsidRPr="002001C0">
        <w:rPr>
          <w:rStyle w:val="Hipercze"/>
        </w:rPr>
        <w:t>.</w:t>
      </w:r>
      <w:r w:rsidR="002001C0" w:rsidRPr="002001C0">
        <w:t xml:space="preserve"> </w:t>
      </w:r>
    </w:p>
  </w:footnote>
  <w:footnote w:id="3">
    <w:p w14:paraId="661D4F12" w14:textId="107C034B" w:rsidR="0018295A" w:rsidRPr="00396EE4" w:rsidRDefault="0018295A" w:rsidP="0018295A">
      <w:pPr>
        <w:pStyle w:val="Tekstprzypisudolnego"/>
      </w:pPr>
      <w:r>
        <w:rPr>
          <w:rStyle w:val="Odwoanieprzypisudolnego"/>
        </w:rPr>
        <w:footnoteRef/>
      </w:r>
      <w:r>
        <w:t xml:space="preserve"> Dyrektywa 2003/87/WE Parlamentu Europejskiego</w:t>
      </w:r>
      <w:r w:rsidR="0076371C">
        <w:t xml:space="preserve"> i Rad</w:t>
      </w:r>
      <w:r>
        <w:t>y</w:t>
      </w:r>
      <w:r w:rsidR="0076371C">
        <w:t xml:space="preserve"> z dni</w:t>
      </w:r>
      <w:r>
        <w:t>a 13 października 20</w:t>
      </w:r>
      <w:r w:rsidRPr="002001C0">
        <w:t>03</w:t>
      </w:r>
      <w:r w:rsidR="002001C0" w:rsidRPr="002001C0">
        <w:t> </w:t>
      </w:r>
      <w:r w:rsidRPr="002001C0">
        <w:t>r.</w:t>
      </w:r>
      <w:r>
        <w:t xml:space="preserve"> ustanawiająca system handlu przydziałami emisji gazów cieplarnianych we Wspólnocie oraz zmieniająca dyrektywę Rady 96/61/WE, dostępna pod adresem: </w:t>
      </w:r>
      <w:hyperlink r:id="rId2" w:history="1">
        <w:r>
          <w:rPr>
            <w:rStyle w:val="Hipercze"/>
          </w:rPr>
          <w:t>https://eur-lex.europa.eu/legal-content/PL/TXT/?uri=celex%3A32003L0087</w:t>
        </w:r>
      </w:hyperlink>
      <w:r>
        <w:t xml:space="preserve">. </w:t>
      </w:r>
    </w:p>
  </w:footnote>
  <w:footnote w:id="4">
    <w:p w14:paraId="0D6F43E1" w14:textId="3B9F6331" w:rsidR="0018295A" w:rsidRPr="00396EE4" w:rsidRDefault="0018295A" w:rsidP="0018295A">
      <w:pPr>
        <w:pStyle w:val="Tekstprzypisudolnego"/>
      </w:pPr>
      <w:r>
        <w:rPr>
          <w:rStyle w:val="Odwoanieprzypisudolnego"/>
        </w:rPr>
        <w:footnoteRef/>
      </w:r>
      <w:r>
        <w:t xml:space="preserve"> Rozporządzenie delegowane Komisji (UE) 2019/856</w:t>
      </w:r>
      <w:r w:rsidR="0076371C">
        <w:t xml:space="preserve"> z dni</w:t>
      </w:r>
      <w:r>
        <w:t>a 26 lutego 20</w:t>
      </w:r>
      <w:r w:rsidRPr="002001C0">
        <w:t>19</w:t>
      </w:r>
      <w:r w:rsidR="002001C0" w:rsidRPr="002001C0">
        <w:t> </w:t>
      </w:r>
      <w:r w:rsidRPr="002001C0">
        <w:t>r.</w:t>
      </w:r>
      <w:r>
        <w:t xml:space="preserve"> uzupełniające dyrektywę 2003/87/WE Parlamentu Europejskiego</w:t>
      </w:r>
      <w:r w:rsidR="0076371C">
        <w:t xml:space="preserve"> i Rad</w:t>
      </w:r>
      <w:r>
        <w:t>y</w:t>
      </w:r>
      <w:r w:rsidR="0076371C">
        <w:t xml:space="preserve"> w odn</w:t>
      </w:r>
      <w:r>
        <w:t xml:space="preserve">iesieniu do działania funduszu innowacyjnego, dostępne pod adresem: </w:t>
      </w:r>
      <w:hyperlink r:id="rId3" w:history="1">
        <w:r>
          <w:rPr>
            <w:rStyle w:val="Hipercze"/>
          </w:rPr>
          <w:t>https://eur-lex.europa.eu/legal-content/PL/TXT/?uri=CELEX:32019R0856</w:t>
        </w:r>
      </w:hyperlink>
      <w:r>
        <w:rPr>
          <w:rStyle w:val="Hipercze"/>
        </w:rPr>
        <w:t>.</w:t>
      </w:r>
      <w:r>
        <w:t xml:space="preserve"> </w:t>
      </w:r>
    </w:p>
  </w:footnote>
  <w:footnote w:id="5">
    <w:p w14:paraId="008BB628" w14:textId="1E6BC848" w:rsidR="0018295A" w:rsidRPr="00396EE4" w:rsidRDefault="0018295A" w:rsidP="0018295A">
      <w:pPr>
        <w:pStyle w:val="Tekstprzypisudolnego"/>
      </w:pPr>
      <w:r>
        <w:rPr>
          <w:rStyle w:val="Odwoanieprzypisudolnego"/>
        </w:rPr>
        <w:footnoteRef/>
      </w:r>
      <w:r>
        <w:t xml:space="preserve"> COM(2021) 551.</w:t>
      </w:r>
    </w:p>
  </w:footnote>
  <w:footnote w:id="6">
    <w:p w14:paraId="0AD7BE7A" w14:textId="090BE5CA" w:rsidR="0018295A" w:rsidRPr="00396EE4" w:rsidRDefault="0018295A" w:rsidP="0018295A">
      <w:pPr>
        <w:pStyle w:val="Tekstprzypisudolnego"/>
      </w:pPr>
      <w:r>
        <w:rPr>
          <w:rStyle w:val="Odwoanieprzypisudolnego"/>
        </w:rPr>
        <w:footnoteRef/>
      </w:r>
      <w:r>
        <w:t xml:space="preserve"> Kwota obliczona na podstawie szacowanej opłaty za emisję gazów cieplarnianych wynoszącej 75 EUR za tonę,</w:t>
      </w:r>
      <w:r w:rsidR="0076371C">
        <w:t xml:space="preserve"> z zas</w:t>
      </w:r>
      <w:r>
        <w:t>trzeżeniem wahań na rynku.</w:t>
      </w:r>
    </w:p>
  </w:footnote>
  <w:footnote w:id="7">
    <w:p w14:paraId="11B30CAA" w14:textId="354B73EC" w:rsidR="0018295A" w:rsidRPr="00396EE4" w:rsidRDefault="0018295A" w:rsidP="0018295A">
      <w:pPr>
        <w:pStyle w:val="Tekstprzypisudolnego"/>
      </w:pPr>
      <w:r>
        <w:rPr>
          <w:rStyle w:val="Odwoanieprzypisudolnego"/>
        </w:rPr>
        <w:footnoteRef/>
      </w:r>
      <w:r>
        <w:t xml:space="preserve"> Rozporządzenie delegowane Komisji (UE) 2019/856.</w:t>
      </w:r>
    </w:p>
  </w:footnote>
  <w:footnote w:id="8">
    <w:p w14:paraId="79DC34FB" w14:textId="36BF627B" w:rsidR="00D01049" w:rsidRPr="00396EE4" w:rsidRDefault="00D01049" w:rsidP="00D01049">
      <w:pPr>
        <w:pStyle w:val="Tekstprzypisudolnego"/>
      </w:pPr>
      <w:r>
        <w:rPr>
          <w:rStyle w:val="Odwoanieprzypisudolnego"/>
        </w:rPr>
        <w:footnoteRef/>
      </w:r>
      <w:r>
        <w:t xml:space="preserve"> Art. 10a </w:t>
      </w:r>
      <w:r w:rsidRPr="002001C0">
        <w:t>ust.</w:t>
      </w:r>
      <w:r w:rsidR="002001C0" w:rsidRPr="002001C0">
        <w:t> </w:t>
      </w:r>
      <w:r w:rsidRPr="002001C0">
        <w:t>8</w:t>
      </w:r>
      <w:r>
        <w:t xml:space="preserve"> dyrektywy 2003/87/WE zmienionej</w:t>
      </w:r>
      <w:r w:rsidR="0076371C">
        <w:t xml:space="preserve"> w 2</w:t>
      </w:r>
      <w:r>
        <w:t>0</w:t>
      </w:r>
      <w:r w:rsidRPr="002001C0">
        <w:t>23</w:t>
      </w:r>
      <w:r w:rsidR="002001C0" w:rsidRPr="002001C0">
        <w:t> </w:t>
      </w:r>
      <w:r w:rsidRPr="002001C0">
        <w:t>r.</w:t>
      </w:r>
    </w:p>
  </w:footnote>
  <w:footnote w:id="9">
    <w:p w14:paraId="1CF99988" w14:textId="17194DCC" w:rsidR="0018295A" w:rsidRPr="00396EE4" w:rsidRDefault="0018295A" w:rsidP="0018295A">
      <w:pPr>
        <w:pStyle w:val="Tekstprzypisudolnego"/>
      </w:pPr>
      <w:r>
        <w:rPr>
          <w:rStyle w:val="Odwoanieprzypisudolnego"/>
        </w:rPr>
        <w:footnoteRef/>
      </w:r>
      <w:r>
        <w:t xml:space="preserve"> Odnośne koszty: różnica między najlepszym szacunkiem łącznych wydatków kapitałowych, wartością bieżącą netto kosztów operacyjnych</w:t>
      </w:r>
      <w:r w:rsidR="0076371C">
        <w:t xml:space="preserve"> i kor</w:t>
      </w:r>
      <w:r>
        <w:t>zyści powstałych</w:t>
      </w:r>
      <w:r w:rsidR="0076371C">
        <w:t xml:space="preserve"> w tra</w:t>
      </w:r>
      <w:r>
        <w:t>kcie 10 lat po rozpoczęciu eksploatacji projektu</w:t>
      </w:r>
      <w:r w:rsidR="0076371C">
        <w:t xml:space="preserve"> w por</w:t>
      </w:r>
      <w:r>
        <w:t>ównaniu</w:t>
      </w:r>
      <w:r w:rsidR="0076371C">
        <w:t xml:space="preserve"> z wyn</w:t>
      </w:r>
      <w:r>
        <w:t>ikiem tego samego obliczenia dla produkcji konwencjonalnej</w:t>
      </w:r>
      <w:r w:rsidR="0076371C">
        <w:t xml:space="preserve"> o tak</w:t>
      </w:r>
      <w:r>
        <w:t>iej samej zdolności pod względem skutecznej produkcji odpowiedniego produktu końcowego.</w:t>
      </w:r>
    </w:p>
  </w:footnote>
  <w:footnote w:id="10">
    <w:p w14:paraId="2E83C857" w14:textId="281CCDBC" w:rsidR="0018295A" w:rsidRPr="00396EE4" w:rsidRDefault="0018295A" w:rsidP="0018295A">
      <w:pPr>
        <w:pStyle w:val="Tekstprzypisudolnego"/>
      </w:pPr>
      <w:r>
        <w:rPr>
          <w:rStyle w:val="Odwoanieprzypisudolnego"/>
        </w:rPr>
        <w:footnoteRef/>
      </w:r>
      <w:r>
        <w:t xml:space="preserve"> Rozporządzenie 2021/1110.</w:t>
      </w:r>
    </w:p>
  </w:footnote>
  <w:footnote w:id="11">
    <w:p w14:paraId="10A99035" w14:textId="2EE8A44B" w:rsidR="0018295A" w:rsidRPr="00396EE4" w:rsidRDefault="0018295A" w:rsidP="0018295A">
      <w:pPr>
        <w:pStyle w:val="Tekstprzypisudolnego"/>
      </w:pPr>
      <w:r>
        <w:rPr>
          <w:rStyle w:val="Odwoanieprzypisudolnego"/>
        </w:rPr>
        <w:footnoteRef/>
      </w:r>
      <w:r>
        <w:t xml:space="preserve"> Rozporządzenie 2023/435.</w:t>
      </w:r>
    </w:p>
  </w:footnote>
  <w:footnote w:id="12">
    <w:p w14:paraId="540DEDDF" w14:textId="560D087E" w:rsidR="0018295A" w:rsidRPr="00396EE4" w:rsidRDefault="0018295A" w:rsidP="0018295A">
      <w:pPr>
        <w:pStyle w:val="Tekstprzypisudolnego"/>
      </w:pPr>
      <w:r>
        <w:rPr>
          <w:rStyle w:val="Odwoanieprzypisudolnego"/>
        </w:rPr>
        <w:footnoteRef/>
      </w:r>
      <w:r>
        <w:t xml:space="preserve"> COM(2020) 301.</w:t>
      </w:r>
    </w:p>
  </w:footnote>
  <w:footnote w:id="13">
    <w:p w14:paraId="356B7771" w14:textId="53D50E5A" w:rsidR="0018295A" w:rsidRPr="00396EE4" w:rsidRDefault="0018295A" w:rsidP="0018295A">
      <w:pPr>
        <w:pStyle w:val="Tekstprzypisudolnego"/>
      </w:pPr>
      <w:r>
        <w:rPr>
          <w:rStyle w:val="Odwoanieprzypisudolnego"/>
        </w:rPr>
        <w:footnoteRef/>
      </w:r>
      <w:r>
        <w:t xml:space="preserve"> COM(2021) 148.</w:t>
      </w:r>
    </w:p>
  </w:footnote>
  <w:footnote w:id="14">
    <w:p w14:paraId="76D1E9BD" w14:textId="15C1803E" w:rsidR="0018295A" w:rsidRPr="00396EE4" w:rsidRDefault="0018295A" w:rsidP="0018295A">
      <w:pPr>
        <w:pStyle w:val="Tekstprzypisudolnego"/>
      </w:pPr>
      <w:r>
        <w:rPr>
          <w:rStyle w:val="Odwoanieprzypisudolnego"/>
        </w:rPr>
        <w:footnoteRef/>
      </w:r>
      <w:r>
        <w:t xml:space="preserve"> COM(2021) 561.</w:t>
      </w:r>
    </w:p>
  </w:footnote>
  <w:footnote w:id="15">
    <w:p w14:paraId="4D7F903F" w14:textId="3B618D96" w:rsidR="002E255F" w:rsidRPr="007F2912" w:rsidRDefault="002E255F" w:rsidP="002E255F">
      <w:pPr>
        <w:pStyle w:val="Tekstprzypisudolnego"/>
        <w:rPr>
          <w:lang w:val="en-IE"/>
        </w:rPr>
      </w:pPr>
      <w:r>
        <w:rPr>
          <w:rStyle w:val="Odwoanieprzypisudolnego"/>
        </w:rPr>
        <w:footnoteRef/>
      </w:r>
      <w:r w:rsidRPr="007F2912">
        <w:rPr>
          <w:lang w:val="en-IE"/>
        </w:rPr>
        <w:t xml:space="preserve"> 2018/2001/UE.</w:t>
      </w:r>
    </w:p>
  </w:footnote>
  <w:footnote w:id="16">
    <w:p w14:paraId="6E00E0A2" w14:textId="454693B6" w:rsidR="0018295A" w:rsidRPr="007F2912" w:rsidRDefault="0018295A" w:rsidP="0018295A">
      <w:pPr>
        <w:pStyle w:val="Tekstprzypisudolnego"/>
        <w:rPr>
          <w:lang w:val="en-IE"/>
        </w:rPr>
      </w:pPr>
      <w:r>
        <w:rPr>
          <w:rStyle w:val="Odwoanieprzypisudolnego"/>
        </w:rPr>
        <w:footnoteRef/>
      </w:r>
      <w:r w:rsidRPr="007F2912">
        <w:rPr>
          <w:lang w:val="en-IE"/>
        </w:rPr>
        <w:t xml:space="preserve"> COM(2020) 74</w:t>
      </w:r>
      <w:r w:rsidR="00834AF7">
        <w:rPr>
          <w:lang w:val="en-IE"/>
        </w:rPr>
        <w:t>1</w:t>
      </w:r>
      <w:r w:rsidRPr="007F2912">
        <w:rPr>
          <w:lang w:val="en-IE"/>
        </w:rPr>
        <w:t>.</w:t>
      </w:r>
    </w:p>
  </w:footnote>
  <w:footnote w:id="17">
    <w:p w14:paraId="7B6FE2AF" w14:textId="0A9C8423" w:rsidR="00290435" w:rsidRPr="007F2912" w:rsidRDefault="00290435">
      <w:pPr>
        <w:pStyle w:val="Tekstprzypisudolnego"/>
        <w:rPr>
          <w:lang w:val="en-IE"/>
        </w:rPr>
      </w:pPr>
      <w:r>
        <w:rPr>
          <w:rStyle w:val="Odwoanieprzypisudolnego"/>
        </w:rPr>
        <w:footnoteRef/>
      </w:r>
      <w:r w:rsidRPr="007F2912">
        <w:rPr>
          <w:lang w:val="en-IE"/>
        </w:rPr>
        <w:t xml:space="preserve"> COM(2020) 798.</w:t>
      </w:r>
    </w:p>
  </w:footnote>
  <w:footnote w:id="18">
    <w:p w14:paraId="1152EB38" w14:textId="3185DBC7" w:rsidR="006769D6" w:rsidRPr="007F2912" w:rsidRDefault="006769D6" w:rsidP="006769D6">
      <w:pPr>
        <w:pStyle w:val="Tekstprzypisudolnego"/>
        <w:rPr>
          <w:lang w:val="en-IE"/>
        </w:rPr>
      </w:pPr>
      <w:r>
        <w:rPr>
          <w:rStyle w:val="Odwoanieprzypisudolnego"/>
        </w:rPr>
        <w:footnoteRef/>
      </w:r>
      <w:r w:rsidRPr="007F2912">
        <w:rPr>
          <w:lang w:val="en-IE"/>
        </w:rPr>
        <w:t xml:space="preserve"> COM(2023) 161.</w:t>
      </w:r>
    </w:p>
  </w:footnote>
  <w:footnote w:id="19">
    <w:p w14:paraId="70E54BD5" w14:textId="774D2972" w:rsidR="00104625" w:rsidRPr="007F2912" w:rsidRDefault="00104625" w:rsidP="00104625">
      <w:pPr>
        <w:pStyle w:val="Tekstprzypisudolnego"/>
        <w:rPr>
          <w:lang w:val="en-IE"/>
        </w:rPr>
      </w:pPr>
      <w:r>
        <w:rPr>
          <w:rStyle w:val="Odwoanieprzypisudolnego"/>
        </w:rPr>
        <w:footnoteRef/>
      </w:r>
      <w:r w:rsidRPr="007F2912">
        <w:rPr>
          <w:lang w:val="en-IE"/>
        </w:rPr>
        <w:t xml:space="preserve"> COM(2023) 335.</w:t>
      </w:r>
    </w:p>
  </w:footnote>
  <w:footnote w:id="20">
    <w:p w14:paraId="0155A168" w14:textId="663BF78B" w:rsidR="00B11A92" w:rsidRPr="00E721A3" w:rsidRDefault="00B11A92" w:rsidP="00B11A92">
      <w:pPr>
        <w:pStyle w:val="Tekstprzypisudolnego"/>
      </w:pPr>
      <w:r>
        <w:rPr>
          <w:rStyle w:val="Odwoanieprzypisudolnego"/>
        </w:rPr>
        <w:footnoteRef/>
      </w:r>
      <w:r>
        <w:t xml:space="preserve"> COM(2023) 335 final.</w:t>
      </w:r>
    </w:p>
  </w:footnote>
  <w:footnote w:id="21">
    <w:p w14:paraId="1D4874E2" w14:textId="57344D38" w:rsidR="00B0546C" w:rsidRPr="00584288" w:rsidRDefault="00B0546C">
      <w:pPr>
        <w:pStyle w:val="Tekstprzypisudolnego"/>
      </w:pPr>
      <w:r>
        <w:rPr>
          <w:rStyle w:val="Odwoanieprzypisudolnego"/>
        </w:rPr>
        <w:footnoteRef/>
      </w:r>
      <w:r>
        <w:t xml:space="preserve"> Taka chwila</w:t>
      </w:r>
      <w:r w:rsidR="0076371C">
        <w:t xml:space="preserve"> w cyk</w:t>
      </w:r>
      <w:r>
        <w:t>lu opracowywania projektu,</w:t>
      </w:r>
      <w:r w:rsidR="0076371C">
        <w:t xml:space="preserve"> w któ</w:t>
      </w:r>
      <w:r>
        <w:t>rej wszystkie umowy</w:t>
      </w:r>
      <w:r w:rsidR="0076371C">
        <w:t xml:space="preserve"> w spr</w:t>
      </w:r>
      <w:r>
        <w:t>awie projektu</w:t>
      </w:r>
      <w:r w:rsidR="0076371C">
        <w:t xml:space="preserve"> i w spr</w:t>
      </w:r>
      <w:r>
        <w:t>awie finansowania zostały podpisane</w:t>
      </w:r>
      <w:r w:rsidR="0076371C">
        <w:t xml:space="preserve"> i spe</w:t>
      </w:r>
      <w:r>
        <w:t>łnione zostały wszystkie wymagane warunki zawarte</w:t>
      </w:r>
      <w:r w:rsidR="0076371C">
        <w:t xml:space="preserve"> w tyc</w:t>
      </w:r>
      <w:r>
        <w:t>h umowach.</w:t>
      </w:r>
    </w:p>
  </w:footnote>
  <w:footnote w:id="22">
    <w:p w14:paraId="2136F83C" w14:textId="32F47B5D" w:rsidR="0018295A" w:rsidRPr="00396EE4" w:rsidRDefault="0018295A" w:rsidP="0018295A">
      <w:pPr>
        <w:pStyle w:val="Tekstprzypisudolnego"/>
      </w:pPr>
      <w:r>
        <w:rPr>
          <w:rStyle w:val="Odwoanieprzypisudolnego"/>
        </w:rPr>
        <w:footnoteRef/>
      </w:r>
      <w:r>
        <w:t xml:space="preserve"> Art. 10a </w:t>
      </w:r>
      <w:r w:rsidRPr="002001C0">
        <w:t>ust.</w:t>
      </w:r>
      <w:r w:rsidR="002001C0" w:rsidRPr="002001C0">
        <w:t> </w:t>
      </w:r>
      <w:r w:rsidRPr="002001C0">
        <w:t>8</w:t>
      </w:r>
      <w:r>
        <w:t xml:space="preserve"> dyrektywy 2003/87/WE zmienionej</w:t>
      </w:r>
      <w:r w:rsidR="0076371C">
        <w:t xml:space="preserve"> w 2</w:t>
      </w:r>
      <w:r>
        <w:t>0</w:t>
      </w:r>
      <w:r w:rsidRPr="002001C0">
        <w:t>23</w:t>
      </w:r>
      <w:r w:rsidR="002001C0" w:rsidRPr="002001C0">
        <w:t> </w:t>
      </w:r>
      <w:r w:rsidRPr="002001C0">
        <w:t>r.</w:t>
      </w:r>
    </w:p>
  </w:footnote>
  <w:footnote w:id="23">
    <w:p w14:paraId="54DDE5D2" w14:textId="5ACFB957" w:rsidR="0018295A" w:rsidRPr="00923B98" w:rsidRDefault="0018295A" w:rsidP="0018295A">
      <w:pPr>
        <w:rPr>
          <w:rFonts w:ascii="Arial" w:hAnsi="Arial" w:cs="Arial"/>
          <w:sz w:val="18"/>
        </w:rPr>
      </w:pPr>
      <w:r>
        <w:rPr>
          <w:rFonts w:ascii="Arial" w:eastAsiaTheme="minorEastAsia" w:hAnsi="Arial" w:cs="Arial"/>
          <w:sz w:val="18"/>
          <w:vertAlign w:val="superscript"/>
        </w:rPr>
        <w:footnoteRef/>
      </w:r>
      <w:r>
        <w:rPr>
          <w:rFonts w:ascii="Arial" w:hAnsi="Arial"/>
          <w:sz w:val="18"/>
        </w:rPr>
        <w:t xml:space="preserve"> Zob.: </w:t>
      </w:r>
      <w:hyperlink r:id="rId4" w:history="1">
        <w:r>
          <w:rPr>
            <w:rStyle w:val="Hipercze"/>
            <w:rFonts w:ascii="Arial" w:hAnsi="Arial"/>
            <w:sz w:val="18"/>
          </w:rPr>
          <w:t>https://ec.europa.eu/commission/presscorner/detail/pl/ip_23_3787</w:t>
        </w:r>
      </w:hyperlink>
      <w:r>
        <w:rPr>
          <w:rFonts w:ascii="Arial" w:hAnsi="Arial"/>
          <w:sz w:val="18"/>
        </w:rPr>
        <w:t xml:space="preserve"> </w:t>
      </w:r>
    </w:p>
  </w:footnote>
  <w:footnote w:id="24">
    <w:p w14:paraId="5FC682D4" w14:textId="432AD59B" w:rsidR="0018295A" w:rsidRPr="00396EE4" w:rsidRDefault="0018295A" w:rsidP="0018295A">
      <w:pPr>
        <w:pStyle w:val="Tekstprzypisudolnego"/>
        <w:spacing w:before="0" w:after="0"/>
        <w:rPr>
          <w:rFonts w:ascii="Times New Roman" w:hAnsi="Times New Roman"/>
          <w:sz w:val="20"/>
        </w:rPr>
      </w:pPr>
      <w:r>
        <w:rPr>
          <w:rStyle w:val="Odwoanieprzypisudolnego"/>
          <w:rFonts w:cs="Arial"/>
        </w:rPr>
        <w:footnoteRef/>
      </w:r>
      <w:hyperlink r:id="rId5" w:anchor="ecl-inpage-1241" w:history="1">
        <w:r>
          <w:rPr>
            <w:rStyle w:val="Hipercze"/>
          </w:rPr>
          <w:t>Large-scale projects [Projekty na dużą skalę] (europa.eu)</w:t>
        </w:r>
      </w:hyperlink>
      <w:r>
        <w:t xml:space="preserve"> i </w:t>
      </w:r>
      <w:hyperlink r:id="rId6" w:history="1">
        <w:r>
          <w:rPr>
            <w:rStyle w:val="Hipercze"/>
          </w:rPr>
          <w:t>Small-scale projects [Projekty na małą skalę] (europa.eu)</w:t>
        </w:r>
      </w:hyperlink>
      <w:r>
        <w:t>, sekcja „Webinars” [„Seminaria internetowe”]</w:t>
      </w:r>
    </w:p>
  </w:footnote>
  <w:footnote w:id="25">
    <w:p w14:paraId="5D95DB2D" w14:textId="022D56EB" w:rsidR="0018295A" w:rsidRPr="00396EE4" w:rsidRDefault="0018295A" w:rsidP="0018295A">
      <w:pPr>
        <w:pStyle w:val="Tekstprzypisudolnego"/>
      </w:pPr>
      <w:r>
        <w:rPr>
          <w:rStyle w:val="Odwoanieprzypisudolnego"/>
        </w:rPr>
        <w:footnoteRef/>
      </w:r>
      <w:r>
        <w:t xml:space="preserve"> Projekty: (i) </w:t>
      </w:r>
      <w:r>
        <w:rPr>
          <w:i/>
        </w:rPr>
        <w:t>RISE (na żądanie wnioskodawcy) oraz (ii) IONFibre (na żądanie CINEA, ponieważ wnioskodawca zaproponował zmiany, które podważyłyby wynik oceny).</w:t>
      </w:r>
    </w:p>
  </w:footnote>
  <w:footnote w:id="26">
    <w:p w14:paraId="59063738" w14:textId="054DD7EC" w:rsidR="0018295A" w:rsidRPr="00396EE4" w:rsidRDefault="0018295A" w:rsidP="0018295A">
      <w:pPr>
        <w:pStyle w:val="Tekstprzypisudolnego"/>
      </w:pPr>
      <w:r>
        <w:rPr>
          <w:rStyle w:val="Odwoanieprzypisudolnego"/>
        </w:rPr>
        <w:footnoteRef/>
      </w:r>
      <w:r>
        <w:t xml:space="preserve"> Projekt EAVORLOOP.</w:t>
      </w:r>
    </w:p>
  </w:footnote>
  <w:footnote w:id="27">
    <w:p w14:paraId="6EFFA0D3" w14:textId="1A1F2535" w:rsidR="004D5024" w:rsidRPr="00396EE4" w:rsidRDefault="004D5024" w:rsidP="004D5024">
      <w:pPr>
        <w:pStyle w:val="Tekstprzypisudolnego"/>
      </w:pPr>
      <w:r>
        <w:rPr>
          <w:rStyle w:val="Odwoanieprzypisudolnego"/>
        </w:rPr>
        <w:footnoteRef/>
      </w:r>
      <w:r>
        <w:t xml:space="preserve"> LSC-2020 podzielono na dwa etapy. Na etapie pierwszym zaproszono do wyrażenia zainteresowania</w:t>
      </w:r>
      <w:r w:rsidR="0076371C">
        <w:t xml:space="preserve"> i w prz</w:t>
      </w:r>
      <w:r>
        <w:t>ypadku 70 wniosków, które plasowały się najwyżej</w:t>
      </w:r>
      <w:r w:rsidR="0076371C">
        <w:t xml:space="preserve"> w kla</w:t>
      </w:r>
      <w:r>
        <w:t>syfikacji, wystosowano zaproszenie do udziału</w:t>
      </w:r>
      <w:r w:rsidR="0076371C">
        <w:t xml:space="preserve"> w eta</w:t>
      </w:r>
      <w:r>
        <w:t>pie drugim. Na etapie drugim przeprowadzono pełny proces składania wniosków</w:t>
      </w:r>
      <w:r w:rsidR="0076371C">
        <w:t xml:space="preserve"> i oce</w:t>
      </w:r>
      <w:r>
        <w:t>ny</w:t>
      </w:r>
      <w:r w:rsidR="0076371C">
        <w:t>. W ram</w:t>
      </w:r>
      <w:r>
        <w:t>ach LSC-2020 spośród 311 wniosków otrzymanych na etapie pierwszym 117 uznano za kwalifikujące się do etapu drugiego. Zgodnie</w:t>
      </w:r>
      <w:r w:rsidR="0076371C">
        <w:t xml:space="preserve"> z tre</w:t>
      </w:r>
      <w:r>
        <w:t>ścią zaproszenia do składania wniosków do etapu drugiego zaproszono wnioskodawców 70 wniosków. Na etapie drugim otrzymano</w:t>
      </w:r>
      <w:r w:rsidR="0076371C">
        <w:t xml:space="preserve"> i oce</w:t>
      </w:r>
      <w:r>
        <w:t xml:space="preserve">niono 66 wniosków. </w:t>
      </w:r>
    </w:p>
  </w:footnote>
  <w:footnote w:id="28">
    <w:p w14:paraId="5FC9AF91" w14:textId="2E8F554E" w:rsidR="004D5024" w:rsidRPr="00396EE4" w:rsidRDefault="004D5024" w:rsidP="004D5024">
      <w:pPr>
        <w:pStyle w:val="Tekstprzypisudolnego"/>
      </w:pPr>
      <w:r>
        <w:rPr>
          <w:rStyle w:val="Odwoanieprzypisudolnego"/>
        </w:rPr>
        <w:footnoteRef/>
      </w:r>
      <w:r>
        <w:t xml:space="preserve"> Dotacja</w:t>
      </w:r>
      <w:r w:rsidR="0076371C">
        <w:t xml:space="preserve"> z fun</w:t>
      </w:r>
      <w:r>
        <w:t>duszu innowacyjnego obejmuje zarówno wydatki kapitałowe, jak</w:t>
      </w:r>
      <w:r w:rsidR="0076371C">
        <w:t xml:space="preserve"> i ope</w:t>
      </w:r>
      <w:r>
        <w:t>racyjne, podane wartości liczbowe mają więc charakter orientacyjny.</w:t>
      </w:r>
    </w:p>
  </w:footnote>
  <w:footnote w:id="29">
    <w:p w14:paraId="576143B0" w14:textId="1ABA10F3" w:rsidR="004D5024" w:rsidRPr="00396EE4" w:rsidRDefault="004D5024" w:rsidP="004D5024">
      <w:pPr>
        <w:pStyle w:val="Tekstprzypisudolnego"/>
      </w:pPr>
      <w:r>
        <w:rPr>
          <w:rStyle w:val="Odwoanieprzypisudolnego"/>
        </w:rPr>
        <w:footnoteRef/>
      </w:r>
      <w:hyperlink r:id="rId7" w:history="1">
        <w:r>
          <w:rPr>
            <w:rStyle w:val="Hipercze"/>
          </w:rPr>
          <w:t>https://ec.europa.eu/info/funding-tenders/opportunities/docs/2021-2027/innovfund/wp-call/wp_innovfund-2020_en.pdf</w:t>
        </w:r>
      </w:hyperlink>
    </w:p>
  </w:footnote>
  <w:footnote w:id="30">
    <w:p w14:paraId="496E9400" w14:textId="6860E061" w:rsidR="004D5024" w:rsidRPr="00396EE4" w:rsidRDefault="004D5024" w:rsidP="004D5024">
      <w:pPr>
        <w:pStyle w:val="Tekstprzypisudolnego"/>
      </w:pPr>
      <w:r>
        <w:rPr>
          <w:rStyle w:val="Odwoanieprzypisudolnego"/>
        </w:rPr>
        <w:footnoteRef/>
      </w:r>
      <w:r>
        <w:t xml:space="preserve"> Dwa projekty są realizowane na terenie kilku państw: NorthFlex</w:t>
      </w:r>
      <w:r w:rsidR="0076371C">
        <w:t xml:space="preserve"> w Pol</w:t>
      </w:r>
      <w:r>
        <w:t>sce</w:t>
      </w:r>
      <w:r w:rsidR="0076371C">
        <w:t xml:space="preserve"> i Szw</w:t>
      </w:r>
      <w:r>
        <w:t>ecji oraz Listlawelbattcool</w:t>
      </w:r>
      <w:r w:rsidR="0076371C">
        <w:t xml:space="preserve"> w Cze</w:t>
      </w:r>
      <w:r>
        <w:t>chach, Francji</w:t>
      </w:r>
      <w:r w:rsidR="0076371C">
        <w:t xml:space="preserve"> i His</w:t>
      </w:r>
      <w:r>
        <w:t>zpanii.</w:t>
      </w:r>
    </w:p>
  </w:footnote>
  <w:footnote w:id="31">
    <w:p w14:paraId="32308E68" w14:textId="0D4D034E" w:rsidR="004D5024" w:rsidRPr="00396EE4" w:rsidRDefault="004D5024" w:rsidP="004D5024">
      <w:pPr>
        <w:pStyle w:val="Tekstprzypisudolnego"/>
      </w:pPr>
      <w:r>
        <w:rPr>
          <w:rStyle w:val="Odwoanieprzypisudolnego"/>
        </w:rPr>
        <w:footnoteRef/>
      </w:r>
      <w:r>
        <w:t xml:space="preserve"> Rozporządzenie Parlamentu Europejskiego</w:t>
      </w:r>
      <w:r w:rsidR="0076371C">
        <w:t xml:space="preserve"> i Rad</w:t>
      </w:r>
      <w:r>
        <w:t>y (UE) 2021/1119</w:t>
      </w:r>
      <w:r w:rsidR="0076371C">
        <w:t xml:space="preserve"> z dni</w:t>
      </w:r>
      <w:r>
        <w:t>a 30 czerwca 20</w:t>
      </w:r>
      <w:r w:rsidRPr="002001C0">
        <w:t>21</w:t>
      </w:r>
      <w:r w:rsidR="002001C0" w:rsidRPr="002001C0">
        <w:t> </w:t>
      </w:r>
      <w:r w:rsidRPr="002001C0">
        <w:t>r.</w:t>
      </w:r>
      <w:r w:rsidR="0076371C">
        <w:t xml:space="preserve"> w spr</w:t>
      </w:r>
      <w:r>
        <w:t>awie ustanowienia ram na potrzeby osiągnięcia neutralności klimatycznej</w:t>
      </w:r>
      <w:r w:rsidR="0076371C">
        <w:t xml:space="preserve"> i zmi</w:t>
      </w:r>
      <w:r>
        <w:t xml:space="preserve">any rozporządzeń (WE) </w:t>
      </w:r>
      <w:r w:rsidRPr="002001C0">
        <w:t>nr</w:t>
      </w:r>
      <w:r w:rsidR="002001C0" w:rsidRPr="002001C0">
        <w:t> </w:t>
      </w:r>
      <w:r w:rsidRPr="002001C0">
        <w:t>4</w:t>
      </w:r>
      <w:r>
        <w:t>01/2009 i (UE) 2018/1999 (Europejskie prawo</w:t>
      </w:r>
      <w:r w:rsidR="0076371C">
        <w:t xml:space="preserve"> o kli</w:t>
      </w:r>
      <w:r>
        <w:t>macie), dostępne pod adresem: https://eur-lex.europa.eu/legal-content/PL/TXT/?uri=CELEX:32021R1119.</w:t>
      </w:r>
    </w:p>
  </w:footnote>
  <w:footnote w:id="32">
    <w:p w14:paraId="05B56416" w14:textId="0F13C2F3" w:rsidR="009D47F9" w:rsidRPr="007F2912" w:rsidRDefault="009D47F9" w:rsidP="009D47F9">
      <w:pPr>
        <w:pStyle w:val="Tekstprzypisudolnego"/>
        <w:rPr>
          <w:lang w:val="en-IE"/>
        </w:rPr>
      </w:pPr>
      <w:r>
        <w:rPr>
          <w:rStyle w:val="Odwoanieprzypisudolnego"/>
        </w:rPr>
        <w:footnoteRef/>
      </w:r>
      <w:r w:rsidRPr="007F2912">
        <w:rPr>
          <w:lang w:val="en-IE"/>
        </w:rPr>
        <w:t xml:space="preserve"> COM(2020) 741.</w:t>
      </w:r>
    </w:p>
  </w:footnote>
  <w:footnote w:id="33">
    <w:p w14:paraId="0BD3ED6C" w14:textId="77777777" w:rsidR="004D5024" w:rsidRPr="007F2912" w:rsidRDefault="004D5024" w:rsidP="004D5024">
      <w:pPr>
        <w:pStyle w:val="Tekstprzypisudolnego"/>
        <w:rPr>
          <w:lang w:val="en-IE"/>
        </w:rPr>
      </w:pPr>
      <w:r>
        <w:rPr>
          <w:rStyle w:val="Odwoanieprzypisudolnego"/>
        </w:rPr>
        <w:footnoteRef/>
      </w:r>
      <w:r w:rsidRPr="007F2912">
        <w:rPr>
          <w:lang w:val="en-IE"/>
        </w:rPr>
        <w:t xml:space="preserve"> COM(2023) 62.</w:t>
      </w:r>
    </w:p>
  </w:footnote>
  <w:footnote w:id="34">
    <w:p w14:paraId="4C063E9D" w14:textId="149F83F7" w:rsidR="00145757" w:rsidRPr="007F2912" w:rsidRDefault="00145757" w:rsidP="00145757">
      <w:pPr>
        <w:pStyle w:val="Tekstprzypisudolnego"/>
        <w:spacing w:before="0" w:after="0"/>
        <w:rPr>
          <w:rFonts w:cs="Arial"/>
          <w:lang w:val="en-IE"/>
        </w:rPr>
      </w:pPr>
      <w:r>
        <w:rPr>
          <w:rFonts w:ascii="Times New Roman" w:hAnsi="Times New Roman"/>
          <w:sz w:val="20"/>
          <w:vertAlign w:val="superscript"/>
        </w:rPr>
        <w:footnoteRef/>
      </w:r>
      <w:r w:rsidRPr="007F2912">
        <w:rPr>
          <w:rFonts w:ascii="Times New Roman" w:hAnsi="Times New Roman"/>
          <w:sz w:val="20"/>
          <w:lang w:val="en-IE"/>
        </w:rPr>
        <w:t xml:space="preserve"> </w:t>
      </w:r>
      <w:hyperlink r:id="rId8" w:history="1">
        <w:r w:rsidRPr="007F2912">
          <w:rPr>
            <w:rStyle w:val="Hipercze"/>
            <w:lang w:val="en-IE"/>
          </w:rPr>
          <w:t>https://ec.europa.eu/clima/eu-action/funding-climate-action/innovation-fund/project-development-assistance_pl</w:t>
        </w:r>
      </w:hyperlink>
      <w:r w:rsidRPr="007F2912">
        <w:rPr>
          <w:lang w:val="en-IE"/>
        </w:rPr>
        <w:t xml:space="preserve"> </w:t>
      </w:r>
    </w:p>
  </w:footnote>
  <w:footnote w:id="35">
    <w:p w14:paraId="269CDAE3" w14:textId="5801AD8E" w:rsidR="00145757" w:rsidRPr="00396EE4" w:rsidRDefault="00145757" w:rsidP="00145757">
      <w:pPr>
        <w:pStyle w:val="Tekstprzypisudolnego"/>
      </w:pPr>
      <w:r>
        <w:rPr>
          <w:rStyle w:val="Odwoanieprzypisudolnego"/>
          <w:rFonts w:cs="Arial"/>
        </w:rPr>
        <w:footnoteRef/>
      </w:r>
      <w:r>
        <w:t xml:space="preserve"> Komisja Europejska</w:t>
      </w:r>
      <w:r w:rsidR="0076371C">
        <w:t xml:space="preserve"> i Eur</w:t>
      </w:r>
      <w:r>
        <w:t>opejski Bank Inwestycyjny</w:t>
      </w:r>
      <w:r w:rsidR="0076371C">
        <w:t xml:space="preserve"> w kwi</w:t>
      </w:r>
      <w:r>
        <w:t>etniu 20</w:t>
      </w:r>
      <w:r w:rsidRPr="002001C0">
        <w:t>21</w:t>
      </w:r>
      <w:r w:rsidR="002001C0" w:rsidRPr="002001C0">
        <w:t> </w:t>
      </w:r>
      <w:r w:rsidRPr="002001C0">
        <w:t>r.</w:t>
      </w:r>
      <w:r>
        <w:t xml:space="preserve"> podpisały umowę</w:t>
      </w:r>
      <w:r w:rsidR="0076371C">
        <w:t xml:space="preserve"> o prz</w:t>
      </w:r>
      <w:r>
        <w:t>yznanie wkładu dotyczącą udzielania pomocy</w:t>
      </w:r>
      <w:r w:rsidR="0076371C">
        <w:t xml:space="preserve"> w zak</w:t>
      </w:r>
      <w:r>
        <w:t>resie opracowywania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2D07" w14:textId="77777777" w:rsidR="007A7DA3" w:rsidRPr="007A7DA3" w:rsidRDefault="007A7DA3" w:rsidP="007A7D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93EC" w14:textId="77777777" w:rsidR="007A7DA3" w:rsidRPr="007A7DA3" w:rsidRDefault="007A7DA3" w:rsidP="007A7DA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FFDA" w14:textId="77777777" w:rsidR="007A7DA3" w:rsidRPr="007A7DA3" w:rsidRDefault="007A7DA3" w:rsidP="007A7DA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F2EE" w14:textId="77777777" w:rsidR="0018295A" w:rsidRDefault="0018295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B96AF8" w14:paraId="455F757F" w14:textId="77777777" w:rsidTr="00B96AF8">
      <w:tc>
        <w:tcPr>
          <w:tcW w:w="3005" w:type="dxa"/>
        </w:tcPr>
        <w:p w14:paraId="10C854D7" w14:textId="77777777" w:rsidR="00B96AF8" w:rsidRDefault="00B96AF8" w:rsidP="00B96AF8">
          <w:pPr>
            <w:pStyle w:val="Nagwek"/>
            <w:ind w:left="-115"/>
          </w:pPr>
        </w:p>
      </w:tc>
      <w:tc>
        <w:tcPr>
          <w:tcW w:w="3005" w:type="dxa"/>
        </w:tcPr>
        <w:p w14:paraId="706B872E" w14:textId="77777777" w:rsidR="00B96AF8" w:rsidRDefault="00B96AF8" w:rsidP="00B96AF8">
          <w:pPr>
            <w:pStyle w:val="Nagwek"/>
            <w:jc w:val="center"/>
          </w:pPr>
        </w:p>
      </w:tc>
      <w:tc>
        <w:tcPr>
          <w:tcW w:w="3005" w:type="dxa"/>
        </w:tcPr>
        <w:p w14:paraId="682DF010" w14:textId="77777777" w:rsidR="00B96AF8" w:rsidRDefault="00B96AF8" w:rsidP="00B96AF8">
          <w:pPr>
            <w:pStyle w:val="Nagwek"/>
            <w:ind w:right="-115"/>
            <w:jc w:val="right"/>
          </w:pPr>
        </w:p>
      </w:tc>
    </w:tr>
  </w:tbl>
  <w:p w14:paraId="7A2B6140" w14:textId="77777777" w:rsidR="00B96AF8" w:rsidRDefault="00B96AF8" w:rsidP="00B96AF8">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416" w14:textId="77777777" w:rsidR="0018295A" w:rsidRDefault="001829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EFB"/>
    <w:multiLevelType w:val="multilevel"/>
    <w:tmpl w:val="DA5A5AC0"/>
    <w:styleLink w:val="NumbLstMain"/>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b/>
        <w:i w:val="0"/>
        <w:sz w:val="20"/>
      </w:rPr>
    </w:lvl>
    <w:lvl w:ilvl="4">
      <w:start w:val="1"/>
      <w:numFmt w:val="none"/>
      <w:suff w:val="nothing"/>
      <w:lvlText w:val=""/>
      <w:lvlJc w:val="left"/>
      <w:pPr>
        <w:ind w:left="851" w:hanging="851"/>
      </w:pPr>
      <w:rPr>
        <w:rFonts w:ascii="Arial Bold" w:hAnsi="Arial Bold" w:hint="default"/>
        <w:b/>
        <w:i/>
        <w:color w:val="000000" w:themeColor="text1"/>
        <w:sz w:val="20"/>
      </w:rPr>
    </w:lvl>
    <w:lvl w:ilvl="5">
      <w:start w:val="1"/>
      <w:numFmt w:val="decimal"/>
      <w:lvlRestart w:val="1"/>
      <w:pStyle w:val="Figure"/>
      <w:lvlText w:val="Figure %1.%6"/>
      <w:lvlJc w:val="left"/>
      <w:pPr>
        <w:tabs>
          <w:tab w:val="num" w:pos="2041"/>
        </w:tabs>
        <w:ind w:left="2041" w:hanging="1190"/>
      </w:pPr>
      <w:rPr>
        <w:rFonts w:ascii="Arial" w:hAnsi="Arial" w:hint="default"/>
        <w:color w:val="4472C4" w:themeColor="accent1"/>
      </w:rPr>
    </w:lvl>
    <w:lvl w:ilvl="6">
      <w:start w:val="1"/>
      <w:numFmt w:val="decimal"/>
      <w:lvlRestart w:val="1"/>
      <w:lvlText w:val="Table %1.%7"/>
      <w:lvlJc w:val="left"/>
      <w:pPr>
        <w:tabs>
          <w:tab w:val="num" w:pos="851"/>
        </w:tabs>
        <w:ind w:left="1928" w:hanging="1077"/>
      </w:pPr>
      <w:rPr>
        <w:rFonts w:ascii="Arial" w:hAnsi="Arial" w:hint="default"/>
      </w:rPr>
    </w:lvl>
    <w:lvl w:ilvl="7">
      <w:start w:val="1"/>
      <w:numFmt w:val="decimal"/>
      <w:lvlRestart w:val="1"/>
      <w:pStyle w:val="Box"/>
      <w:lvlText w:val="Box %1.%8"/>
      <w:lvlJc w:val="left"/>
      <w:pPr>
        <w:ind w:left="1928" w:hanging="1077"/>
      </w:pPr>
      <w:rPr>
        <w:rFonts w:ascii="Arial" w:hAnsi="Arial" w:hint="default"/>
        <w:color w:val="4472C4" w:themeColor="accent1"/>
      </w:rPr>
    </w:lvl>
    <w:lvl w:ilvl="8">
      <w:start w:val="1"/>
      <w:numFmt w:val="none"/>
      <w:lvlText w:val=""/>
      <w:lvlJc w:val="left"/>
      <w:pPr>
        <w:ind w:left="425" w:hanging="425"/>
      </w:pPr>
      <w:rPr>
        <w:rFonts w:ascii="Georgia" w:hAnsi="Georgia" w:hint="default"/>
        <w:color w:val="44546A" w:themeColor="text2"/>
      </w:rPr>
    </w:lvl>
  </w:abstractNum>
  <w:abstractNum w:abstractNumId="1" w15:restartNumberingAfterBreak="0">
    <w:nsid w:val="03B55B71"/>
    <w:multiLevelType w:val="hybridMultilevel"/>
    <w:tmpl w:val="AA483F6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0C37395B"/>
    <w:multiLevelType w:val="hybridMultilevel"/>
    <w:tmpl w:val="19F04D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BD7400"/>
    <w:multiLevelType w:val="hybridMultilevel"/>
    <w:tmpl w:val="BF84D4DC"/>
    <w:lvl w:ilvl="0" w:tplc="9962EF84">
      <w:start w:val="1"/>
      <w:numFmt w:val="decimal"/>
      <w:pStyle w:val="Nagwekspisutreci"/>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533E4A"/>
    <w:multiLevelType w:val="hybridMultilevel"/>
    <w:tmpl w:val="4C885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0074A6"/>
    <w:multiLevelType w:val="hybridMultilevel"/>
    <w:tmpl w:val="B24C99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3C78F8"/>
    <w:multiLevelType w:val="hybridMultilevel"/>
    <w:tmpl w:val="6838B07C"/>
    <w:lvl w:ilvl="0" w:tplc="FD1A5820">
      <w:start w:val="1"/>
      <w:numFmt w:val="decimal"/>
      <w:lvlText w:val="1.%1"/>
      <w:lvlJc w:val="left"/>
      <w:pPr>
        <w:ind w:left="720" w:hanging="360"/>
      </w:pPr>
      <w:rPr>
        <w:rFonts w:hint="default"/>
      </w:rPr>
    </w:lvl>
    <w:lvl w:ilvl="1" w:tplc="0C7A1908">
      <w:start w:val="1"/>
      <w:numFmt w:val="decimal"/>
      <w:lvlText w:val="1.%2"/>
      <w:lvlJc w:val="left"/>
      <w:pPr>
        <w:ind w:left="1440" w:hanging="360"/>
      </w:pPr>
      <w:rPr>
        <w:rFonts w:hint="default"/>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260CB8"/>
    <w:multiLevelType w:val="hybridMultilevel"/>
    <w:tmpl w:val="243A31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A27570"/>
    <w:multiLevelType w:val="hybridMultilevel"/>
    <w:tmpl w:val="182A5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744EE8"/>
    <w:multiLevelType w:val="multilevel"/>
    <w:tmpl w:val="A782D35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15:restartNumberingAfterBreak="0">
    <w:nsid w:val="39801475"/>
    <w:multiLevelType w:val="multilevel"/>
    <w:tmpl w:val="241819BA"/>
    <w:styleLink w:val="NumbLstBTBullet"/>
    <w:lvl w:ilvl="0">
      <w:start w:val="1"/>
      <w:numFmt w:val="bullet"/>
      <w:pStyle w:val="BTBullet1"/>
      <w:lvlText w:val="■"/>
      <w:lvlJc w:val="left"/>
      <w:pPr>
        <w:tabs>
          <w:tab w:val="num" w:pos="1191"/>
        </w:tabs>
        <w:ind w:left="1191" w:hanging="340"/>
      </w:pPr>
      <w:rPr>
        <w:rFonts w:ascii="Arial" w:hAnsi="Arial" w:hint="default"/>
      </w:rPr>
    </w:lvl>
    <w:lvl w:ilvl="1">
      <w:start w:val="1"/>
      <w:numFmt w:val="bullet"/>
      <w:pStyle w:val="BTBullet2"/>
      <w:lvlText w:val="–"/>
      <w:lvlJc w:val="left"/>
      <w:pPr>
        <w:tabs>
          <w:tab w:val="num" w:pos="1531"/>
        </w:tabs>
        <w:ind w:left="1531" w:hanging="340"/>
      </w:pPr>
      <w:rPr>
        <w:rFonts w:ascii="Arial" w:hAnsi="Arial" w:hint="default"/>
      </w:rPr>
    </w:lvl>
    <w:lvl w:ilvl="2">
      <w:start w:val="1"/>
      <w:numFmt w:val="bullet"/>
      <w:pStyle w:val="BTBullet3"/>
      <w:lvlText w:val="○"/>
      <w:lvlJc w:val="left"/>
      <w:pPr>
        <w:tabs>
          <w:tab w:val="num" w:pos="1871"/>
        </w:tabs>
        <w:ind w:left="1871" w:hanging="340"/>
      </w:pPr>
      <w:rPr>
        <w:rFonts w:ascii="Arial" w:hAnsi="Arial" w:hint="default"/>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1" w15:restartNumberingAfterBreak="0">
    <w:nsid w:val="39E53759"/>
    <w:multiLevelType w:val="multilevel"/>
    <w:tmpl w:val="22848B8C"/>
    <w:lvl w:ilvl="0">
      <w:start w:val="1"/>
      <w:numFmt w:val="decimal"/>
      <w:lvlText w:val="%1."/>
      <w:lvlJc w:val="left"/>
      <w:pPr>
        <w:tabs>
          <w:tab w:val="num" w:pos="720"/>
        </w:tabs>
        <w:ind w:left="720" w:hanging="720"/>
      </w:pPr>
    </w:lvl>
    <w:lvl w:ilvl="1">
      <w:start w:val="1"/>
      <w:numFmt w:val="decimal"/>
      <w:pStyle w:val="BTBullet2Las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6B6BFD"/>
    <w:multiLevelType w:val="multilevel"/>
    <w:tmpl w:val="DA5A5AC0"/>
    <w:numStyleLink w:val="NumbLstMain"/>
  </w:abstractNum>
  <w:abstractNum w:abstractNumId="13" w15:restartNumberingAfterBreak="0">
    <w:nsid w:val="5D96037B"/>
    <w:multiLevelType w:val="hybridMultilevel"/>
    <w:tmpl w:val="AE6E396C"/>
    <w:lvl w:ilvl="0" w:tplc="40E2A59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AB157CF"/>
    <w:multiLevelType w:val="hybridMultilevel"/>
    <w:tmpl w:val="D74AF1A2"/>
    <w:lvl w:ilvl="0" w:tplc="B06CA612">
      <w:start w:val="1"/>
      <w:numFmt w:val="lowerRoman"/>
      <w:lvlText w:val="(%1)"/>
      <w:lvlJc w:val="left"/>
      <w:pPr>
        <w:ind w:left="720" w:hanging="360"/>
      </w:pPr>
      <w:rPr>
        <w:rFonts w:cs="Times New Roman"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89004728">
    <w:abstractNumId w:val="10"/>
  </w:num>
  <w:num w:numId="2" w16cid:durableId="176047835">
    <w:abstractNumId w:val="0"/>
  </w:num>
  <w:num w:numId="3" w16cid:durableId="22901897">
    <w:abstractNumId w:val="12"/>
  </w:num>
  <w:num w:numId="4" w16cid:durableId="2006207359">
    <w:abstractNumId w:val="11"/>
  </w:num>
  <w:num w:numId="5" w16cid:durableId="112406921">
    <w:abstractNumId w:val="6"/>
  </w:num>
  <w:num w:numId="6" w16cid:durableId="1016810497">
    <w:abstractNumId w:val="3"/>
  </w:num>
  <w:num w:numId="7" w16cid:durableId="1737126032">
    <w:abstractNumId w:val="9"/>
  </w:num>
  <w:num w:numId="8" w16cid:durableId="1957322508">
    <w:abstractNumId w:val="13"/>
  </w:num>
  <w:num w:numId="9" w16cid:durableId="710572321">
    <w:abstractNumId w:val="14"/>
  </w:num>
  <w:num w:numId="10" w16cid:durableId="1030909322">
    <w:abstractNumId w:val="2"/>
  </w:num>
  <w:num w:numId="11" w16cid:durableId="92407591">
    <w:abstractNumId w:val="7"/>
  </w:num>
  <w:num w:numId="12" w16cid:durableId="1278179023">
    <w:abstractNumId w:val="4"/>
  </w:num>
  <w:num w:numId="13" w16cid:durableId="1899432369">
    <w:abstractNumId w:val="8"/>
  </w:num>
  <w:num w:numId="14" w16cid:durableId="2131506106">
    <w:abstractNumId w:val="1"/>
  </w:num>
  <w:num w:numId="15" w16cid:durableId="54545938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64BB2885-D732-451B-AC05-4A4A9FFFC6C2"/>
    <w:docVar w:name="LW_COVERPAGE_TYPE" w:val="1"/>
    <w:docVar w:name="LW_CROSSREFERENCE" w:val="&lt;UNUSED&gt;"/>
    <w:docVar w:name="LW_DocType" w:val="NORMAL"/>
    <w:docVar w:name="LW_EMISSION" w:val="24.11.2023"/>
    <w:docVar w:name="LW_EMISSION_ISODATE" w:val="2023-11-24"/>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73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 wdrażania funduszu innowacyjnego w 2022 r."/>
    <w:docVar w:name="LW_TYPE.DOC.CP" w:val="SPRAWOZDANIE KOMISJI DLA PARLAMENTU EUROPEJSKIEGO I RADY"/>
    <w:docVar w:name="LwApiVersions" w:val="LW4CoDe 1.23.2.0; LW 8.0, Build 20211117"/>
  </w:docVars>
  <w:rsids>
    <w:rsidRoot w:val="00AF4495"/>
    <w:rsid w:val="00001ED4"/>
    <w:rsid w:val="00002F3C"/>
    <w:rsid w:val="0000519D"/>
    <w:rsid w:val="00014DE6"/>
    <w:rsid w:val="00022BE9"/>
    <w:rsid w:val="00032EFE"/>
    <w:rsid w:val="0003302A"/>
    <w:rsid w:val="0005344F"/>
    <w:rsid w:val="000605E8"/>
    <w:rsid w:val="0006115F"/>
    <w:rsid w:val="000613A0"/>
    <w:rsid w:val="000635B3"/>
    <w:rsid w:val="0006657C"/>
    <w:rsid w:val="00067B55"/>
    <w:rsid w:val="00070329"/>
    <w:rsid w:val="0007110A"/>
    <w:rsid w:val="00071758"/>
    <w:rsid w:val="00074CC2"/>
    <w:rsid w:val="000839C4"/>
    <w:rsid w:val="00090105"/>
    <w:rsid w:val="000903D0"/>
    <w:rsid w:val="00090888"/>
    <w:rsid w:val="000971CB"/>
    <w:rsid w:val="000A2D92"/>
    <w:rsid w:val="000A4A92"/>
    <w:rsid w:val="000B1AF9"/>
    <w:rsid w:val="000B2D27"/>
    <w:rsid w:val="000B4AFE"/>
    <w:rsid w:val="000C2227"/>
    <w:rsid w:val="00102117"/>
    <w:rsid w:val="00104625"/>
    <w:rsid w:val="0011382B"/>
    <w:rsid w:val="0012093A"/>
    <w:rsid w:val="00124DDD"/>
    <w:rsid w:val="00130EB1"/>
    <w:rsid w:val="00145757"/>
    <w:rsid w:val="00145A49"/>
    <w:rsid w:val="00164BC7"/>
    <w:rsid w:val="00175FCE"/>
    <w:rsid w:val="0018295A"/>
    <w:rsid w:val="00183154"/>
    <w:rsid w:val="001A7E8A"/>
    <w:rsid w:val="001D59F7"/>
    <w:rsid w:val="001E10D7"/>
    <w:rsid w:val="001E3396"/>
    <w:rsid w:val="001E7896"/>
    <w:rsid w:val="002001C0"/>
    <w:rsid w:val="002013A3"/>
    <w:rsid w:val="00202EC8"/>
    <w:rsid w:val="0020309F"/>
    <w:rsid w:val="00210945"/>
    <w:rsid w:val="00215BAB"/>
    <w:rsid w:val="00216DCD"/>
    <w:rsid w:val="0022766B"/>
    <w:rsid w:val="00230C9F"/>
    <w:rsid w:val="00231BB6"/>
    <w:rsid w:val="00240525"/>
    <w:rsid w:val="00243E04"/>
    <w:rsid w:val="0026456A"/>
    <w:rsid w:val="00273844"/>
    <w:rsid w:val="00282CBF"/>
    <w:rsid w:val="002837B0"/>
    <w:rsid w:val="002843D0"/>
    <w:rsid w:val="002871B1"/>
    <w:rsid w:val="00290435"/>
    <w:rsid w:val="002A5D4E"/>
    <w:rsid w:val="002B78A3"/>
    <w:rsid w:val="002D63B7"/>
    <w:rsid w:val="002E255F"/>
    <w:rsid w:val="002E5343"/>
    <w:rsid w:val="002F717F"/>
    <w:rsid w:val="00327499"/>
    <w:rsid w:val="00332C63"/>
    <w:rsid w:val="003368A0"/>
    <w:rsid w:val="003477E4"/>
    <w:rsid w:val="0036280F"/>
    <w:rsid w:val="00363257"/>
    <w:rsid w:val="00363BEE"/>
    <w:rsid w:val="00364BD2"/>
    <w:rsid w:val="00366B05"/>
    <w:rsid w:val="0037006F"/>
    <w:rsid w:val="00374566"/>
    <w:rsid w:val="00376A88"/>
    <w:rsid w:val="00390196"/>
    <w:rsid w:val="003905A0"/>
    <w:rsid w:val="003918D8"/>
    <w:rsid w:val="0039431E"/>
    <w:rsid w:val="00396595"/>
    <w:rsid w:val="0039753D"/>
    <w:rsid w:val="003A6C46"/>
    <w:rsid w:val="003B0532"/>
    <w:rsid w:val="003D5D33"/>
    <w:rsid w:val="003D6451"/>
    <w:rsid w:val="003F4EAB"/>
    <w:rsid w:val="00400DB8"/>
    <w:rsid w:val="00417667"/>
    <w:rsid w:val="004259A6"/>
    <w:rsid w:val="0045079C"/>
    <w:rsid w:val="00452C6F"/>
    <w:rsid w:val="004634DE"/>
    <w:rsid w:val="00467345"/>
    <w:rsid w:val="00474C7F"/>
    <w:rsid w:val="004772F1"/>
    <w:rsid w:val="00492E50"/>
    <w:rsid w:val="00493D32"/>
    <w:rsid w:val="00495418"/>
    <w:rsid w:val="00497AA9"/>
    <w:rsid w:val="00497E99"/>
    <w:rsid w:val="004B0571"/>
    <w:rsid w:val="004B28DB"/>
    <w:rsid w:val="004B7CFB"/>
    <w:rsid w:val="004C0F82"/>
    <w:rsid w:val="004C18E4"/>
    <w:rsid w:val="004C4C72"/>
    <w:rsid w:val="004C4E20"/>
    <w:rsid w:val="004D3A6A"/>
    <w:rsid w:val="004D43A9"/>
    <w:rsid w:val="004D5024"/>
    <w:rsid w:val="004D504E"/>
    <w:rsid w:val="004D74A9"/>
    <w:rsid w:val="004E2D6A"/>
    <w:rsid w:val="004E37ED"/>
    <w:rsid w:val="005028B7"/>
    <w:rsid w:val="005116F7"/>
    <w:rsid w:val="005625B2"/>
    <w:rsid w:val="00563C3E"/>
    <w:rsid w:val="0057486D"/>
    <w:rsid w:val="00574F36"/>
    <w:rsid w:val="00581BF9"/>
    <w:rsid w:val="00581F10"/>
    <w:rsid w:val="00584288"/>
    <w:rsid w:val="0059565D"/>
    <w:rsid w:val="005A0A55"/>
    <w:rsid w:val="005A2A30"/>
    <w:rsid w:val="005A3FD5"/>
    <w:rsid w:val="005A4B0E"/>
    <w:rsid w:val="005E2024"/>
    <w:rsid w:val="005E44E1"/>
    <w:rsid w:val="006074C0"/>
    <w:rsid w:val="00613BA1"/>
    <w:rsid w:val="0062029B"/>
    <w:rsid w:val="006214D7"/>
    <w:rsid w:val="00626009"/>
    <w:rsid w:val="006268C9"/>
    <w:rsid w:val="0062787F"/>
    <w:rsid w:val="006307A9"/>
    <w:rsid w:val="00637BD5"/>
    <w:rsid w:val="00641A46"/>
    <w:rsid w:val="00647C07"/>
    <w:rsid w:val="00650305"/>
    <w:rsid w:val="006507DC"/>
    <w:rsid w:val="00657C2D"/>
    <w:rsid w:val="0066167D"/>
    <w:rsid w:val="006644E8"/>
    <w:rsid w:val="0066473B"/>
    <w:rsid w:val="00665746"/>
    <w:rsid w:val="0066628A"/>
    <w:rsid w:val="0066687D"/>
    <w:rsid w:val="006718AA"/>
    <w:rsid w:val="0067420C"/>
    <w:rsid w:val="006769D6"/>
    <w:rsid w:val="006921D9"/>
    <w:rsid w:val="006A008C"/>
    <w:rsid w:val="006A1E56"/>
    <w:rsid w:val="006B5C73"/>
    <w:rsid w:val="006C4970"/>
    <w:rsid w:val="006D33F4"/>
    <w:rsid w:val="006D3AFB"/>
    <w:rsid w:val="006D5103"/>
    <w:rsid w:val="006E341D"/>
    <w:rsid w:val="006F09AC"/>
    <w:rsid w:val="006F4A60"/>
    <w:rsid w:val="006F4C2B"/>
    <w:rsid w:val="006F77A0"/>
    <w:rsid w:val="00705D1F"/>
    <w:rsid w:val="00706027"/>
    <w:rsid w:val="00710908"/>
    <w:rsid w:val="00716537"/>
    <w:rsid w:val="00722464"/>
    <w:rsid w:val="00731AE8"/>
    <w:rsid w:val="00733096"/>
    <w:rsid w:val="007360D5"/>
    <w:rsid w:val="00737470"/>
    <w:rsid w:val="0076371C"/>
    <w:rsid w:val="0077109D"/>
    <w:rsid w:val="00771D7A"/>
    <w:rsid w:val="0078372A"/>
    <w:rsid w:val="00783D41"/>
    <w:rsid w:val="00785201"/>
    <w:rsid w:val="007923C9"/>
    <w:rsid w:val="00795795"/>
    <w:rsid w:val="007A244B"/>
    <w:rsid w:val="007A63FB"/>
    <w:rsid w:val="007A7DA3"/>
    <w:rsid w:val="007B7DDC"/>
    <w:rsid w:val="007C5A89"/>
    <w:rsid w:val="007E66F3"/>
    <w:rsid w:val="007E72B0"/>
    <w:rsid w:val="007F2912"/>
    <w:rsid w:val="00801F63"/>
    <w:rsid w:val="008021A2"/>
    <w:rsid w:val="00807767"/>
    <w:rsid w:val="00820693"/>
    <w:rsid w:val="00830987"/>
    <w:rsid w:val="00831101"/>
    <w:rsid w:val="00832865"/>
    <w:rsid w:val="00832C33"/>
    <w:rsid w:val="00834AF7"/>
    <w:rsid w:val="0084004E"/>
    <w:rsid w:val="0084786A"/>
    <w:rsid w:val="00851434"/>
    <w:rsid w:val="00854F9B"/>
    <w:rsid w:val="0087646A"/>
    <w:rsid w:val="00884F29"/>
    <w:rsid w:val="00885044"/>
    <w:rsid w:val="00885063"/>
    <w:rsid w:val="008877A8"/>
    <w:rsid w:val="00892362"/>
    <w:rsid w:val="008976E8"/>
    <w:rsid w:val="008A0D04"/>
    <w:rsid w:val="008A1CC3"/>
    <w:rsid w:val="008A2F48"/>
    <w:rsid w:val="008A7F1F"/>
    <w:rsid w:val="008C3376"/>
    <w:rsid w:val="008D75BE"/>
    <w:rsid w:val="008F5DCE"/>
    <w:rsid w:val="0091352B"/>
    <w:rsid w:val="00923B98"/>
    <w:rsid w:val="00927359"/>
    <w:rsid w:val="00927B6B"/>
    <w:rsid w:val="009414B2"/>
    <w:rsid w:val="00942766"/>
    <w:rsid w:val="009548AB"/>
    <w:rsid w:val="0097303B"/>
    <w:rsid w:val="00974828"/>
    <w:rsid w:val="0097524D"/>
    <w:rsid w:val="00977120"/>
    <w:rsid w:val="009A1BE9"/>
    <w:rsid w:val="009A2D08"/>
    <w:rsid w:val="009B08AA"/>
    <w:rsid w:val="009C5BB1"/>
    <w:rsid w:val="009D04B0"/>
    <w:rsid w:val="009D47F9"/>
    <w:rsid w:val="009E60E2"/>
    <w:rsid w:val="009E7432"/>
    <w:rsid w:val="009E77FF"/>
    <w:rsid w:val="009F1049"/>
    <w:rsid w:val="009F3071"/>
    <w:rsid w:val="009F45F1"/>
    <w:rsid w:val="009F474F"/>
    <w:rsid w:val="00A0188D"/>
    <w:rsid w:val="00A029C2"/>
    <w:rsid w:val="00A04DBF"/>
    <w:rsid w:val="00A10285"/>
    <w:rsid w:val="00A1639C"/>
    <w:rsid w:val="00A23739"/>
    <w:rsid w:val="00A24F7D"/>
    <w:rsid w:val="00A31C59"/>
    <w:rsid w:val="00A37F5D"/>
    <w:rsid w:val="00A4276C"/>
    <w:rsid w:val="00A577B0"/>
    <w:rsid w:val="00A73B65"/>
    <w:rsid w:val="00A75E65"/>
    <w:rsid w:val="00A8024A"/>
    <w:rsid w:val="00A91161"/>
    <w:rsid w:val="00AA415A"/>
    <w:rsid w:val="00AA49CE"/>
    <w:rsid w:val="00AB0557"/>
    <w:rsid w:val="00AB0EC3"/>
    <w:rsid w:val="00AB1012"/>
    <w:rsid w:val="00AC0A8C"/>
    <w:rsid w:val="00AC3464"/>
    <w:rsid w:val="00AC456D"/>
    <w:rsid w:val="00AC69FD"/>
    <w:rsid w:val="00AC6CC2"/>
    <w:rsid w:val="00AD5DCA"/>
    <w:rsid w:val="00AF0965"/>
    <w:rsid w:val="00AF19A6"/>
    <w:rsid w:val="00AF4495"/>
    <w:rsid w:val="00AF5C1F"/>
    <w:rsid w:val="00B00FE8"/>
    <w:rsid w:val="00B0546C"/>
    <w:rsid w:val="00B11A92"/>
    <w:rsid w:val="00B20B31"/>
    <w:rsid w:val="00B20D67"/>
    <w:rsid w:val="00B356DD"/>
    <w:rsid w:val="00B52C72"/>
    <w:rsid w:val="00B71340"/>
    <w:rsid w:val="00B72336"/>
    <w:rsid w:val="00B7778C"/>
    <w:rsid w:val="00B861B4"/>
    <w:rsid w:val="00B91F5B"/>
    <w:rsid w:val="00B96AF8"/>
    <w:rsid w:val="00B97CCD"/>
    <w:rsid w:val="00BA06BB"/>
    <w:rsid w:val="00BA58BF"/>
    <w:rsid w:val="00BF33AC"/>
    <w:rsid w:val="00BF3DBD"/>
    <w:rsid w:val="00BF4223"/>
    <w:rsid w:val="00BF6608"/>
    <w:rsid w:val="00C10F8C"/>
    <w:rsid w:val="00C15790"/>
    <w:rsid w:val="00C22BC7"/>
    <w:rsid w:val="00C23F2C"/>
    <w:rsid w:val="00C24456"/>
    <w:rsid w:val="00C31AF5"/>
    <w:rsid w:val="00C37442"/>
    <w:rsid w:val="00C55719"/>
    <w:rsid w:val="00C60C9F"/>
    <w:rsid w:val="00C63319"/>
    <w:rsid w:val="00C843CD"/>
    <w:rsid w:val="00C97F5D"/>
    <w:rsid w:val="00CD1B63"/>
    <w:rsid w:val="00CD1BE1"/>
    <w:rsid w:val="00CE4C7D"/>
    <w:rsid w:val="00CF3F97"/>
    <w:rsid w:val="00D004E7"/>
    <w:rsid w:val="00D01049"/>
    <w:rsid w:val="00D02238"/>
    <w:rsid w:val="00D0223F"/>
    <w:rsid w:val="00D078FF"/>
    <w:rsid w:val="00D17ED0"/>
    <w:rsid w:val="00D246FE"/>
    <w:rsid w:val="00D301EA"/>
    <w:rsid w:val="00D30D9F"/>
    <w:rsid w:val="00D65A6D"/>
    <w:rsid w:val="00D720AB"/>
    <w:rsid w:val="00D82F39"/>
    <w:rsid w:val="00D83A1C"/>
    <w:rsid w:val="00D84C7C"/>
    <w:rsid w:val="00DA6CD3"/>
    <w:rsid w:val="00DB1930"/>
    <w:rsid w:val="00DB363E"/>
    <w:rsid w:val="00DF188B"/>
    <w:rsid w:val="00E147B2"/>
    <w:rsid w:val="00E32637"/>
    <w:rsid w:val="00E3655C"/>
    <w:rsid w:val="00E40E43"/>
    <w:rsid w:val="00E44113"/>
    <w:rsid w:val="00E442EF"/>
    <w:rsid w:val="00E45841"/>
    <w:rsid w:val="00E46E9F"/>
    <w:rsid w:val="00E55AC2"/>
    <w:rsid w:val="00E7147C"/>
    <w:rsid w:val="00E7245C"/>
    <w:rsid w:val="00E8177F"/>
    <w:rsid w:val="00E81B75"/>
    <w:rsid w:val="00EB1076"/>
    <w:rsid w:val="00EB57FD"/>
    <w:rsid w:val="00EB6A3C"/>
    <w:rsid w:val="00EC4C98"/>
    <w:rsid w:val="00EC767D"/>
    <w:rsid w:val="00ED1D58"/>
    <w:rsid w:val="00ED45A7"/>
    <w:rsid w:val="00EF2EB7"/>
    <w:rsid w:val="00F036F8"/>
    <w:rsid w:val="00F15793"/>
    <w:rsid w:val="00F1668C"/>
    <w:rsid w:val="00F2321B"/>
    <w:rsid w:val="00F417D0"/>
    <w:rsid w:val="00F514B3"/>
    <w:rsid w:val="00F573E5"/>
    <w:rsid w:val="00F61ECE"/>
    <w:rsid w:val="00F725F4"/>
    <w:rsid w:val="00F72E84"/>
    <w:rsid w:val="00F75784"/>
    <w:rsid w:val="00F76E37"/>
    <w:rsid w:val="00F8412C"/>
    <w:rsid w:val="00F85994"/>
    <w:rsid w:val="00FA4482"/>
    <w:rsid w:val="00FA64A8"/>
    <w:rsid w:val="00FB3E41"/>
    <w:rsid w:val="00FB43AD"/>
    <w:rsid w:val="00FD205F"/>
    <w:rsid w:val="00FD238E"/>
    <w:rsid w:val="00FF604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F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2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295A"/>
    <w:pPr>
      <w:framePr w:wrap="notBeside" w:vAnchor="text" w:hAnchor="text" w:y="1"/>
      <w:numPr>
        <w:numId w:val="7"/>
      </w:numPr>
      <w:spacing w:before="100" w:after="0" w:line="240" w:lineRule="auto"/>
      <w:outlineLvl w:val="0"/>
    </w:pPr>
    <w:rPr>
      <w:rFonts w:ascii="Times New Roman" w:eastAsiaTheme="minorEastAsia" w:hAnsi="Times New Roman"/>
      <w:b/>
      <w:caps/>
      <w:spacing w:val="15"/>
      <w:sz w:val="24"/>
    </w:rPr>
  </w:style>
  <w:style w:type="paragraph" w:styleId="Nagwek2">
    <w:name w:val="heading 2"/>
    <w:basedOn w:val="Normalny"/>
    <w:next w:val="Normalny"/>
    <w:link w:val="Nagwek2Znak"/>
    <w:uiPriority w:val="9"/>
    <w:unhideWhenUsed/>
    <w:qFormat/>
    <w:rsid w:val="0018295A"/>
    <w:pPr>
      <w:framePr w:wrap="notBeside" w:vAnchor="text" w:hAnchor="text" w:y="1"/>
      <w:numPr>
        <w:ilvl w:val="1"/>
        <w:numId w:val="7"/>
      </w:numPr>
      <w:spacing w:before="100" w:after="0" w:line="276" w:lineRule="auto"/>
      <w:outlineLvl w:val="1"/>
    </w:pPr>
    <w:rPr>
      <w:rFonts w:ascii="Times New Roman" w:eastAsiaTheme="minorEastAsia" w:hAnsi="Times New Roman"/>
      <w:caps/>
      <w:spacing w:val="15"/>
      <w:sz w:val="24"/>
    </w:rPr>
  </w:style>
  <w:style w:type="paragraph" w:styleId="Nagwek3">
    <w:name w:val="heading 3"/>
    <w:basedOn w:val="Normalny"/>
    <w:next w:val="Normalny"/>
    <w:link w:val="Nagwek3Znak"/>
    <w:uiPriority w:val="9"/>
    <w:unhideWhenUsed/>
    <w:qFormat/>
    <w:rsid w:val="0018295A"/>
    <w:pPr>
      <w:framePr w:wrap="notBeside" w:vAnchor="text" w:hAnchor="text" w:y="1"/>
      <w:numPr>
        <w:ilvl w:val="2"/>
        <w:numId w:val="7"/>
      </w:numPr>
      <w:spacing w:before="300" w:after="0" w:line="276" w:lineRule="auto"/>
      <w:outlineLvl w:val="2"/>
    </w:pPr>
    <w:rPr>
      <w:rFonts w:ascii="Times New Roman" w:eastAsiaTheme="minorEastAsia" w:hAnsi="Times New Roman"/>
      <w:b/>
      <w:caps/>
      <w:spacing w:val="15"/>
      <w:sz w:val="24"/>
    </w:rPr>
  </w:style>
  <w:style w:type="paragraph" w:styleId="Nagwek4">
    <w:name w:val="heading 4"/>
    <w:basedOn w:val="Normalny"/>
    <w:next w:val="Normalny"/>
    <w:link w:val="Nagwek4Znak"/>
    <w:uiPriority w:val="9"/>
    <w:unhideWhenUsed/>
    <w:qFormat/>
    <w:rsid w:val="0018295A"/>
    <w:pPr>
      <w:numPr>
        <w:ilvl w:val="3"/>
        <w:numId w:val="7"/>
      </w:numPr>
      <w:pBdr>
        <w:top w:val="dotted" w:sz="6" w:space="2" w:color="4472C4" w:themeColor="accent1"/>
      </w:pBdr>
      <w:spacing w:before="200" w:after="0" w:line="276" w:lineRule="auto"/>
      <w:outlineLvl w:val="3"/>
    </w:pPr>
    <w:rPr>
      <w:rFonts w:eastAsiaTheme="minorEastAsia"/>
      <w:caps/>
      <w:color w:val="2F5496" w:themeColor="accent1" w:themeShade="BF"/>
      <w:spacing w:val="10"/>
      <w:sz w:val="20"/>
    </w:rPr>
  </w:style>
  <w:style w:type="paragraph" w:styleId="Nagwek5">
    <w:name w:val="heading 5"/>
    <w:basedOn w:val="Normalny"/>
    <w:next w:val="Normalny"/>
    <w:link w:val="Nagwek5Znak"/>
    <w:uiPriority w:val="9"/>
    <w:unhideWhenUsed/>
    <w:qFormat/>
    <w:rsid w:val="0018295A"/>
    <w:pPr>
      <w:numPr>
        <w:ilvl w:val="4"/>
        <w:numId w:val="7"/>
      </w:numPr>
      <w:pBdr>
        <w:bottom w:val="single" w:sz="6" w:space="1" w:color="4472C4" w:themeColor="accent1"/>
      </w:pBdr>
      <w:spacing w:before="200" w:after="0" w:line="276" w:lineRule="auto"/>
      <w:outlineLvl w:val="4"/>
    </w:pPr>
    <w:rPr>
      <w:rFonts w:eastAsiaTheme="minorEastAsia"/>
      <w:caps/>
      <w:color w:val="2F5496" w:themeColor="accent1" w:themeShade="BF"/>
      <w:spacing w:val="10"/>
      <w:sz w:val="20"/>
    </w:rPr>
  </w:style>
  <w:style w:type="paragraph" w:styleId="Nagwek6">
    <w:name w:val="heading 6"/>
    <w:basedOn w:val="Normalny"/>
    <w:next w:val="Normalny"/>
    <w:link w:val="Nagwek6Znak"/>
    <w:uiPriority w:val="9"/>
    <w:unhideWhenUsed/>
    <w:qFormat/>
    <w:rsid w:val="0018295A"/>
    <w:pPr>
      <w:numPr>
        <w:ilvl w:val="5"/>
        <w:numId w:val="7"/>
      </w:numPr>
      <w:pBdr>
        <w:bottom w:val="dotted" w:sz="6" w:space="1" w:color="4472C4" w:themeColor="accent1"/>
      </w:pBdr>
      <w:spacing w:before="200" w:after="0" w:line="276" w:lineRule="auto"/>
      <w:outlineLvl w:val="5"/>
    </w:pPr>
    <w:rPr>
      <w:rFonts w:eastAsiaTheme="minorEastAsia"/>
      <w:caps/>
      <w:color w:val="2F5496" w:themeColor="accent1" w:themeShade="BF"/>
      <w:spacing w:val="10"/>
      <w:sz w:val="20"/>
    </w:rPr>
  </w:style>
  <w:style w:type="paragraph" w:styleId="Nagwek7">
    <w:name w:val="heading 7"/>
    <w:basedOn w:val="Normalny"/>
    <w:next w:val="Normalny"/>
    <w:link w:val="Nagwek7Znak"/>
    <w:uiPriority w:val="9"/>
    <w:semiHidden/>
    <w:unhideWhenUsed/>
    <w:qFormat/>
    <w:rsid w:val="0018295A"/>
    <w:pPr>
      <w:numPr>
        <w:ilvl w:val="6"/>
        <w:numId w:val="7"/>
      </w:numPr>
      <w:spacing w:before="200" w:after="0" w:line="276" w:lineRule="auto"/>
      <w:outlineLvl w:val="6"/>
    </w:pPr>
    <w:rPr>
      <w:rFonts w:eastAsiaTheme="minorEastAsia"/>
      <w:caps/>
      <w:color w:val="2F5496" w:themeColor="accent1" w:themeShade="BF"/>
      <w:spacing w:val="10"/>
      <w:sz w:val="20"/>
    </w:rPr>
  </w:style>
  <w:style w:type="paragraph" w:styleId="Nagwek8">
    <w:name w:val="heading 8"/>
    <w:basedOn w:val="Normalny"/>
    <w:next w:val="Normalny"/>
    <w:link w:val="Nagwek8Znak"/>
    <w:uiPriority w:val="9"/>
    <w:semiHidden/>
    <w:unhideWhenUsed/>
    <w:qFormat/>
    <w:rsid w:val="0018295A"/>
    <w:pPr>
      <w:numPr>
        <w:ilvl w:val="7"/>
        <w:numId w:val="7"/>
      </w:numPr>
      <w:spacing w:before="200" w:after="0" w:line="276" w:lineRule="auto"/>
      <w:outlineLvl w:val="7"/>
    </w:pPr>
    <w:rPr>
      <w:rFonts w:eastAsiaTheme="minorEastAsia"/>
      <w:caps/>
      <w:spacing w:val="10"/>
      <w:sz w:val="18"/>
    </w:rPr>
  </w:style>
  <w:style w:type="paragraph" w:styleId="Nagwek9">
    <w:name w:val="heading 9"/>
    <w:basedOn w:val="Normalny"/>
    <w:next w:val="Normalny"/>
    <w:link w:val="Nagwek9Znak"/>
    <w:uiPriority w:val="9"/>
    <w:semiHidden/>
    <w:unhideWhenUsed/>
    <w:qFormat/>
    <w:rsid w:val="0018295A"/>
    <w:pPr>
      <w:numPr>
        <w:ilvl w:val="8"/>
        <w:numId w:val="7"/>
      </w:numPr>
      <w:spacing w:before="200" w:after="0" w:line="276" w:lineRule="auto"/>
      <w:outlineLvl w:val="8"/>
    </w:pPr>
    <w:rPr>
      <w:rFonts w:eastAsiaTheme="minorEastAsia"/>
      <w:i/>
      <w:caps/>
      <w:spacing w:val="1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sid w:val="0018295A"/>
    <w:rPr>
      <w:color w:val="0000FF"/>
      <w:shd w:val="clear" w:color="auto" w:fill="auto"/>
    </w:rPr>
  </w:style>
  <w:style w:type="paragraph" w:styleId="Nagwek">
    <w:name w:val="header"/>
    <w:basedOn w:val="Normalny"/>
    <w:link w:val="NagwekZnak"/>
    <w:uiPriority w:val="99"/>
    <w:unhideWhenUsed/>
    <w:rsid w:val="0018295A"/>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8295A"/>
  </w:style>
  <w:style w:type="paragraph" w:styleId="Stopka">
    <w:name w:val="footer"/>
    <w:basedOn w:val="Normalny"/>
    <w:link w:val="StopkaZnak"/>
    <w:uiPriority w:val="99"/>
    <w:unhideWhenUsed/>
    <w:rsid w:val="0018295A"/>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8295A"/>
  </w:style>
  <w:style w:type="paragraph" w:customStyle="1" w:styleId="Pagedecouverture">
    <w:name w:val="Page de couverture"/>
    <w:basedOn w:val="Normalny"/>
    <w:next w:val="Normalny"/>
    <w:rsid w:val="0018295A"/>
    <w:pPr>
      <w:spacing w:after="0" w:line="240" w:lineRule="auto"/>
      <w:jc w:val="both"/>
    </w:pPr>
    <w:rPr>
      <w:rFonts w:ascii="Times New Roman" w:hAnsi="Times New Roman" w:cs="Times New Roman"/>
      <w:sz w:val="24"/>
    </w:rPr>
  </w:style>
  <w:style w:type="paragraph" w:customStyle="1" w:styleId="FooterCoverPage">
    <w:name w:val="Footer Cover Page"/>
    <w:basedOn w:val="Normalny"/>
    <w:link w:val="FooterCoverPageChar"/>
    <w:rsid w:val="0018295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sid w:val="0018295A"/>
    <w:rPr>
      <w:rFonts w:ascii="Times New Roman" w:hAnsi="Times New Roman" w:cs="Times New Roman"/>
      <w:sz w:val="24"/>
    </w:rPr>
  </w:style>
  <w:style w:type="paragraph" w:customStyle="1" w:styleId="FooterSensitivity">
    <w:name w:val="Footer Sensitivity"/>
    <w:basedOn w:val="Normalny"/>
    <w:link w:val="FooterSensitivityChar"/>
    <w:rsid w:val="0018295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omylnaczcionkaakapitu"/>
    <w:link w:val="FooterSensitivity"/>
    <w:rsid w:val="0018295A"/>
    <w:rPr>
      <w:rFonts w:ascii="Times New Roman" w:hAnsi="Times New Roman" w:cs="Times New Roman"/>
      <w:b/>
      <w:sz w:val="32"/>
    </w:rPr>
  </w:style>
  <w:style w:type="paragraph" w:customStyle="1" w:styleId="HeaderCoverPage">
    <w:name w:val="Header Cover Page"/>
    <w:basedOn w:val="Normalny"/>
    <w:link w:val="HeaderCoverPageChar"/>
    <w:rsid w:val="0018295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sid w:val="0018295A"/>
    <w:rPr>
      <w:rFonts w:ascii="Times New Roman" w:hAnsi="Times New Roman" w:cs="Times New Roman"/>
      <w:sz w:val="24"/>
    </w:rPr>
  </w:style>
  <w:style w:type="paragraph" w:customStyle="1" w:styleId="HeaderSensitivity">
    <w:name w:val="Header Sensitivity"/>
    <w:basedOn w:val="Normalny"/>
    <w:link w:val="HeaderSensitivityChar"/>
    <w:rsid w:val="0018295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omylnaczcionkaakapitu"/>
    <w:link w:val="HeaderSensitivity"/>
    <w:rsid w:val="0018295A"/>
    <w:rPr>
      <w:rFonts w:ascii="Times New Roman" w:hAnsi="Times New Roman" w:cs="Times New Roman"/>
      <w:b/>
      <w:sz w:val="32"/>
    </w:rPr>
  </w:style>
  <w:style w:type="paragraph" w:customStyle="1" w:styleId="HeaderSensitivityRight">
    <w:name w:val="Header Sensitivity Right"/>
    <w:basedOn w:val="Normalny"/>
    <w:link w:val="HeaderSensitivityRightChar"/>
    <w:rsid w:val="0018295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omylnaczcionkaakapitu"/>
    <w:link w:val="HeaderSensitivityRight"/>
    <w:rsid w:val="0018295A"/>
    <w:rPr>
      <w:rFonts w:ascii="Times New Roman" w:hAnsi="Times New Roman" w:cs="Times New Roman"/>
      <w:sz w:val="28"/>
    </w:rPr>
  </w:style>
  <w:style w:type="character" w:customStyle="1" w:styleId="Nagwek1Znak">
    <w:name w:val="Nagłówek 1 Znak"/>
    <w:basedOn w:val="Domylnaczcionkaakapitu"/>
    <w:link w:val="Nagwek1"/>
    <w:uiPriority w:val="9"/>
    <w:rsid w:val="0018295A"/>
    <w:rPr>
      <w:rFonts w:ascii="Times New Roman" w:eastAsiaTheme="minorEastAsia" w:hAnsi="Times New Roman"/>
      <w:b/>
      <w:caps/>
      <w:spacing w:val="15"/>
      <w:sz w:val="24"/>
    </w:rPr>
  </w:style>
  <w:style w:type="character" w:customStyle="1" w:styleId="Nagwek2Znak">
    <w:name w:val="Nagłówek 2 Znak"/>
    <w:basedOn w:val="Domylnaczcionkaakapitu"/>
    <w:link w:val="Nagwek2"/>
    <w:uiPriority w:val="9"/>
    <w:rsid w:val="0018295A"/>
    <w:rPr>
      <w:rFonts w:ascii="Times New Roman" w:eastAsiaTheme="minorEastAsia" w:hAnsi="Times New Roman"/>
      <w:caps/>
      <w:spacing w:val="15"/>
      <w:sz w:val="24"/>
    </w:rPr>
  </w:style>
  <w:style w:type="character" w:customStyle="1" w:styleId="Nagwek3Znak">
    <w:name w:val="Nagłówek 3 Znak"/>
    <w:basedOn w:val="Domylnaczcionkaakapitu"/>
    <w:link w:val="Nagwek3"/>
    <w:uiPriority w:val="9"/>
    <w:rsid w:val="0018295A"/>
    <w:rPr>
      <w:rFonts w:ascii="Times New Roman" w:eastAsiaTheme="minorEastAsia" w:hAnsi="Times New Roman"/>
      <w:b/>
      <w:caps/>
      <w:spacing w:val="15"/>
      <w:sz w:val="24"/>
    </w:rPr>
  </w:style>
  <w:style w:type="character" w:customStyle="1" w:styleId="Nagwek4Znak">
    <w:name w:val="Nagłówek 4 Znak"/>
    <w:basedOn w:val="Domylnaczcionkaakapitu"/>
    <w:link w:val="Nagwek4"/>
    <w:uiPriority w:val="9"/>
    <w:rsid w:val="0018295A"/>
    <w:rPr>
      <w:rFonts w:eastAsiaTheme="minorEastAsia"/>
      <w:caps/>
      <w:color w:val="2F5496" w:themeColor="accent1" w:themeShade="BF"/>
      <w:spacing w:val="10"/>
      <w:sz w:val="20"/>
    </w:rPr>
  </w:style>
  <w:style w:type="character" w:customStyle="1" w:styleId="Nagwek5Znak">
    <w:name w:val="Nagłówek 5 Znak"/>
    <w:basedOn w:val="Domylnaczcionkaakapitu"/>
    <w:link w:val="Nagwek5"/>
    <w:uiPriority w:val="9"/>
    <w:rsid w:val="0018295A"/>
    <w:rPr>
      <w:rFonts w:eastAsiaTheme="minorEastAsia"/>
      <w:caps/>
      <w:color w:val="2F5496" w:themeColor="accent1" w:themeShade="BF"/>
      <w:spacing w:val="10"/>
      <w:sz w:val="20"/>
    </w:rPr>
  </w:style>
  <w:style w:type="character" w:customStyle="1" w:styleId="Nagwek6Znak">
    <w:name w:val="Nagłówek 6 Znak"/>
    <w:basedOn w:val="Domylnaczcionkaakapitu"/>
    <w:link w:val="Nagwek6"/>
    <w:uiPriority w:val="9"/>
    <w:rsid w:val="0018295A"/>
    <w:rPr>
      <w:rFonts w:eastAsiaTheme="minorEastAsia"/>
      <w:caps/>
      <w:color w:val="2F5496" w:themeColor="accent1" w:themeShade="BF"/>
      <w:spacing w:val="10"/>
      <w:sz w:val="20"/>
    </w:rPr>
  </w:style>
  <w:style w:type="character" w:customStyle="1" w:styleId="Nagwek7Znak">
    <w:name w:val="Nagłówek 7 Znak"/>
    <w:basedOn w:val="Domylnaczcionkaakapitu"/>
    <w:link w:val="Nagwek7"/>
    <w:uiPriority w:val="9"/>
    <w:semiHidden/>
    <w:rsid w:val="0018295A"/>
    <w:rPr>
      <w:rFonts w:eastAsiaTheme="minorEastAsia"/>
      <w:caps/>
      <w:color w:val="2F5496" w:themeColor="accent1" w:themeShade="BF"/>
      <w:spacing w:val="10"/>
      <w:sz w:val="20"/>
    </w:rPr>
  </w:style>
  <w:style w:type="character" w:customStyle="1" w:styleId="Nagwek8Znak">
    <w:name w:val="Nagłówek 8 Znak"/>
    <w:basedOn w:val="Domylnaczcionkaakapitu"/>
    <w:link w:val="Nagwek8"/>
    <w:uiPriority w:val="9"/>
    <w:semiHidden/>
    <w:rsid w:val="0018295A"/>
    <w:rPr>
      <w:rFonts w:eastAsiaTheme="minorEastAsia"/>
      <w:caps/>
      <w:spacing w:val="10"/>
      <w:sz w:val="18"/>
    </w:rPr>
  </w:style>
  <w:style w:type="character" w:customStyle="1" w:styleId="Nagwek9Znak">
    <w:name w:val="Nagłówek 9 Znak"/>
    <w:basedOn w:val="Domylnaczcionkaakapitu"/>
    <w:link w:val="Nagwek9"/>
    <w:uiPriority w:val="9"/>
    <w:semiHidden/>
    <w:rsid w:val="0018295A"/>
    <w:rPr>
      <w:rFonts w:eastAsiaTheme="minorEastAsia"/>
      <w:i/>
      <w:caps/>
      <w:spacing w:val="10"/>
      <w:sz w:val="18"/>
    </w:rPr>
  </w:style>
  <w:style w:type="character" w:styleId="Odwoaniedokomentarza">
    <w:name w:val="annotation reference"/>
    <w:basedOn w:val="Domylnaczcionkaakapitu"/>
    <w:uiPriority w:val="29"/>
    <w:semiHidden/>
    <w:unhideWhenUsed/>
    <w:rsid w:val="0018295A"/>
    <w:rPr>
      <w:sz w:val="16"/>
    </w:rPr>
  </w:style>
  <w:style w:type="paragraph" w:styleId="Tekstkomentarza">
    <w:name w:val="annotation text"/>
    <w:basedOn w:val="Normalny"/>
    <w:link w:val="TekstkomentarzaZnak"/>
    <w:uiPriority w:val="29"/>
    <w:unhideWhenUsed/>
    <w:rsid w:val="0018295A"/>
    <w:pPr>
      <w:spacing w:before="120" w:after="120" w:line="240" w:lineRule="auto"/>
    </w:pPr>
    <w:rPr>
      <w:rFonts w:ascii="Arial" w:eastAsiaTheme="minorEastAsia" w:hAnsi="Arial" w:cs="Times New Roman"/>
      <w:sz w:val="20"/>
    </w:rPr>
  </w:style>
  <w:style w:type="character" w:customStyle="1" w:styleId="TekstkomentarzaZnak">
    <w:name w:val="Tekst komentarza Znak"/>
    <w:basedOn w:val="Domylnaczcionkaakapitu"/>
    <w:link w:val="Tekstkomentarza"/>
    <w:uiPriority w:val="29"/>
    <w:rsid w:val="0018295A"/>
    <w:rPr>
      <w:rFonts w:ascii="Arial" w:eastAsiaTheme="minorEastAsia" w:hAnsi="Arial" w:cs="Times New Roman"/>
      <w:sz w:val="20"/>
    </w:rPr>
  </w:style>
  <w:style w:type="paragraph" w:customStyle="1" w:styleId="BTBullet1">
    <w:name w:val="BTBullet1"/>
    <w:basedOn w:val="Normalny"/>
    <w:uiPriority w:val="6"/>
    <w:qFormat/>
    <w:rsid w:val="0018295A"/>
    <w:pPr>
      <w:numPr>
        <w:numId w:val="1"/>
      </w:numPr>
      <w:spacing w:before="100" w:after="0" w:line="260" w:lineRule="atLeast"/>
    </w:pPr>
    <w:rPr>
      <w:rFonts w:ascii="Arial" w:eastAsiaTheme="minorEastAsia" w:hAnsi="Arial" w:cs="Times New Roman"/>
      <w:sz w:val="20"/>
    </w:rPr>
  </w:style>
  <w:style w:type="paragraph" w:customStyle="1" w:styleId="BTBullet2">
    <w:name w:val="BTBullet2"/>
    <w:basedOn w:val="Normalny"/>
    <w:uiPriority w:val="6"/>
    <w:qFormat/>
    <w:rsid w:val="0018295A"/>
    <w:pPr>
      <w:numPr>
        <w:ilvl w:val="1"/>
        <w:numId w:val="1"/>
      </w:numPr>
      <w:spacing w:before="100" w:after="0" w:line="260" w:lineRule="atLeast"/>
    </w:pPr>
    <w:rPr>
      <w:rFonts w:ascii="Arial" w:eastAsiaTheme="minorEastAsia" w:hAnsi="Arial" w:cs="Times New Roman"/>
      <w:sz w:val="20"/>
    </w:rPr>
  </w:style>
  <w:style w:type="paragraph" w:customStyle="1" w:styleId="BTBullet3">
    <w:name w:val="BTBullet3"/>
    <w:basedOn w:val="Normalny"/>
    <w:uiPriority w:val="6"/>
    <w:qFormat/>
    <w:rsid w:val="0018295A"/>
    <w:pPr>
      <w:numPr>
        <w:ilvl w:val="2"/>
        <w:numId w:val="1"/>
      </w:numPr>
      <w:spacing w:before="100" w:after="0" w:line="260" w:lineRule="atLeast"/>
    </w:pPr>
    <w:rPr>
      <w:rFonts w:ascii="Arial" w:eastAsiaTheme="minorEastAsia" w:hAnsi="Arial" w:cs="Times New Roman"/>
      <w:sz w:val="20"/>
    </w:rPr>
  </w:style>
  <w:style w:type="paragraph" w:customStyle="1" w:styleId="BTBullet1Last">
    <w:name w:val="BTBullet1Last"/>
    <w:basedOn w:val="BTBullet1"/>
    <w:next w:val="Tekstpodstawowy"/>
    <w:uiPriority w:val="6"/>
    <w:qFormat/>
    <w:rsid w:val="0018295A"/>
    <w:pPr>
      <w:spacing w:after="120"/>
    </w:pPr>
  </w:style>
  <w:style w:type="numbering" w:customStyle="1" w:styleId="NumbLstBTBullet">
    <w:name w:val="NumbLstBTBullet"/>
    <w:uiPriority w:val="99"/>
    <w:rsid w:val="0018295A"/>
    <w:pPr>
      <w:numPr>
        <w:numId w:val="1"/>
      </w:numPr>
    </w:pPr>
  </w:style>
  <w:style w:type="paragraph" w:styleId="Tekstpodstawowy">
    <w:name w:val="Body Text"/>
    <w:basedOn w:val="Normalny"/>
    <w:link w:val="TekstpodstawowyZnak"/>
    <w:uiPriority w:val="99"/>
    <w:unhideWhenUsed/>
    <w:rsid w:val="0018295A"/>
    <w:pPr>
      <w:spacing w:before="100" w:after="120" w:line="276" w:lineRule="auto"/>
    </w:pPr>
    <w:rPr>
      <w:rFonts w:eastAsiaTheme="minorEastAsia"/>
      <w:sz w:val="20"/>
    </w:rPr>
  </w:style>
  <w:style w:type="character" w:customStyle="1" w:styleId="TekstpodstawowyZnak">
    <w:name w:val="Tekst podstawowy Znak"/>
    <w:basedOn w:val="Domylnaczcionkaakapitu"/>
    <w:link w:val="Tekstpodstawowy"/>
    <w:uiPriority w:val="99"/>
    <w:rsid w:val="0018295A"/>
    <w:rPr>
      <w:rFonts w:eastAsiaTheme="minorEastAsia"/>
      <w:sz w:val="20"/>
    </w:rPr>
  </w:style>
  <w:style w:type="paragraph" w:styleId="Akapitzlist">
    <w:name w:val="List Paragraph"/>
    <w:basedOn w:val="Normalny"/>
    <w:uiPriority w:val="34"/>
    <w:qFormat/>
    <w:rsid w:val="0018295A"/>
    <w:pPr>
      <w:spacing w:before="100" w:after="200" w:line="276" w:lineRule="auto"/>
      <w:ind w:left="720"/>
      <w:contextualSpacing/>
    </w:pPr>
    <w:rPr>
      <w:rFonts w:eastAsiaTheme="minorEastAsia"/>
      <w:sz w:val="20"/>
    </w:rPr>
  </w:style>
  <w:style w:type="paragraph" w:customStyle="1" w:styleId="Figure">
    <w:name w:val="Figure"/>
    <w:basedOn w:val="Normalny"/>
    <w:next w:val="Tekstpodstawowy"/>
    <w:uiPriority w:val="11"/>
    <w:qFormat/>
    <w:rsid w:val="0018295A"/>
    <w:pPr>
      <w:keepNext/>
      <w:keepLines/>
      <w:numPr>
        <w:ilvl w:val="5"/>
        <w:numId w:val="3"/>
      </w:numPr>
      <w:spacing w:before="120" w:after="120" w:line="260" w:lineRule="atLeast"/>
    </w:pPr>
    <w:rPr>
      <w:rFonts w:ascii="Arial" w:eastAsiaTheme="minorEastAsia" w:hAnsi="Arial" w:cs="Times New Roman"/>
      <w:color w:val="4472C4" w:themeColor="accent1"/>
      <w:sz w:val="20"/>
    </w:rPr>
  </w:style>
  <w:style w:type="paragraph" w:customStyle="1" w:styleId="Table">
    <w:name w:val="Table"/>
    <w:basedOn w:val="Normalny"/>
    <w:next w:val="Tekstpodstawowy"/>
    <w:uiPriority w:val="11"/>
    <w:rsid w:val="0018295A"/>
    <w:pPr>
      <w:keepNext/>
      <w:tabs>
        <w:tab w:val="num" w:pos="851"/>
      </w:tabs>
      <w:spacing w:before="120" w:after="120" w:line="260" w:lineRule="atLeast"/>
      <w:ind w:left="1928" w:hanging="1077"/>
    </w:pPr>
    <w:rPr>
      <w:rFonts w:ascii="Arial" w:eastAsiaTheme="minorEastAsia" w:hAnsi="Arial" w:cs="Times New Roman"/>
      <w:color w:val="4472C4" w:themeColor="accent1"/>
      <w:sz w:val="20"/>
    </w:rPr>
  </w:style>
  <w:style w:type="paragraph" w:styleId="Tekstprzypisudolnego">
    <w:name w:val="footnote text"/>
    <w:basedOn w:val="Normalny"/>
    <w:link w:val="TekstprzypisudolnegoZnak"/>
    <w:uiPriority w:val="99"/>
    <w:qFormat/>
    <w:rsid w:val="0018295A"/>
    <w:pPr>
      <w:spacing w:before="100" w:after="60" w:line="240" w:lineRule="auto"/>
    </w:pPr>
    <w:rPr>
      <w:rFonts w:ascii="Arial" w:eastAsiaTheme="minorEastAsia" w:hAnsi="Arial" w:cs="Times New Roman"/>
      <w:sz w:val="18"/>
    </w:rPr>
  </w:style>
  <w:style w:type="character" w:customStyle="1" w:styleId="TekstprzypisudolnegoZnak">
    <w:name w:val="Tekst przypisu dolnego Znak"/>
    <w:basedOn w:val="Domylnaczcionkaakapitu"/>
    <w:link w:val="Tekstprzypisudolnego"/>
    <w:uiPriority w:val="99"/>
    <w:rsid w:val="0018295A"/>
    <w:rPr>
      <w:rFonts w:ascii="Arial" w:eastAsiaTheme="minorEastAsia" w:hAnsi="Arial" w:cs="Times New Roman"/>
      <w:sz w:val="18"/>
    </w:rPr>
  </w:style>
  <w:style w:type="character" w:styleId="Odwoanieprzypisudolnego">
    <w:name w:val="footnote reference"/>
    <w:basedOn w:val="Domylnaczcionkaakapitu"/>
    <w:link w:val="BVIfnrCarCarCarCarCharCharCharChar"/>
    <w:uiPriority w:val="99"/>
    <w:qFormat/>
    <w:rsid w:val="0018295A"/>
    <w:rPr>
      <w:vertAlign w:val="superscript"/>
    </w:rPr>
  </w:style>
  <w:style w:type="numbering" w:customStyle="1" w:styleId="NumbLstMain">
    <w:name w:val="NumbLstMain"/>
    <w:uiPriority w:val="99"/>
    <w:rsid w:val="0018295A"/>
    <w:pPr>
      <w:numPr>
        <w:numId w:val="2"/>
      </w:numPr>
    </w:pPr>
  </w:style>
  <w:style w:type="paragraph" w:customStyle="1" w:styleId="Box">
    <w:name w:val="Box"/>
    <w:basedOn w:val="Normalny"/>
    <w:next w:val="Tekstpodstawowy"/>
    <w:uiPriority w:val="6"/>
    <w:rsid w:val="0018295A"/>
    <w:pPr>
      <w:numPr>
        <w:ilvl w:val="7"/>
        <w:numId w:val="3"/>
      </w:numPr>
      <w:spacing w:before="120" w:after="120" w:line="260" w:lineRule="atLeast"/>
    </w:pPr>
    <w:rPr>
      <w:rFonts w:ascii="Arial" w:eastAsiaTheme="minorEastAsia" w:hAnsi="Arial" w:cs="Times New Roman"/>
      <w:b/>
      <w:color w:val="4472C4" w:themeColor="accent1"/>
      <w:sz w:val="20"/>
    </w:rPr>
  </w:style>
  <w:style w:type="character" w:styleId="Hipercze">
    <w:name w:val="Hyperlink"/>
    <w:basedOn w:val="Domylnaczcionkaakapitu"/>
    <w:uiPriority w:val="99"/>
    <w:unhideWhenUsed/>
    <w:rsid w:val="0018295A"/>
    <w:rPr>
      <w:color w:val="0000FF"/>
      <w:u w:val="single"/>
    </w:rPr>
  </w:style>
  <w:style w:type="paragraph" w:styleId="Legenda">
    <w:name w:val="caption"/>
    <w:basedOn w:val="Normalny"/>
    <w:next w:val="Normalny"/>
    <w:uiPriority w:val="35"/>
    <w:unhideWhenUsed/>
    <w:qFormat/>
    <w:rsid w:val="00C31AF5"/>
    <w:pPr>
      <w:spacing w:before="100" w:after="200" w:line="276" w:lineRule="auto"/>
    </w:pPr>
    <w:rPr>
      <w:rFonts w:ascii="Times New Roman" w:eastAsiaTheme="minorEastAsia" w:hAnsi="Times New Roman"/>
      <w:b/>
      <w:sz w:val="16"/>
    </w:rPr>
  </w:style>
  <w:style w:type="paragraph" w:styleId="Tekstdymka">
    <w:name w:val="Balloon Text"/>
    <w:basedOn w:val="Normalny"/>
    <w:link w:val="TekstdymkaZnak"/>
    <w:uiPriority w:val="99"/>
    <w:semiHidden/>
    <w:unhideWhenUsed/>
    <w:rsid w:val="0018295A"/>
    <w:pPr>
      <w:spacing w:before="100" w:after="0" w:line="240" w:lineRule="auto"/>
    </w:pPr>
    <w:rPr>
      <w:rFonts w:ascii="Segoe UI" w:eastAsiaTheme="minorEastAsia" w:hAnsi="Segoe UI" w:cs="Segoe UI"/>
      <w:sz w:val="18"/>
    </w:rPr>
  </w:style>
  <w:style w:type="character" w:customStyle="1" w:styleId="TekstdymkaZnak">
    <w:name w:val="Tekst dymka Znak"/>
    <w:basedOn w:val="Domylnaczcionkaakapitu"/>
    <w:link w:val="Tekstdymka"/>
    <w:uiPriority w:val="99"/>
    <w:semiHidden/>
    <w:rsid w:val="0018295A"/>
    <w:rPr>
      <w:rFonts w:ascii="Segoe UI" w:eastAsiaTheme="minorEastAsia" w:hAnsi="Segoe UI" w:cs="Segoe UI"/>
      <w:sz w:val="18"/>
    </w:rPr>
  </w:style>
  <w:style w:type="paragraph" w:styleId="Tytu">
    <w:name w:val="Title"/>
    <w:basedOn w:val="Normalny"/>
    <w:next w:val="Normalny"/>
    <w:link w:val="TytuZnak"/>
    <w:uiPriority w:val="10"/>
    <w:qFormat/>
    <w:rsid w:val="0018295A"/>
    <w:pPr>
      <w:spacing w:after="0" w:line="276" w:lineRule="auto"/>
    </w:pPr>
    <w:rPr>
      <w:rFonts w:asciiTheme="majorHAnsi" w:eastAsiaTheme="majorEastAsia" w:hAnsiTheme="majorHAnsi" w:cstheme="majorBidi"/>
      <w:caps/>
      <w:color w:val="4472C4" w:themeColor="accent1"/>
      <w:spacing w:val="10"/>
      <w:sz w:val="52"/>
    </w:rPr>
  </w:style>
  <w:style w:type="character" w:customStyle="1" w:styleId="TytuZnak">
    <w:name w:val="Tytuł Znak"/>
    <w:basedOn w:val="Domylnaczcionkaakapitu"/>
    <w:link w:val="Tytu"/>
    <w:uiPriority w:val="10"/>
    <w:rsid w:val="0018295A"/>
    <w:rPr>
      <w:rFonts w:asciiTheme="majorHAnsi" w:eastAsiaTheme="majorEastAsia" w:hAnsiTheme="majorHAnsi" w:cstheme="majorBidi"/>
      <w:caps/>
      <w:color w:val="4472C4" w:themeColor="accent1"/>
      <w:spacing w:val="10"/>
      <w:sz w:val="52"/>
    </w:rPr>
  </w:style>
  <w:style w:type="paragraph" w:styleId="Podtytu">
    <w:name w:val="Subtitle"/>
    <w:basedOn w:val="Normalny"/>
    <w:next w:val="Normalny"/>
    <w:link w:val="PodtytuZnak"/>
    <w:uiPriority w:val="11"/>
    <w:qFormat/>
    <w:rsid w:val="0018295A"/>
    <w:pPr>
      <w:spacing w:after="500" w:line="240" w:lineRule="auto"/>
    </w:pPr>
    <w:rPr>
      <w:rFonts w:eastAsiaTheme="minorEastAsia"/>
      <w:caps/>
      <w:color w:val="595959" w:themeColor="text1" w:themeTint="A6"/>
      <w:spacing w:val="10"/>
      <w:sz w:val="21"/>
    </w:rPr>
  </w:style>
  <w:style w:type="character" w:customStyle="1" w:styleId="PodtytuZnak">
    <w:name w:val="Podtytuł Znak"/>
    <w:basedOn w:val="Domylnaczcionkaakapitu"/>
    <w:link w:val="Podtytu"/>
    <w:uiPriority w:val="11"/>
    <w:rsid w:val="0018295A"/>
    <w:rPr>
      <w:rFonts w:eastAsiaTheme="minorEastAsia"/>
      <w:caps/>
      <w:color w:val="595959" w:themeColor="text1" w:themeTint="A6"/>
      <w:spacing w:val="10"/>
      <w:sz w:val="21"/>
    </w:rPr>
  </w:style>
  <w:style w:type="character" w:styleId="Pogrubienie">
    <w:name w:val="Strong"/>
    <w:uiPriority w:val="22"/>
    <w:qFormat/>
    <w:rsid w:val="0018295A"/>
    <w:rPr>
      <w:b/>
    </w:rPr>
  </w:style>
  <w:style w:type="character" w:styleId="Uwydatnienie">
    <w:name w:val="Emphasis"/>
    <w:uiPriority w:val="20"/>
    <w:qFormat/>
    <w:rsid w:val="0018295A"/>
    <w:rPr>
      <w:caps/>
      <w:color w:val="1F3763" w:themeColor="accent1" w:themeShade="7F"/>
      <w:spacing w:val="5"/>
    </w:rPr>
  </w:style>
  <w:style w:type="paragraph" w:styleId="Bezodstpw">
    <w:name w:val="No Spacing"/>
    <w:uiPriority w:val="1"/>
    <w:qFormat/>
    <w:rsid w:val="0018295A"/>
    <w:pPr>
      <w:spacing w:before="100" w:after="0" w:line="240" w:lineRule="auto"/>
    </w:pPr>
    <w:rPr>
      <w:rFonts w:eastAsiaTheme="minorEastAsia"/>
      <w:sz w:val="20"/>
    </w:rPr>
  </w:style>
  <w:style w:type="paragraph" w:styleId="Cytat">
    <w:name w:val="Quote"/>
    <w:basedOn w:val="Normalny"/>
    <w:next w:val="Normalny"/>
    <w:link w:val="CytatZnak"/>
    <w:uiPriority w:val="29"/>
    <w:qFormat/>
    <w:rsid w:val="0018295A"/>
    <w:pPr>
      <w:spacing w:before="100" w:after="200" w:line="276" w:lineRule="auto"/>
    </w:pPr>
    <w:rPr>
      <w:rFonts w:eastAsiaTheme="minorEastAsia"/>
      <w:i/>
      <w:sz w:val="24"/>
    </w:rPr>
  </w:style>
  <w:style w:type="character" w:customStyle="1" w:styleId="CytatZnak">
    <w:name w:val="Cytat Znak"/>
    <w:basedOn w:val="Domylnaczcionkaakapitu"/>
    <w:link w:val="Cytat"/>
    <w:uiPriority w:val="29"/>
    <w:rsid w:val="0018295A"/>
    <w:rPr>
      <w:rFonts w:eastAsiaTheme="minorEastAsia"/>
      <w:i/>
      <w:sz w:val="24"/>
    </w:rPr>
  </w:style>
  <w:style w:type="paragraph" w:styleId="Cytatintensywny">
    <w:name w:val="Intense Quote"/>
    <w:basedOn w:val="Normalny"/>
    <w:next w:val="Normalny"/>
    <w:link w:val="CytatintensywnyZnak"/>
    <w:uiPriority w:val="30"/>
    <w:qFormat/>
    <w:rsid w:val="0018295A"/>
    <w:pPr>
      <w:spacing w:before="240" w:after="240" w:line="240" w:lineRule="auto"/>
      <w:ind w:left="1080" w:right="1080"/>
      <w:jc w:val="center"/>
    </w:pPr>
    <w:rPr>
      <w:rFonts w:eastAsiaTheme="minorEastAsia"/>
      <w:color w:val="4472C4" w:themeColor="accent1"/>
      <w:sz w:val="24"/>
    </w:rPr>
  </w:style>
  <w:style w:type="character" w:customStyle="1" w:styleId="CytatintensywnyZnak">
    <w:name w:val="Cytat intensywny Znak"/>
    <w:basedOn w:val="Domylnaczcionkaakapitu"/>
    <w:link w:val="Cytatintensywny"/>
    <w:uiPriority w:val="30"/>
    <w:rsid w:val="0018295A"/>
    <w:rPr>
      <w:rFonts w:eastAsiaTheme="minorEastAsia"/>
      <w:color w:val="4472C4" w:themeColor="accent1"/>
      <w:sz w:val="24"/>
    </w:rPr>
  </w:style>
  <w:style w:type="character" w:styleId="Wyrnieniedelikatne">
    <w:name w:val="Subtle Emphasis"/>
    <w:uiPriority w:val="19"/>
    <w:qFormat/>
    <w:rsid w:val="0018295A"/>
    <w:rPr>
      <w:i/>
      <w:color w:val="1F3763" w:themeColor="accent1" w:themeShade="7F"/>
    </w:rPr>
  </w:style>
  <w:style w:type="character" w:styleId="Wyrnienieintensywne">
    <w:name w:val="Intense Emphasis"/>
    <w:uiPriority w:val="21"/>
    <w:qFormat/>
    <w:rsid w:val="0018295A"/>
    <w:rPr>
      <w:b/>
      <w:caps/>
      <w:color w:val="1F3763" w:themeColor="accent1" w:themeShade="7F"/>
      <w:spacing w:val="10"/>
    </w:rPr>
  </w:style>
  <w:style w:type="character" w:styleId="Odwoaniedelikatne">
    <w:name w:val="Subtle Reference"/>
    <w:uiPriority w:val="31"/>
    <w:qFormat/>
    <w:rsid w:val="0018295A"/>
    <w:rPr>
      <w:b/>
      <w:color w:val="4472C4" w:themeColor="accent1"/>
    </w:rPr>
  </w:style>
  <w:style w:type="character" w:styleId="Odwoanieintensywne">
    <w:name w:val="Intense Reference"/>
    <w:uiPriority w:val="32"/>
    <w:qFormat/>
    <w:rsid w:val="0018295A"/>
    <w:rPr>
      <w:b/>
      <w:i/>
      <w:caps/>
      <w:color w:val="4472C4" w:themeColor="accent1"/>
    </w:rPr>
  </w:style>
  <w:style w:type="character" w:styleId="Tytuksiki">
    <w:name w:val="Book Title"/>
    <w:uiPriority w:val="33"/>
    <w:qFormat/>
    <w:rsid w:val="0018295A"/>
    <w:rPr>
      <w:b/>
      <w:i/>
      <w:spacing w:val="0"/>
    </w:rPr>
  </w:style>
  <w:style w:type="paragraph" w:styleId="Nagwekspisutreci">
    <w:name w:val="TOC Heading"/>
    <w:basedOn w:val="Nagwek1"/>
    <w:next w:val="Normalny"/>
    <w:link w:val="NagwekspisutreciZnak"/>
    <w:uiPriority w:val="39"/>
    <w:unhideWhenUsed/>
    <w:qFormat/>
    <w:rsid w:val="0018295A"/>
    <w:pPr>
      <w:framePr w:wrap="notBeside"/>
      <w:numPr>
        <w:numId w:val="6"/>
      </w:numPr>
      <w:outlineLvl w:val="9"/>
    </w:pPr>
  </w:style>
  <w:style w:type="paragraph" w:styleId="Spistreci1">
    <w:name w:val="toc 1"/>
    <w:basedOn w:val="Normalny"/>
    <w:next w:val="Normalny"/>
    <w:autoRedefine/>
    <w:uiPriority w:val="39"/>
    <w:unhideWhenUsed/>
    <w:rsid w:val="00B356DD"/>
    <w:pPr>
      <w:tabs>
        <w:tab w:val="left" w:pos="400"/>
        <w:tab w:val="right" w:leader="dot" w:pos="9016"/>
      </w:tabs>
      <w:spacing w:before="100" w:after="100" w:line="276" w:lineRule="auto"/>
    </w:pPr>
    <w:rPr>
      <w:rFonts w:eastAsiaTheme="minorEastAsia" w:cs="Times New Roman"/>
      <w:b/>
      <w:sz w:val="20"/>
    </w:rPr>
  </w:style>
  <w:style w:type="paragraph" w:styleId="Spistreci2">
    <w:name w:val="toc 2"/>
    <w:basedOn w:val="Normalny"/>
    <w:next w:val="Normalny"/>
    <w:autoRedefine/>
    <w:uiPriority w:val="39"/>
    <w:unhideWhenUsed/>
    <w:rsid w:val="0018295A"/>
    <w:pPr>
      <w:spacing w:before="100" w:after="100" w:line="276" w:lineRule="auto"/>
      <w:ind w:left="200"/>
    </w:pPr>
    <w:rPr>
      <w:rFonts w:eastAsiaTheme="minorEastAsia"/>
      <w:sz w:val="20"/>
    </w:rPr>
  </w:style>
  <w:style w:type="paragraph" w:styleId="Spistreci3">
    <w:name w:val="toc 3"/>
    <w:basedOn w:val="Normalny"/>
    <w:next w:val="Normalny"/>
    <w:autoRedefine/>
    <w:uiPriority w:val="39"/>
    <w:unhideWhenUsed/>
    <w:rsid w:val="0018295A"/>
    <w:pPr>
      <w:tabs>
        <w:tab w:val="left" w:pos="1100"/>
        <w:tab w:val="right" w:leader="dot" w:pos="9016"/>
      </w:tabs>
      <w:spacing w:before="100" w:after="100" w:line="276" w:lineRule="auto"/>
      <w:ind w:left="400"/>
      <w:jc w:val="both"/>
    </w:pPr>
    <w:rPr>
      <w:rFonts w:eastAsiaTheme="minorEastAsia"/>
      <w:sz w:val="20"/>
    </w:rPr>
  </w:style>
  <w:style w:type="paragraph" w:styleId="Tematkomentarza">
    <w:name w:val="annotation subject"/>
    <w:basedOn w:val="Tekstkomentarza"/>
    <w:next w:val="Tekstkomentarza"/>
    <w:link w:val="TematkomentarzaZnak"/>
    <w:uiPriority w:val="99"/>
    <w:semiHidden/>
    <w:unhideWhenUsed/>
    <w:rsid w:val="0018295A"/>
    <w:pPr>
      <w:spacing w:before="100" w:after="200"/>
    </w:pPr>
    <w:rPr>
      <w:rFonts w:asciiTheme="minorHAnsi" w:hAnsiTheme="minorHAnsi" w:cstheme="minorBidi"/>
      <w:b/>
    </w:rPr>
  </w:style>
  <w:style w:type="character" w:customStyle="1" w:styleId="TematkomentarzaZnak">
    <w:name w:val="Temat komentarza Znak"/>
    <w:basedOn w:val="TekstkomentarzaZnak"/>
    <w:link w:val="Tematkomentarza"/>
    <w:uiPriority w:val="99"/>
    <w:semiHidden/>
    <w:rsid w:val="0018295A"/>
    <w:rPr>
      <w:rFonts w:ascii="Arial" w:eastAsiaTheme="minorEastAsia" w:hAnsi="Arial" w:cs="Times New Roman"/>
      <w:b/>
      <w:sz w:val="20"/>
    </w:rPr>
  </w:style>
  <w:style w:type="character" w:styleId="UyteHipercze">
    <w:name w:val="FollowedHyperlink"/>
    <w:basedOn w:val="Domylnaczcionkaakapitu"/>
    <w:uiPriority w:val="99"/>
    <w:semiHidden/>
    <w:unhideWhenUsed/>
    <w:rsid w:val="0018295A"/>
    <w:rPr>
      <w:color w:val="954F72" w:themeColor="followedHyperlink"/>
      <w:u w:val="single"/>
    </w:rPr>
  </w:style>
  <w:style w:type="paragraph" w:customStyle="1" w:styleId="BVIfnrCarCarCarCarCharCharCharChar">
    <w:name w:val="BVI fnr Car Car Car Car Char Char Char Char"/>
    <w:basedOn w:val="Normalny"/>
    <w:link w:val="Odwoanieprzypisudolnego"/>
    <w:autoRedefine/>
    <w:uiPriority w:val="99"/>
    <w:qFormat/>
    <w:locked/>
    <w:rsid w:val="0018295A"/>
    <w:pPr>
      <w:spacing w:after="0" w:line="240" w:lineRule="auto"/>
      <w:ind w:left="720" w:hanging="720"/>
    </w:pPr>
    <w:rPr>
      <w:vertAlign w:val="superscript"/>
    </w:rPr>
  </w:style>
  <w:style w:type="paragraph" w:customStyle="1" w:styleId="BTBullet2Last">
    <w:name w:val="BTBullet2Last"/>
    <w:basedOn w:val="BTBullet2"/>
    <w:next w:val="Tekstpodstawowy"/>
    <w:uiPriority w:val="6"/>
    <w:qFormat/>
    <w:rsid w:val="0018295A"/>
    <w:pPr>
      <w:numPr>
        <w:numId w:val="4"/>
      </w:numPr>
      <w:spacing w:before="0" w:after="120"/>
    </w:pPr>
    <w:rPr>
      <w:rFonts w:eastAsiaTheme="minorHAnsi"/>
      <w:sz w:val="22"/>
    </w:rPr>
  </w:style>
  <w:style w:type="character" w:customStyle="1" w:styleId="m9121636196355305711gmail-s2">
    <w:name w:val="m_9121636196355305711gmail-s2"/>
    <w:basedOn w:val="Domylnaczcionkaakapitu"/>
    <w:rsid w:val="0018295A"/>
  </w:style>
  <w:style w:type="paragraph" w:styleId="Poprawka">
    <w:name w:val="Revision"/>
    <w:hidden/>
    <w:uiPriority w:val="99"/>
    <w:semiHidden/>
    <w:rsid w:val="0018295A"/>
    <w:pPr>
      <w:spacing w:after="0" w:line="240" w:lineRule="auto"/>
    </w:pPr>
    <w:rPr>
      <w:rFonts w:eastAsiaTheme="minorEastAsia"/>
      <w:sz w:val="20"/>
    </w:rPr>
  </w:style>
  <w:style w:type="paragraph" w:styleId="NormalnyWeb">
    <w:name w:val="Normal (Web)"/>
    <w:basedOn w:val="Normalny"/>
    <w:uiPriority w:val="99"/>
    <w:semiHidden/>
    <w:unhideWhenUsed/>
    <w:rsid w:val="0018295A"/>
    <w:pPr>
      <w:spacing w:before="100" w:beforeAutospacing="1" w:after="100" w:afterAutospacing="1" w:line="240" w:lineRule="auto"/>
    </w:pPr>
    <w:rPr>
      <w:rFonts w:ascii="Times New Roman" w:hAnsi="Times New Roman" w:cs="Times New Roman"/>
      <w:sz w:val="24"/>
    </w:rPr>
  </w:style>
  <w:style w:type="table" w:styleId="Tabela-Siatka">
    <w:name w:val="Table Grid"/>
    <w:basedOn w:val="Standardowy"/>
    <w:uiPriority w:val="59"/>
    <w:rsid w:val="0018295A"/>
    <w:pPr>
      <w:spacing w:before="100" w:after="0" w:line="240" w:lineRule="auto"/>
    </w:pPr>
    <w:rPr>
      <w:rFonts w:eastAsiaTheme="minorEastAsia"/>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omylnaczcionkaakapitu"/>
    <w:uiPriority w:val="99"/>
    <w:unhideWhenUsed/>
    <w:rsid w:val="0018295A"/>
    <w:rPr>
      <w:color w:val="2B579A"/>
      <w:shd w:val="clear" w:color="auto" w:fill="E6E6E6"/>
    </w:rPr>
  </w:style>
  <w:style w:type="paragraph" w:customStyle="1" w:styleId="norm">
    <w:name w:val="norm"/>
    <w:basedOn w:val="Normalny"/>
    <w:rsid w:val="0018295A"/>
    <w:pPr>
      <w:spacing w:before="100" w:beforeAutospacing="1" w:after="100" w:afterAutospacing="1" w:line="240" w:lineRule="auto"/>
    </w:pPr>
    <w:rPr>
      <w:rFonts w:ascii="Calibri" w:hAnsi="Calibri" w:cs="Calibri"/>
    </w:rPr>
  </w:style>
  <w:style w:type="character" w:customStyle="1" w:styleId="UnresolvedMention1">
    <w:name w:val="Unresolved Mention1"/>
    <w:basedOn w:val="Domylnaczcionkaakapitu"/>
    <w:uiPriority w:val="99"/>
    <w:semiHidden/>
    <w:unhideWhenUsed/>
    <w:rsid w:val="0018295A"/>
    <w:rPr>
      <w:color w:val="605E5C"/>
      <w:shd w:val="clear" w:color="auto" w:fill="E1DFDD"/>
    </w:rPr>
  </w:style>
  <w:style w:type="character" w:customStyle="1" w:styleId="NagwekspisutreciZnak">
    <w:name w:val="Nagłówek spisu treści Znak"/>
    <w:basedOn w:val="Nagwek1Znak"/>
    <w:link w:val="Nagwekspisutreci"/>
    <w:uiPriority w:val="39"/>
    <w:rsid w:val="0018295A"/>
    <w:rPr>
      <w:rFonts w:ascii="Times New Roman" w:eastAsiaTheme="minorEastAsia" w:hAnsi="Times New Roman"/>
      <w:b/>
      <w:caps/>
      <w:spacing w:val="15"/>
      <w:sz w:val="24"/>
    </w:rPr>
  </w:style>
  <w:style w:type="character" w:customStyle="1" w:styleId="markedcontent">
    <w:name w:val="markedcontent"/>
    <w:basedOn w:val="Domylnaczcionkaakapitu"/>
    <w:rsid w:val="0018295A"/>
  </w:style>
  <w:style w:type="paragraph" w:customStyle="1" w:styleId="efsirnormal">
    <w:name w:val="efsirnormal"/>
    <w:basedOn w:val="Normalny"/>
    <w:rsid w:val="0018295A"/>
    <w:pPr>
      <w:spacing w:after="200" w:line="252" w:lineRule="auto"/>
      <w:jc w:val="both"/>
    </w:pPr>
    <w:rPr>
      <w:rFonts w:ascii="Times New Roman" w:hAnsi="Times New Roman" w:cs="Times New Roman"/>
      <w:sz w:val="24"/>
    </w:rPr>
  </w:style>
  <w:style w:type="paragraph" w:customStyle="1" w:styleId="TitreobjetPagedecouverture">
    <w:name w:val="Titre objet (Page de couverture)"/>
    <w:basedOn w:val="Normalny"/>
    <w:next w:val="Normalny"/>
    <w:rsid w:val="0018295A"/>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ny"/>
    <w:next w:val="TitreobjetPagedecouverture"/>
    <w:rsid w:val="0018295A"/>
    <w:pPr>
      <w:spacing w:before="360" w:after="0" w:line="240" w:lineRule="auto"/>
      <w:jc w:val="center"/>
    </w:pPr>
    <w:rPr>
      <w:rFonts w:ascii="Times New Roman" w:eastAsia="Calibri" w:hAnsi="Times New Roman" w:cs="Times New Roman"/>
      <w:b/>
      <w:sz w:val="24"/>
    </w:rPr>
  </w:style>
  <w:style w:type="paragraph" w:customStyle="1" w:styleId="annualreport">
    <w:name w:val="annual report"/>
    <w:basedOn w:val="Normalny"/>
    <w:link w:val="annualreportChar"/>
    <w:qFormat/>
    <w:rsid w:val="0018295A"/>
    <w:pPr>
      <w:spacing w:before="100" w:after="200" w:line="276" w:lineRule="auto"/>
    </w:pPr>
    <w:rPr>
      <w:rFonts w:ascii="Times New Roman" w:eastAsiaTheme="minorEastAsia" w:hAnsi="Times New Roman"/>
      <w:sz w:val="24"/>
    </w:rPr>
  </w:style>
  <w:style w:type="character" w:customStyle="1" w:styleId="annualreportChar">
    <w:name w:val="annual report Char"/>
    <w:basedOn w:val="Domylnaczcionkaakapitu"/>
    <w:link w:val="annualreport"/>
    <w:rsid w:val="0018295A"/>
    <w:rPr>
      <w:rFonts w:ascii="Times New Roman" w:eastAsiaTheme="minorEastAsia" w:hAnsi="Times New Roman"/>
      <w:sz w:val="24"/>
    </w:rPr>
  </w:style>
  <w:style w:type="character" w:customStyle="1" w:styleId="UnresolvedMention2">
    <w:name w:val="Unresolved Mention2"/>
    <w:basedOn w:val="Domylnaczcionkaakapitu"/>
    <w:uiPriority w:val="99"/>
    <w:semiHidden/>
    <w:unhideWhenUsed/>
    <w:rsid w:val="0018295A"/>
    <w:rPr>
      <w:color w:val="605E5C"/>
      <w:shd w:val="clear" w:color="auto" w:fill="E1DFDD"/>
    </w:rPr>
  </w:style>
  <w:style w:type="paragraph" w:customStyle="1" w:styleId="paragraph">
    <w:name w:val="paragraph"/>
    <w:basedOn w:val="Normalny"/>
    <w:rsid w:val="0018295A"/>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omylnaczcionkaakapitu"/>
    <w:rsid w:val="0018295A"/>
  </w:style>
  <w:style w:type="character" w:customStyle="1" w:styleId="findhit">
    <w:name w:val="findhit"/>
    <w:basedOn w:val="Domylnaczcionkaakapitu"/>
    <w:rsid w:val="0018295A"/>
  </w:style>
  <w:style w:type="character" w:customStyle="1" w:styleId="eop">
    <w:name w:val="eop"/>
    <w:basedOn w:val="Domylnaczcionkaakapitu"/>
    <w:rsid w:val="0018295A"/>
  </w:style>
  <w:style w:type="character" w:customStyle="1" w:styleId="Wzmianka1">
    <w:name w:val="Wzmianka1"/>
    <w:basedOn w:val="Domylnaczcionkaakapitu"/>
    <w:uiPriority w:val="99"/>
    <w:unhideWhenUsed/>
    <w:rsid w:val="0018295A"/>
    <w:rPr>
      <w:color w:val="2B579A"/>
      <w:shd w:val="clear" w:color="auto" w:fill="E1DFDD"/>
    </w:rPr>
  </w:style>
  <w:style w:type="character" w:customStyle="1" w:styleId="Nierozpoznanawzmianka1">
    <w:name w:val="Nierozpoznana wzmianka1"/>
    <w:basedOn w:val="Domylnaczcionkaakapitu"/>
    <w:uiPriority w:val="99"/>
    <w:semiHidden/>
    <w:unhideWhenUsed/>
    <w:rsid w:val="0018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1.png"/><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4.png"/><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yperlink" Target="https://www.breakthroughenergy.org/scaling-innovation/catalyst" TargetMode="External"/><Relationship Id="rId53" Type="http://schemas.openxmlformats.org/officeDocument/2006/relationships/footer" Target="footer6.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0.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lima/eu-action/funding-climate-action/innovation-fund/project-development-assistance_pl" TargetMode="External"/><Relationship Id="rId3" Type="http://schemas.openxmlformats.org/officeDocument/2006/relationships/hyperlink" Target="https://eur-lex.europa.eu/legal-content/PL/TXT/?uri=CELEX:32019R0856" TargetMode="External"/><Relationship Id="rId7" Type="http://schemas.openxmlformats.org/officeDocument/2006/relationships/hyperlink" Target="https://ec.europa.eu/info/funding-tenders/opportunities/docs/2021-2027/innovfund/wp-call/wp_innovfund-2020_en.pdf" TargetMode="External"/><Relationship Id="rId2" Type="http://schemas.openxmlformats.org/officeDocument/2006/relationships/hyperlink" Target="https://eur-lex.europa.eu/legal-content/PL/TXT/?uri=celex%3A32003L0087" TargetMode="External"/><Relationship Id="rId1" Type="http://schemas.openxmlformats.org/officeDocument/2006/relationships/hyperlink" Target="https://eur-lex.europa.eu/legal-content/PL/TXT/?uri=CELEX:32021R1119" TargetMode="External"/><Relationship Id="rId6" Type="http://schemas.openxmlformats.org/officeDocument/2006/relationships/hyperlink" Target="https://ec.europa.eu/clima/eu-action/funding-climate-action/innovation-fund/small-scale-projects_pl" TargetMode="External"/><Relationship Id="rId5" Type="http://schemas.openxmlformats.org/officeDocument/2006/relationships/hyperlink" Target="https://ec.europa.eu/clima/eu-action/funding-climate-action/innovation-fund/large-scale-projects_pl" TargetMode="External"/><Relationship Id="rId4" Type="http://schemas.openxmlformats.org/officeDocument/2006/relationships/hyperlink" Target="https://ec.europa.eu/commission/presscorner/detail/pl/ip_23_3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16" ma:contentTypeDescription="Create a new document." ma:contentTypeScope="" ma:versionID="96277f134e5ad49baf3fbdb495ea1dee">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6641d865c7f3197ec7a4dcff51046c89"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8bd90-4574-45f3-b4f2-6769390f9bb4}" ma:internalName="TaxCatchAll" ma:showField="CatchAllData" ma:web="97c12176-f42e-47a4-9c39-4993e896fb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A20EA-2E82-4F3E-ABFE-B1763F854499}">
  <ds:schemaRefs>
    <ds:schemaRef ds:uri="http://schemas.microsoft.com/sharepoint/v3/contenttype/forms"/>
  </ds:schemaRefs>
</ds:datastoreItem>
</file>

<file path=customXml/itemProps2.xml><?xml version="1.0" encoding="utf-8"?>
<ds:datastoreItem xmlns:ds="http://schemas.openxmlformats.org/officeDocument/2006/customXml" ds:itemID="{4538FCB5-409E-4E2D-BA7D-E05AB70C0686}">
  <ds:schemaRefs>
    <ds:schemaRef ds:uri="http://schemas.openxmlformats.org/officeDocument/2006/bibliography"/>
  </ds:schemaRefs>
</ds:datastoreItem>
</file>

<file path=customXml/itemProps3.xml><?xml version="1.0" encoding="utf-8"?>
<ds:datastoreItem xmlns:ds="http://schemas.openxmlformats.org/officeDocument/2006/customXml" ds:itemID="{1CAF9B97-698F-4763-A6AD-CA9F06F08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12100</Words>
  <Characters>72602</Characters>
  <Application>Microsoft Office Word</Application>
  <DocSecurity>0</DocSecurity>
  <Lines>605</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84533</CharactersWithSpaces>
  <SharedDoc>false</SharedDoc>
  <HLinks>
    <vt:vector size="222" baseType="variant">
      <vt:variant>
        <vt:i4>7929979</vt:i4>
      </vt:variant>
      <vt:variant>
        <vt:i4>285</vt:i4>
      </vt:variant>
      <vt:variant>
        <vt:i4>0</vt:i4>
      </vt:variant>
      <vt:variant>
        <vt:i4>5</vt:i4>
      </vt:variant>
      <vt:variant>
        <vt:lpwstr>https://www.breakthroughenergy.org/scaling-innovation/catalyst</vt:lpwstr>
      </vt:variant>
      <vt:variant>
        <vt:lpwstr/>
      </vt:variant>
      <vt:variant>
        <vt:i4>1900607</vt:i4>
      </vt:variant>
      <vt:variant>
        <vt:i4>194</vt:i4>
      </vt:variant>
      <vt:variant>
        <vt:i4>0</vt:i4>
      </vt:variant>
      <vt:variant>
        <vt:i4>5</vt:i4>
      </vt:variant>
      <vt:variant>
        <vt:lpwstr/>
      </vt:variant>
      <vt:variant>
        <vt:lpwstr>_Toc144980274</vt:lpwstr>
      </vt:variant>
      <vt:variant>
        <vt:i4>1900607</vt:i4>
      </vt:variant>
      <vt:variant>
        <vt:i4>188</vt:i4>
      </vt:variant>
      <vt:variant>
        <vt:i4>0</vt:i4>
      </vt:variant>
      <vt:variant>
        <vt:i4>5</vt:i4>
      </vt:variant>
      <vt:variant>
        <vt:lpwstr/>
      </vt:variant>
      <vt:variant>
        <vt:lpwstr>_Toc144980273</vt:lpwstr>
      </vt:variant>
      <vt:variant>
        <vt:i4>1900607</vt:i4>
      </vt:variant>
      <vt:variant>
        <vt:i4>182</vt:i4>
      </vt:variant>
      <vt:variant>
        <vt:i4>0</vt:i4>
      </vt:variant>
      <vt:variant>
        <vt:i4>5</vt:i4>
      </vt:variant>
      <vt:variant>
        <vt:lpwstr/>
      </vt:variant>
      <vt:variant>
        <vt:lpwstr>_Toc144980272</vt:lpwstr>
      </vt:variant>
      <vt:variant>
        <vt:i4>1900607</vt:i4>
      </vt:variant>
      <vt:variant>
        <vt:i4>176</vt:i4>
      </vt:variant>
      <vt:variant>
        <vt:i4>0</vt:i4>
      </vt:variant>
      <vt:variant>
        <vt:i4>5</vt:i4>
      </vt:variant>
      <vt:variant>
        <vt:lpwstr/>
      </vt:variant>
      <vt:variant>
        <vt:lpwstr>_Toc144980271</vt:lpwstr>
      </vt:variant>
      <vt:variant>
        <vt:i4>1900607</vt:i4>
      </vt:variant>
      <vt:variant>
        <vt:i4>170</vt:i4>
      </vt:variant>
      <vt:variant>
        <vt:i4>0</vt:i4>
      </vt:variant>
      <vt:variant>
        <vt:i4>5</vt:i4>
      </vt:variant>
      <vt:variant>
        <vt:lpwstr/>
      </vt:variant>
      <vt:variant>
        <vt:lpwstr>_Toc144980270</vt:lpwstr>
      </vt:variant>
      <vt:variant>
        <vt:i4>1835071</vt:i4>
      </vt:variant>
      <vt:variant>
        <vt:i4>164</vt:i4>
      </vt:variant>
      <vt:variant>
        <vt:i4>0</vt:i4>
      </vt:variant>
      <vt:variant>
        <vt:i4>5</vt:i4>
      </vt:variant>
      <vt:variant>
        <vt:lpwstr/>
      </vt:variant>
      <vt:variant>
        <vt:lpwstr>_Toc144980269</vt:lpwstr>
      </vt:variant>
      <vt:variant>
        <vt:i4>1835071</vt:i4>
      </vt:variant>
      <vt:variant>
        <vt:i4>158</vt:i4>
      </vt:variant>
      <vt:variant>
        <vt:i4>0</vt:i4>
      </vt:variant>
      <vt:variant>
        <vt:i4>5</vt:i4>
      </vt:variant>
      <vt:variant>
        <vt:lpwstr/>
      </vt:variant>
      <vt:variant>
        <vt:lpwstr>_Toc144980268</vt:lpwstr>
      </vt:variant>
      <vt:variant>
        <vt:i4>1835071</vt:i4>
      </vt:variant>
      <vt:variant>
        <vt:i4>152</vt:i4>
      </vt:variant>
      <vt:variant>
        <vt:i4>0</vt:i4>
      </vt:variant>
      <vt:variant>
        <vt:i4>5</vt:i4>
      </vt:variant>
      <vt:variant>
        <vt:lpwstr/>
      </vt:variant>
      <vt:variant>
        <vt:lpwstr>_Toc144980267</vt:lpwstr>
      </vt:variant>
      <vt:variant>
        <vt:i4>1835071</vt:i4>
      </vt:variant>
      <vt:variant>
        <vt:i4>146</vt:i4>
      </vt:variant>
      <vt:variant>
        <vt:i4>0</vt:i4>
      </vt:variant>
      <vt:variant>
        <vt:i4>5</vt:i4>
      </vt:variant>
      <vt:variant>
        <vt:lpwstr/>
      </vt:variant>
      <vt:variant>
        <vt:lpwstr>_Toc144980266</vt:lpwstr>
      </vt:variant>
      <vt:variant>
        <vt:i4>1835071</vt:i4>
      </vt:variant>
      <vt:variant>
        <vt:i4>140</vt:i4>
      </vt:variant>
      <vt:variant>
        <vt:i4>0</vt:i4>
      </vt:variant>
      <vt:variant>
        <vt:i4>5</vt:i4>
      </vt:variant>
      <vt:variant>
        <vt:lpwstr/>
      </vt:variant>
      <vt:variant>
        <vt:lpwstr>_Toc144980265</vt:lpwstr>
      </vt:variant>
      <vt:variant>
        <vt:i4>1835071</vt:i4>
      </vt:variant>
      <vt:variant>
        <vt:i4>134</vt:i4>
      </vt:variant>
      <vt:variant>
        <vt:i4>0</vt:i4>
      </vt:variant>
      <vt:variant>
        <vt:i4>5</vt:i4>
      </vt:variant>
      <vt:variant>
        <vt:lpwstr/>
      </vt:variant>
      <vt:variant>
        <vt:lpwstr>_Toc144980264</vt:lpwstr>
      </vt:variant>
      <vt:variant>
        <vt:i4>1835071</vt:i4>
      </vt:variant>
      <vt:variant>
        <vt:i4>128</vt:i4>
      </vt:variant>
      <vt:variant>
        <vt:i4>0</vt:i4>
      </vt:variant>
      <vt:variant>
        <vt:i4>5</vt:i4>
      </vt:variant>
      <vt:variant>
        <vt:lpwstr/>
      </vt:variant>
      <vt:variant>
        <vt:lpwstr>_Toc144980263</vt:lpwstr>
      </vt:variant>
      <vt:variant>
        <vt:i4>1835071</vt:i4>
      </vt:variant>
      <vt:variant>
        <vt:i4>122</vt:i4>
      </vt:variant>
      <vt:variant>
        <vt:i4>0</vt:i4>
      </vt:variant>
      <vt:variant>
        <vt:i4>5</vt:i4>
      </vt:variant>
      <vt:variant>
        <vt:lpwstr/>
      </vt:variant>
      <vt:variant>
        <vt:lpwstr>_Toc144980262</vt:lpwstr>
      </vt:variant>
      <vt:variant>
        <vt:i4>1835071</vt:i4>
      </vt:variant>
      <vt:variant>
        <vt:i4>116</vt:i4>
      </vt:variant>
      <vt:variant>
        <vt:i4>0</vt:i4>
      </vt:variant>
      <vt:variant>
        <vt:i4>5</vt:i4>
      </vt:variant>
      <vt:variant>
        <vt:lpwstr/>
      </vt:variant>
      <vt:variant>
        <vt:lpwstr>_Toc144980261</vt:lpwstr>
      </vt:variant>
      <vt:variant>
        <vt:i4>1835071</vt:i4>
      </vt:variant>
      <vt:variant>
        <vt:i4>110</vt:i4>
      </vt:variant>
      <vt:variant>
        <vt:i4>0</vt:i4>
      </vt:variant>
      <vt:variant>
        <vt:i4>5</vt:i4>
      </vt:variant>
      <vt:variant>
        <vt:lpwstr/>
      </vt:variant>
      <vt:variant>
        <vt:lpwstr>_Toc144980260</vt:lpwstr>
      </vt:variant>
      <vt:variant>
        <vt:i4>2031679</vt:i4>
      </vt:variant>
      <vt:variant>
        <vt:i4>104</vt:i4>
      </vt:variant>
      <vt:variant>
        <vt:i4>0</vt:i4>
      </vt:variant>
      <vt:variant>
        <vt:i4>5</vt:i4>
      </vt:variant>
      <vt:variant>
        <vt:lpwstr/>
      </vt:variant>
      <vt:variant>
        <vt:lpwstr>_Toc144980259</vt:lpwstr>
      </vt:variant>
      <vt:variant>
        <vt:i4>2031679</vt:i4>
      </vt:variant>
      <vt:variant>
        <vt:i4>98</vt:i4>
      </vt:variant>
      <vt:variant>
        <vt:i4>0</vt:i4>
      </vt:variant>
      <vt:variant>
        <vt:i4>5</vt:i4>
      </vt:variant>
      <vt:variant>
        <vt:lpwstr/>
      </vt:variant>
      <vt:variant>
        <vt:lpwstr>_Toc144980258</vt:lpwstr>
      </vt:variant>
      <vt:variant>
        <vt:i4>2031679</vt:i4>
      </vt:variant>
      <vt:variant>
        <vt:i4>92</vt:i4>
      </vt:variant>
      <vt:variant>
        <vt:i4>0</vt:i4>
      </vt:variant>
      <vt:variant>
        <vt:i4>5</vt:i4>
      </vt:variant>
      <vt:variant>
        <vt:lpwstr/>
      </vt:variant>
      <vt:variant>
        <vt:lpwstr>_Toc144980257</vt:lpwstr>
      </vt:variant>
      <vt:variant>
        <vt:i4>2031679</vt:i4>
      </vt:variant>
      <vt:variant>
        <vt:i4>86</vt:i4>
      </vt:variant>
      <vt:variant>
        <vt:i4>0</vt:i4>
      </vt:variant>
      <vt:variant>
        <vt:i4>5</vt:i4>
      </vt:variant>
      <vt:variant>
        <vt:lpwstr/>
      </vt:variant>
      <vt:variant>
        <vt:lpwstr>_Toc144980256</vt:lpwstr>
      </vt:variant>
      <vt:variant>
        <vt:i4>2031679</vt:i4>
      </vt:variant>
      <vt:variant>
        <vt:i4>80</vt:i4>
      </vt:variant>
      <vt:variant>
        <vt:i4>0</vt:i4>
      </vt:variant>
      <vt:variant>
        <vt:i4>5</vt:i4>
      </vt:variant>
      <vt:variant>
        <vt:lpwstr/>
      </vt:variant>
      <vt:variant>
        <vt:lpwstr>_Toc144980255</vt:lpwstr>
      </vt:variant>
      <vt:variant>
        <vt:i4>2031679</vt:i4>
      </vt:variant>
      <vt:variant>
        <vt:i4>74</vt:i4>
      </vt:variant>
      <vt:variant>
        <vt:i4>0</vt:i4>
      </vt:variant>
      <vt:variant>
        <vt:i4>5</vt:i4>
      </vt:variant>
      <vt:variant>
        <vt:lpwstr/>
      </vt:variant>
      <vt:variant>
        <vt:lpwstr>_Toc144980254</vt:lpwstr>
      </vt:variant>
      <vt:variant>
        <vt:i4>2031679</vt:i4>
      </vt:variant>
      <vt:variant>
        <vt:i4>68</vt:i4>
      </vt:variant>
      <vt:variant>
        <vt:i4>0</vt:i4>
      </vt:variant>
      <vt:variant>
        <vt:i4>5</vt:i4>
      </vt:variant>
      <vt:variant>
        <vt:lpwstr/>
      </vt:variant>
      <vt:variant>
        <vt:lpwstr>_Toc144980253</vt:lpwstr>
      </vt:variant>
      <vt:variant>
        <vt:i4>2031679</vt:i4>
      </vt:variant>
      <vt:variant>
        <vt:i4>62</vt:i4>
      </vt:variant>
      <vt:variant>
        <vt:i4>0</vt:i4>
      </vt:variant>
      <vt:variant>
        <vt:i4>5</vt:i4>
      </vt:variant>
      <vt:variant>
        <vt:lpwstr/>
      </vt:variant>
      <vt:variant>
        <vt:lpwstr>_Toc144980252</vt:lpwstr>
      </vt:variant>
      <vt:variant>
        <vt:i4>2031679</vt:i4>
      </vt:variant>
      <vt:variant>
        <vt:i4>56</vt:i4>
      </vt:variant>
      <vt:variant>
        <vt:i4>0</vt:i4>
      </vt:variant>
      <vt:variant>
        <vt:i4>5</vt:i4>
      </vt:variant>
      <vt:variant>
        <vt:lpwstr/>
      </vt:variant>
      <vt:variant>
        <vt:lpwstr>_Toc144980251</vt:lpwstr>
      </vt:variant>
      <vt:variant>
        <vt:i4>2031679</vt:i4>
      </vt:variant>
      <vt:variant>
        <vt:i4>50</vt:i4>
      </vt:variant>
      <vt:variant>
        <vt:i4>0</vt:i4>
      </vt:variant>
      <vt:variant>
        <vt:i4>5</vt:i4>
      </vt:variant>
      <vt:variant>
        <vt:lpwstr/>
      </vt:variant>
      <vt:variant>
        <vt:lpwstr>_Toc144980250</vt:lpwstr>
      </vt:variant>
      <vt:variant>
        <vt:i4>1966143</vt:i4>
      </vt:variant>
      <vt:variant>
        <vt:i4>44</vt:i4>
      </vt:variant>
      <vt:variant>
        <vt:i4>0</vt:i4>
      </vt:variant>
      <vt:variant>
        <vt:i4>5</vt:i4>
      </vt:variant>
      <vt:variant>
        <vt:lpwstr/>
      </vt:variant>
      <vt:variant>
        <vt:lpwstr>_Toc144980249</vt:lpwstr>
      </vt:variant>
      <vt:variant>
        <vt:i4>1966143</vt:i4>
      </vt:variant>
      <vt:variant>
        <vt:i4>38</vt:i4>
      </vt:variant>
      <vt:variant>
        <vt:i4>0</vt:i4>
      </vt:variant>
      <vt:variant>
        <vt:i4>5</vt:i4>
      </vt:variant>
      <vt:variant>
        <vt:lpwstr/>
      </vt:variant>
      <vt:variant>
        <vt:lpwstr>_Toc144980248</vt:lpwstr>
      </vt:variant>
      <vt:variant>
        <vt:i4>1966143</vt:i4>
      </vt:variant>
      <vt:variant>
        <vt:i4>32</vt:i4>
      </vt:variant>
      <vt:variant>
        <vt:i4>0</vt:i4>
      </vt:variant>
      <vt:variant>
        <vt:i4>5</vt:i4>
      </vt:variant>
      <vt:variant>
        <vt:lpwstr/>
      </vt:variant>
      <vt:variant>
        <vt:lpwstr>_Toc144980247</vt:lpwstr>
      </vt:variant>
      <vt:variant>
        <vt:i4>1966143</vt:i4>
      </vt:variant>
      <vt:variant>
        <vt:i4>26</vt:i4>
      </vt:variant>
      <vt:variant>
        <vt:i4>0</vt:i4>
      </vt:variant>
      <vt:variant>
        <vt:i4>5</vt:i4>
      </vt:variant>
      <vt:variant>
        <vt:lpwstr/>
      </vt:variant>
      <vt:variant>
        <vt:lpwstr>_Toc144980246</vt:lpwstr>
      </vt:variant>
      <vt:variant>
        <vt:i4>1966143</vt:i4>
      </vt:variant>
      <vt:variant>
        <vt:i4>20</vt:i4>
      </vt:variant>
      <vt:variant>
        <vt:i4>0</vt:i4>
      </vt:variant>
      <vt:variant>
        <vt:i4>5</vt:i4>
      </vt:variant>
      <vt:variant>
        <vt:lpwstr/>
      </vt:variant>
      <vt:variant>
        <vt:lpwstr>_Toc144980245</vt:lpwstr>
      </vt:variant>
      <vt:variant>
        <vt:i4>1966143</vt:i4>
      </vt:variant>
      <vt:variant>
        <vt:i4>14</vt:i4>
      </vt:variant>
      <vt:variant>
        <vt:i4>0</vt:i4>
      </vt:variant>
      <vt:variant>
        <vt:i4>5</vt:i4>
      </vt:variant>
      <vt:variant>
        <vt:lpwstr/>
      </vt:variant>
      <vt:variant>
        <vt:lpwstr>_Toc144980244</vt:lpwstr>
      </vt:variant>
      <vt:variant>
        <vt:i4>1966143</vt:i4>
      </vt:variant>
      <vt:variant>
        <vt:i4>8</vt:i4>
      </vt:variant>
      <vt:variant>
        <vt:i4>0</vt:i4>
      </vt:variant>
      <vt:variant>
        <vt:i4>5</vt:i4>
      </vt:variant>
      <vt:variant>
        <vt:lpwstr/>
      </vt:variant>
      <vt:variant>
        <vt:lpwstr>_Toc144980243</vt:lpwstr>
      </vt:variant>
      <vt:variant>
        <vt:i4>1966143</vt:i4>
      </vt:variant>
      <vt:variant>
        <vt:i4>2</vt:i4>
      </vt:variant>
      <vt:variant>
        <vt:i4>0</vt:i4>
      </vt:variant>
      <vt:variant>
        <vt:i4>5</vt:i4>
      </vt:variant>
      <vt:variant>
        <vt:lpwstr/>
      </vt:variant>
      <vt:variant>
        <vt:lpwstr>_Toc144980242</vt:lpwstr>
      </vt:variant>
      <vt:variant>
        <vt:i4>196641</vt:i4>
      </vt:variant>
      <vt:variant>
        <vt:i4>6</vt:i4>
      </vt:variant>
      <vt:variant>
        <vt:i4>0</vt:i4>
      </vt:variant>
      <vt:variant>
        <vt:i4>5</vt:i4>
      </vt:variant>
      <vt:variant>
        <vt:lpwstr>https://ec.europa.eu/clima/eu-action/funding-climate-action/innovation-fund/project-development-assistance_en</vt:lpwstr>
      </vt:variant>
      <vt:variant>
        <vt:lpwstr/>
      </vt:variant>
      <vt:variant>
        <vt:i4>7798868</vt:i4>
      </vt:variant>
      <vt:variant>
        <vt:i4>3</vt:i4>
      </vt:variant>
      <vt:variant>
        <vt:i4>0</vt:i4>
      </vt:variant>
      <vt:variant>
        <vt:i4>5</vt:i4>
      </vt:variant>
      <vt:variant>
        <vt:lpwstr>https://ec.europa.eu/clima/eu-action/funding-climate-action/innovation-fund/small-scale-projects_en</vt:lpwstr>
      </vt:variant>
      <vt:variant>
        <vt:lpwstr/>
      </vt:variant>
      <vt:variant>
        <vt:i4>5308473</vt:i4>
      </vt:variant>
      <vt:variant>
        <vt:i4>0</vt:i4>
      </vt:variant>
      <vt:variant>
        <vt:i4>0</vt:i4>
      </vt:variant>
      <vt:variant>
        <vt:i4>5</vt:i4>
      </vt:variant>
      <vt:variant>
        <vt:lpwstr>https://ec.europa.eu/clima/eu-action/funding-climate-action/innovation-fund/large-scale-projects_en</vt:lpwstr>
      </vt:variant>
      <vt:variant>
        <vt:lpwstr>ecl-inpage-1241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2024-01-03T10:51:00Z</dcterms:created>
  <dcterms:modified xsi:type="dcterms:W3CDTF">2024-01-03T10:51:00Z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2023-09-12T07:01:28Z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122f8fd3-13d4-4b6d-8e10-c715a657f482</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CP-006</vt:lpwstr>
  </property>
</Properties>
</file>