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Rezolucja Nr 41/XLI/25</w:t>
        <w:br/>
        <w:t>Rady Miasta Krakowa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8"/>
        </w:rPr>
        <w:t>z dnia 19 listopada 2025 r.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rStyle w:val="CharStyle8"/>
          <w:b/>
          <w:bCs/>
        </w:rPr>
        <w:t>w sprawie wprowadzenia zmian legislacyjnych umożliwiających gminom</w:t>
        <w:br/>
        <w:t>skuteczniejsze przeciwdziałanie zjawisku bazgrołów w przestrzeni publicznej.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>Rada Miasta Krakowa, dostrzegając narastający problem szpecenia przestrzeni miejskiej poprzez tzw. bazgroły - nielegalne napisy, rysunki i oznaczenia nanoszone bez zgody właścicieli nieruchomości - zwraca się do Prezesa Rady Ministrów, Ministra Klimatu i Środowiska oraz Ministra Finansów o podjęcie działań legislacyjnych mających na celu wyposażenie gmin w skuteczne narzędzia prawne do walki z tym zjawiskiem.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>Obecnie obowiązujące przepisy w niewystarczającym stopniu umożliwiają gminom reagowanie na akty wandalizmu w przestrzeni prywatnej, mimo że ich skutki w znacznym stopniu oddziałują na wizerunek i estetykę przestrzeni publicznej. Brakuje jednoznacznych podstaw prawnych zarówno do egzekwowania obowiązku usuwania bazgrołów przez właścicieli nieruchomości, jak i do udzielania im wsparcia finansowego w tym zakresie. W efekcie wiele samorządów, mimo podejmowanych działań porządkowych, pozostaje bez realnych instrumentów, które pozwoliłyby skutecznie i systemowo rozwiązać ten problem.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>W opinii Rady Miasta Krakowa konieczne jest wprowadzenie szeregu zmian w obowiązujących ustawach, tak aby umożliwić gminom podejmowanie działań zarówno o charakterze porządkowym, jak i finansowym.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 xml:space="preserve">Pierwszym kierunkiem zmian powinna być nowelizacja </w:t>
      </w:r>
      <w:r>
        <w:rPr>
          <w:rStyle w:val="CharStyle8"/>
          <w:b/>
          <w:bCs/>
        </w:rPr>
        <w:t xml:space="preserve">ustawy z dnia 13 września 1996 r. o utrzymaniu czystości i porządku w gminach (Dz. U. z 2025 r., poz. 733) </w:t>
      </w:r>
      <w:r>
        <w:rPr>
          <w:rStyle w:val="CharStyle8"/>
        </w:rPr>
        <w:t xml:space="preserve">poprzez dodanie nowego </w:t>
      </w:r>
      <w:r>
        <w:rPr>
          <w:rStyle w:val="CharStyle8"/>
          <w:b/>
          <w:bCs/>
        </w:rPr>
        <w:t xml:space="preserve">punktu 7a w art. 4 ust. 2a. </w:t>
      </w:r>
      <w:r>
        <w:rPr>
          <w:rStyle w:val="CharStyle8"/>
        </w:rPr>
        <w:t>Zmiana ta miałaby na celu wprowadzenie delegacji ustawowej pozwalającej gminom na określenie w regulaminach czystości i porządku obowiązku właścicieli nieruchomości do usuwania napisów, rysunków i wszelkiego rodzaju ornamentów umieszczanych bez ich zgody. Rozszerzenie treści art. 4 ust. 2a o taki przepis umożliwiłoby jednoznaczne przypisanie odpowiedzialności za utrzymanie czystości i estetyki elewacji, a jednocześnie pozwoliłoby gminom podejmować działania egzekucyjne wobec właścicieli, którzy uporczywie zaniedbują swoje obowiązki w tym zakresie.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 xml:space="preserve">Równocześnie niezbędna jest nowelizacja </w:t>
      </w:r>
      <w:r>
        <w:rPr>
          <w:rStyle w:val="CharStyle8"/>
          <w:b/>
          <w:bCs/>
        </w:rPr>
        <w:t xml:space="preserve">ustawy z dnia 8 marca 1990 r. o samorządzie gminnym (Dz. U. z 2025 r., poz. 1153) </w:t>
      </w:r>
      <w:r>
        <w:rPr>
          <w:rStyle w:val="CharStyle8"/>
        </w:rPr>
        <w:t xml:space="preserve">poprzez dopisanie nowego </w:t>
      </w:r>
      <w:r>
        <w:rPr>
          <w:rStyle w:val="CharStyle8"/>
          <w:b/>
          <w:bCs/>
        </w:rPr>
        <w:t>punktu 15a w art. 7 ust. 1</w:t>
      </w:r>
      <w:r>
        <w:rPr>
          <w:rStyle w:val="CharStyle8"/>
        </w:rPr>
        <w:t>. Zmiana ta rozszerzyłaby katalog zadań własnych gminy o obowiązek „dbania o estetykę nieruchomości”. Dzięki temu samorządy zyskałyby jednoznaczną podstawę prawną do podejmowania działań zmierzających do poprawy estetyki przestrzeni, w tym do prowadzenia lokalnych programów wsparcia właścicieli budynków, organizowania kampanii społecznych czy tworzenia programów porządkowo- edukacyjnych. Dodanie takiego przepisu uporządkowałoby praktykę samorządów i potwierdziło, że dbałość o estetykę przestrzeni publicznej jest nie tylko zadaniem, ale i obowiązkiem gminy.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 xml:space="preserve">Trzecim elementem koniecznym do stworzenia spójnego systemu prawnego jest zmiana </w:t>
      </w:r>
      <w:r>
        <w:rPr>
          <w:rStyle w:val="CharStyle8"/>
          <w:b/>
          <w:bCs/>
        </w:rPr>
        <w:t xml:space="preserve">ustawy z dnia 27 sierpnia 2009 r. o finansach publicznych (Dz. U. z 2024 r., poz. 1530 z późn. zm.) </w:t>
      </w:r>
      <w:r>
        <w:rPr>
          <w:rStyle w:val="CharStyle8"/>
        </w:rPr>
        <w:t xml:space="preserve">poprzez dodanie nowego </w:t>
      </w:r>
      <w:r>
        <w:rPr>
          <w:rStyle w:val="CharStyle8"/>
          <w:b/>
          <w:bCs/>
        </w:rPr>
        <w:t>art. 221 b</w:t>
      </w:r>
      <w:r>
        <w:rPr>
          <w:rStyle w:val="CharStyle8"/>
        </w:rPr>
        <w:t>. Przepis ten umożliwiłby gminom przekazywanie dotacji celowych właścicielom nieruchomości na dofinansowanie kosztów usuwania bazgrołów powstałych bez ich zgody. Wprowadzenie takiej regulacji wyeliminowałoby istniejące dziś wątpliwości interpretacyjne i pozwoliłoby samorządom legalnie finansować działania mające na celu poprawę estetyki przestrzeni. Zgodnie z proponowanym brzmieniem nowego artykułu, udzielanie dotacji odbywałoby się na podstawie umowy zawieranej w ramach lokalnych programów dbania o estetykę nieruchomości, przyjętych uchwałą rady gminy. W efekcie gminy mogłyby skutecznie wspierać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>właścicieli w usuwaniu nielegalnych napisów, zapewniając im realną pomoc finansową i organizacyjną.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Rada Miasta Krakowa podkreśla, że kompleksowe wprowadzenie powyższych zmian stworzyłoby spójny system prawny, który pozwoliłby samorządom skutecznie i konsekwentnie walczyć z nielegalnym graffiti, poprawiając wizerunek miast i gmin w całej Polsce. Kraków, jako jedno z miast szczególnie dotkniętych problemem bazgrołów, deklaruje gotowość do współpracy.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966" w:right="982" w:bottom="1270" w:left="972" w:header="53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10421620</wp:posOffset>
              </wp:positionV>
              <wp:extent cx="6275705" cy="1035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7570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8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sz w:val="18"/>
                              <w:szCs w:val="18"/>
                            </w:rPr>
                            <w:t>Id: EEE89D01-CEAB-4167-91DD-FA0503A77382. Podpisany</w:t>
                            <w:tab/>
                            <w:t xml:space="preserve">Strona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.300000000000004pt;margin-top:820.60000000000002pt;width:494.15000000000003pt;height:8.1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sz w:val="18"/>
                        <w:szCs w:val="18"/>
                      </w:rPr>
                      <w:t>Id: EEE89D01-CEAB-4167-91DD-FA0503A77382. Podpisany</w:t>
                      <w:tab/>
                      <w:t xml:space="preserve">Strona </w:t>
                    </w:r>
                    <w:fldSimple w:instr=" PAGE \* MERGEFORMAT ">
                      <w:r>
                        <w:rPr>
                          <w:rStyle w:val="CharStyle5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10372725</wp:posOffset>
              </wp:positionV>
              <wp:extent cx="6290945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9094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0.050000000000004pt;margin-top:816.75pt;width:495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Heading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Header or footer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Body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auto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Header or footer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Style7">
    <w:name w:val="Body text"/>
    <w:basedOn w:val="Normal"/>
    <w:link w:val="CharStyle8"/>
    <w:qFormat/>
    <w:pPr>
      <w:widowControl w:val="0"/>
      <w:shd w:val="clear" w:color="auto" w:fill="auto"/>
      <w:spacing w:after="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Rezolucja Nr 41/XLI/25 Rady Miasta Krakowa z dnia 19 listopada 2025 r. w sprawie wprowadzenia zmian legislacyjnych umożliwiających gminom skuteczniejsze przeciwdziałanie zjawisku bazgrołów w przestrzeni publicznej.</dc:title>
  <dc:subject>Rezolucja Nr 41/XLI/25 z dnia 19 listopada 2025 r. Rady Miasta Krakowa w sprawie wprowadzenia zmian legislacyjnych umożliwiających gminom skuteczniejsze przeciwdziałanie zjawisku bazgrołów w przestrzeni publicznej.</dc:subject>
  <dc:creator>Rada Miasta Krakowa</dc:creator>
  <cp:keywords/>
</cp:coreProperties>
</file>