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198B2" w14:textId="5CF172BE" w:rsidR="00F92647" w:rsidRDefault="00F92647" w:rsidP="001E7D21">
      <w:pPr>
        <w:numPr>
          <w:ilvl w:val="1"/>
          <w:numId w:val="0"/>
        </w:numPr>
        <w:rPr>
          <w:rFonts w:eastAsia="PMingLiU"/>
          <w:sz w:val="22"/>
          <w:szCs w:val="22"/>
          <w:lang w:eastAsia="zh-TW"/>
        </w:rPr>
      </w:pPr>
      <w:r w:rsidRPr="007138B6">
        <w:rPr>
          <w:rFonts w:eastAsia="PMingLiU"/>
          <w:sz w:val="22"/>
          <w:szCs w:val="22"/>
          <w:lang w:eastAsia="zh-TW"/>
        </w:rPr>
        <w:t>Załącznik</w:t>
      </w:r>
      <w:r w:rsidR="00562961">
        <w:rPr>
          <w:rFonts w:eastAsia="PMingLiU"/>
          <w:sz w:val="22"/>
          <w:szCs w:val="22"/>
          <w:lang w:eastAsia="zh-TW"/>
        </w:rPr>
        <w:t xml:space="preserve"> </w:t>
      </w:r>
      <w:r w:rsidRPr="007138B6">
        <w:rPr>
          <w:rFonts w:eastAsia="PMingLiU"/>
          <w:sz w:val="22"/>
          <w:szCs w:val="22"/>
          <w:lang w:eastAsia="zh-TW"/>
        </w:rPr>
        <w:t>B.5.</w:t>
      </w:r>
    </w:p>
    <w:p w14:paraId="709BC23F" w14:textId="77777777" w:rsidR="00F92647" w:rsidRPr="007138B6" w:rsidRDefault="00F92647" w:rsidP="001E7D21">
      <w:pPr>
        <w:numPr>
          <w:ilvl w:val="1"/>
          <w:numId w:val="0"/>
        </w:numPr>
        <w:rPr>
          <w:rFonts w:eastAsia="PMingLiU"/>
          <w:sz w:val="22"/>
          <w:szCs w:val="22"/>
          <w:lang w:eastAsia="zh-TW"/>
        </w:rPr>
      </w:pPr>
    </w:p>
    <w:p w14:paraId="2277E612" w14:textId="663B1455" w:rsidR="00F92647" w:rsidRPr="00495260" w:rsidRDefault="00F92647" w:rsidP="00F92647">
      <w:pPr>
        <w:autoSpaceDE w:val="0"/>
        <w:autoSpaceDN w:val="0"/>
        <w:adjustRightInd w:val="0"/>
        <w:spacing w:after="240"/>
        <w:rPr>
          <w:sz w:val="40"/>
        </w:rPr>
      </w:pPr>
      <w:r w:rsidRPr="00495260">
        <w:rPr>
          <w:b/>
          <w:sz w:val="28"/>
          <w:szCs w:val="18"/>
        </w:rPr>
        <w:t>LECZENIE</w:t>
      </w:r>
      <w:r w:rsidR="00562961">
        <w:rPr>
          <w:b/>
          <w:sz w:val="28"/>
          <w:szCs w:val="18"/>
        </w:rPr>
        <w:t xml:space="preserve"> </w:t>
      </w:r>
      <w:r>
        <w:rPr>
          <w:b/>
          <w:sz w:val="28"/>
          <w:szCs w:val="18"/>
        </w:rPr>
        <w:t>CHORYCH</w:t>
      </w:r>
      <w:r w:rsidR="00562961">
        <w:rPr>
          <w:b/>
          <w:sz w:val="28"/>
          <w:szCs w:val="18"/>
        </w:rPr>
        <w:t xml:space="preserve"> </w:t>
      </w:r>
      <w:r>
        <w:rPr>
          <w:b/>
          <w:sz w:val="28"/>
          <w:szCs w:val="18"/>
        </w:rPr>
        <w:t>NA</w:t>
      </w:r>
      <w:r w:rsidR="00562961">
        <w:rPr>
          <w:b/>
          <w:sz w:val="28"/>
          <w:szCs w:val="18"/>
        </w:rPr>
        <w:t xml:space="preserve"> </w:t>
      </w:r>
      <w:r w:rsidRPr="00495260">
        <w:rPr>
          <w:b/>
          <w:sz w:val="28"/>
          <w:szCs w:val="18"/>
        </w:rPr>
        <w:t>RAKA</w:t>
      </w:r>
      <w:r w:rsidR="00562961">
        <w:rPr>
          <w:b/>
          <w:sz w:val="28"/>
          <w:szCs w:val="18"/>
        </w:rPr>
        <w:t xml:space="preserve"> </w:t>
      </w:r>
      <w:r w:rsidRPr="00495260">
        <w:rPr>
          <w:b/>
          <w:sz w:val="28"/>
          <w:szCs w:val="18"/>
        </w:rPr>
        <w:t>WĄTROBO</w:t>
      </w:r>
      <w:r>
        <w:rPr>
          <w:b/>
          <w:sz w:val="28"/>
          <w:szCs w:val="18"/>
        </w:rPr>
        <w:t>WO</w:t>
      </w:r>
      <w:r w:rsidRPr="00495260">
        <w:rPr>
          <w:b/>
          <w:sz w:val="28"/>
          <w:szCs w:val="18"/>
        </w:rPr>
        <w:t>KOMÓRKOWEGO</w:t>
      </w:r>
      <w:r w:rsidR="00562961">
        <w:rPr>
          <w:b/>
          <w:sz w:val="28"/>
          <w:szCs w:val="18"/>
        </w:rPr>
        <w:t xml:space="preserve"> </w:t>
      </w:r>
      <w:r w:rsidRPr="00495260">
        <w:rPr>
          <w:b/>
          <w:sz w:val="28"/>
          <w:szCs w:val="18"/>
        </w:rPr>
        <w:t>(ICD-10</w:t>
      </w:r>
      <w:r>
        <w:rPr>
          <w:b/>
          <w:sz w:val="28"/>
          <w:szCs w:val="18"/>
        </w:rPr>
        <w:t>:</w:t>
      </w:r>
      <w:r w:rsidR="00562961">
        <w:rPr>
          <w:b/>
          <w:sz w:val="28"/>
          <w:szCs w:val="18"/>
        </w:rPr>
        <w:t xml:space="preserve"> </w:t>
      </w:r>
      <w:r>
        <w:rPr>
          <w:b/>
          <w:sz w:val="28"/>
          <w:szCs w:val="18"/>
        </w:rPr>
        <w:t>C22.0</w:t>
      </w:r>
      <w:r w:rsidRPr="00495260">
        <w:rPr>
          <w:b/>
          <w:sz w:val="28"/>
          <w:szCs w:val="18"/>
        </w:rPr>
        <w:t>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1"/>
        <w:gridCol w:w="4113"/>
        <w:gridCol w:w="5608"/>
      </w:tblGrid>
      <w:tr w:rsidR="00565830" w:rsidRPr="00966F29" w14:paraId="466A3A7C" w14:textId="77777777" w:rsidTr="00F3571E">
        <w:trPr>
          <w:trHeight w:val="567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60CEA" w14:textId="0E0B1306" w:rsidR="00565830" w:rsidRPr="00966F29" w:rsidRDefault="00565830" w:rsidP="00966F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ZAKRES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ŚWIADCZENIA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GWARANTOWANEGO</w:t>
            </w:r>
          </w:p>
        </w:tc>
      </w:tr>
      <w:tr w:rsidR="00565830" w:rsidRPr="00966F29" w14:paraId="398EA4F9" w14:textId="77777777" w:rsidTr="00F3571E">
        <w:trPr>
          <w:trHeight w:val="567"/>
        </w:trPr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79D7" w14:textId="77777777" w:rsidR="00565830" w:rsidRPr="00966F29" w:rsidRDefault="00565830" w:rsidP="00966F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ŚWIADCZENIOBIORCY</w:t>
            </w: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19224C" w14:textId="7CE86415" w:rsidR="00565830" w:rsidRPr="00966F29" w:rsidRDefault="00565830" w:rsidP="00966F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SCHEMAT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DAWKOWANIA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LEKÓW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="00562961">
              <w:rPr>
                <w:b/>
                <w:bCs/>
                <w:sz w:val="20"/>
                <w:szCs w:val="20"/>
              </w:rPr>
              <w:br/>
            </w:r>
            <w:r w:rsidRPr="00966F29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PROGRAMIE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457462" w14:textId="7A547F26" w:rsidR="00565830" w:rsidRPr="00966F29" w:rsidRDefault="00565830" w:rsidP="00966F29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sz w:val="20"/>
                <w:szCs w:val="20"/>
              </w:rPr>
            </w:pPr>
            <w:r w:rsidRPr="00966F29">
              <w:rPr>
                <w:b/>
                <w:bCs/>
                <w:sz w:val="20"/>
                <w:szCs w:val="20"/>
              </w:rPr>
              <w:t>BADANIA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DIAGNOSTYCZNE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WYKONYWANE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="00562961">
              <w:rPr>
                <w:b/>
                <w:bCs/>
                <w:sz w:val="20"/>
                <w:szCs w:val="20"/>
              </w:rPr>
              <w:br/>
            </w:r>
            <w:r w:rsidRPr="00966F29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RAMACH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66F29">
              <w:rPr>
                <w:b/>
                <w:bCs/>
                <w:sz w:val="20"/>
                <w:szCs w:val="20"/>
              </w:rPr>
              <w:t>PROGRAMU</w:t>
            </w:r>
          </w:p>
        </w:tc>
      </w:tr>
      <w:tr w:rsidR="00565830" w:rsidRPr="001349B5" w14:paraId="0B39F6D5" w14:textId="77777777" w:rsidTr="00F3571E">
        <w:tc>
          <w:tcPr>
            <w:tcW w:w="18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04BE8" w14:textId="59005F22" w:rsidR="00F92647" w:rsidRPr="00973771" w:rsidRDefault="00F92647" w:rsidP="00973771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finansuje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się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dwie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linie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raka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wątrobowokomórkowego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(HCC)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substancjami:</w:t>
            </w:r>
          </w:p>
          <w:p w14:paraId="393CC55E" w14:textId="346AE3B1" w:rsidR="00F92647" w:rsidRPr="00973771" w:rsidRDefault="00F92647" w:rsidP="00F3571E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sorafenib</w:t>
            </w:r>
          </w:p>
          <w:p w14:paraId="6B6C88ED" w14:textId="391F8564" w:rsidR="00F92647" w:rsidRPr="00973771" w:rsidRDefault="00F92647" w:rsidP="00F3571E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atezolizumab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bewacyzumabem</w:t>
            </w:r>
          </w:p>
          <w:p w14:paraId="3DCDEDE0" w14:textId="5020ADA8" w:rsidR="00F92647" w:rsidRDefault="00F92647" w:rsidP="00F3571E">
            <w:pPr>
              <w:pStyle w:val="Akapitzlist"/>
              <w:numPr>
                <w:ilvl w:val="3"/>
                <w:numId w:val="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kabozantynib</w:t>
            </w:r>
          </w:p>
          <w:p w14:paraId="10B2E591" w14:textId="77777777" w:rsidR="00F3571E" w:rsidRPr="00973771" w:rsidRDefault="00F3571E" w:rsidP="00F3571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202B74EE" w14:textId="17051A0F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pierwszej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linii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dostępne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dwie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terapie:</w:t>
            </w:r>
          </w:p>
          <w:p w14:paraId="0616A740" w14:textId="77777777" w:rsidR="00F3571E" w:rsidRDefault="00F92647" w:rsidP="00F3571E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atezolizumabem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bewacyzumabem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dorosłych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przerzutów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przerzutami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pozawątrobowymi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3E319E09" w14:textId="51535CA9" w:rsidR="00F92647" w:rsidRPr="00973771" w:rsidRDefault="00F92647" w:rsidP="00F3571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albo</w:t>
            </w:r>
          </w:p>
          <w:p w14:paraId="1088955E" w14:textId="3A1DB5DB" w:rsidR="00F92647" w:rsidRDefault="00F92647" w:rsidP="00F3571E">
            <w:pPr>
              <w:pStyle w:val="Akapitzlist"/>
              <w:numPr>
                <w:ilvl w:val="3"/>
                <w:numId w:val="17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sorafenibem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dorosłych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przerzutów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przerzutami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pozawątrobowymi.</w:t>
            </w:r>
          </w:p>
          <w:p w14:paraId="20D665A8" w14:textId="77777777" w:rsidR="00F3571E" w:rsidRPr="00973771" w:rsidRDefault="00F3571E" w:rsidP="00F3571E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  <w:p w14:paraId="62D6DF4F" w14:textId="4276CDFC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drugiej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linii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dostępna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jest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jedna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terapia:</w:t>
            </w:r>
          </w:p>
          <w:p w14:paraId="6841C153" w14:textId="13651938" w:rsidR="00F92647" w:rsidRPr="00973771" w:rsidRDefault="00F92647" w:rsidP="00973771">
            <w:pPr>
              <w:pStyle w:val="Akapitzlist"/>
              <w:numPr>
                <w:ilvl w:val="3"/>
                <w:numId w:val="11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kabozantynibem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(po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uprzednim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nieskutecznym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inhibitorami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kinaz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tyrozynowych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immunoterapią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antyangiogennym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nietolerancją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warunkiem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ustąpienia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istotnych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działań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niepożądanych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stosowanej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wcześniej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terapii).</w:t>
            </w:r>
          </w:p>
          <w:p w14:paraId="3DA26F02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1B89821C" w14:textId="7CA16E26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lastRenderedPageBreak/>
              <w:t>Leczenie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raka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wątrobowokomórkowego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programie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obejmuje:</w:t>
            </w:r>
          </w:p>
          <w:p w14:paraId="0551329C" w14:textId="6BD7E677" w:rsidR="00F92647" w:rsidRPr="00973771" w:rsidRDefault="00F92647" w:rsidP="00973771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t>leczenie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raka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wątrobowokomórkowego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inhibitorami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kinaz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tyrozynowych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(sorafenibem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albo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kabozantynibem)</w:t>
            </w:r>
          </w:p>
          <w:p w14:paraId="170F3443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ind w:left="227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t>albo</w:t>
            </w:r>
          </w:p>
          <w:p w14:paraId="3D549A8C" w14:textId="7C79EB95" w:rsidR="00F92647" w:rsidRPr="00973771" w:rsidRDefault="00F92647" w:rsidP="00973771">
            <w:pPr>
              <w:pStyle w:val="Akapitzlist"/>
              <w:numPr>
                <w:ilvl w:val="3"/>
                <w:numId w:val="12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t>immunoterapia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skojarzeniu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leczeniem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antyangiogennym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(atezolizumabem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skojarzeniu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bewacyzumabem).</w:t>
            </w:r>
          </w:p>
          <w:p w14:paraId="71B9CD24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FFFC793" w14:textId="47972186" w:rsidR="00F92647" w:rsidRPr="00973771" w:rsidRDefault="00F92647" w:rsidP="0097377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t>Kryteria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kwalifikacji</w:t>
            </w:r>
          </w:p>
          <w:p w14:paraId="12984904" w14:textId="0D68B7DD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histologiczne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cytologiczne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potwierdzony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miejscowo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zaawansowany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przerzutowy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rak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wątrobowokomórkowy.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marskością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zmianami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średnicy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≥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1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możliwe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jest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odstąpienie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rozpoznania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histologicznego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cytologicznego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warunkiem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uzyskania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typowego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obrazu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dla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HCC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wielofazowej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tomografii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(TK)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rezonansie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magnetycznym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kontrastem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(MRI),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wzmocnieniem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tętniczej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(zmiana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hiperdensyjna)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wypłukiwaniem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kontrastu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ogniska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żylnej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wrotnej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opóźnionej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(zmiana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hipodensyjna);</w:t>
            </w:r>
          </w:p>
          <w:p w14:paraId="7735E69B" w14:textId="586839EE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brak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możliwości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zastosowania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radykalnego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chirurgicznego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lokoregionalnych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nieskuteczność;</w:t>
            </w:r>
          </w:p>
          <w:p w14:paraId="69DCC570" w14:textId="4ABE2A96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niestosowanie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przeszłości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systemowego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powodu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raka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wątrobowokomórkowego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dotyczy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sorafenibem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atezolizumabem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</w:t>
            </w:r>
            <w:r w:rsidR="00D86C8A">
              <w:rPr>
                <w:sz w:val="20"/>
                <w:szCs w:val="20"/>
              </w:rPr>
              <w:t>e</w:t>
            </w:r>
            <w:r w:rsidRPr="00973771">
              <w:rPr>
                <w:sz w:val="20"/>
                <w:szCs w:val="20"/>
              </w:rPr>
              <w:t>wacyzumabem;</w:t>
            </w:r>
          </w:p>
          <w:p w14:paraId="558F40B7" w14:textId="04E47FC7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stan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sprawności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0-1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według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Zubroda-WHO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ECOG;</w:t>
            </w:r>
          </w:p>
          <w:p w14:paraId="73B27CF3" w14:textId="26C338A0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czynnościowy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stan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kategorii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podstawie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oceny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według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klasyfikacji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Child-Pugh;</w:t>
            </w:r>
          </w:p>
          <w:p w14:paraId="217079A1" w14:textId="5D0BCD36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obecność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przynajmniej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jednej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zmiany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mierzalnej,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zgodnie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aktualnie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obowiązującymi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RECIST;</w:t>
            </w:r>
          </w:p>
          <w:p w14:paraId="72F6D8FF" w14:textId="121D1EDC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lastRenderedPageBreak/>
              <w:t>nieobecność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istotnych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schorzeń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współistniejących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stanowiących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przeciwskazanie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stwierdzonych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lekarza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prowadzącego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oparciu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odpowiednie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Charakterystyki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Produktu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Leczniczego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wytyczne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Polskiego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Towarzystwa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Onkologii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raka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wątrobowokomórkowego;</w:t>
            </w:r>
          </w:p>
          <w:p w14:paraId="02EFA1BB" w14:textId="06D3D6E7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adekwatna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wydolność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narządowa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określona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podstawie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wyników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laboratoryjnych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krwi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umożliwiająca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opinii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lekarza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prowadzącego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bezpieczne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rozpoczęcie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terapii;</w:t>
            </w:r>
          </w:p>
          <w:p w14:paraId="3E1C3669" w14:textId="16B82A43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brak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przeciwwskazań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stosowania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każdego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leków;</w:t>
            </w:r>
          </w:p>
          <w:p w14:paraId="5B602BD1" w14:textId="05C7E784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współistnienia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aktywnych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nowotworów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złośliwych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albo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wcześniejszego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zachorowania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jakikolwiek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nowotwór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złośliwy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dopuszcza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się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włączenie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uzyskaniu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zgody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Konsultanta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Krajowego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Konsultanta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Wojewódzkiego,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ile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miało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charakter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radykalny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miało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charakteru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radykalnego,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uzyskano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całkowitą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remisję;</w:t>
            </w:r>
          </w:p>
          <w:p w14:paraId="137DE152" w14:textId="686BCAB7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wykluczenie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ciąży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okresu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karmienia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piersią.</w:t>
            </w:r>
          </w:p>
          <w:p w14:paraId="4751F5DB" w14:textId="2F2E056C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Powyższe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kwalifikacji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muszą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być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spełnione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łącznie.</w:t>
            </w:r>
          </w:p>
          <w:p w14:paraId="2E519E76" w14:textId="73C8C285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Ponadto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kwalifikowani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również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pacjenci,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którzy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byli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ramach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sposobu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finansowania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warunkiem,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że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chwili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rozpoczęcia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spełniali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kwalifikacji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lekowego.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0C38EEC9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7F2D474B" w14:textId="2184F13C" w:rsidR="00F92647" w:rsidRPr="00973771" w:rsidRDefault="00F92647" w:rsidP="0097377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t>Określenie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czasu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leczenia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programie</w:t>
            </w:r>
          </w:p>
          <w:p w14:paraId="071503E2" w14:textId="4453992A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trwa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podjęcia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lekarza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prowadzącego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decyzji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wyłączeniu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świadczeniobiorcy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zgodnie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wyłączenia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których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pkt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3.</w:t>
            </w:r>
          </w:p>
          <w:p w14:paraId="4C429D7D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32A09A94" w14:textId="7F4988F5" w:rsidR="00F92647" w:rsidRPr="00973771" w:rsidRDefault="00F92647" w:rsidP="00973771">
            <w:pPr>
              <w:pStyle w:val="Akapitzlist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973771">
              <w:rPr>
                <w:b/>
                <w:bCs/>
                <w:sz w:val="20"/>
                <w:szCs w:val="20"/>
              </w:rPr>
              <w:t>Kryteria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wyłączenia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973771">
              <w:rPr>
                <w:b/>
                <w:bCs/>
                <w:sz w:val="20"/>
                <w:szCs w:val="20"/>
              </w:rPr>
              <w:t>programu</w:t>
            </w:r>
          </w:p>
          <w:p w14:paraId="5656F542" w14:textId="6A04C165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lastRenderedPageBreak/>
              <w:t>progresja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choroby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nowotworowej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oceniona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zgodnie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aktualnie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obowiązującymi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RECIST;</w:t>
            </w:r>
          </w:p>
          <w:p w14:paraId="610BC87B" w14:textId="3F2104F8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pogorszenie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(istotne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klinicznie)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stanu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związku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nowotworem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progresji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potwierdzonej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przedmiotowym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obrazowym;</w:t>
            </w:r>
          </w:p>
          <w:p w14:paraId="1C16F8EB" w14:textId="725A27A9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wystąpienie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toksyczności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będącej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zagrożeniem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życia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według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aktualnych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klasyfikacji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CTC-AE;</w:t>
            </w:r>
          </w:p>
          <w:p w14:paraId="385807DE" w14:textId="5F904CA1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wystąpienie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nawracającej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nieakceptowalnej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toksyczności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stopniu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3.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4.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według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aktualnych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klasyfikacji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CTC-AE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(wznowienie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możliwe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ustąpieniu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objawów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toksyczności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zmniejszeniu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nasilenia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stopnia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1.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2.);</w:t>
            </w:r>
          </w:p>
          <w:p w14:paraId="2432A7D7" w14:textId="246FFEAE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długotrwałe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pogorszenie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sprawności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ogólnej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stopnia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4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według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kryteriów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Zubroda-WHO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ECOG;</w:t>
            </w:r>
          </w:p>
          <w:p w14:paraId="465DB4ED" w14:textId="0B709C54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wystąpienie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nadwrażliwości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białko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mysie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substancję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pomocniczą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uniemożliwiające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kontynuację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leczenia;</w:t>
            </w:r>
          </w:p>
          <w:p w14:paraId="13F2CF6D" w14:textId="2569936A" w:rsidR="00F92647" w:rsidRPr="00973771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pogorszenie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jakości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życia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istotnym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znaczeniu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według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oceny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lekarza;</w:t>
            </w:r>
          </w:p>
          <w:p w14:paraId="23E4591C" w14:textId="12A9F512" w:rsidR="00565830" w:rsidRDefault="00F92647" w:rsidP="00973771">
            <w:pPr>
              <w:pStyle w:val="Akapitzlist"/>
              <w:numPr>
                <w:ilvl w:val="3"/>
                <w:numId w:val="13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okres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ciąży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karmienia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piersią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–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wyjątkiem</w:t>
            </w:r>
            <w:r w:rsidR="00562961">
              <w:rPr>
                <w:sz w:val="20"/>
                <w:szCs w:val="20"/>
              </w:rPr>
              <w:t xml:space="preserve"> </w:t>
            </w:r>
            <w:r w:rsidR="00D86C8A" w:rsidRPr="00973771">
              <w:rPr>
                <w:sz w:val="20"/>
                <w:szCs w:val="20"/>
              </w:rPr>
              <w:t>przypadków,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których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lekarz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wspólnie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Konsultantem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Krajowym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Konsultantem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Wojewódzkim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oceni,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że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ryzyko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zastosowania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przeciwnowotworowej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większą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korzyść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niż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ryzyko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uzasadnione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jest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finansowanie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takim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przypadku.</w:t>
            </w:r>
          </w:p>
          <w:p w14:paraId="38EA7FE5" w14:textId="1552C88C" w:rsidR="00973771" w:rsidRPr="00973771" w:rsidRDefault="00973771" w:rsidP="00973771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454"/>
              <w:contextualSpacing w:val="0"/>
              <w:jc w:val="both"/>
              <w:rPr>
                <w:sz w:val="20"/>
                <w:szCs w:val="20"/>
              </w:rPr>
            </w:pPr>
          </w:p>
        </w:tc>
        <w:tc>
          <w:tcPr>
            <w:tcW w:w="13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5C696" w14:textId="65E22500" w:rsidR="00F92647" w:rsidRPr="003F4957" w:rsidRDefault="00F92647" w:rsidP="003F4957">
            <w:pPr>
              <w:autoSpaceDE w:val="0"/>
              <w:autoSpaceDN w:val="0"/>
              <w:adjustRightInd w:val="0"/>
              <w:spacing w:before="120" w:after="60" w:line="276" w:lineRule="auto"/>
              <w:jc w:val="both"/>
              <w:rPr>
                <w:sz w:val="20"/>
                <w:szCs w:val="20"/>
              </w:rPr>
            </w:pPr>
            <w:r w:rsidRPr="003F4957">
              <w:rPr>
                <w:sz w:val="20"/>
                <w:szCs w:val="20"/>
              </w:rPr>
              <w:lastRenderedPageBreak/>
              <w:t>Dawkowanie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leków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programie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modyfikowanie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powinno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być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zgodne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Charakterystyką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Produktu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Leczniczego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aktualną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dzień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wydania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decyzji.</w:t>
            </w:r>
          </w:p>
          <w:p w14:paraId="083026C3" w14:textId="195E7727" w:rsidR="00F92647" w:rsidRPr="003F4957" w:rsidRDefault="00F92647" w:rsidP="003F495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4957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przypadkach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wystąpienia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istotnych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klinicznie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ciężkich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działań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niepożądanych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można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opóźnić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podanie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kolejnej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dawki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leku,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jednak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dłużej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niż:</w:t>
            </w:r>
          </w:p>
          <w:p w14:paraId="3A4BB825" w14:textId="47C9AB0F" w:rsidR="00F92647" w:rsidRPr="00973771" w:rsidRDefault="00F92647" w:rsidP="003F4957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6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sorafenibem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atezolizumabem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bewacyzumabem;</w:t>
            </w:r>
          </w:p>
          <w:p w14:paraId="05E42ADA" w14:textId="48042773" w:rsidR="00F92647" w:rsidRPr="00973771" w:rsidRDefault="00F92647" w:rsidP="003F4957">
            <w:pPr>
              <w:pStyle w:val="Akapitzlist"/>
              <w:numPr>
                <w:ilvl w:val="3"/>
                <w:numId w:val="14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8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kabozantynibem.</w:t>
            </w:r>
          </w:p>
          <w:p w14:paraId="1D4CA4A5" w14:textId="731E1156" w:rsidR="00F92647" w:rsidRDefault="00F92647" w:rsidP="003F495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4957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istotne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klinicznie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ciężkie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działania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niepożądane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zmniejszą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swojego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nasilenia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okresie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6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tygodni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dla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sorafenibu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atezolizumabu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bewacyzumabem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8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tygodni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dla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kabozantynibu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pomimo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przerwania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podawania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leku,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należy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zakończyć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leczenie.</w:t>
            </w:r>
          </w:p>
          <w:p w14:paraId="7964D8A1" w14:textId="77777777" w:rsidR="003F4957" w:rsidRPr="003F4957" w:rsidRDefault="003F4957" w:rsidP="003F495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</w:p>
          <w:p w14:paraId="2055114E" w14:textId="0E1AFE09" w:rsidR="00F92647" w:rsidRPr="003F4957" w:rsidRDefault="00F92647" w:rsidP="003F495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4957">
              <w:rPr>
                <w:b/>
                <w:bCs/>
                <w:sz w:val="20"/>
                <w:szCs w:val="20"/>
              </w:rPr>
              <w:t>Leczenie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raka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wątrobowokomórkowego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inhibitorami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kinaz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tyrozynowych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(sorafenibem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albo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kabozantynibem)</w:t>
            </w:r>
          </w:p>
          <w:p w14:paraId="7A859C1F" w14:textId="5234A568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lastRenderedPageBreak/>
              <w:t>Dawka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dobowa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sorafenibu</w:t>
            </w:r>
            <w:r w:rsidRPr="00973771">
              <w:rPr>
                <w:sz w:val="20"/>
                <w:szCs w:val="20"/>
              </w:rPr>
              <w:t>: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800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(codziennie).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72C359B4" w14:textId="52ED87B9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Każdy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cykl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obejmuje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28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leczenia.</w:t>
            </w:r>
          </w:p>
          <w:p w14:paraId="2161BE3A" w14:textId="1AFDEE82" w:rsidR="00F92647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przypadkach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wystąpienia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istotnych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ciężkich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działań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niepożądanych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należy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przerwać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stosowanie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aż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zmniejszenia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się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nasilenia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objawów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należy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rozważyć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zmniejszenie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dobowej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dawki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sorafenibu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400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dziennie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(2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tabletki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200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dziennie).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pomimo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zmniejszenia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dawki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sorafenibu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400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dziennie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istotne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ciężkie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działania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niepożądane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ponownie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wystąpią,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należy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zredukować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dawkę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400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podawanych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drugi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dzień.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Dalsze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redukcje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dawki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możliwe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ponowne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pojawienie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się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istotnych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ciężkich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działań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niepożądanych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nakazuje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zakończenie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leczenia.</w:t>
            </w:r>
          </w:p>
          <w:p w14:paraId="52B8A8DE" w14:textId="77777777" w:rsidR="003F4957" w:rsidRPr="00973771" w:rsidRDefault="003F495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14:paraId="3DCB8AFE" w14:textId="6C418E46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Dobowa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dawka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kabozantynibu</w:t>
            </w:r>
            <w:r w:rsidRPr="00973771">
              <w:rPr>
                <w:sz w:val="20"/>
                <w:szCs w:val="20"/>
              </w:rPr>
              <w:t>: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60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(codziennie).</w:t>
            </w:r>
          </w:p>
          <w:p w14:paraId="449FF688" w14:textId="2CFDDE77" w:rsidR="00F92647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Każdy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cykl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obejmuje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28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leczenia.</w:t>
            </w:r>
          </w:p>
          <w:p w14:paraId="57D829DB" w14:textId="77777777" w:rsidR="003F4957" w:rsidRPr="00973771" w:rsidRDefault="003F495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</w:p>
          <w:p w14:paraId="47C1AB74" w14:textId="59878126" w:rsidR="00F92647" w:rsidRPr="003F4957" w:rsidRDefault="00F92647" w:rsidP="003F4957">
            <w:pPr>
              <w:pStyle w:val="Akapitzlist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4957">
              <w:rPr>
                <w:b/>
                <w:bCs/>
                <w:sz w:val="20"/>
                <w:szCs w:val="20"/>
              </w:rPr>
              <w:t>Immunoterapia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skojarzeniu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leczeniem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antyangiogennym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(atezolizumabem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skojarzeniu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bewacyzumabem)</w:t>
            </w:r>
          </w:p>
          <w:p w14:paraId="6BDB5821" w14:textId="1B9FE43F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Dawka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atezolizumabu</w:t>
            </w:r>
            <w:r w:rsidRPr="00973771">
              <w:rPr>
                <w:sz w:val="20"/>
                <w:szCs w:val="20"/>
              </w:rPr>
              <w:t>: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1200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</w:t>
            </w:r>
          </w:p>
          <w:p w14:paraId="58D0E5C5" w14:textId="5E959FEC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Dawka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bewacyzumabu</w:t>
            </w:r>
            <w:r w:rsidRPr="00973771">
              <w:rPr>
                <w:sz w:val="20"/>
                <w:szCs w:val="20"/>
              </w:rPr>
              <w:t>: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15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mg/kg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masy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ciała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podawanego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dożylnie.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610B931A" w14:textId="16B06FFE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lastRenderedPageBreak/>
              <w:t>Leki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stosowane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pierwszego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cyklu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trwającego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3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tygodnie</w:t>
            </w:r>
            <w:r w:rsidRPr="00973771">
              <w:rPr>
                <w:sz w:val="20"/>
                <w:szCs w:val="20"/>
              </w:rPr>
              <w:t>.</w:t>
            </w:r>
          </w:p>
          <w:p w14:paraId="141732CD" w14:textId="15F15D9F" w:rsidR="00F92647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możliwości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modyfikacji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dawek.</w:t>
            </w:r>
          </w:p>
          <w:p w14:paraId="17394E42" w14:textId="1D19F527" w:rsidR="00196B54" w:rsidRPr="00973771" w:rsidRDefault="00F9264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227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kiedy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podawanie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jednego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musi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zostać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zakończone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powodu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objawów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niepożądanych,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można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kontynuować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drugim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monoterapii</w:t>
            </w:r>
          </w:p>
        </w:tc>
        <w:tc>
          <w:tcPr>
            <w:tcW w:w="18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04EED" w14:textId="7F47C305" w:rsidR="00F92647" w:rsidRPr="003F4957" w:rsidRDefault="00F92647" w:rsidP="003F495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before="120"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4957">
              <w:rPr>
                <w:b/>
                <w:bCs/>
                <w:sz w:val="20"/>
                <w:szCs w:val="20"/>
              </w:rPr>
              <w:lastRenderedPageBreak/>
              <w:t>Badania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przy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kwalifikacji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</w:p>
          <w:p w14:paraId="1DC0ADB8" w14:textId="26B7E4FD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potwierdzenie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raka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wątrobowokomórkowego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histologiczne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cytologiczne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radiologiczne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pomocy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kontrastowej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wielofazowej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dynamicznej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MRI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marskością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wątroby);</w:t>
            </w:r>
          </w:p>
          <w:p w14:paraId="03D53A99" w14:textId="61931795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morfologia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krwi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rozmazem;</w:t>
            </w:r>
          </w:p>
          <w:p w14:paraId="2635AF63" w14:textId="5CBE1B94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badanie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ogólne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moczu;</w:t>
            </w:r>
          </w:p>
          <w:p w14:paraId="74963E75" w14:textId="7C733583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stężenia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mocznika,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kreatyniny,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AspAT,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AlAT,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bilirubiny,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wapnia,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fosfatazy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alkalicznej,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białka,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glukozy,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albumin,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AFP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surowicy;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42E6F202" w14:textId="566C1BA8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antygenu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HBS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przeciwciał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anty-HCV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surowicy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dotyczy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sorafenibem;</w:t>
            </w:r>
          </w:p>
          <w:p w14:paraId="30DF18F5" w14:textId="18CC7BE6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antygenu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HBS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przeciwciał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anty-HBc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total.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pozytywnych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wyników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konieczna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jest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konsultacja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lekarza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posiadającego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dostęp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przeciwwirusowego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dotyczy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atezolizumabem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bewacyzumabem;</w:t>
            </w:r>
          </w:p>
          <w:p w14:paraId="79CD4DDC" w14:textId="7C221E1F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T3,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T4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TSH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dotyczy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atezolizumabem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bewacyzumabem;</w:t>
            </w:r>
          </w:p>
          <w:p w14:paraId="5430EF7A" w14:textId="6643394A" w:rsidR="00F92647" w:rsidRPr="00973771" w:rsidRDefault="003F495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</w:t>
            </w:r>
            <w:r w:rsidR="00F92647" w:rsidRPr="00973771">
              <w:rPr>
                <w:sz w:val="20"/>
                <w:szCs w:val="20"/>
              </w:rPr>
              <w:t>astroskopia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(u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pacjentów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marskością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wątroby)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ocena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pod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kątem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występowania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żylaków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przełyku,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badanie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było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wykonane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okresie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6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miesięcy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przed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rozpoczęciem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lastRenderedPageBreak/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programie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lekowym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–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dotyczy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terapii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atezolizumabem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skojarzeniu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="00F92647" w:rsidRPr="00973771">
              <w:rPr>
                <w:sz w:val="20"/>
                <w:szCs w:val="20"/>
              </w:rPr>
              <w:t>bewacyzumabem;</w:t>
            </w:r>
          </w:p>
          <w:p w14:paraId="745FED37" w14:textId="28E99B58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protrombinowego;</w:t>
            </w:r>
          </w:p>
          <w:p w14:paraId="1F1C4547" w14:textId="6EC5A5C9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tomografia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klatki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piersiowej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tomografia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magnetyczny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rezonans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jamy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brzusznej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miednicy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1A9A76A8" w14:textId="004E7210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EKG;</w:t>
            </w:r>
          </w:p>
          <w:p w14:paraId="32C6D7E9" w14:textId="3467A478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próba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ciążowa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kobiet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wieku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rozrodczym);</w:t>
            </w:r>
          </w:p>
          <w:p w14:paraId="1155C70F" w14:textId="05F781FB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pomiar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ciśnienia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tętniczego</w:t>
            </w:r>
            <w:r w:rsidR="003F4957">
              <w:rPr>
                <w:sz w:val="20"/>
                <w:szCs w:val="20"/>
              </w:rPr>
              <w:t>;</w:t>
            </w:r>
          </w:p>
          <w:p w14:paraId="22C253E2" w14:textId="789B85EE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inne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klinicznych.</w:t>
            </w:r>
          </w:p>
          <w:p w14:paraId="1418B8E1" w14:textId="5A803234" w:rsidR="00F92647" w:rsidRPr="003F4957" w:rsidRDefault="00F92647" w:rsidP="003F4957">
            <w:pPr>
              <w:autoSpaceDE w:val="0"/>
              <w:autoSpaceDN w:val="0"/>
              <w:adjustRightInd w:val="0"/>
              <w:spacing w:after="60" w:line="276" w:lineRule="auto"/>
              <w:jc w:val="both"/>
              <w:rPr>
                <w:sz w:val="20"/>
                <w:szCs w:val="20"/>
              </w:rPr>
            </w:pPr>
            <w:r w:rsidRPr="003F4957">
              <w:rPr>
                <w:sz w:val="20"/>
                <w:szCs w:val="20"/>
              </w:rPr>
              <w:t>Wstępne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badania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obrazowe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muszą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umożliwić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późniejszą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obiektywną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ocenę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odpowiedzi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wg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aktualnych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kryteriów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3F4957">
              <w:rPr>
                <w:sz w:val="20"/>
                <w:szCs w:val="20"/>
              </w:rPr>
              <w:t>RECIST.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137956EC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ind w:left="270"/>
              <w:jc w:val="both"/>
              <w:rPr>
                <w:sz w:val="20"/>
                <w:szCs w:val="20"/>
              </w:rPr>
            </w:pPr>
          </w:p>
          <w:p w14:paraId="310864A4" w14:textId="048322BF" w:rsidR="00F92647" w:rsidRPr="003F4957" w:rsidRDefault="00F92647" w:rsidP="003F495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4957">
              <w:rPr>
                <w:b/>
                <w:bCs/>
                <w:sz w:val="20"/>
                <w:szCs w:val="20"/>
              </w:rPr>
              <w:t>Monitorowanie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leczenia</w:t>
            </w:r>
          </w:p>
          <w:p w14:paraId="2A09B74E" w14:textId="7E262032" w:rsidR="00F92647" w:rsidRPr="003F4957" w:rsidRDefault="00F92647" w:rsidP="003F495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4957">
              <w:rPr>
                <w:b/>
                <w:bCs/>
                <w:sz w:val="20"/>
                <w:szCs w:val="20"/>
              </w:rPr>
              <w:t>Leczenia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raka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wątrobowokomórkowego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inhibitorami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kinaz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tyrozynowych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(sorafenibem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albo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kabozantynibem)</w:t>
            </w:r>
          </w:p>
          <w:p w14:paraId="51C9E900" w14:textId="4B92DD30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4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chwili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rozpoczynania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kolejnego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28-dniowego</w:t>
            </w:r>
            <w:r w:rsidR="00562961">
              <w:rPr>
                <w:sz w:val="20"/>
                <w:szCs w:val="20"/>
              </w:rPr>
              <w:t xml:space="preserve"> </w:t>
            </w:r>
            <w:r w:rsidR="00D86C8A" w:rsidRPr="00973771">
              <w:rPr>
                <w:sz w:val="20"/>
                <w:szCs w:val="20"/>
              </w:rPr>
              <w:t>kursu,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było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czasowo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przerwane):</w:t>
            </w:r>
          </w:p>
          <w:p w14:paraId="49FC91A5" w14:textId="62168031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morfologia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krwi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rozmazem,</w:t>
            </w:r>
          </w:p>
          <w:p w14:paraId="796C4F50" w14:textId="28816F0B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stężenia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kreatyniny,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AspAT,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AlAT,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bilirubiny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surowicy,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4B2BB13D" w14:textId="36C47CBB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fosfatazy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alkalicznej,</w:t>
            </w:r>
          </w:p>
          <w:p w14:paraId="663B50B1" w14:textId="175DD42F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pomiar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ciśnienia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tętniczego,</w:t>
            </w:r>
          </w:p>
          <w:p w14:paraId="0C9386D9" w14:textId="3793FC82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inne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klinicznych;</w:t>
            </w:r>
          </w:p>
          <w:p w14:paraId="12A8DF91" w14:textId="2CE4696F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rzadziej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niż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12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zakończeniem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trzeciego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28-dniowego</w:t>
            </w:r>
            <w:r w:rsidR="00562961">
              <w:rPr>
                <w:sz w:val="20"/>
                <w:szCs w:val="20"/>
              </w:rPr>
              <w:t xml:space="preserve"> </w:t>
            </w:r>
            <w:r w:rsidR="00D86C8A" w:rsidRPr="00973771">
              <w:rPr>
                <w:sz w:val="20"/>
                <w:szCs w:val="20"/>
              </w:rPr>
              <w:t>kursu,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było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czasowo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przerwane):</w:t>
            </w:r>
          </w:p>
          <w:p w14:paraId="73958202" w14:textId="5B819531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poziomu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AFP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surowicy,</w:t>
            </w:r>
          </w:p>
          <w:p w14:paraId="49A979BE" w14:textId="731FDABD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protrombinowego,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05B040F9" w14:textId="68C8C7C7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lastRenderedPageBreak/>
              <w:t>tomografia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jamy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brzusznej,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55B946DB" w14:textId="608F9FB5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tomografia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lokalizacji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–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zależności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umiejscowienia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zmian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przerzutowych,</w:t>
            </w:r>
          </w:p>
          <w:p w14:paraId="3FE01474" w14:textId="1BCC2F51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EKG,</w:t>
            </w:r>
          </w:p>
          <w:p w14:paraId="127D7844" w14:textId="262FEE41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inne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–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klinicznych;</w:t>
            </w:r>
          </w:p>
          <w:p w14:paraId="727B7F2C" w14:textId="04D48280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zawsze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klinicznych:</w:t>
            </w:r>
          </w:p>
          <w:p w14:paraId="06CABD37" w14:textId="22FD77C3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poziomu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AFP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surowicy,</w:t>
            </w:r>
          </w:p>
          <w:p w14:paraId="2AC98EC5" w14:textId="7C6A6E21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protrombinowego,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1176E05B" w14:textId="230DB09C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tomografia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odpowiedniej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lokalizacji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obrazowe,</w:t>
            </w:r>
            <w:r w:rsidR="00562961">
              <w:rPr>
                <w:sz w:val="20"/>
                <w:szCs w:val="20"/>
              </w:rPr>
              <w:t xml:space="preserve"> </w:t>
            </w:r>
          </w:p>
          <w:p w14:paraId="1889ACCC" w14:textId="1619F485" w:rsidR="00F92647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EKG.</w:t>
            </w:r>
          </w:p>
          <w:p w14:paraId="7CC64869" w14:textId="77777777" w:rsidR="003F4957" w:rsidRPr="00973771" w:rsidRDefault="003F4957" w:rsidP="003F4957">
            <w:pPr>
              <w:pStyle w:val="Akapitzlist"/>
              <w:autoSpaceDE w:val="0"/>
              <w:autoSpaceDN w:val="0"/>
              <w:adjustRightInd w:val="0"/>
              <w:spacing w:after="60" w:line="276" w:lineRule="auto"/>
              <w:ind w:left="680"/>
              <w:contextualSpacing w:val="0"/>
              <w:jc w:val="both"/>
              <w:rPr>
                <w:sz w:val="20"/>
                <w:szCs w:val="20"/>
              </w:rPr>
            </w:pPr>
          </w:p>
          <w:p w14:paraId="74B6C840" w14:textId="46D60BEB" w:rsidR="00F92647" w:rsidRPr="003F4957" w:rsidRDefault="00F92647" w:rsidP="003F4957">
            <w:pPr>
              <w:pStyle w:val="Akapitzlist"/>
              <w:numPr>
                <w:ilvl w:val="1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3F4957">
              <w:rPr>
                <w:b/>
                <w:bCs/>
                <w:sz w:val="20"/>
                <w:szCs w:val="20"/>
              </w:rPr>
              <w:t>Immunoterapia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skojarzeniu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leczeniem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antyangiogennym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(atezolizumabem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w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skojarzeniu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z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3F4957">
              <w:rPr>
                <w:b/>
                <w:bCs/>
                <w:sz w:val="20"/>
                <w:szCs w:val="20"/>
              </w:rPr>
              <w:t>bewacyzumabem).</w:t>
            </w:r>
          </w:p>
          <w:p w14:paraId="232D3DA8" w14:textId="642EC970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3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chwili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rozpoczęcia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kolejnego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21-dniowego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kursu,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było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czasowo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przerwane:</w:t>
            </w:r>
          </w:p>
          <w:p w14:paraId="19A319FE" w14:textId="2653601A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morfologia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krwi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rozmazem,</w:t>
            </w:r>
          </w:p>
          <w:p w14:paraId="2128F573" w14:textId="27BCB9E4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AspAT,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AlAT,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bilirubiny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całkowitej,</w:t>
            </w:r>
          </w:p>
          <w:p w14:paraId="3B5CFDE4" w14:textId="04C044DB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glukozy,</w:t>
            </w:r>
          </w:p>
          <w:p w14:paraId="7984E7BF" w14:textId="3946D7E9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pomiar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ciśnienia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tętniczego,</w:t>
            </w:r>
          </w:p>
          <w:p w14:paraId="7ABB7502" w14:textId="64BC2871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inne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badania-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klinicznych;</w:t>
            </w:r>
          </w:p>
          <w:p w14:paraId="0484B9DA" w14:textId="75DD18E9" w:rsidR="00F92647" w:rsidRPr="00973771" w:rsidRDefault="00F92647" w:rsidP="003F4957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rzadziej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niż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9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przed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rozpoczęciem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czwartego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21-dniowego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kursu,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jeżeli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było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czasowo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przerwane;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przypadku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uzyskania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2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kolejnych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ocenach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najmniej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stabilizacji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choroby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dopuszcza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się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wykonywanie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12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tygodni:</w:t>
            </w:r>
          </w:p>
          <w:p w14:paraId="72DA97DD" w14:textId="230DECD0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poziomu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AFP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surowicy,</w:t>
            </w:r>
          </w:p>
          <w:p w14:paraId="4700F7EA" w14:textId="37F788EF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lastRenderedPageBreak/>
              <w:t>badania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obrazowe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(tomografia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komputerowa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rezonans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magnetyczny)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odpowiednich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obszarów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umożliwiające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ocenę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odpowiedzi</w:t>
            </w:r>
            <w:r w:rsidR="00562961">
              <w:rPr>
                <w:sz w:val="20"/>
                <w:szCs w:val="20"/>
              </w:rPr>
              <w:t>,</w:t>
            </w:r>
          </w:p>
          <w:p w14:paraId="0B33A4F4" w14:textId="5CF50044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oznaczenie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T3,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T4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TSH</w:t>
            </w:r>
            <w:r w:rsidR="00562961">
              <w:rPr>
                <w:sz w:val="20"/>
                <w:szCs w:val="20"/>
              </w:rPr>
              <w:t>,</w:t>
            </w:r>
          </w:p>
          <w:p w14:paraId="574BC90E" w14:textId="799FB4BC" w:rsidR="00F92647" w:rsidRPr="00973771" w:rsidRDefault="00F92647" w:rsidP="003F4957">
            <w:pPr>
              <w:pStyle w:val="Akapitzlist"/>
              <w:numPr>
                <w:ilvl w:val="4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inne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badania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–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razie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wskazań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klinicznych.</w:t>
            </w:r>
          </w:p>
          <w:p w14:paraId="116D0291" w14:textId="77777777" w:rsidR="00F92647" w:rsidRPr="00973771" w:rsidRDefault="00F92647" w:rsidP="00973771">
            <w:pPr>
              <w:autoSpaceDE w:val="0"/>
              <w:autoSpaceDN w:val="0"/>
              <w:adjustRightInd w:val="0"/>
              <w:spacing w:after="60" w:line="276" w:lineRule="auto"/>
              <w:ind w:left="270"/>
              <w:jc w:val="both"/>
              <w:rPr>
                <w:sz w:val="20"/>
                <w:szCs w:val="20"/>
              </w:rPr>
            </w:pPr>
          </w:p>
          <w:p w14:paraId="1E083E68" w14:textId="462D841C" w:rsidR="00F92647" w:rsidRPr="00562961" w:rsidRDefault="00F92647" w:rsidP="003F4957">
            <w:pPr>
              <w:pStyle w:val="Akapitzlist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b/>
                <w:bCs/>
                <w:sz w:val="20"/>
                <w:szCs w:val="20"/>
              </w:rPr>
            </w:pPr>
            <w:r w:rsidRPr="00562961">
              <w:rPr>
                <w:b/>
                <w:bCs/>
                <w:sz w:val="20"/>
                <w:szCs w:val="20"/>
              </w:rPr>
              <w:t>Monitorowanie</w:t>
            </w:r>
            <w:r w:rsidR="00562961">
              <w:rPr>
                <w:b/>
                <w:bCs/>
                <w:sz w:val="20"/>
                <w:szCs w:val="20"/>
              </w:rPr>
              <w:t xml:space="preserve"> </w:t>
            </w:r>
            <w:r w:rsidRPr="00562961">
              <w:rPr>
                <w:b/>
                <w:bCs/>
                <w:sz w:val="20"/>
                <w:szCs w:val="20"/>
              </w:rPr>
              <w:t>programu</w:t>
            </w:r>
          </w:p>
          <w:p w14:paraId="3D4EEB6E" w14:textId="298FC16D" w:rsidR="00F92647" w:rsidRPr="00973771" w:rsidRDefault="00F92647" w:rsidP="00562961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gromadzenie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dokumentacji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medycznej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pacjenta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dotyczących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monitorowania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każdorazowe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przedstawianie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żądanie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kontrolerów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Narodowego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Funduszu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Zdrowia;</w:t>
            </w:r>
          </w:p>
          <w:p w14:paraId="17AAB806" w14:textId="1C899BD8" w:rsidR="00F92647" w:rsidRPr="00973771" w:rsidRDefault="00F92647" w:rsidP="00562961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uzupełnienie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danych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zawartych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rejestrze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(SMPT)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dostępnym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pomocą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aplikacji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internetowej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udostępnionej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NFZ,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częstotliwością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zgodną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opisem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programu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oraz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zakończenie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leczenia;</w:t>
            </w:r>
          </w:p>
          <w:p w14:paraId="0C7BFA32" w14:textId="371C3C33" w:rsidR="00690FA9" w:rsidRPr="00973771" w:rsidRDefault="00F92647" w:rsidP="00562961">
            <w:pPr>
              <w:pStyle w:val="Akapitzlist"/>
              <w:numPr>
                <w:ilvl w:val="3"/>
                <w:numId w:val="16"/>
              </w:numPr>
              <w:autoSpaceDE w:val="0"/>
              <w:autoSpaceDN w:val="0"/>
              <w:adjustRightInd w:val="0"/>
              <w:spacing w:after="60" w:line="276" w:lineRule="auto"/>
              <w:contextualSpacing w:val="0"/>
              <w:jc w:val="both"/>
              <w:rPr>
                <w:sz w:val="20"/>
                <w:szCs w:val="20"/>
              </w:rPr>
            </w:pPr>
            <w:r w:rsidRPr="00973771">
              <w:rPr>
                <w:sz w:val="20"/>
                <w:szCs w:val="20"/>
              </w:rPr>
              <w:t>przekazywanie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informacji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sprawozdawczo-rozliczeniowych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NFZ: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informacje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przekazuje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się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do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NFZ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formie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papierowej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lub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formie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elektronicznej,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zgodnie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wymaganiami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opublikowanymi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przez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Narodowy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Fundusz</w:t>
            </w:r>
            <w:r w:rsidR="00562961">
              <w:rPr>
                <w:sz w:val="20"/>
                <w:szCs w:val="20"/>
              </w:rPr>
              <w:t xml:space="preserve"> </w:t>
            </w:r>
            <w:r w:rsidRPr="00973771">
              <w:rPr>
                <w:sz w:val="20"/>
                <w:szCs w:val="20"/>
              </w:rPr>
              <w:t>Zdrowia.</w:t>
            </w:r>
          </w:p>
        </w:tc>
      </w:tr>
    </w:tbl>
    <w:p w14:paraId="49BEF25D" w14:textId="77777777" w:rsidR="00221D34" w:rsidRPr="00E43594" w:rsidRDefault="00221D34" w:rsidP="00221D34">
      <w:pPr>
        <w:autoSpaceDE w:val="0"/>
        <w:autoSpaceDN w:val="0"/>
        <w:adjustRightInd w:val="0"/>
        <w:rPr>
          <w:rFonts w:ascii="Courier New" w:hAnsi="Courier New"/>
        </w:rPr>
      </w:pPr>
    </w:p>
    <w:sectPr w:rsidR="00221D34" w:rsidRPr="00E43594" w:rsidSect="00471B0F">
      <w:pgSz w:w="16838" w:h="11906" w:orient="landscape" w:code="9"/>
      <w:pgMar w:top="1588" w:right="720" w:bottom="1418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8FEF23" w14:textId="77777777" w:rsidR="00D1157B" w:rsidRDefault="00D1157B" w:rsidP="00BF49D7">
      <w:r>
        <w:separator/>
      </w:r>
    </w:p>
  </w:endnote>
  <w:endnote w:type="continuationSeparator" w:id="0">
    <w:p w14:paraId="3EF7010D" w14:textId="77777777" w:rsidR="00D1157B" w:rsidRDefault="00D1157B" w:rsidP="00BF4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38677D" w14:textId="77777777" w:rsidR="00D1157B" w:rsidRDefault="00D1157B" w:rsidP="00BF49D7">
      <w:r>
        <w:separator/>
      </w:r>
    </w:p>
  </w:footnote>
  <w:footnote w:type="continuationSeparator" w:id="0">
    <w:p w14:paraId="44CA48D9" w14:textId="77777777" w:rsidR="00D1157B" w:rsidRDefault="00D1157B" w:rsidP="00BF49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D3F2B"/>
    <w:multiLevelType w:val="hybridMultilevel"/>
    <w:tmpl w:val="FA624D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07385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2" w15:restartNumberingAfterBreak="0">
    <w:nsid w:val="0C19463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3" w15:restartNumberingAfterBreak="0">
    <w:nsid w:val="262D4481"/>
    <w:multiLevelType w:val="hybridMultilevel"/>
    <w:tmpl w:val="8F3A44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D76661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5" w15:restartNumberingAfterBreak="0">
    <w:nsid w:val="34A263C2"/>
    <w:multiLevelType w:val="hybridMultilevel"/>
    <w:tmpl w:val="FCDADC16"/>
    <w:lvl w:ilvl="0" w:tplc="3626D924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34E6097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7" w15:restartNumberingAfterBreak="0">
    <w:nsid w:val="35D90CEF"/>
    <w:multiLevelType w:val="hybridMultilevel"/>
    <w:tmpl w:val="23D880B2"/>
    <w:lvl w:ilvl="0" w:tplc="B72EE7F2">
      <w:start w:val="1"/>
      <w:numFmt w:val="decimal"/>
      <w:lvlText w:val="%1)"/>
      <w:lvlJc w:val="left"/>
      <w:pPr>
        <w:ind w:left="1216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936" w:hanging="360"/>
      </w:pPr>
    </w:lvl>
    <w:lvl w:ilvl="2" w:tplc="0415001B">
      <w:start w:val="1"/>
      <w:numFmt w:val="lowerRoman"/>
      <w:lvlText w:val="%3."/>
      <w:lvlJc w:val="right"/>
      <w:pPr>
        <w:ind w:left="2656" w:hanging="180"/>
      </w:pPr>
    </w:lvl>
    <w:lvl w:ilvl="3" w:tplc="0415000F">
      <w:start w:val="1"/>
      <w:numFmt w:val="decimal"/>
      <w:lvlText w:val="%4."/>
      <w:lvlJc w:val="left"/>
      <w:pPr>
        <w:ind w:left="3376" w:hanging="360"/>
      </w:pPr>
    </w:lvl>
    <w:lvl w:ilvl="4" w:tplc="04150019">
      <w:start w:val="1"/>
      <w:numFmt w:val="lowerLetter"/>
      <w:lvlText w:val="%5."/>
      <w:lvlJc w:val="left"/>
      <w:pPr>
        <w:ind w:left="4096" w:hanging="360"/>
      </w:pPr>
    </w:lvl>
    <w:lvl w:ilvl="5" w:tplc="0415001B">
      <w:start w:val="1"/>
      <w:numFmt w:val="lowerRoman"/>
      <w:lvlText w:val="%6."/>
      <w:lvlJc w:val="right"/>
      <w:pPr>
        <w:ind w:left="4816" w:hanging="180"/>
      </w:pPr>
    </w:lvl>
    <w:lvl w:ilvl="6" w:tplc="0415000F">
      <w:start w:val="1"/>
      <w:numFmt w:val="decimal"/>
      <w:lvlText w:val="%7."/>
      <w:lvlJc w:val="left"/>
      <w:pPr>
        <w:ind w:left="5536" w:hanging="360"/>
      </w:pPr>
    </w:lvl>
    <w:lvl w:ilvl="7" w:tplc="04150019">
      <w:start w:val="1"/>
      <w:numFmt w:val="lowerLetter"/>
      <w:lvlText w:val="%8."/>
      <w:lvlJc w:val="left"/>
      <w:pPr>
        <w:ind w:left="6256" w:hanging="360"/>
      </w:pPr>
    </w:lvl>
    <w:lvl w:ilvl="8" w:tplc="0415001B">
      <w:start w:val="1"/>
      <w:numFmt w:val="lowerRoman"/>
      <w:lvlText w:val="%9."/>
      <w:lvlJc w:val="right"/>
      <w:pPr>
        <w:ind w:left="6976" w:hanging="180"/>
      </w:pPr>
    </w:lvl>
  </w:abstractNum>
  <w:abstractNum w:abstractNumId="8" w15:restartNumberingAfterBreak="0">
    <w:nsid w:val="38D50348"/>
    <w:multiLevelType w:val="hybridMultilevel"/>
    <w:tmpl w:val="82C8A858"/>
    <w:lvl w:ilvl="0" w:tplc="ED10286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1A4EB3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0" w15:restartNumberingAfterBreak="0">
    <w:nsid w:val="53634FC3"/>
    <w:multiLevelType w:val="hybridMultilevel"/>
    <w:tmpl w:val="6AFA526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9A6DF6"/>
    <w:multiLevelType w:val="hybridMultilevel"/>
    <w:tmpl w:val="58E49E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D26AD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207B79"/>
    <w:multiLevelType w:val="hybridMultilevel"/>
    <w:tmpl w:val="4AFC311E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3712BEE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4" w15:restartNumberingAfterBreak="0">
    <w:nsid w:val="647B0C72"/>
    <w:multiLevelType w:val="hybridMultilevel"/>
    <w:tmpl w:val="79B463E2"/>
    <w:lvl w:ilvl="0" w:tplc="54BE788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6DD8412A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abstractNum w:abstractNumId="16" w15:restartNumberingAfterBreak="0">
    <w:nsid w:val="709F40F8"/>
    <w:multiLevelType w:val="multilevel"/>
    <w:tmpl w:val="EE64FAA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hint="default"/>
        <w:b/>
        <w:bCs/>
      </w:rPr>
    </w:lvl>
    <w:lvl w:ilvl="2">
      <w:start w:val="1"/>
      <w:numFmt w:val="decimal"/>
      <w:suff w:val="space"/>
      <w:lvlText w:val="%1.%2.%3."/>
      <w:lvlJc w:val="left"/>
      <w:pPr>
        <w:ind w:left="227" w:hanging="227"/>
      </w:pPr>
      <w:rPr>
        <w:rFonts w:hint="default"/>
        <w:b/>
        <w:bCs/>
        <w:i w:val="0"/>
      </w:rPr>
    </w:lvl>
    <w:lvl w:ilvl="3">
      <w:start w:val="1"/>
      <w:numFmt w:val="decimal"/>
      <w:suff w:val="space"/>
      <w:lvlText w:val="%4)"/>
      <w:lvlJc w:val="left"/>
      <w:pPr>
        <w:ind w:left="454" w:hanging="227"/>
      </w:pPr>
      <w:rPr>
        <w:rFonts w:hint="default"/>
      </w:rPr>
    </w:lvl>
    <w:lvl w:ilvl="4">
      <w:start w:val="1"/>
      <w:numFmt w:val="lowerLetter"/>
      <w:suff w:val="space"/>
      <w:lvlText w:val="%5)"/>
      <w:lvlJc w:val="left"/>
      <w:pPr>
        <w:ind w:left="680" w:hanging="226"/>
      </w:pPr>
      <w:rPr>
        <w:rFonts w:hint="default"/>
      </w:rPr>
    </w:lvl>
    <w:lvl w:ilvl="5">
      <w:start w:val="1"/>
      <w:numFmt w:val="bullet"/>
      <w:lvlText w:val=""/>
      <w:lvlJc w:val="left"/>
      <w:pPr>
        <w:ind w:left="907" w:hanging="227"/>
      </w:pPr>
      <w:rPr>
        <w:rFonts w:ascii="Symbol" w:hAnsi="Symbol" w:hint="default"/>
      </w:rPr>
    </w:lvl>
    <w:lvl w:ilvl="6">
      <w:start w:val="1"/>
      <w:numFmt w:val="lowerRoman"/>
      <w:lvlText w:val="%7."/>
      <w:lvlJc w:val="left"/>
      <w:pPr>
        <w:ind w:left="1134" w:hanging="22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5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526" w:hanging="1440"/>
      </w:pPr>
      <w:rPr>
        <w:rFonts w:hint="default"/>
      </w:rPr>
    </w:lvl>
  </w:abstractNum>
  <w:num w:numId="1">
    <w:abstractNumId w:val="7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12"/>
  </w:num>
  <w:num w:numId="6">
    <w:abstractNumId w:val="14"/>
  </w:num>
  <w:num w:numId="7">
    <w:abstractNumId w:val="13"/>
  </w:num>
  <w:num w:numId="8">
    <w:abstractNumId w:val="3"/>
  </w:num>
  <w:num w:numId="9">
    <w:abstractNumId w:val="0"/>
  </w:num>
  <w:num w:numId="10">
    <w:abstractNumId w:val="11"/>
  </w:num>
  <w:num w:numId="11">
    <w:abstractNumId w:val="2"/>
  </w:num>
  <w:num w:numId="12">
    <w:abstractNumId w:val="1"/>
  </w:num>
  <w:num w:numId="13">
    <w:abstractNumId w:val="16"/>
  </w:num>
  <w:num w:numId="14">
    <w:abstractNumId w:val="9"/>
  </w:num>
  <w:num w:numId="15">
    <w:abstractNumId w:val="4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43"/>
    <w:rsid w:val="00001AF1"/>
    <w:rsid w:val="000814F5"/>
    <w:rsid w:val="00084FB8"/>
    <w:rsid w:val="000A79AC"/>
    <w:rsid w:val="000C36D5"/>
    <w:rsid w:val="000C4794"/>
    <w:rsid w:val="00133821"/>
    <w:rsid w:val="001349B5"/>
    <w:rsid w:val="001361F1"/>
    <w:rsid w:val="00144C47"/>
    <w:rsid w:val="001824BF"/>
    <w:rsid w:val="0019143B"/>
    <w:rsid w:val="00196B54"/>
    <w:rsid w:val="001B67B4"/>
    <w:rsid w:val="001E3E14"/>
    <w:rsid w:val="001F2F10"/>
    <w:rsid w:val="00221D34"/>
    <w:rsid w:val="00265363"/>
    <w:rsid w:val="0028213B"/>
    <w:rsid w:val="002B3B8C"/>
    <w:rsid w:val="002B44DE"/>
    <w:rsid w:val="00330EF9"/>
    <w:rsid w:val="003B7CF8"/>
    <w:rsid w:val="003D03C4"/>
    <w:rsid w:val="003F4957"/>
    <w:rsid w:val="003F4A58"/>
    <w:rsid w:val="004311BB"/>
    <w:rsid w:val="00471B0F"/>
    <w:rsid w:val="00472B65"/>
    <w:rsid w:val="00486F50"/>
    <w:rsid w:val="00497A25"/>
    <w:rsid w:val="004A797A"/>
    <w:rsid w:val="004B0757"/>
    <w:rsid w:val="00512373"/>
    <w:rsid w:val="00523C92"/>
    <w:rsid w:val="00547315"/>
    <w:rsid w:val="00562961"/>
    <w:rsid w:val="00565830"/>
    <w:rsid w:val="00604B8D"/>
    <w:rsid w:val="00627BDE"/>
    <w:rsid w:val="00642045"/>
    <w:rsid w:val="00642C07"/>
    <w:rsid w:val="00660EF0"/>
    <w:rsid w:val="00690FA9"/>
    <w:rsid w:val="006B5357"/>
    <w:rsid w:val="00743C43"/>
    <w:rsid w:val="00766318"/>
    <w:rsid w:val="00786E34"/>
    <w:rsid w:val="007B34F4"/>
    <w:rsid w:val="007D188D"/>
    <w:rsid w:val="007F66F8"/>
    <w:rsid w:val="008026DC"/>
    <w:rsid w:val="008118B8"/>
    <w:rsid w:val="00830520"/>
    <w:rsid w:val="0083097B"/>
    <w:rsid w:val="008B6EA7"/>
    <w:rsid w:val="008F26E6"/>
    <w:rsid w:val="009116A6"/>
    <w:rsid w:val="00936C94"/>
    <w:rsid w:val="009530A8"/>
    <w:rsid w:val="00963F9B"/>
    <w:rsid w:val="00966F29"/>
    <w:rsid w:val="00973771"/>
    <w:rsid w:val="00977709"/>
    <w:rsid w:val="009878D2"/>
    <w:rsid w:val="009A0663"/>
    <w:rsid w:val="009B4469"/>
    <w:rsid w:val="009B538D"/>
    <w:rsid w:val="00A23F3F"/>
    <w:rsid w:val="00A6241F"/>
    <w:rsid w:val="00A70DFE"/>
    <w:rsid w:val="00AC597A"/>
    <w:rsid w:val="00AF0963"/>
    <w:rsid w:val="00AF4EA2"/>
    <w:rsid w:val="00B11596"/>
    <w:rsid w:val="00B152A6"/>
    <w:rsid w:val="00B42D08"/>
    <w:rsid w:val="00B819C7"/>
    <w:rsid w:val="00B900A4"/>
    <w:rsid w:val="00B90EB7"/>
    <w:rsid w:val="00BB08D1"/>
    <w:rsid w:val="00BC6CF9"/>
    <w:rsid w:val="00BD51B5"/>
    <w:rsid w:val="00BF49D7"/>
    <w:rsid w:val="00C07DA7"/>
    <w:rsid w:val="00C2457C"/>
    <w:rsid w:val="00C2602F"/>
    <w:rsid w:val="00C43C2B"/>
    <w:rsid w:val="00C60F36"/>
    <w:rsid w:val="00C71B35"/>
    <w:rsid w:val="00C82603"/>
    <w:rsid w:val="00CA491B"/>
    <w:rsid w:val="00CB3D45"/>
    <w:rsid w:val="00CB5855"/>
    <w:rsid w:val="00CF4389"/>
    <w:rsid w:val="00D1157B"/>
    <w:rsid w:val="00D24D72"/>
    <w:rsid w:val="00D86C8A"/>
    <w:rsid w:val="00DA24DF"/>
    <w:rsid w:val="00DA6460"/>
    <w:rsid w:val="00DD03AB"/>
    <w:rsid w:val="00E23E9D"/>
    <w:rsid w:val="00E43594"/>
    <w:rsid w:val="00E7549C"/>
    <w:rsid w:val="00EE46A8"/>
    <w:rsid w:val="00F3571E"/>
    <w:rsid w:val="00F67349"/>
    <w:rsid w:val="00F92647"/>
    <w:rsid w:val="00FD1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BD89D4"/>
  <w15:docId w15:val="{43EFE97B-0737-4B4E-9299-490AB5BD0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43C43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BF49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BF49D7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BF49D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BF49D7"/>
    <w:rPr>
      <w:sz w:val="24"/>
      <w:szCs w:val="24"/>
    </w:rPr>
  </w:style>
  <w:style w:type="paragraph" w:styleId="Tekstdymka">
    <w:name w:val="Balloon Text"/>
    <w:basedOn w:val="Normalny"/>
    <w:link w:val="TekstdymkaZnak"/>
    <w:rsid w:val="00BF49D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F49D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7663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886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09E8DA-55A0-4592-AE88-4649CCE51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1446</Words>
  <Characters>9627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decyzji</vt:lpstr>
    </vt:vector>
  </TitlesOfParts>
  <Company>Ministerstwo Zdrowia</Company>
  <LinksUpToDate>false</LinksUpToDate>
  <CharactersWithSpaces>11051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decyzji</dc:title>
  <dc:subject>Opis programu lekowego</dc:subject>
  <dc:creator>Ministerstwo Zdrowia</dc:creator>
  <cp:lastModifiedBy>Królak-Buzakowska Joanna</cp:lastModifiedBy>
  <cp:revision>4</cp:revision>
  <cp:lastPrinted>2014-05-08T07:00:00Z</cp:lastPrinted>
  <dcterms:created xsi:type="dcterms:W3CDTF">2022-03-22T17:38:00Z</dcterms:created>
  <dcterms:modified xsi:type="dcterms:W3CDTF">2022-03-22T17:53:00Z</dcterms:modified>
</cp:coreProperties>
</file>