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3A79" w14:textId="417D31C3" w:rsidR="001448DA" w:rsidRPr="00E1749A" w:rsidRDefault="001448DA" w:rsidP="001448DA">
      <w:pPr>
        <w:jc w:val="both"/>
        <w:rPr>
          <w:rFonts w:ascii="Lato" w:hAnsi="Lato" w:cs="Times New Roman"/>
        </w:rPr>
      </w:pPr>
      <w:r w:rsidRPr="00E1749A">
        <w:rPr>
          <w:rFonts w:ascii="Lato" w:hAnsi="Lato" w:cs="Times New Roman"/>
          <w:noProof/>
        </w:rPr>
        <w:drawing>
          <wp:anchor distT="0" distB="0" distL="114300" distR="114300" simplePos="0" relativeHeight="251659264" behindDoc="1" locked="0" layoutInCell="1" allowOverlap="1" wp14:anchorId="3DA00FD5" wp14:editId="7AEADF87">
            <wp:simplePos x="0" y="0"/>
            <wp:positionH relativeFrom="page">
              <wp:posOffset>-241300</wp:posOffset>
            </wp:positionH>
            <wp:positionV relativeFrom="paragraph">
              <wp:posOffset>-1042670</wp:posOffset>
            </wp:positionV>
            <wp:extent cx="1389380" cy="11422380"/>
            <wp:effectExtent l="0" t="0" r="1270" b="762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1142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D1E0F" w14:textId="77777777" w:rsidR="001448DA" w:rsidRPr="00E1749A" w:rsidRDefault="001448DA" w:rsidP="001448DA">
      <w:pPr>
        <w:jc w:val="both"/>
        <w:rPr>
          <w:rFonts w:ascii="Lato" w:hAnsi="Lato" w:cs="Times New Roman"/>
        </w:rPr>
      </w:pPr>
    </w:p>
    <w:p w14:paraId="3966E0B8" w14:textId="77777777" w:rsidR="001448DA" w:rsidRPr="00E1749A" w:rsidRDefault="001448DA" w:rsidP="001448DA">
      <w:pPr>
        <w:jc w:val="both"/>
        <w:rPr>
          <w:rFonts w:ascii="Lato" w:hAnsi="Lato" w:cs="Times New Roman"/>
        </w:rPr>
      </w:pPr>
    </w:p>
    <w:p w14:paraId="3AC7C052" w14:textId="77777777" w:rsidR="001448DA" w:rsidRPr="00E1749A" w:rsidRDefault="001448DA" w:rsidP="001448DA">
      <w:pPr>
        <w:jc w:val="both"/>
        <w:rPr>
          <w:rFonts w:ascii="Lato" w:hAnsi="Lato" w:cs="Times New Roman"/>
        </w:rPr>
      </w:pPr>
    </w:p>
    <w:p w14:paraId="1C29DC96" w14:textId="77777777" w:rsidR="001448DA" w:rsidRPr="00E1749A" w:rsidRDefault="001448DA" w:rsidP="001448DA">
      <w:pPr>
        <w:tabs>
          <w:tab w:val="left" w:pos="440"/>
        </w:tabs>
        <w:spacing w:after="120"/>
        <w:ind w:left="110"/>
        <w:jc w:val="both"/>
        <w:rPr>
          <w:rFonts w:ascii="Lato" w:hAnsi="Lato" w:cs="Times New Roman"/>
          <w:b/>
          <w:sz w:val="24"/>
          <w:szCs w:val="24"/>
        </w:rPr>
      </w:pPr>
      <w:r w:rsidRPr="00E1749A">
        <w:rPr>
          <w:rFonts w:ascii="Lato" w:hAnsi="Lato" w:cs="Times New Roman"/>
          <w:b/>
          <w:sz w:val="24"/>
          <w:szCs w:val="24"/>
        </w:rPr>
        <w:t xml:space="preserve">   </w:t>
      </w:r>
    </w:p>
    <w:p w14:paraId="0D003552" w14:textId="77777777" w:rsidR="001448DA" w:rsidRPr="00E1749A" w:rsidRDefault="001448DA" w:rsidP="001448DA">
      <w:pPr>
        <w:jc w:val="both"/>
        <w:rPr>
          <w:rFonts w:ascii="Lato" w:hAnsi="Lato" w:cs="Times New Roman"/>
        </w:rPr>
      </w:pPr>
    </w:p>
    <w:p w14:paraId="5C0A418F" w14:textId="77777777" w:rsidR="001448DA" w:rsidRPr="00E1749A" w:rsidRDefault="001448DA" w:rsidP="001448DA">
      <w:pPr>
        <w:jc w:val="both"/>
        <w:rPr>
          <w:rFonts w:ascii="Lato" w:hAnsi="Lato" w:cs="Times New Roman"/>
        </w:rPr>
      </w:pPr>
    </w:p>
    <w:p w14:paraId="108202B0" w14:textId="77777777" w:rsidR="001448DA" w:rsidRPr="00E1749A" w:rsidRDefault="001448DA" w:rsidP="001448DA">
      <w:pPr>
        <w:jc w:val="center"/>
        <w:rPr>
          <w:rFonts w:ascii="Lato" w:hAnsi="Lato" w:cs="Times New Roman"/>
          <w:sz w:val="24"/>
          <w:szCs w:val="24"/>
        </w:rPr>
      </w:pPr>
      <w:bookmarkStart w:id="0" w:name="_Toc376068006"/>
    </w:p>
    <w:p w14:paraId="66ADD774" w14:textId="77777777" w:rsidR="001448DA" w:rsidRPr="00E1749A" w:rsidRDefault="001448DA" w:rsidP="001448DA">
      <w:pPr>
        <w:jc w:val="center"/>
        <w:rPr>
          <w:rFonts w:ascii="Lato" w:hAnsi="Lato" w:cs="Times New Roman"/>
          <w:sz w:val="24"/>
          <w:szCs w:val="24"/>
        </w:rPr>
      </w:pPr>
    </w:p>
    <w:p w14:paraId="362F5BDA" w14:textId="77777777" w:rsidR="001448DA" w:rsidRPr="00E1749A" w:rsidRDefault="001448DA" w:rsidP="001448DA">
      <w:pPr>
        <w:jc w:val="center"/>
        <w:rPr>
          <w:rFonts w:ascii="Lato" w:hAnsi="Lato" w:cs="Times New Roman"/>
          <w:sz w:val="24"/>
          <w:szCs w:val="24"/>
        </w:rPr>
      </w:pPr>
    </w:p>
    <w:p w14:paraId="51E38473" w14:textId="77777777" w:rsidR="001448DA" w:rsidRPr="00E1749A" w:rsidRDefault="001448DA" w:rsidP="001448DA">
      <w:pPr>
        <w:jc w:val="center"/>
        <w:rPr>
          <w:rFonts w:ascii="Lato" w:hAnsi="Lato" w:cs="Times New Roman"/>
          <w:sz w:val="24"/>
          <w:szCs w:val="24"/>
        </w:rPr>
      </w:pPr>
    </w:p>
    <w:p w14:paraId="205D09D8" w14:textId="77777777" w:rsidR="001448DA" w:rsidRPr="00E1749A" w:rsidRDefault="001448DA" w:rsidP="001448DA">
      <w:pPr>
        <w:jc w:val="center"/>
        <w:rPr>
          <w:rFonts w:ascii="Lato" w:hAnsi="Lato" w:cs="Times New Roman"/>
          <w:sz w:val="24"/>
          <w:szCs w:val="24"/>
        </w:rPr>
      </w:pPr>
    </w:p>
    <w:p w14:paraId="2C4F63AF" w14:textId="77777777" w:rsidR="001448DA" w:rsidRPr="00E1749A" w:rsidRDefault="001448DA" w:rsidP="001448DA">
      <w:pPr>
        <w:jc w:val="center"/>
        <w:rPr>
          <w:rFonts w:ascii="Lato" w:hAnsi="Lato" w:cs="Times New Roman"/>
          <w:sz w:val="24"/>
          <w:szCs w:val="24"/>
        </w:rPr>
      </w:pPr>
    </w:p>
    <w:p w14:paraId="7CAFFD99" w14:textId="77777777" w:rsidR="001448DA" w:rsidRPr="00E1749A" w:rsidRDefault="001448DA" w:rsidP="001448DA">
      <w:pPr>
        <w:jc w:val="center"/>
        <w:rPr>
          <w:rFonts w:ascii="Lato" w:hAnsi="Lato" w:cs="Times New Roman"/>
          <w:sz w:val="24"/>
          <w:szCs w:val="24"/>
        </w:rPr>
      </w:pPr>
    </w:p>
    <w:p w14:paraId="06A0CC4C" w14:textId="77777777" w:rsidR="001448DA" w:rsidRPr="00E1749A" w:rsidRDefault="001448DA" w:rsidP="001448DA">
      <w:pPr>
        <w:jc w:val="center"/>
        <w:rPr>
          <w:rFonts w:ascii="Lato" w:hAnsi="Lato" w:cs="Times New Roman"/>
          <w:sz w:val="24"/>
          <w:szCs w:val="24"/>
        </w:rPr>
      </w:pPr>
    </w:p>
    <w:p w14:paraId="61CA40DF" w14:textId="77777777" w:rsidR="001448DA" w:rsidRPr="00E1749A" w:rsidRDefault="001448DA" w:rsidP="001448DA">
      <w:pPr>
        <w:jc w:val="center"/>
        <w:rPr>
          <w:rFonts w:ascii="Lato" w:hAnsi="Lato" w:cs="Times New Roman"/>
          <w:sz w:val="24"/>
          <w:szCs w:val="24"/>
        </w:rPr>
      </w:pPr>
    </w:p>
    <w:p w14:paraId="27278CDF" w14:textId="77777777" w:rsidR="001448DA" w:rsidRPr="00E1749A" w:rsidRDefault="001448DA" w:rsidP="001448DA">
      <w:pPr>
        <w:jc w:val="center"/>
        <w:rPr>
          <w:rFonts w:ascii="Lato" w:hAnsi="Lato" w:cs="Times New Roman"/>
          <w:sz w:val="24"/>
          <w:szCs w:val="24"/>
        </w:rPr>
      </w:pPr>
    </w:p>
    <w:p w14:paraId="33540308" w14:textId="77777777" w:rsidR="001448DA" w:rsidRPr="00E1749A" w:rsidRDefault="001448DA" w:rsidP="001448DA">
      <w:pPr>
        <w:jc w:val="center"/>
        <w:rPr>
          <w:rFonts w:ascii="Lato" w:hAnsi="Lato" w:cs="Times New Roman"/>
          <w:sz w:val="24"/>
          <w:szCs w:val="24"/>
        </w:rPr>
      </w:pPr>
    </w:p>
    <w:p w14:paraId="39051057" w14:textId="77777777" w:rsidR="001448DA" w:rsidRPr="00E1749A" w:rsidRDefault="001448DA" w:rsidP="001448DA">
      <w:pPr>
        <w:jc w:val="center"/>
        <w:rPr>
          <w:rFonts w:ascii="Lato" w:hAnsi="Lato" w:cs="Times New Roman"/>
          <w:sz w:val="24"/>
          <w:szCs w:val="24"/>
        </w:rPr>
      </w:pPr>
    </w:p>
    <w:p w14:paraId="1250A98F" w14:textId="77777777" w:rsidR="001448DA" w:rsidRPr="00E1749A" w:rsidRDefault="001448DA" w:rsidP="001448DA">
      <w:pPr>
        <w:jc w:val="center"/>
        <w:rPr>
          <w:rFonts w:ascii="Lato" w:hAnsi="Lato" w:cs="Times New Roman"/>
          <w:sz w:val="24"/>
          <w:szCs w:val="24"/>
        </w:rPr>
      </w:pPr>
    </w:p>
    <w:p w14:paraId="3B857F28" w14:textId="77777777" w:rsidR="001448DA" w:rsidRPr="00E1749A" w:rsidRDefault="001448DA" w:rsidP="001448DA">
      <w:pPr>
        <w:jc w:val="center"/>
        <w:rPr>
          <w:rFonts w:ascii="Lato" w:hAnsi="Lato" w:cs="Times New Roman"/>
          <w:sz w:val="24"/>
          <w:szCs w:val="24"/>
        </w:rPr>
      </w:pPr>
    </w:p>
    <w:p w14:paraId="0B6C01D1" w14:textId="77777777" w:rsidR="001448DA" w:rsidRPr="00E1749A" w:rsidRDefault="001448DA" w:rsidP="001448DA">
      <w:pPr>
        <w:jc w:val="center"/>
        <w:rPr>
          <w:rFonts w:ascii="Lato" w:hAnsi="Lato" w:cs="Times New Roman"/>
          <w:sz w:val="24"/>
          <w:szCs w:val="24"/>
        </w:rPr>
      </w:pPr>
    </w:p>
    <w:p w14:paraId="498E7210" w14:textId="77777777" w:rsidR="001448DA" w:rsidRPr="00E1749A" w:rsidRDefault="001448DA" w:rsidP="001448DA">
      <w:pPr>
        <w:jc w:val="center"/>
        <w:rPr>
          <w:rFonts w:ascii="Lato" w:hAnsi="Lato" w:cs="Times New Roman"/>
          <w:sz w:val="24"/>
          <w:szCs w:val="24"/>
        </w:rPr>
      </w:pPr>
    </w:p>
    <w:p w14:paraId="78BAA00F" w14:textId="77777777" w:rsidR="001448DA" w:rsidRPr="00E1749A" w:rsidRDefault="001448DA" w:rsidP="001448DA">
      <w:pPr>
        <w:jc w:val="center"/>
        <w:rPr>
          <w:rFonts w:ascii="Lato" w:hAnsi="Lato" w:cs="Times New Roman"/>
          <w:sz w:val="24"/>
          <w:szCs w:val="24"/>
        </w:rPr>
      </w:pPr>
    </w:p>
    <w:p w14:paraId="2A9B4DE5" w14:textId="77777777" w:rsidR="001448DA" w:rsidRPr="00E1749A" w:rsidRDefault="001448DA" w:rsidP="001448DA">
      <w:pPr>
        <w:jc w:val="center"/>
        <w:rPr>
          <w:rFonts w:ascii="Lato" w:hAnsi="Lato" w:cs="Times New Roman"/>
          <w:sz w:val="24"/>
          <w:szCs w:val="24"/>
        </w:rPr>
      </w:pPr>
    </w:p>
    <w:p w14:paraId="23081A24" w14:textId="77777777" w:rsidR="001448DA" w:rsidRPr="00E1749A" w:rsidRDefault="001448DA" w:rsidP="001448DA">
      <w:pPr>
        <w:jc w:val="center"/>
        <w:rPr>
          <w:rFonts w:ascii="Lato" w:hAnsi="Lato" w:cs="Times New Roman"/>
          <w:sz w:val="24"/>
          <w:szCs w:val="24"/>
        </w:rPr>
      </w:pPr>
    </w:p>
    <w:p w14:paraId="08DFA9A7" w14:textId="682BC040" w:rsidR="001448DA" w:rsidRPr="00E1749A" w:rsidRDefault="000258D8" w:rsidP="001448DA">
      <w:pPr>
        <w:ind w:left="1416"/>
        <w:jc w:val="center"/>
        <w:rPr>
          <w:rFonts w:ascii="Lato" w:hAnsi="Lato" w:cs="Times New Roman"/>
          <w:sz w:val="32"/>
          <w:szCs w:val="32"/>
        </w:rPr>
      </w:pPr>
      <w:r w:rsidRPr="00E1749A">
        <w:rPr>
          <w:rFonts w:ascii="Lato" w:hAnsi="Lato" w:cs="Times New Roman"/>
          <w:sz w:val="32"/>
          <w:szCs w:val="32"/>
        </w:rPr>
        <w:t xml:space="preserve">Raportowanie informacji o amerykańskim numerze TIN </w:t>
      </w:r>
      <w:r w:rsidRPr="00E1749A">
        <w:rPr>
          <w:rFonts w:ascii="Lato" w:hAnsi="Lato" w:cs="Times New Roman"/>
          <w:sz w:val="32"/>
          <w:szCs w:val="32"/>
        </w:rPr>
        <w:br/>
        <w:t xml:space="preserve">w informacjach FATCA za 2020 rok i lata następne </w:t>
      </w:r>
    </w:p>
    <w:p w14:paraId="077C2597" w14:textId="77777777" w:rsidR="001448DA" w:rsidRPr="00E1749A" w:rsidRDefault="001448DA" w:rsidP="001448DA">
      <w:pPr>
        <w:jc w:val="center"/>
        <w:rPr>
          <w:rFonts w:ascii="Lato" w:hAnsi="Lato" w:cs="Times New Roman"/>
          <w:sz w:val="52"/>
          <w:szCs w:val="52"/>
        </w:rPr>
      </w:pPr>
    </w:p>
    <w:p w14:paraId="40BAD4FE" w14:textId="77777777" w:rsidR="001448DA" w:rsidRPr="00E1749A" w:rsidRDefault="001448DA" w:rsidP="001448DA">
      <w:pPr>
        <w:jc w:val="center"/>
        <w:rPr>
          <w:rFonts w:ascii="Lato" w:hAnsi="Lato" w:cs="Times New Roman"/>
          <w:sz w:val="52"/>
          <w:szCs w:val="52"/>
        </w:rPr>
      </w:pPr>
    </w:p>
    <w:bookmarkEnd w:id="0"/>
    <w:p w14:paraId="5A89E485" w14:textId="77777777" w:rsidR="001448DA" w:rsidRPr="00E1749A" w:rsidRDefault="001448DA" w:rsidP="001448DA">
      <w:pPr>
        <w:jc w:val="center"/>
        <w:rPr>
          <w:rFonts w:ascii="Lato" w:hAnsi="Lato" w:cs="Times New Roman"/>
          <w:sz w:val="24"/>
          <w:szCs w:val="24"/>
        </w:rPr>
      </w:pPr>
    </w:p>
    <w:p w14:paraId="7710B0C2" w14:textId="77777777" w:rsidR="001448DA" w:rsidRPr="00E1749A" w:rsidRDefault="001448DA" w:rsidP="001448DA">
      <w:pPr>
        <w:jc w:val="center"/>
        <w:rPr>
          <w:rFonts w:ascii="Lato" w:hAnsi="Lato" w:cs="Times New Roman"/>
          <w:sz w:val="24"/>
          <w:szCs w:val="24"/>
        </w:rPr>
      </w:pPr>
    </w:p>
    <w:p w14:paraId="5659F8A3" w14:textId="77777777" w:rsidR="001448DA" w:rsidRPr="00E1749A" w:rsidRDefault="001448DA" w:rsidP="001448DA">
      <w:pPr>
        <w:jc w:val="center"/>
        <w:rPr>
          <w:rFonts w:ascii="Lato" w:hAnsi="Lato" w:cs="Times New Roman"/>
          <w:sz w:val="24"/>
          <w:szCs w:val="24"/>
        </w:rPr>
      </w:pPr>
    </w:p>
    <w:p w14:paraId="54A47049" w14:textId="77777777" w:rsidR="001448DA" w:rsidRPr="00E1749A" w:rsidRDefault="001448DA" w:rsidP="001448DA">
      <w:pPr>
        <w:jc w:val="center"/>
        <w:rPr>
          <w:rFonts w:ascii="Lato" w:hAnsi="Lato" w:cs="Times New Roman"/>
          <w:sz w:val="24"/>
          <w:szCs w:val="24"/>
        </w:rPr>
      </w:pPr>
    </w:p>
    <w:p w14:paraId="43749003" w14:textId="77777777" w:rsidR="001448DA" w:rsidRPr="00E1749A" w:rsidRDefault="001448DA" w:rsidP="001448DA">
      <w:pPr>
        <w:jc w:val="center"/>
        <w:rPr>
          <w:rFonts w:ascii="Lato" w:hAnsi="Lato" w:cs="Times New Roman"/>
          <w:sz w:val="24"/>
          <w:szCs w:val="24"/>
        </w:rPr>
      </w:pPr>
      <w:bookmarkStart w:id="1" w:name="_Toc376068007"/>
    </w:p>
    <w:bookmarkEnd w:id="1"/>
    <w:p w14:paraId="69C5A7B7" w14:textId="77777777" w:rsidR="001448DA" w:rsidRPr="00E1749A" w:rsidRDefault="001448DA" w:rsidP="001448DA">
      <w:pPr>
        <w:spacing w:line="360" w:lineRule="auto"/>
        <w:jc w:val="center"/>
        <w:rPr>
          <w:rFonts w:ascii="Lato" w:hAnsi="Lato" w:cs="Times New Roman"/>
        </w:rPr>
      </w:pPr>
    </w:p>
    <w:p w14:paraId="5EC01582" w14:textId="77777777" w:rsidR="001448DA" w:rsidRPr="00E1749A" w:rsidRDefault="001448DA" w:rsidP="001448DA">
      <w:pPr>
        <w:spacing w:line="360" w:lineRule="auto"/>
        <w:jc w:val="center"/>
        <w:rPr>
          <w:rFonts w:ascii="Lato" w:hAnsi="Lato" w:cs="Times New Roman"/>
        </w:rPr>
      </w:pPr>
    </w:p>
    <w:p w14:paraId="0A060A00" w14:textId="77777777" w:rsidR="001448DA" w:rsidRPr="00E1749A" w:rsidRDefault="001448DA" w:rsidP="001448DA">
      <w:pPr>
        <w:spacing w:line="360" w:lineRule="auto"/>
        <w:jc w:val="center"/>
        <w:rPr>
          <w:rFonts w:ascii="Lato" w:hAnsi="Lato" w:cs="Times New Roman"/>
        </w:rPr>
      </w:pPr>
      <w:r w:rsidRPr="00E1749A">
        <w:rPr>
          <w:rFonts w:ascii="Lato" w:hAnsi="Lato" w:cs="Times New Roman"/>
        </w:rPr>
        <w:br w:type="page"/>
      </w:r>
    </w:p>
    <w:p w14:paraId="24BA5973" w14:textId="77777777" w:rsidR="00985BAA" w:rsidRPr="00E1749A" w:rsidRDefault="00985BAA" w:rsidP="005A3AA4">
      <w:pPr>
        <w:rPr>
          <w:rFonts w:ascii="Lato" w:hAnsi="Lato" w:cs="Times New Roman"/>
          <w:b/>
          <w:sz w:val="36"/>
        </w:rPr>
      </w:pPr>
    </w:p>
    <w:p w14:paraId="1C065424" w14:textId="77777777" w:rsidR="001448DA" w:rsidRPr="00E1749A" w:rsidRDefault="001448DA" w:rsidP="005A3AA4">
      <w:pPr>
        <w:rPr>
          <w:rFonts w:ascii="Lato" w:hAnsi="Lato" w:cs="Times New Roman"/>
          <w:b/>
          <w:sz w:val="36"/>
        </w:rPr>
      </w:pPr>
    </w:p>
    <w:p w14:paraId="39D6A7DE" w14:textId="77777777" w:rsidR="001448DA" w:rsidRPr="00E1749A" w:rsidRDefault="001448DA" w:rsidP="005A3AA4">
      <w:pPr>
        <w:rPr>
          <w:rFonts w:ascii="Lato" w:hAnsi="Lato" w:cs="Times New Roman"/>
          <w:b/>
          <w:sz w:val="36"/>
        </w:rPr>
      </w:pPr>
    </w:p>
    <w:p w14:paraId="7AF2D1BA" w14:textId="77777777" w:rsidR="001448DA" w:rsidRPr="00E1749A" w:rsidRDefault="001448DA" w:rsidP="005A3AA4">
      <w:pPr>
        <w:rPr>
          <w:rFonts w:ascii="Lato" w:hAnsi="Lato" w:cs="Times New Roman"/>
          <w:b/>
          <w:sz w:val="36"/>
        </w:rPr>
      </w:pPr>
    </w:p>
    <w:p w14:paraId="5064C3DB" w14:textId="77777777" w:rsidR="001448DA" w:rsidRPr="00E1749A" w:rsidRDefault="001448DA" w:rsidP="005A3AA4">
      <w:pPr>
        <w:rPr>
          <w:rFonts w:ascii="Lato" w:hAnsi="Lato" w:cs="Times New Roman"/>
          <w:b/>
          <w:sz w:val="36"/>
        </w:rPr>
      </w:pPr>
    </w:p>
    <w:p w14:paraId="44BA88FE" w14:textId="77777777" w:rsidR="001448DA" w:rsidRPr="00E1749A" w:rsidRDefault="001448DA" w:rsidP="005A3AA4">
      <w:pPr>
        <w:rPr>
          <w:rFonts w:ascii="Lato" w:hAnsi="Lato" w:cs="Times New Roman"/>
          <w:b/>
          <w:sz w:val="36"/>
        </w:rPr>
      </w:pPr>
    </w:p>
    <w:p w14:paraId="43264959" w14:textId="77777777" w:rsidR="001448DA" w:rsidRPr="00E1749A" w:rsidRDefault="001448DA" w:rsidP="005A3AA4">
      <w:pPr>
        <w:rPr>
          <w:rFonts w:ascii="Lato" w:hAnsi="Lato" w:cs="Times New Roman"/>
          <w:b/>
          <w:sz w:val="36"/>
        </w:rPr>
      </w:pPr>
    </w:p>
    <w:p w14:paraId="2ED8A357" w14:textId="77777777" w:rsidR="001448DA" w:rsidRPr="00E1749A" w:rsidRDefault="001448DA" w:rsidP="005A3AA4">
      <w:pPr>
        <w:rPr>
          <w:rFonts w:ascii="Lato" w:hAnsi="Lato" w:cs="Times New Roman"/>
          <w:b/>
          <w:sz w:val="36"/>
        </w:rPr>
      </w:pPr>
    </w:p>
    <w:p w14:paraId="47FF0970" w14:textId="77777777" w:rsidR="001448DA" w:rsidRPr="00E1749A" w:rsidRDefault="001448DA" w:rsidP="005A3AA4">
      <w:pPr>
        <w:rPr>
          <w:rFonts w:ascii="Lato" w:hAnsi="Lato" w:cs="Times New Roman"/>
          <w:b/>
          <w:sz w:val="36"/>
        </w:rPr>
      </w:pPr>
    </w:p>
    <w:p w14:paraId="1E19D672" w14:textId="77777777" w:rsidR="001448DA" w:rsidRPr="00E1749A" w:rsidRDefault="001448DA" w:rsidP="005A3AA4">
      <w:pPr>
        <w:rPr>
          <w:rFonts w:ascii="Lato" w:hAnsi="Lato" w:cs="Times New Roman"/>
          <w:b/>
          <w:sz w:val="36"/>
        </w:rPr>
      </w:pPr>
    </w:p>
    <w:p w14:paraId="60449533" w14:textId="77777777" w:rsidR="001448DA" w:rsidRPr="00E1749A" w:rsidRDefault="001448DA" w:rsidP="005A3AA4">
      <w:pPr>
        <w:rPr>
          <w:rFonts w:ascii="Lato" w:hAnsi="Lato" w:cs="Times New Roman"/>
          <w:b/>
          <w:sz w:val="36"/>
        </w:rPr>
      </w:pPr>
    </w:p>
    <w:p w14:paraId="421CB1CD" w14:textId="77777777" w:rsidR="001448DA" w:rsidRPr="00E1749A" w:rsidRDefault="001448DA" w:rsidP="005A3AA4">
      <w:pPr>
        <w:rPr>
          <w:rFonts w:ascii="Lato" w:hAnsi="Lato" w:cs="Times New Roman"/>
          <w:b/>
          <w:sz w:val="36"/>
        </w:rPr>
      </w:pPr>
    </w:p>
    <w:p w14:paraId="61DDCB01" w14:textId="77777777" w:rsidR="001448DA" w:rsidRPr="00E1749A" w:rsidRDefault="001448DA" w:rsidP="005A3AA4">
      <w:pPr>
        <w:rPr>
          <w:rFonts w:ascii="Lato" w:hAnsi="Lato" w:cs="Times New Roman"/>
          <w:b/>
          <w:sz w:val="36"/>
        </w:rPr>
      </w:pPr>
    </w:p>
    <w:p w14:paraId="14C1D4C9" w14:textId="77777777" w:rsidR="001448DA" w:rsidRPr="00E1749A" w:rsidRDefault="001448DA" w:rsidP="005A3AA4">
      <w:pPr>
        <w:rPr>
          <w:rFonts w:ascii="Lato" w:hAnsi="Lato" w:cs="Times New Roman"/>
          <w:b/>
          <w:sz w:val="36"/>
        </w:rPr>
      </w:pPr>
    </w:p>
    <w:p w14:paraId="6B0CDA50" w14:textId="77777777" w:rsidR="001448DA" w:rsidRPr="00E1749A" w:rsidRDefault="001448DA" w:rsidP="005A3AA4">
      <w:pPr>
        <w:rPr>
          <w:rFonts w:ascii="Lato" w:hAnsi="Lato" w:cs="Times New Roman"/>
          <w:b/>
          <w:sz w:val="36"/>
        </w:rPr>
      </w:pPr>
    </w:p>
    <w:p w14:paraId="67203136" w14:textId="77777777" w:rsidR="001448DA" w:rsidRPr="00E1749A" w:rsidRDefault="001448DA" w:rsidP="005A3AA4">
      <w:pPr>
        <w:rPr>
          <w:rFonts w:ascii="Lato" w:hAnsi="Lato" w:cs="Times New Roman"/>
          <w:b/>
          <w:sz w:val="36"/>
        </w:rPr>
      </w:pPr>
    </w:p>
    <w:p w14:paraId="590CD216" w14:textId="77777777" w:rsidR="001448DA" w:rsidRPr="00E1749A" w:rsidRDefault="001448DA" w:rsidP="005A3AA4">
      <w:pPr>
        <w:rPr>
          <w:rFonts w:ascii="Lato" w:hAnsi="Lato" w:cs="Times New Roman"/>
          <w:b/>
          <w:sz w:val="36"/>
        </w:rPr>
      </w:pPr>
    </w:p>
    <w:p w14:paraId="5BE47E4A" w14:textId="77777777" w:rsidR="001448DA" w:rsidRPr="00E1749A" w:rsidRDefault="001448DA" w:rsidP="005A3AA4">
      <w:pPr>
        <w:rPr>
          <w:rFonts w:ascii="Lato" w:hAnsi="Lato" w:cs="Times New Roman"/>
          <w:b/>
          <w:sz w:val="36"/>
        </w:rPr>
      </w:pPr>
    </w:p>
    <w:p w14:paraId="67CDD717" w14:textId="77777777" w:rsidR="001448DA" w:rsidRPr="00E1749A" w:rsidRDefault="001448DA" w:rsidP="005A3AA4">
      <w:pPr>
        <w:rPr>
          <w:rFonts w:ascii="Lato" w:hAnsi="Lato" w:cs="Times New Roman"/>
          <w:b/>
          <w:sz w:val="36"/>
        </w:rPr>
      </w:pPr>
    </w:p>
    <w:p w14:paraId="5EC17102" w14:textId="77777777" w:rsidR="001448DA" w:rsidRPr="00E1749A" w:rsidRDefault="001448DA" w:rsidP="005A3AA4">
      <w:pPr>
        <w:rPr>
          <w:rFonts w:ascii="Lato" w:hAnsi="Lato" w:cs="Times New Roman"/>
          <w:b/>
          <w:sz w:val="36"/>
        </w:rPr>
      </w:pPr>
    </w:p>
    <w:p w14:paraId="3E1949E5" w14:textId="77777777" w:rsidR="001448DA" w:rsidRPr="00E1749A" w:rsidRDefault="001448DA" w:rsidP="005A3AA4">
      <w:pPr>
        <w:rPr>
          <w:rFonts w:ascii="Lato" w:hAnsi="Lato" w:cs="Times New Roman"/>
          <w:b/>
          <w:sz w:val="36"/>
        </w:rPr>
      </w:pPr>
    </w:p>
    <w:p w14:paraId="6B34ACCE" w14:textId="77777777" w:rsidR="001448DA" w:rsidRPr="00E1749A" w:rsidRDefault="001448DA" w:rsidP="005A3AA4">
      <w:pPr>
        <w:rPr>
          <w:rFonts w:ascii="Lato" w:hAnsi="Lato" w:cs="Times New Roman"/>
          <w:b/>
          <w:sz w:val="36"/>
        </w:rPr>
      </w:pPr>
    </w:p>
    <w:p w14:paraId="5ED65A23" w14:textId="77777777" w:rsidR="001448DA" w:rsidRPr="00E1749A" w:rsidRDefault="001448DA" w:rsidP="005A3AA4">
      <w:pPr>
        <w:rPr>
          <w:rFonts w:ascii="Lato" w:hAnsi="Lato" w:cs="Times New Roman"/>
          <w:b/>
          <w:sz w:val="36"/>
        </w:rPr>
      </w:pPr>
    </w:p>
    <w:p w14:paraId="604CE1EE" w14:textId="77777777" w:rsidR="001448DA" w:rsidRPr="00E1749A" w:rsidRDefault="001448DA" w:rsidP="005A3AA4">
      <w:pPr>
        <w:rPr>
          <w:rFonts w:ascii="Lato" w:hAnsi="Lato" w:cs="Times New Roman"/>
          <w:b/>
          <w:sz w:val="36"/>
        </w:rPr>
      </w:pPr>
    </w:p>
    <w:p w14:paraId="008452EA" w14:textId="77777777" w:rsidR="001448DA" w:rsidRPr="00E1749A" w:rsidRDefault="001448DA" w:rsidP="005A3AA4">
      <w:pPr>
        <w:rPr>
          <w:rFonts w:ascii="Lato" w:hAnsi="Lato" w:cs="Times New Roman"/>
          <w:b/>
          <w:sz w:val="36"/>
        </w:rPr>
      </w:pPr>
    </w:p>
    <w:p w14:paraId="6F6D7A40" w14:textId="77777777" w:rsidR="001448DA" w:rsidRPr="00E1749A" w:rsidRDefault="001448DA" w:rsidP="005A3AA4">
      <w:pPr>
        <w:rPr>
          <w:rFonts w:ascii="Lato" w:hAnsi="Lato" w:cs="Times New Roman"/>
          <w:b/>
          <w:sz w:val="36"/>
        </w:rPr>
      </w:pPr>
    </w:p>
    <w:p w14:paraId="55F7DFA3" w14:textId="77777777" w:rsidR="001448DA" w:rsidRPr="00E1749A" w:rsidRDefault="001448DA" w:rsidP="005A3AA4">
      <w:pPr>
        <w:rPr>
          <w:rFonts w:ascii="Lato" w:hAnsi="Lato" w:cs="Times New Roman"/>
          <w:b/>
          <w:sz w:val="36"/>
        </w:rPr>
      </w:pPr>
    </w:p>
    <w:p w14:paraId="214B554C" w14:textId="77777777" w:rsidR="001448DA" w:rsidRPr="00E1749A" w:rsidRDefault="001448DA" w:rsidP="005A3AA4">
      <w:pPr>
        <w:rPr>
          <w:rFonts w:ascii="Lato" w:hAnsi="Lato" w:cs="Times New Roman"/>
          <w:b/>
          <w:sz w:val="36"/>
        </w:rPr>
      </w:pPr>
    </w:p>
    <w:p w14:paraId="6213F95B" w14:textId="77777777" w:rsidR="001448DA" w:rsidRPr="00E1749A" w:rsidRDefault="001448DA" w:rsidP="005A3AA4">
      <w:pPr>
        <w:rPr>
          <w:rFonts w:ascii="Lato" w:hAnsi="Lato" w:cs="Times New Roman"/>
          <w:b/>
          <w:sz w:val="36"/>
        </w:rPr>
      </w:pPr>
    </w:p>
    <w:p w14:paraId="33521377" w14:textId="77777777" w:rsidR="001448DA" w:rsidRPr="00E1749A" w:rsidRDefault="001448DA" w:rsidP="005A3AA4">
      <w:pPr>
        <w:rPr>
          <w:rFonts w:ascii="Lato" w:hAnsi="Lato" w:cs="Times New Roman"/>
          <w:b/>
          <w:sz w:val="36"/>
        </w:rPr>
      </w:pPr>
    </w:p>
    <w:p w14:paraId="7F6D4EE8" w14:textId="77777777" w:rsidR="001448DA" w:rsidRPr="00E1749A" w:rsidRDefault="001448DA" w:rsidP="001448DA">
      <w:pPr>
        <w:overflowPunct/>
        <w:autoSpaceDE/>
        <w:autoSpaceDN/>
        <w:adjustRightInd/>
        <w:spacing w:line="360" w:lineRule="auto"/>
        <w:jc w:val="center"/>
        <w:textAlignment w:val="auto"/>
        <w:rPr>
          <w:rFonts w:ascii="Lato" w:eastAsia="Calibri" w:hAnsi="Lato" w:cs="Times New Roman"/>
          <w:sz w:val="2"/>
          <w:szCs w:val="2"/>
          <w:lang w:eastAsia="en-US"/>
        </w:rPr>
      </w:pPr>
    </w:p>
    <w:p w14:paraId="1F791D1C" w14:textId="77777777" w:rsidR="001448DA" w:rsidRPr="00E1749A" w:rsidRDefault="001448DA" w:rsidP="001448DA">
      <w:pPr>
        <w:pBdr>
          <w:top w:val="single" w:sz="4" w:space="1" w:color="auto"/>
          <w:bottom w:val="single" w:sz="4" w:space="1" w:color="auto"/>
          <w:between w:val="single" w:sz="4" w:space="1" w:color="auto"/>
        </w:pBdr>
        <w:overflowPunct/>
        <w:autoSpaceDE/>
        <w:autoSpaceDN/>
        <w:adjustRightInd/>
        <w:contextualSpacing/>
        <w:jc w:val="both"/>
        <w:textAlignment w:val="auto"/>
        <w:rPr>
          <w:rFonts w:ascii="Lato" w:eastAsia="Calibri" w:hAnsi="Lato" w:cs="Times New Roman"/>
          <w:b/>
          <w:smallCaps/>
          <w:color w:val="FF0000"/>
          <w:sz w:val="28"/>
          <w:szCs w:val="28"/>
          <w:lang w:eastAsia="en-US"/>
        </w:rPr>
      </w:pPr>
      <w:r w:rsidRPr="00E1749A">
        <w:rPr>
          <w:rFonts w:ascii="Lato" w:eastAsia="Calibri" w:hAnsi="Lato" w:cs="Times New Roman"/>
          <w:b/>
          <w:smallCaps/>
          <w:color w:val="FF0000"/>
          <w:sz w:val="28"/>
          <w:szCs w:val="28"/>
          <w:lang w:eastAsia="en-US"/>
        </w:rPr>
        <w:lastRenderedPageBreak/>
        <w:t>Spis treści</w:t>
      </w:r>
    </w:p>
    <w:p w14:paraId="7584CDC3" w14:textId="0CBBBF80" w:rsidR="00E1749A" w:rsidRPr="00E1749A" w:rsidRDefault="00EB3EA4">
      <w:pPr>
        <w:pStyle w:val="Spistreci1"/>
        <w:tabs>
          <w:tab w:val="left" w:pos="600"/>
          <w:tab w:val="right" w:leader="dot" w:pos="9394"/>
        </w:tabs>
        <w:rPr>
          <w:rFonts w:ascii="Lato" w:eastAsiaTheme="minorEastAsia" w:hAnsi="Lato" w:cstheme="minorBidi"/>
          <w:b w:val="0"/>
          <w:bCs w:val="0"/>
          <w:caps w:val="0"/>
          <w:noProof/>
          <w:sz w:val="22"/>
          <w:szCs w:val="22"/>
        </w:rPr>
      </w:pPr>
      <w:r w:rsidRPr="00E1749A">
        <w:rPr>
          <w:rFonts w:ascii="Lato" w:eastAsia="Calibri" w:hAnsi="Lato" w:cs="Times New Roman"/>
          <w:sz w:val="22"/>
          <w:szCs w:val="22"/>
          <w:lang w:eastAsia="en-US"/>
        </w:rPr>
        <w:fldChar w:fldCharType="begin"/>
      </w:r>
      <w:r w:rsidRPr="00E1749A">
        <w:rPr>
          <w:rFonts w:ascii="Lato" w:eastAsia="Calibri" w:hAnsi="Lato" w:cs="Times New Roman"/>
          <w:sz w:val="22"/>
          <w:szCs w:val="22"/>
          <w:lang w:eastAsia="en-US"/>
        </w:rPr>
        <w:instrText xml:space="preserve"> TOC \o "1-5" \h \z \u </w:instrText>
      </w:r>
      <w:r w:rsidRPr="00E1749A">
        <w:rPr>
          <w:rFonts w:ascii="Lato" w:eastAsia="Calibri" w:hAnsi="Lato" w:cs="Times New Roman"/>
          <w:sz w:val="22"/>
          <w:szCs w:val="22"/>
          <w:lang w:eastAsia="en-US"/>
        </w:rPr>
        <w:fldChar w:fldCharType="separate"/>
      </w:r>
      <w:hyperlink w:anchor="_Toc224904076" w:history="1">
        <w:r w:rsidR="00E1749A" w:rsidRPr="00E1749A">
          <w:rPr>
            <w:rStyle w:val="Hipercze"/>
            <w:rFonts w:ascii="Lato" w:hAnsi="Lato"/>
            <w:noProof/>
          </w:rPr>
          <w:t>1.</w:t>
        </w:r>
        <w:r w:rsidR="00E1749A" w:rsidRPr="00E1749A">
          <w:rPr>
            <w:rFonts w:ascii="Lato" w:eastAsiaTheme="minorEastAsia" w:hAnsi="Lato" w:cstheme="minorBidi"/>
            <w:b w:val="0"/>
            <w:bCs w:val="0"/>
            <w:caps w:val="0"/>
            <w:noProof/>
            <w:sz w:val="22"/>
            <w:szCs w:val="22"/>
          </w:rPr>
          <w:tab/>
        </w:r>
        <w:r w:rsidR="00E1749A" w:rsidRPr="00E1749A">
          <w:rPr>
            <w:rStyle w:val="Hipercze"/>
            <w:rFonts w:ascii="Lato" w:hAnsi="Lato"/>
            <w:smallCaps/>
            <w:noProof/>
          </w:rPr>
          <w:t>Wstęp</w:t>
        </w:r>
        <w:r w:rsidR="00E1749A" w:rsidRPr="00E1749A">
          <w:rPr>
            <w:rFonts w:ascii="Lato" w:hAnsi="Lato"/>
            <w:noProof/>
            <w:webHidden/>
          </w:rPr>
          <w:tab/>
        </w:r>
        <w:r w:rsidR="00E1749A" w:rsidRPr="00E1749A">
          <w:rPr>
            <w:rFonts w:ascii="Lato" w:hAnsi="Lato"/>
            <w:noProof/>
            <w:webHidden/>
          </w:rPr>
          <w:fldChar w:fldCharType="begin"/>
        </w:r>
        <w:r w:rsidR="00E1749A" w:rsidRPr="00E1749A">
          <w:rPr>
            <w:rFonts w:ascii="Lato" w:hAnsi="Lato"/>
            <w:noProof/>
            <w:webHidden/>
          </w:rPr>
          <w:instrText xml:space="preserve"> PAGEREF _Toc224904076 \h </w:instrText>
        </w:r>
        <w:r w:rsidR="00E1749A" w:rsidRPr="00E1749A">
          <w:rPr>
            <w:rFonts w:ascii="Lato" w:hAnsi="Lato"/>
            <w:noProof/>
            <w:webHidden/>
          </w:rPr>
        </w:r>
        <w:r w:rsidR="00E1749A" w:rsidRPr="00E1749A">
          <w:rPr>
            <w:rFonts w:ascii="Lato" w:hAnsi="Lato"/>
            <w:noProof/>
            <w:webHidden/>
          </w:rPr>
          <w:fldChar w:fldCharType="separate"/>
        </w:r>
        <w:r w:rsidR="00E1749A" w:rsidRPr="00E1749A">
          <w:rPr>
            <w:rFonts w:ascii="Lato" w:hAnsi="Lato"/>
            <w:noProof/>
            <w:webHidden/>
          </w:rPr>
          <w:t>3</w:t>
        </w:r>
        <w:r w:rsidR="00E1749A" w:rsidRPr="00E1749A">
          <w:rPr>
            <w:rFonts w:ascii="Lato" w:hAnsi="Lato"/>
            <w:noProof/>
            <w:webHidden/>
          </w:rPr>
          <w:fldChar w:fldCharType="end"/>
        </w:r>
      </w:hyperlink>
    </w:p>
    <w:p w14:paraId="02D6AD8D" w14:textId="7F76C020" w:rsidR="00E1749A" w:rsidRPr="00E1749A" w:rsidRDefault="001A06A5">
      <w:pPr>
        <w:pStyle w:val="Spistreci1"/>
        <w:tabs>
          <w:tab w:val="left" w:pos="600"/>
          <w:tab w:val="right" w:leader="dot" w:pos="9394"/>
        </w:tabs>
        <w:rPr>
          <w:rFonts w:ascii="Lato" w:eastAsiaTheme="minorEastAsia" w:hAnsi="Lato" w:cstheme="minorBidi"/>
          <w:b w:val="0"/>
          <w:bCs w:val="0"/>
          <w:caps w:val="0"/>
          <w:noProof/>
          <w:sz w:val="22"/>
          <w:szCs w:val="22"/>
        </w:rPr>
      </w:pPr>
      <w:hyperlink w:anchor="_Toc224904077" w:history="1">
        <w:r w:rsidR="00E1749A" w:rsidRPr="00E1749A">
          <w:rPr>
            <w:rStyle w:val="Hipercze"/>
            <w:rFonts w:ascii="Lato" w:hAnsi="Lato"/>
            <w:smallCaps/>
            <w:noProof/>
          </w:rPr>
          <w:t>2.</w:t>
        </w:r>
        <w:r w:rsidR="00E1749A" w:rsidRPr="00E1749A">
          <w:rPr>
            <w:rFonts w:ascii="Lato" w:eastAsiaTheme="minorEastAsia" w:hAnsi="Lato" w:cstheme="minorBidi"/>
            <w:b w:val="0"/>
            <w:bCs w:val="0"/>
            <w:caps w:val="0"/>
            <w:noProof/>
            <w:sz w:val="22"/>
            <w:szCs w:val="22"/>
          </w:rPr>
          <w:tab/>
        </w:r>
        <w:r w:rsidR="00E1749A" w:rsidRPr="00E1749A">
          <w:rPr>
            <w:rStyle w:val="Hipercze"/>
            <w:rFonts w:ascii="Lato" w:hAnsi="Lato"/>
            <w:smallCaps/>
            <w:noProof/>
          </w:rPr>
          <w:t>Raportowanie informacji o U.S. TIN za lata 2020-2022</w:t>
        </w:r>
        <w:r w:rsidR="00E1749A" w:rsidRPr="00E1749A">
          <w:rPr>
            <w:rFonts w:ascii="Lato" w:hAnsi="Lato"/>
            <w:noProof/>
            <w:webHidden/>
          </w:rPr>
          <w:tab/>
        </w:r>
        <w:r w:rsidR="00E1749A" w:rsidRPr="00E1749A">
          <w:rPr>
            <w:rFonts w:ascii="Lato" w:hAnsi="Lato"/>
            <w:noProof/>
            <w:webHidden/>
          </w:rPr>
          <w:fldChar w:fldCharType="begin"/>
        </w:r>
        <w:r w:rsidR="00E1749A" w:rsidRPr="00E1749A">
          <w:rPr>
            <w:rFonts w:ascii="Lato" w:hAnsi="Lato"/>
            <w:noProof/>
            <w:webHidden/>
          </w:rPr>
          <w:instrText xml:space="preserve"> PAGEREF _Toc224904077 \h </w:instrText>
        </w:r>
        <w:r w:rsidR="00E1749A" w:rsidRPr="00E1749A">
          <w:rPr>
            <w:rFonts w:ascii="Lato" w:hAnsi="Lato"/>
            <w:noProof/>
            <w:webHidden/>
          </w:rPr>
        </w:r>
        <w:r w:rsidR="00E1749A" w:rsidRPr="00E1749A">
          <w:rPr>
            <w:rFonts w:ascii="Lato" w:hAnsi="Lato"/>
            <w:noProof/>
            <w:webHidden/>
          </w:rPr>
          <w:fldChar w:fldCharType="separate"/>
        </w:r>
        <w:r w:rsidR="00E1749A" w:rsidRPr="00E1749A">
          <w:rPr>
            <w:rFonts w:ascii="Lato" w:hAnsi="Lato"/>
            <w:noProof/>
            <w:webHidden/>
          </w:rPr>
          <w:t>4</w:t>
        </w:r>
        <w:r w:rsidR="00E1749A" w:rsidRPr="00E1749A">
          <w:rPr>
            <w:rFonts w:ascii="Lato" w:hAnsi="Lato"/>
            <w:noProof/>
            <w:webHidden/>
          </w:rPr>
          <w:fldChar w:fldCharType="end"/>
        </w:r>
      </w:hyperlink>
    </w:p>
    <w:p w14:paraId="00CCA982" w14:textId="726C952B" w:rsidR="00E1749A" w:rsidRPr="00E1749A" w:rsidRDefault="001A06A5">
      <w:pPr>
        <w:pStyle w:val="Spistreci1"/>
        <w:tabs>
          <w:tab w:val="left" w:pos="600"/>
          <w:tab w:val="right" w:leader="dot" w:pos="9394"/>
        </w:tabs>
        <w:rPr>
          <w:rFonts w:ascii="Lato" w:eastAsiaTheme="minorEastAsia" w:hAnsi="Lato" w:cstheme="minorBidi"/>
          <w:b w:val="0"/>
          <w:bCs w:val="0"/>
          <w:caps w:val="0"/>
          <w:noProof/>
          <w:sz w:val="22"/>
          <w:szCs w:val="22"/>
        </w:rPr>
      </w:pPr>
      <w:hyperlink w:anchor="_Toc224904078" w:history="1">
        <w:r w:rsidR="00E1749A" w:rsidRPr="00E1749A">
          <w:rPr>
            <w:rStyle w:val="Hipercze"/>
            <w:rFonts w:ascii="Lato" w:hAnsi="Lato"/>
            <w:smallCaps/>
            <w:noProof/>
          </w:rPr>
          <w:t>3.</w:t>
        </w:r>
        <w:r w:rsidR="00E1749A" w:rsidRPr="00E1749A">
          <w:rPr>
            <w:rFonts w:ascii="Lato" w:eastAsiaTheme="minorEastAsia" w:hAnsi="Lato" w:cstheme="minorBidi"/>
            <w:b w:val="0"/>
            <w:bCs w:val="0"/>
            <w:caps w:val="0"/>
            <w:noProof/>
            <w:sz w:val="22"/>
            <w:szCs w:val="22"/>
          </w:rPr>
          <w:tab/>
        </w:r>
        <w:r w:rsidR="00E1749A" w:rsidRPr="00E1749A">
          <w:rPr>
            <w:rStyle w:val="Hipercze"/>
            <w:rFonts w:ascii="Lato" w:hAnsi="Lato"/>
            <w:smallCaps/>
            <w:noProof/>
          </w:rPr>
          <w:t>Raportowanie informacji o U.S. TIN za lata 2022-2024</w:t>
        </w:r>
        <w:r w:rsidR="00E1749A" w:rsidRPr="00E1749A">
          <w:rPr>
            <w:rFonts w:ascii="Lato" w:hAnsi="Lato"/>
            <w:noProof/>
            <w:webHidden/>
          </w:rPr>
          <w:tab/>
        </w:r>
        <w:r w:rsidR="00E1749A" w:rsidRPr="00E1749A">
          <w:rPr>
            <w:rFonts w:ascii="Lato" w:hAnsi="Lato"/>
            <w:noProof/>
            <w:webHidden/>
          </w:rPr>
          <w:fldChar w:fldCharType="begin"/>
        </w:r>
        <w:r w:rsidR="00E1749A" w:rsidRPr="00E1749A">
          <w:rPr>
            <w:rFonts w:ascii="Lato" w:hAnsi="Lato"/>
            <w:noProof/>
            <w:webHidden/>
          </w:rPr>
          <w:instrText xml:space="preserve"> PAGEREF _Toc224904078 \h </w:instrText>
        </w:r>
        <w:r w:rsidR="00E1749A" w:rsidRPr="00E1749A">
          <w:rPr>
            <w:rFonts w:ascii="Lato" w:hAnsi="Lato"/>
            <w:noProof/>
            <w:webHidden/>
          </w:rPr>
        </w:r>
        <w:r w:rsidR="00E1749A" w:rsidRPr="00E1749A">
          <w:rPr>
            <w:rFonts w:ascii="Lato" w:hAnsi="Lato"/>
            <w:noProof/>
            <w:webHidden/>
          </w:rPr>
          <w:fldChar w:fldCharType="separate"/>
        </w:r>
        <w:r w:rsidR="00E1749A" w:rsidRPr="00E1749A">
          <w:rPr>
            <w:rFonts w:ascii="Lato" w:hAnsi="Lato"/>
            <w:noProof/>
            <w:webHidden/>
          </w:rPr>
          <w:t>7</w:t>
        </w:r>
        <w:r w:rsidR="00E1749A" w:rsidRPr="00E1749A">
          <w:rPr>
            <w:rFonts w:ascii="Lato" w:hAnsi="Lato"/>
            <w:noProof/>
            <w:webHidden/>
          </w:rPr>
          <w:fldChar w:fldCharType="end"/>
        </w:r>
      </w:hyperlink>
    </w:p>
    <w:p w14:paraId="468F84F2" w14:textId="482A9694" w:rsidR="00E1749A" w:rsidRPr="00E1749A" w:rsidRDefault="001A06A5">
      <w:pPr>
        <w:pStyle w:val="Spistreci2"/>
        <w:tabs>
          <w:tab w:val="left" w:pos="600"/>
          <w:tab w:val="right" w:leader="dot" w:pos="9394"/>
        </w:tabs>
        <w:rPr>
          <w:rFonts w:ascii="Lato" w:eastAsiaTheme="minorEastAsia" w:hAnsi="Lato" w:cstheme="minorBidi"/>
          <w:b w:val="0"/>
          <w:bCs w:val="0"/>
          <w:noProof/>
          <w:sz w:val="22"/>
          <w:szCs w:val="22"/>
        </w:rPr>
      </w:pPr>
      <w:hyperlink w:anchor="_Toc224904079" w:history="1">
        <w:r w:rsidR="00E1749A" w:rsidRPr="00E1749A">
          <w:rPr>
            <w:rStyle w:val="Hipercze"/>
            <w:rFonts w:ascii="Lato" w:hAnsi="Lato"/>
            <w:noProof/>
          </w:rPr>
          <w:t>3.1.</w:t>
        </w:r>
        <w:r w:rsidR="00E1749A" w:rsidRPr="00E1749A">
          <w:rPr>
            <w:rFonts w:ascii="Lato" w:eastAsiaTheme="minorEastAsia" w:hAnsi="Lato" w:cstheme="minorBidi"/>
            <w:b w:val="0"/>
            <w:bCs w:val="0"/>
            <w:noProof/>
            <w:sz w:val="22"/>
            <w:szCs w:val="22"/>
          </w:rPr>
          <w:tab/>
        </w:r>
        <w:r w:rsidR="00E1749A" w:rsidRPr="00E1749A">
          <w:rPr>
            <w:rStyle w:val="Hipercze"/>
            <w:rFonts w:ascii="Lato" w:hAnsi="Lato"/>
            <w:noProof/>
          </w:rPr>
          <w:t>Zaktualizowane wartości kodów TIN</w:t>
        </w:r>
        <w:r w:rsidR="00E1749A" w:rsidRPr="00E1749A">
          <w:rPr>
            <w:rFonts w:ascii="Lato" w:hAnsi="Lato"/>
            <w:noProof/>
            <w:webHidden/>
          </w:rPr>
          <w:tab/>
        </w:r>
        <w:r w:rsidR="00E1749A" w:rsidRPr="00E1749A">
          <w:rPr>
            <w:rFonts w:ascii="Lato" w:hAnsi="Lato"/>
            <w:noProof/>
            <w:webHidden/>
          </w:rPr>
          <w:fldChar w:fldCharType="begin"/>
        </w:r>
        <w:r w:rsidR="00E1749A" w:rsidRPr="00E1749A">
          <w:rPr>
            <w:rFonts w:ascii="Lato" w:hAnsi="Lato"/>
            <w:noProof/>
            <w:webHidden/>
          </w:rPr>
          <w:instrText xml:space="preserve"> PAGEREF _Toc224904079 \h </w:instrText>
        </w:r>
        <w:r w:rsidR="00E1749A" w:rsidRPr="00E1749A">
          <w:rPr>
            <w:rFonts w:ascii="Lato" w:hAnsi="Lato"/>
            <w:noProof/>
            <w:webHidden/>
          </w:rPr>
        </w:r>
        <w:r w:rsidR="00E1749A" w:rsidRPr="00E1749A">
          <w:rPr>
            <w:rFonts w:ascii="Lato" w:hAnsi="Lato"/>
            <w:noProof/>
            <w:webHidden/>
          </w:rPr>
          <w:fldChar w:fldCharType="separate"/>
        </w:r>
        <w:r w:rsidR="00E1749A" w:rsidRPr="00E1749A">
          <w:rPr>
            <w:rFonts w:ascii="Lato" w:hAnsi="Lato"/>
            <w:noProof/>
            <w:webHidden/>
          </w:rPr>
          <w:t>9</w:t>
        </w:r>
        <w:r w:rsidR="00E1749A" w:rsidRPr="00E1749A">
          <w:rPr>
            <w:rFonts w:ascii="Lato" w:hAnsi="Lato"/>
            <w:noProof/>
            <w:webHidden/>
          </w:rPr>
          <w:fldChar w:fldCharType="end"/>
        </w:r>
      </w:hyperlink>
    </w:p>
    <w:p w14:paraId="0AEC028A" w14:textId="4921EB32" w:rsidR="00E1749A" w:rsidRPr="00E1749A" w:rsidRDefault="001A06A5">
      <w:pPr>
        <w:pStyle w:val="Spistreci1"/>
        <w:tabs>
          <w:tab w:val="left" w:pos="600"/>
          <w:tab w:val="right" w:leader="dot" w:pos="9394"/>
        </w:tabs>
        <w:rPr>
          <w:rFonts w:ascii="Lato" w:eastAsiaTheme="minorEastAsia" w:hAnsi="Lato" w:cstheme="minorBidi"/>
          <w:b w:val="0"/>
          <w:bCs w:val="0"/>
          <w:caps w:val="0"/>
          <w:noProof/>
          <w:sz w:val="22"/>
          <w:szCs w:val="22"/>
        </w:rPr>
      </w:pPr>
      <w:hyperlink w:anchor="_Toc224904080" w:history="1">
        <w:r w:rsidR="00E1749A" w:rsidRPr="00E1749A">
          <w:rPr>
            <w:rStyle w:val="Hipercze"/>
            <w:rFonts w:ascii="Lato" w:hAnsi="Lato"/>
            <w:smallCaps/>
            <w:noProof/>
          </w:rPr>
          <w:t>4.</w:t>
        </w:r>
        <w:r w:rsidR="00E1749A" w:rsidRPr="00E1749A">
          <w:rPr>
            <w:rFonts w:ascii="Lato" w:eastAsiaTheme="minorEastAsia" w:hAnsi="Lato" w:cstheme="minorBidi"/>
            <w:b w:val="0"/>
            <w:bCs w:val="0"/>
            <w:caps w:val="0"/>
            <w:noProof/>
            <w:sz w:val="22"/>
            <w:szCs w:val="22"/>
          </w:rPr>
          <w:tab/>
        </w:r>
        <w:r w:rsidR="00E1749A" w:rsidRPr="00E1749A">
          <w:rPr>
            <w:rStyle w:val="Hipercze"/>
            <w:rFonts w:ascii="Lato" w:hAnsi="Lato"/>
            <w:smallCaps/>
            <w:noProof/>
          </w:rPr>
          <w:t>Raportowanie informacji o U.S. TIN za lata 2025-2027</w:t>
        </w:r>
        <w:r w:rsidR="00E1749A" w:rsidRPr="00E1749A">
          <w:rPr>
            <w:rFonts w:ascii="Lato" w:hAnsi="Lato"/>
            <w:noProof/>
            <w:webHidden/>
          </w:rPr>
          <w:tab/>
        </w:r>
        <w:r w:rsidR="00E1749A" w:rsidRPr="00E1749A">
          <w:rPr>
            <w:rFonts w:ascii="Lato" w:hAnsi="Lato"/>
            <w:noProof/>
            <w:webHidden/>
          </w:rPr>
          <w:fldChar w:fldCharType="begin"/>
        </w:r>
        <w:r w:rsidR="00E1749A" w:rsidRPr="00E1749A">
          <w:rPr>
            <w:rFonts w:ascii="Lato" w:hAnsi="Lato"/>
            <w:noProof/>
            <w:webHidden/>
          </w:rPr>
          <w:instrText xml:space="preserve"> PAGEREF _Toc224904080 \h </w:instrText>
        </w:r>
        <w:r w:rsidR="00E1749A" w:rsidRPr="00E1749A">
          <w:rPr>
            <w:rFonts w:ascii="Lato" w:hAnsi="Lato"/>
            <w:noProof/>
            <w:webHidden/>
          </w:rPr>
        </w:r>
        <w:r w:rsidR="00E1749A" w:rsidRPr="00E1749A">
          <w:rPr>
            <w:rFonts w:ascii="Lato" w:hAnsi="Lato"/>
            <w:noProof/>
            <w:webHidden/>
          </w:rPr>
          <w:fldChar w:fldCharType="separate"/>
        </w:r>
        <w:r w:rsidR="00E1749A" w:rsidRPr="00E1749A">
          <w:rPr>
            <w:rFonts w:ascii="Lato" w:hAnsi="Lato"/>
            <w:noProof/>
            <w:webHidden/>
          </w:rPr>
          <w:t>12</w:t>
        </w:r>
        <w:r w:rsidR="00E1749A" w:rsidRPr="00E1749A">
          <w:rPr>
            <w:rFonts w:ascii="Lato" w:hAnsi="Lato"/>
            <w:noProof/>
            <w:webHidden/>
          </w:rPr>
          <w:fldChar w:fldCharType="end"/>
        </w:r>
      </w:hyperlink>
    </w:p>
    <w:p w14:paraId="78BA7A92" w14:textId="1B2A2B92" w:rsidR="00EB3EA4" w:rsidRPr="00E1749A" w:rsidRDefault="00EB3EA4" w:rsidP="001448DA">
      <w:pPr>
        <w:overflowPunct/>
        <w:autoSpaceDE/>
        <w:autoSpaceDN/>
        <w:adjustRightInd/>
        <w:spacing w:after="160" w:line="259" w:lineRule="auto"/>
        <w:textAlignment w:val="auto"/>
        <w:rPr>
          <w:rFonts w:ascii="Lato" w:eastAsia="Calibri" w:hAnsi="Lato" w:cs="Times New Roman"/>
          <w:sz w:val="22"/>
          <w:szCs w:val="22"/>
          <w:lang w:eastAsia="en-US"/>
        </w:rPr>
      </w:pPr>
      <w:r w:rsidRPr="00E1749A">
        <w:rPr>
          <w:rFonts w:ascii="Lato" w:eastAsia="Calibri" w:hAnsi="Lato" w:cs="Times New Roman"/>
          <w:sz w:val="22"/>
          <w:szCs w:val="22"/>
          <w:lang w:eastAsia="en-US"/>
        </w:rPr>
        <w:fldChar w:fldCharType="end"/>
      </w:r>
    </w:p>
    <w:p w14:paraId="20CB0994" w14:textId="77777777" w:rsidR="00D944A2" w:rsidRPr="00E1749A" w:rsidRDefault="00D944A2"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283B359A" w14:textId="25498489" w:rsidR="00D944A2" w:rsidRPr="00E1749A" w:rsidRDefault="00D944A2"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106E52EA" w14:textId="736F97FF"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1B270C4C" w14:textId="440F806C"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21BE8DA5" w14:textId="264CC7B0"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6A956F1F" w14:textId="01D4DD58"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5E3C2DB7" w14:textId="45B2C0E4"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759EBB86" w14:textId="658CF592"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6BB5BF79" w14:textId="367F7234"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524D086F" w14:textId="70497877"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4D9F6DE2" w14:textId="78474C4B"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6246C73D" w14:textId="505661E0"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1CF5ABBD" w14:textId="6A8886B3" w:rsidR="0001474D"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12A47D7C" w14:textId="4B6ECC92" w:rsid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74AAE4A9" w14:textId="5B132F9D" w:rsid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0A167C92" w14:textId="1BB59B0C" w:rsid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2109E311" w14:textId="1358D680" w:rsid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52299F60" w14:textId="21D40C87" w:rsid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5EF16B09" w14:textId="77777777" w:rsidR="00E1749A" w:rsidRPr="00E1749A" w:rsidRDefault="00E1749A"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42DCABEB" w14:textId="77777777" w:rsidR="0001474D" w:rsidRPr="00E1749A" w:rsidRDefault="0001474D" w:rsidP="001448DA">
      <w:pPr>
        <w:overflowPunct/>
        <w:autoSpaceDE/>
        <w:autoSpaceDN/>
        <w:adjustRightInd/>
        <w:spacing w:after="160" w:line="259" w:lineRule="auto"/>
        <w:textAlignment w:val="auto"/>
        <w:rPr>
          <w:rFonts w:ascii="Lato" w:eastAsia="Calibri" w:hAnsi="Lato" w:cs="Times New Roman"/>
          <w:sz w:val="22"/>
          <w:szCs w:val="22"/>
          <w:lang w:eastAsia="en-US"/>
        </w:rPr>
      </w:pPr>
    </w:p>
    <w:p w14:paraId="0D4C3FC8" w14:textId="4A385809" w:rsidR="000553F8" w:rsidRPr="00E1749A" w:rsidRDefault="00E54FF9" w:rsidP="00892C54">
      <w:pPr>
        <w:pStyle w:val="Akapitzlist"/>
        <w:numPr>
          <w:ilvl w:val="0"/>
          <w:numId w:val="7"/>
        </w:numPr>
        <w:pBdr>
          <w:top w:val="single" w:sz="4" w:space="1" w:color="auto"/>
          <w:bottom w:val="single" w:sz="4" w:space="1" w:color="auto"/>
          <w:between w:val="single" w:sz="4" w:space="1" w:color="auto"/>
        </w:pBdr>
        <w:outlineLvl w:val="0"/>
        <w:rPr>
          <w:rFonts w:ascii="Lato" w:hAnsi="Lato"/>
          <w:color w:val="FF0000"/>
          <w:szCs w:val="24"/>
        </w:rPr>
      </w:pPr>
      <w:bookmarkStart w:id="2" w:name="_Toc2259507"/>
      <w:bookmarkStart w:id="3" w:name="_Toc2259822"/>
      <w:bookmarkStart w:id="4" w:name="_Toc224904076"/>
      <w:r w:rsidRPr="00E1749A">
        <w:rPr>
          <w:rFonts w:ascii="Lato" w:hAnsi="Lato"/>
          <w:b/>
          <w:smallCaps/>
          <w:color w:val="FF0000"/>
          <w:sz w:val="28"/>
          <w:szCs w:val="28"/>
        </w:rPr>
        <w:lastRenderedPageBreak/>
        <w:t>Wstęp</w:t>
      </w:r>
      <w:bookmarkEnd w:id="2"/>
      <w:bookmarkEnd w:id="3"/>
      <w:bookmarkEnd w:id="4"/>
    </w:p>
    <w:p w14:paraId="3B909050" w14:textId="65870812" w:rsidR="00987D70" w:rsidRPr="00263672" w:rsidRDefault="000258D8" w:rsidP="006F7426">
      <w:pPr>
        <w:spacing w:before="120"/>
        <w:jc w:val="both"/>
        <w:rPr>
          <w:rFonts w:ascii="Lato" w:hAnsi="Lato" w:cs="Times New Roman"/>
          <w:sz w:val="24"/>
          <w:szCs w:val="24"/>
        </w:rPr>
      </w:pPr>
      <w:r w:rsidRPr="00263672">
        <w:rPr>
          <w:rFonts w:ascii="Lato" w:hAnsi="Lato" w:cs="Times New Roman"/>
          <w:sz w:val="24"/>
          <w:szCs w:val="24"/>
          <w:lang w:val="fr"/>
        </w:rPr>
        <w:t xml:space="preserve">Obowiązujące zapisy Umowy między Rządem Rzeczypospolitej Polskiej a Rządem Stanów Zjednoczonych Ameryki w sprawie poprawy wypełniania międzynarodowych obowiązków podatkowych oraz wdrożenia ustawodawstwa FATCA (Dz.U. z 2015 r. poz. 1647 ze zm., dalej: Umowa) oraz ustawy z dnia 9 października 2015 r. o wykonywaniu Umowy między Rządem Rzeczypospolitej Polskiej a Rządem Stanów Zjednoczonych Ameryki w sprawie poprawy wypełniania międzynarodowych obowiązków podatkowych oraz wdrożenia ustawodawstwa FATCA (Dz.U. z 2024 r. poz. 1185) zawierają obowiązek uzyskania </w:t>
      </w:r>
      <w:r w:rsidR="00263672">
        <w:rPr>
          <w:rFonts w:ascii="Lato" w:hAnsi="Lato" w:cs="Times New Roman"/>
          <w:sz w:val="24"/>
          <w:szCs w:val="24"/>
          <w:lang w:val="fr"/>
        </w:rPr>
        <w:br/>
      </w:r>
      <w:r w:rsidRPr="00263672">
        <w:rPr>
          <w:rFonts w:ascii="Lato" w:hAnsi="Lato" w:cs="Times New Roman"/>
          <w:sz w:val="24"/>
          <w:szCs w:val="24"/>
          <w:lang w:val="fr"/>
        </w:rPr>
        <w:t xml:space="preserve">i wymiany dla informacji FATCA za 2020 rok </w:t>
      </w:r>
      <w:r w:rsidRPr="00263672">
        <w:rPr>
          <w:rFonts w:ascii="Lato" w:hAnsi="Lato" w:cs="Times New Roman"/>
          <w:sz w:val="24"/>
          <w:szCs w:val="24"/>
        </w:rPr>
        <w:t>danych dotyczących amerykańskiego numeru TIN (</w:t>
      </w:r>
      <w:r w:rsidRPr="00263672">
        <w:rPr>
          <w:rFonts w:ascii="Lato" w:hAnsi="Lato" w:cs="Times New Roman"/>
          <w:i/>
          <w:sz w:val="24"/>
          <w:szCs w:val="24"/>
        </w:rPr>
        <w:t>U.S. TIN</w:t>
      </w:r>
      <w:r w:rsidRPr="00263672">
        <w:rPr>
          <w:rFonts w:ascii="Lato" w:hAnsi="Lato" w:cs="Times New Roman"/>
          <w:sz w:val="24"/>
          <w:szCs w:val="24"/>
        </w:rPr>
        <w:t>) dla każdej szczególnej osoby amerykańskiej (</w:t>
      </w:r>
      <w:proofErr w:type="spellStart"/>
      <w:r w:rsidRPr="00263672">
        <w:rPr>
          <w:rFonts w:ascii="Lato" w:hAnsi="Lato" w:cs="Times New Roman"/>
          <w:i/>
          <w:sz w:val="24"/>
          <w:szCs w:val="24"/>
        </w:rPr>
        <w:t>Specified</w:t>
      </w:r>
      <w:proofErr w:type="spellEnd"/>
      <w:r w:rsidRPr="00263672">
        <w:rPr>
          <w:rFonts w:ascii="Lato" w:hAnsi="Lato" w:cs="Times New Roman"/>
          <w:i/>
          <w:sz w:val="24"/>
          <w:szCs w:val="24"/>
        </w:rPr>
        <w:t xml:space="preserve"> U.S. Person</w:t>
      </w:r>
      <w:r w:rsidRPr="00263672">
        <w:rPr>
          <w:rFonts w:ascii="Lato" w:hAnsi="Lato" w:cs="Times New Roman"/>
          <w:sz w:val="24"/>
          <w:szCs w:val="24"/>
        </w:rPr>
        <w:t>) będącej posiadaczem rachunku (</w:t>
      </w:r>
      <w:proofErr w:type="spellStart"/>
      <w:r w:rsidRPr="00263672">
        <w:rPr>
          <w:rFonts w:ascii="Lato" w:hAnsi="Lato" w:cs="Times New Roman"/>
          <w:i/>
          <w:sz w:val="24"/>
          <w:szCs w:val="24"/>
        </w:rPr>
        <w:t>Account</w:t>
      </w:r>
      <w:proofErr w:type="spellEnd"/>
      <w:r w:rsidRPr="00263672">
        <w:rPr>
          <w:rFonts w:ascii="Lato" w:hAnsi="Lato" w:cs="Times New Roman"/>
          <w:i/>
          <w:sz w:val="24"/>
          <w:szCs w:val="24"/>
        </w:rPr>
        <w:t xml:space="preserve"> </w:t>
      </w:r>
      <w:proofErr w:type="spellStart"/>
      <w:r w:rsidRPr="00263672">
        <w:rPr>
          <w:rFonts w:ascii="Lato" w:hAnsi="Lato" w:cs="Times New Roman"/>
          <w:i/>
          <w:sz w:val="24"/>
          <w:szCs w:val="24"/>
        </w:rPr>
        <w:t>Holder</w:t>
      </w:r>
      <w:proofErr w:type="spellEnd"/>
      <w:r w:rsidRPr="00263672">
        <w:rPr>
          <w:rFonts w:ascii="Lato" w:hAnsi="Lato" w:cs="Times New Roman"/>
          <w:sz w:val="24"/>
          <w:szCs w:val="24"/>
        </w:rPr>
        <w:t>) lub osobą kontrolującą (</w:t>
      </w:r>
      <w:r w:rsidRPr="00263672">
        <w:rPr>
          <w:rFonts w:ascii="Lato" w:hAnsi="Lato" w:cs="Times New Roman"/>
          <w:i/>
          <w:sz w:val="24"/>
          <w:szCs w:val="24"/>
        </w:rPr>
        <w:t>Controlling Person</w:t>
      </w:r>
      <w:r w:rsidRPr="00263672">
        <w:rPr>
          <w:rFonts w:ascii="Lato" w:hAnsi="Lato" w:cs="Times New Roman"/>
          <w:sz w:val="24"/>
          <w:szCs w:val="24"/>
        </w:rPr>
        <w:t>) podmiot niebędący podmiotem amerykańskim (</w:t>
      </w:r>
      <w:r w:rsidRPr="00263672">
        <w:rPr>
          <w:rFonts w:ascii="Lato" w:hAnsi="Lato" w:cs="Times New Roman"/>
          <w:i/>
          <w:sz w:val="24"/>
          <w:szCs w:val="24"/>
        </w:rPr>
        <w:t xml:space="preserve">Non-U.S. </w:t>
      </w:r>
      <w:proofErr w:type="spellStart"/>
      <w:r w:rsidRPr="00263672">
        <w:rPr>
          <w:rFonts w:ascii="Lato" w:hAnsi="Lato" w:cs="Times New Roman"/>
          <w:i/>
          <w:sz w:val="24"/>
          <w:szCs w:val="24"/>
        </w:rPr>
        <w:t>Entity</w:t>
      </w:r>
      <w:proofErr w:type="spellEnd"/>
      <w:r w:rsidRPr="00263672">
        <w:rPr>
          <w:rFonts w:ascii="Lato" w:hAnsi="Lato" w:cs="Times New Roman"/>
          <w:sz w:val="24"/>
          <w:szCs w:val="24"/>
        </w:rPr>
        <w:t xml:space="preserve">). </w:t>
      </w:r>
    </w:p>
    <w:p w14:paraId="02496951" w14:textId="20CDD3E9" w:rsidR="000258D8" w:rsidRPr="00263672" w:rsidRDefault="000258D8" w:rsidP="006F7426">
      <w:pPr>
        <w:spacing w:before="120"/>
        <w:jc w:val="both"/>
        <w:rPr>
          <w:rFonts w:ascii="Lato" w:hAnsi="Lato" w:cs="Times New Roman"/>
          <w:sz w:val="24"/>
          <w:szCs w:val="24"/>
        </w:rPr>
      </w:pPr>
      <w:r w:rsidRPr="00263672">
        <w:rPr>
          <w:rFonts w:ascii="Lato" w:hAnsi="Lato" w:cs="Times New Roman"/>
          <w:sz w:val="24"/>
          <w:szCs w:val="24"/>
        </w:rPr>
        <w:t xml:space="preserve">Administracja amerykańska, mając na względzie, że w pewnych okolicznościach raportująca instytucja finansowa nie mogła uzyskać i zgłosić informacji o amerykańskim numerze TIN w odniesieniu do powyżej określonych osób, a tym samym wnioskowane informacje mogą być niedostępne w ramach wymiany z amerykańską administracją podatkową zgodnie z wymogami Umowy, poinformowała w 2021 roku o możliwości wykorzystywania przez raportujące instytucje finansowe specjalnych wartości (kodów) </w:t>
      </w:r>
      <w:r w:rsidR="00263672">
        <w:rPr>
          <w:rFonts w:ascii="Lato" w:hAnsi="Lato" w:cs="Times New Roman"/>
          <w:sz w:val="24"/>
          <w:szCs w:val="24"/>
        </w:rPr>
        <w:br/>
      </w:r>
      <w:r w:rsidRPr="00263672">
        <w:rPr>
          <w:rFonts w:ascii="Lato" w:hAnsi="Lato" w:cs="Times New Roman"/>
          <w:sz w:val="24"/>
          <w:szCs w:val="24"/>
        </w:rPr>
        <w:t xml:space="preserve">w zakresie elementu ‘TIN’ w formularzu FAT-1. Wartości te miały pomóc stronie amerykańskiej w zrozumieniu problemów i okoliczności, w których instytucje finansowe nie były w stanie uzyskać numeru </w:t>
      </w:r>
      <w:r w:rsidRPr="00263672">
        <w:rPr>
          <w:rFonts w:ascii="Lato" w:hAnsi="Lato" w:cs="Times New Roman"/>
          <w:i/>
          <w:sz w:val="24"/>
          <w:szCs w:val="24"/>
        </w:rPr>
        <w:t>U.S. TIN</w:t>
      </w:r>
      <w:r w:rsidRPr="00263672">
        <w:rPr>
          <w:rFonts w:ascii="Lato" w:hAnsi="Lato" w:cs="Times New Roman"/>
          <w:sz w:val="24"/>
          <w:szCs w:val="24"/>
        </w:rPr>
        <w:t>.</w:t>
      </w:r>
    </w:p>
    <w:p w14:paraId="5559FDA0" w14:textId="1347584E" w:rsidR="000258D8" w:rsidRPr="00263672" w:rsidRDefault="000258D8" w:rsidP="006F7426">
      <w:pPr>
        <w:spacing w:before="120"/>
        <w:jc w:val="both"/>
        <w:rPr>
          <w:rFonts w:ascii="Lato" w:hAnsi="Lato" w:cs="Times New Roman"/>
          <w:sz w:val="24"/>
          <w:szCs w:val="24"/>
        </w:rPr>
      </w:pPr>
      <w:r w:rsidRPr="00263672">
        <w:rPr>
          <w:rFonts w:ascii="Lato" w:hAnsi="Lato" w:cs="Times New Roman"/>
          <w:b/>
          <w:bCs/>
          <w:sz w:val="24"/>
          <w:szCs w:val="24"/>
          <w:u w:val="single"/>
        </w:rPr>
        <w:t>WAŻNE:</w:t>
      </w:r>
      <w:r w:rsidRPr="00263672">
        <w:rPr>
          <w:rFonts w:ascii="Lato" w:hAnsi="Lato" w:cs="Times New Roman"/>
          <w:sz w:val="24"/>
          <w:szCs w:val="24"/>
        </w:rPr>
        <w:t xml:space="preserve"> Użycie tych kodów nie jest obowiązkowe i nie oznacza, że instytucja finansowa nie będzie narażona na ryzyko stwierdzenia istotnego nieprzestrzegania obowiązków, wynikających z Umowy w zakresie raportowania informacji o amerykańskim numerze TIN. </w:t>
      </w:r>
    </w:p>
    <w:p w14:paraId="7863BB9D" w14:textId="331366D4" w:rsidR="000258D8" w:rsidRPr="00263672" w:rsidRDefault="000258D8" w:rsidP="006F7426">
      <w:pPr>
        <w:spacing w:before="120"/>
        <w:jc w:val="both"/>
        <w:rPr>
          <w:rFonts w:ascii="Lato" w:hAnsi="Lato" w:cs="Times New Roman"/>
          <w:sz w:val="24"/>
          <w:szCs w:val="24"/>
        </w:rPr>
      </w:pPr>
      <w:r w:rsidRPr="00263672">
        <w:rPr>
          <w:rFonts w:ascii="Lato" w:hAnsi="Lato" w:cs="Times New Roman"/>
          <w:sz w:val="24"/>
          <w:szCs w:val="24"/>
        </w:rPr>
        <w:t xml:space="preserve">Administracja amerykańska poinformowała, że będzie brała pod uwagę fakty </w:t>
      </w:r>
      <w:r w:rsidR="00263672">
        <w:rPr>
          <w:rFonts w:ascii="Lato" w:hAnsi="Lato" w:cs="Times New Roman"/>
          <w:sz w:val="24"/>
          <w:szCs w:val="24"/>
        </w:rPr>
        <w:br/>
      </w:r>
      <w:r w:rsidRPr="00263672">
        <w:rPr>
          <w:rFonts w:ascii="Lato" w:hAnsi="Lato" w:cs="Times New Roman"/>
          <w:sz w:val="24"/>
          <w:szCs w:val="24"/>
        </w:rPr>
        <w:t xml:space="preserve">i okoliczności, prowadzące do braku danych dotyczących </w:t>
      </w:r>
      <w:r w:rsidRPr="00263672">
        <w:rPr>
          <w:rFonts w:ascii="Lato" w:hAnsi="Lato" w:cs="Times New Roman"/>
          <w:i/>
          <w:sz w:val="24"/>
          <w:szCs w:val="24"/>
        </w:rPr>
        <w:t>U.S. TIN</w:t>
      </w:r>
      <w:r w:rsidRPr="00263672">
        <w:rPr>
          <w:rFonts w:ascii="Lato" w:hAnsi="Lato" w:cs="Times New Roman"/>
          <w:sz w:val="24"/>
          <w:szCs w:val="24"/>
        </w:rPr>
        <w:t xml:space="preserve">, w tym powody, dla których instytucje finansowe nie były w stanie uzyskać numeru TIN, czy instytucje dysponują odpowiednimi procedurami w celu uzyskania numeru TIN oraz wysiłki podejmowane przez nie w celu ich uzyskania (np. czy podejmowane są regularne próby kontaktu z posiadaczami rachunków/ osobami kontrolującymi w celu uzyskania tych informacji). </w:t>
      </w:r>
    </w:p>
    <w:p w14:paraId="25217ABC" w14:textId="1D6F011E" w:rsidR="000258D8" w:rsidRPr="00263672" w:rsidRDefault="000258D8" w:rsidP="006F7426">
      <w:pPr>
        <w:spacing w:before="120"/>
        <w:jc w:val="both"/>
        <w:rPr>
          <w:rFonts w:ascii="Lato" w:hAnsi="Lato" w:cs="Times New Roman"/>
          <w:sz w:val="24"/>
          <w:szCs w:val="24"/>
        </w:rPr>
      </w:pPr>
      <w:r w:rsidRPr="00263672">
        <w:rPr>
          <w:rFonts w:ascii="Lato" w:hAnsi="Lato" w:cs="Times New Roman"/>
          <w:sz w:val="24"/>
          <w:szCs w:val="24"/>
        </w:rPr>
        <w:t xml:space="preserve">Strona amerykańska oczekuje, że użycie tych kodów pozwoli lepiej zrozumieć fakty </w:t>
      </w:r>
      <w:r w:rsidR="00263672">
        <w:rPr>
          <w:rFonts w:ascii="Lato" w:hAnsi="Lato" w:cs="Times New Roman"/>
          <w:sz w:val="24"/>
          <w:szCs w:val="24"/>
        </w:rPr>
        <w:br/>
      </w:r>
      <w:r w:rsidRPr="00263672">
        <w:rPr>
          <w:rFonts w:ascii="Lato" w:hAnsi="Lato" w:cs="Times New Roman"/>
          <w:sz w:val="24"/>
          <w:szCs w:val="24"/>
        </w:rPr>
        <w:t>i okoliczności, które kryją się za przypadkami brakujących poprawnych amerykańskich numerów TIN w informacjach FATCA.</w:t>
      </w:r>
    </w:p>
    <w:p w14:paraId="1E1ACEC6" w14:textId="77777777" w:rsidR="000258D8" w:rsidRPr="00E1749A" w:rsidRDefault="000258D8" w:rsidP="00E54FF9">
      <w:pPr>
        <w:spacing w:after="120"/>
        <w:jc w:val="both"/>
        <w:rPr>
          <w:rFonts w:ascii="Lato" w:hAnsi="Lato" w:cs="Times New Roman"/>
          <w:sz w:val="24"/>
          <w:szCs w:val="24"/>
        </w:rPr>
      </w:pPr>
    </w:p>
    <w:p w14:paraId="6C52ABA0" w14:textId="77777777" w:rsidR="005A3AA4" w:rsidRPr="00E1749A" w:rsidRDefault="005A3AA4" w:rsidP="00E54FF9">
      <w:pPr>
        <w:spacing w:after="120"/>
        <w:jc w:val="both"/>
        <w:rPr>
          <w:rFonts w:ascii="Lato" w:hAnsi="Lato" w:cs="Times New Roman"/>
        </w:rPr>
      </w:pPr>
    </w:p>
    <w:p w14:paraId="3A8F12E2" w14:textId="77777777" w:rsidR="005A3AA4" w:rsidRPr="00E1749A" w:rsidRDefault="005A3AA4" w:rsidP="005A3AA4">
      <w:pPr>
        <w:rPr>
          <w:rFonts w:ascii="Lato" w:hAnsi="Lato" w:cs="Times New Roman"/>
        </w:rPr>
      </w:pPr>
    </w:p>
    <w:p w14:paraId="5B8DCBC3" w14:textId="77777777" w:rsidR="00185ACD" w:rsidRPr="00E1749A" w:rsidRDefault="00185ACD" w:rsidP="005A3AA4">
      <w:pPr>
        <w:rPr>
          <w:rFonts w:ascii="Lato" w:hAnsi="Lato" w:cs="Times New Roman"/>
        </w:rPr>
      </w:pPr>
    </w:p>
    <w:p w14:paraId="69CEDA25" w14:textId="3DD45F4D" w:rsidR="00185ACD" w:rsidRPr="00E1749A" w:rsidRDefault="00185ACD" w:rsidP="005A3AA4">
      <w:pPr>
        <w:rPr>
          <w:rFonts w:ascii="Lato" w:hAnsi="Lato" w:cs="Times New Roman"/>
        </w:rPr>
      </w:pPr>
    </w:p>
    <w:p w14:paraId="1758DEB9" w14:textId="47651934" w:rsidR="000258D8" w:rsidRPr="00E1749A" w:rsidRDefault="000258D8" w:rsidP="005A3AA4">
      <w:pPr>
        <w:rPr>
          <w:rFonts w:ascii="Lato" w:hAnsi="Lato" w:cs="Times New Roman"/>
        </w:rPr>
      </w:pPr>
    </w:p>
    <w:p w14:paraId="0C84AA00" w14:textId="587A67C3" w:rsidR="000258D8" w:rsidRPr="00E1749A" w:rsidRDefault="000258D8" w:rsidP="005A3AA4">
      <w:pPr>
        <w:rPr>
          <w:rFonts w:ascii="Lato" w:hAnsi="Lato" w:cs="Times New Roman"/>
        </w:rPr>
      </w:pPr>
    </w:p>
    <w:p w14:paraId="6AEB92A8" w14:textId="6A6629AB" w:rsidR="000258D8" w:rsidRPr="00E1749A" w:rsidRDefault="000258D8" w:rsidP="005A3AA4">
      <w:pPr>
        <w:rPr>
          <w:rFonts w:ascii="Lato" w:hAnsi="Lato" w:cs="Times New Roman"/>
        </w:rPr>
      </w:pPr>
    </w:p>
    <w:p w14:paraId="6C598206" w14:textId="3BDA98E1" w:rsidR="000258D8" w:rsidRPr="00E1749A" w:rsidRDefault="000258D8" w:rsidP="005A3AA4">
      <w:pPr>
        <w:rPr>
          <w:rFonts w:ascii="Lato" w:hAnsi="Lato" w:cs="Times New Roman"/>
        </w:rPr>
      </w:pPr>
    </w:p>
    <w:p w14:paraId="7051377C" w14:textId="6778813B" w:rsidR="009D66E8" w:rsidRPr="00E1749A" w:rsidRDefault="000258D8" w:rsidP="00892C54">
      <w:pPr>
        <w:pStyle w:val="Akapitzlist"/>
        <w:numPr>
          <w:ilvl w:val="0"/>
          <w:numId w:val="7"/>
        </w:numPr>
        <w:pBdr>
          <w:top w:val="single" w:sz="4" w:space="1" w:color="auto"/>
          <w:bottom w:val="single" w:sz="4" w:space="1" w:color="auto"/>
          <w:between w:val="single" w:sz="4" w:space="1" w:color="auto"/>
        </w:pBdr>
        <w:ind w:left="357" w:hanging="357"/>
        <w:outlineLvl w:val="0"/>
        <w:rPr>
          <w:rFonts w:ascii="Lato" w:hAnsi="Lato"/>
          <w:b/>
          <w:smallCaps/>
          <w:color w:val="FF0000"/>
          <w:sz w:val="28"/>
          <w:szCs w:val="28"/>
        </w:rPr>
      </w:pPr>
      <w:bookmarkStart w:id="5" w:name="_Toc2259510"/>
      <w:bookmarkStart w:id="6" w:name="_Toc2259825"/>
      <w:bookmarkStart w:id="7" w:name="_Toc224904077"/>
      <w:r w:rsidRPr="00E1749A">
        <w:rPr>
          <w:rFonts w:ascii="Lato" w:hAnsi="Lato"/>
          <w:b/>
          <w:smallCaps/>
          <w:color w:val="FF0000"/>
          <w:sz w:val="28"/>
          <w:szCs w:val="28"/>
        </w:rPr>
        <w:lastRenderedPageBreak/>
        <w:t>Raportowanie informacji o U.S. TIN za lata 2020-2022</w:t>
      </w:r>
      <w:bookmarkEnd w:id="5"/>
      <w:bookmarkEnd w:id="6"/>
      <w:bookmarkEnd w:id="7"/>
    </w:p>
    <w:p w14:paraId="0CC819B6" w14:textId="40C70A6A" w:rsidR="000258D8" w:rsidRPr="00263672" w:rsidRDefault="000258D8" w:rsidP="006F7426">
      <w:pPr>
        <w:spacing w:before="120"/>
        <w:jc w:val="both"/>
        <w:rPr>
          <w:rFonts w:ascii="Lato" w:hAnsi="Lato" w:cs="Times New Roman"/>
          <w:sz w:val="24"/>
          <w:szCs w:val="24"/>
        </w:rPr>
      </w:pPr>
      <w:r w:rsidRPr="00263672">
        <w:rPr>
          <w:rFonts w:ascii="Lato" w:hAnsi="Lato" w:cs="Times New Roman"/>
          <w:sz w:val="24"/>
          <w:szCs w:val="24"/>
        </w:rPr>
        <w:t>Poniżej znajdują się zaproponowane przez amerykańską administrację podatkową wartości</w:t>
      </w:r>
      <w:r w:rsidR="00C454B8" w:rsidRPr="00263672">
        <w:rPr>
          <w:rFonts w:ascii="Lato" w:hAnsi="Lato" w:cs="Times New Roman"/>
          <w:sz w:val="24"/>
          <w:szCs w:val="24"/>
        </w:rPr>
        <w:t xml:space="preserve"> (kody) dla TIN</w:t>
      </w:r>
      <w:r w:rsidR="0001474D" w:rsidRPr="00263672">
        <w:rPr>
          <w:rFonts w:ascii="Lato" w:hAnsi="Lato" w:cs="Times New Roman"/>
          <w:sz w:val="24"/>
          <w:szCs w:val="24"/>
        </w:rPr>
        <w:t>,</w:t>
      </w:r>
      <w:r w:rsidRPr="00263672">
        <w:rPr>
          <w:rFonts w:ascii="Lato" w:hAnsi="Lato" w:cs="Times New Roman"/>
          <w:sz w:val="24"/>
          <w:szCs w:val="24"/>
        </w:rPr>
        <w:t xml:space="preserve"> wraz z przypadkami, kiedy dany kod należy użyć</w:t>
      </w:r>
      <w:r w:rsidR="0001474D" w:rsidRPr="00263672">
        <w:rPr>
          <w:rFonts w:ascii="Lato" w:hAnsi="Lato" w:cs="Times New Roman"/>
          <w:sz w:val="24"/>
          <w:szCs w:val="24"/>
        </w:rPr>
        <w:t xml:space="preserve"> – </w:t>
      </w:r>
      <w:r w:rsidRPr="00263672">
        <w:rPr>
          <w:rFonts w:ascii="Lato" w:hAnsi="Lato" w:cs="Times New Roman"/>
          <w:sz w:val="24"/>
          <w:szCs w:val="24"/>
        </w:rPr>
        <w:t xml:space="preserve">zachowano również angielską wersję opisu w celu wyeliminowania ewentualnych rozbieżności </w:t>
      </w:r>
      <w:r w:rsidR="00263672">
        <w:rPr>
          <w:rFonts w:ascii="Lato" w:hAnsi="Lato" w:cs="Times New Roman"/>
          <w:sz w:val="24"/>
          <w:szCs w:val="24"/>
        </w:rPr>
        <w:br/>
      </w:r>
      <w:r w:rsidRPr="00263672">
        <w:rPr>
          <w:rFonts w:ascii="Lato" w:hAnsi="Lato" w:cs="Times New Roman"/>
          <w:sz w:val="24"/>
          <w:szCs w:val="24"/>
        </w:rPr>
        <w:t>w tłumaczeniu</w:t>
      </w:r>
      <w:r w:rsidR="00BC43BC" w:rsidRPr="00263672">
        <w:rPr>
          <w:rFonts w:ascii="Lato" w:hAnsi="Lato" w:cs="Times New Roman"/>
          <w:sz w:val="24"/>
          <w:szCs w:val="24"/>
        </w:rPr>
        <w:t>.</w:t>
      </w:r>
    </w:p>
    <w:p w14:paraId="2ED675EB" w14:textId="064BE237" w:rsidR="0077693B" w:rsidRPr="00263672" w:rsidRDefault="00BC43BC" w:rsidP="006F7426">
      <w:pPr>
        <w:spacing w:before="120"/>
        <w:jc w:val="both"/>
        <w:rPr>
          <w:rFonts w:ascii="Lato" w:hAnsi="Lato" w:cs="Times New Roman"/>
          <w:sz w:val="24"/>
          <w:szCs w:val="24"/>
        </w:rPr>
      </w:pPr>
      <w:r w:rsidRPr="00263672">
        <w:rPr>
          <w:rFonts w:ascii="Lato" w:hAnsi="Lato" w:cs="Times New Roman"/>
          <w:sz w:val="24"/>
          <w:szCs w:val="24"/>
        </w:rPr>
        <w:t>Każdy kod składa się z dziewięciu cyfr.</w:t>
      </w:r>
    </w:p>
    <w:p w14:paraId="28320D2E" w14:textId="77777777" w:rsidR="00BC43BC" w:rsidRPr="00263672" w:rsidRDefault="00BC43BC" w:rsidP="006F7426">
      <w:pPr>
        <w:spacing w:before="120"/>
        <w:jc w:val="both"/>
        <w:rPr>
          <w:rFonts w:ascii="Lato" w:hAnsi="Lato"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469"/>
        <w:gridCol w:w="8151"/>
      </w:tblGrid>
      <w:tr w:rsidR="0077693B" w:rsidRPr="00263672" w14:paraId="512300FF" w14:textId="77777777" w:rsidTr="00BC43BC">
        <w:trPr>
          <w:trHeight w:val="209"/>
        </w:trPr>
        <w:tc>
          <w:tcPr>
            <w:tcW w:w="1242" w:type="dxa"/>
            <w:tcBorders>
              <w:bottom w:val="single" w:sz="4" w:space="0" w:color="auto"/>
              <w:right w:val="single" w:sz="4" w:space="0" w:color="auto"/>
            </w:tcBorders>
          </w:tcPr>
          <w:p w14:paraId="47A9A3AD" w14:textId="77777777" w:rsidR="0077693B" w:rsidRPr="00263672" w:rsidRDefault="0077693B" w:rsidP="00EC15EE">
            <w:pPr>
              <w:overflowPunct/>
              <w:textAlignment w:val="auto"/>
              <w:rPr>
                <w:rFonts w:ascii="Lato" w:eastAsiaTheme="minorHAnsi" w:hAnsi="Lato" w:cs="Times New Roman"/>
                <w:b/>
                <w:bCs/>
                <w:color w:val="000000"/>
                <w:sz w:val="24"/>
                <w:szCs w:val="24"/>
                <w:lang w:eastAsia="en-US"/>
              </w:rPr>
            </w:pPr>
            <w:r w:rsidRPr="00263672">
              <w:rPr>
                <w:rFonts w:ascii="Lato" w:eastAsiaTheme="minorHAnsi" w:hAnsi="Lato" w:cs="Times New Roman"/>
                <w:b/>
                <w:bCs/>
                <w:color w:val="000000"/>
                <w:sz w:val="24"/>
                <w:szCs w:val="24"/>
                <w:lang w:eastAsia="en-US"/>
              </w:rPr>
              <w:t>Kod:</w:t>
            </w:r>
          </w:p>
          <w:p w14:paraId="51F8EC4D" w14:textId="77777777" w:rsidR="0077693B" w:rsidRPr="00263672" w:rsidRDefault="0077693B" w:rsidP="00EC15EE">
            <w:pPr>
              <w:overflowPunct/>
              <w:textAlignment w:val="auto"/>
              <w:rPr>
                <w:rFonts w:ascii="Lato" w:eastAsiaTheme="minorHAnsi" w:hAnsi="Lato" w:cs="Times New Roman"/>
                <w:color w:val="000000"/>
                <w:sz w:val="24"/>
                <w:szCs w:val="24"/>
                <w:lang w:eastAsia="en-US"/>
              </w:rPr>
            </w:pPr>
          </w:p>
        </w:tc>
        <w:tc>
          <w:tcPr>
            <w:tcW w:w="8378" w:type="dxa"/>
            <w:tcBorders>
              <w:left w:val="single" w:sz="4" w:space="0" w:color="auto"/>
              <w:bottom w:val="single" w:sz="4" w:space="0" w:color="auto"/>
            </w:tcBorders>
          </w:tcPr>
          <w:p w14:paraId="558E389D" w14:textId="77777777" w:rsidR="0077693B" w:rsidRPr="00263672" w:rsidRDefault="0077693B" w:rsidP="00EC15EE">
            <w:pPr>
              <w:overflowPunct/>
              <w:textAlignment w:val="auto"/>
              <w:rPr>
                <w:rFonts w:ascii="Lato" w:eastAsiaTheme="minorHAnsi" w:hAnsi="Lato" w:cs="Times New Roman"/>
                <w:b/>
                <w:bCs/>
                <w:color w:val="000000"/>
                <w:sz w:val="24"/>
                <w:szCs w:val="24"/>
                <w:lang w:eastAsia="en-US"/>
              </w:rPr>
            </w:pPr>
            <w:r w:rsidRPr="00263672">
              <w:rPr>
                <w:rFonts w:ascii="Lato" w:eastAsiaTheme="minorHAnsi" w:hAnsi="Lato" w:cs="Times New Roman"/>
                <w:b/>
                <w:bCs/>
                <w:color w:val="000000"/>
                <w:sz w:val="24"/>
                <w:szCs w:val="24"/>
                <w:lang w:eastAsia="en-US"/>
              </w:rPr>
              <w:t>Opis:</w:t>
            </w:r>
          </w:p>
          <w:p w14:paraId="4C1EB56D" w14:textId="77777777" w:rsidR="0077693B" w:rsidRPr="00263672" w:rsidRDefault="0077693B" w:rsidP="00EC15EE">
            <w:pPr>
              <w:overflowPunct/>
              <w:textAlignment w:val="auto"/>
              <w:rPr>
                <w:rFonts w:ascii="Lato" w:eastAsiaTheme="minorHAnsi" w:hAnsi="Lato" w:cs="Times New Roman"/>
                <w:color w:val="000000"/>
                <w:sz w:val="24"/>
                <w:szCs w:val="24"/>
                <w:lang w:eastAsia="en-US"/>
              </w:rPr>
            </w:pPr>
          </w:p>
        </w:tc>
      </w:tr>
      <w:tr w:rsidR="0077693B" w:rsidRPr="00263672" w14:paraId="7CE4AA98" w14:textId="77777777" w:rsidTr="00BC43BC">
        <w:trPr>
          <w:trHeight w:val="208"/>
        </w:trPr>
        <w:tc>
          <w:tcPr>
            <w:tcW w:w="1242" w:type="dxa"/>
            <w:tcBorders>
              <w:top w:val="single" w:sz="4" w:space="0" w:color="auto"/>
              <w:bottom w:val="single" w:sz="4" w:space="0" w:color="auto"/>
              <w:right w:val="single" w:sz="4" w:space="0" w:color="auto"/>
            </w:tcBorders>
          </w:tcPr>
          <w:p w14:paraId="46EA0DC7" w14:textId="00B139F8" w:rsidR="0077693B" w:rsidRPr="00263672" w:rsidRDefault="0077693B" w:rsidP="00D32E05">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 xml:space="preserve">222222222 </w:t>
            </w:r>
          </w:p>
        </w:tc>
        <w:tc>
          <w:tcPr>
            <w:tcW w:w="8378" w:type="dxa"/>
            <w:tcBorders>
              <w:top w:val="single" w:sz="4" w:space="0" w:color="auto"/>
              <w:left w:val="single" w:sz="4" w:space="0" w:color="auto"/>
              <w:bottom w:val="single" w:sz="4" w:space="0" w:color="auto"/>
            </w:tcBorders>
          </w:tcPr>
          <w:p w14:paraId="5310AF9A" w14:textId="67851603" w:rsidR="0077693B" w:rsidRPr="00263672" w:rsidRDefault="00F023F4" w:rsidP="001C51F6">
            <w:pPr>
              <w:pStyle w:val="Tekstpodstawowy"/>
              <w:spacing w:before="120"/>
              <w:ind w:left="0" w:right="4"/>
              <w:rPr>
                <w:rFonts w:ascii="Lato" w:hAnsi="Lato" w:cs="Times New Roman"/>
                <w:sz w:val="24"/>
                <w:szCs w:val="24"/>
              </w:rPr>
            </w:pPr>
            <w:r w:rsidRPr="00263672">
              <w:rPr>
                <w:rFonts w:ascii="Lato" w:hAnsi="Lato" w:cs="Times New Roman"/>
                <w:sz w:val="24"/>
                <w:szCs w:val="24"/>
              </w:rPr>
              <w:t xml:space="preserve">Istniejący rachunek indywidualny dla którego jedyną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jest miejsce urodzenia na terenie Stanów Zjednoczonych;</w:t>
            </w:r>
          </w:p>
          <w:p w14:paraId="1C1F6EA7" w14:textId="60C7AEAD" w:rsidR="00F023F4" w:rsidRPr="00263672" w:rsidRDefault="00F023F4" w:rsidP="001C51F6">
            <w:pPr>
              <w:pStyle w:val="Tekstpodstawowy"/>
              <w:spacing w:before="120"/>
              <w:ind w:left="0" w:right="4"/>
              <w:rPr>
                <w:rFonts w:ascii="Lato" w:hAnsi="Lato" w:cs="Times New Roman"/>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individual account with only U.S. indicia being a U.S. place of birth</w:t>
            </w:r>
            <w:r w:rsidRPr="00263672">
              <w:rPr>
                <w:rFonts w:ascii="Lato" w:hAnsi="Lato" w:cs="Times New Roman"/>
                <w:sz w:val="24"/>
                <w:szCs w:val="24"/>
                <w:lang w:val="en-GB"/>
              </w:rPr>
              <w:t>;</w:t>
            </w:r>
          </w:p>
        </w:tc>
      </w:tr>
      <w:tr w:rsidR="00F023F4" w:rsidRPr="00263672" w14:paraId="51F5E436" w14:textId="77777777" w:rsidTr="00BC43BC">
        <w:trPr>
          <w:trHeight w:val="208"/>
        </w:trPr>
        <w:tc>
          <w:tcPr>
            <w:tcW w:w="1242" w:type="dxa"/>
            <w:tcBorders>
              <w:top w:val="single" w:sz="4" w:space="0" w:color="auto"/>
              <w:bottom w:val="single" w:sz="4" w:space="0" w:color="auto"/>
              <w:right w:val="single" w:sz="4" w:space="0" w:color="auto"/>
            </w:tcBorders>
          </w:tcPr>
          <w:p w14:paraId="21018FA6" w14:textId="4CCCF6C3" w:rsidR="00F023F4" w:rsidRPr="00263672" w:rsidRDefault="00F023F4" w:rsidP="00D32E05">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333333333</w:t>
            </w:r>
          </w:p>
        </w:tc>
        <w:tc>
          <w:tcPr>
            <w:tcW w:w="8378" w:type="dxa"/>
            <w:tcBorders>
              <w:top w:val="single" w:sz="4" w:space="0" w:color="auto"/>
              <w:left w:val="single" w:sz="4" w:space="0" w:color="auto"/>
              <w:bottom w:val="single" w:sz="4" w:space="0" w:color="auto"/>
            </w:tcBorders>
          </w:tcPr>
          <w:p w14:paraId="3F710D36" w14:textId="423D8519" w:rsidR="00F023F4" w:rsidRPr="00263672" w:rsidRDefault="00F023F4" w:rsidP="001C51F6">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Nowy rachunek indywidualny, który (1) posiada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w postaci miejsca urodzenia na terenie Stanów Zjednoczonych oraz (2) zachodzi jedna z okoliczności:</w:t>
            </w:r>
          </w:p>
          <w:p w14:paraId="6F149C24" w14:textId="0ED7296D" w:rsidR="00F023F4" w:rsidRPr="00263672" w:rsidRDefault="00F023F4" w:rsidP="00551D6E">
            <w:pPr>
              <w:pStyle w:val="Tekstpodstawowy"/>
              <w:numPr>
                <w:ilvl w:val="1"/>
                <w:numId w:val="8"/>
              </w:numPr>
              <w:spacing w:before="120"/>
              <w:ind w:left="602" w:right="6"/>
              <w:rPr>
                <w:rFonts w:ascii="Lato" w:hAnsi="Lato" w:cs="Times New Roman"/>
                <w:sz w:val="24"/>
                <w:szCs w:val="24"/>
              </w:rPr>
            </w:pPr>
            <w:r w:rsidRPr="00263672">
              <w:rPr>
                <w:rFonts w:ascii="Lato" w:hAnsi="Lato" w:cs="Times New Roman"/>
                <w:sz w:val="24"/>
                <w:szCs w:val="24"/>
              </w:rPr>
              <w:t xml:space="preserve">wystąpiła zmiana okoliczności powodującą, że uzyskane pierwotnie </w:t>
            </w:r>
            <w:r w:rsidR="00D32E05" w:rsidRPr="00263672">
              <w:rPr>
                <w:rFonts w:ascii="Lato" w:hAnsi="Lato" w:cs="Times New Roman"/>
                <w:sz w:val="24"/>
                <w:szCs w:val="24"/>
              </w:rPr>
              <w:br/>
            </w:r>
            <w:r w:rsidRPr="00263672">
              <w:rPr>
                <w:rFonts w:ascii="Lato" w:hAnsi="Lato" w:cs="Times New Roman"/>
                <w:sz w:val="24"/>
                <w:szCs w:val="24"/>
              </w:rPr>
              <w:t>w momencie otwarcia rachunku oświadczenie posiadacza rachunku jest niepoprawne lub nierzetelne, oraz że nie uzyskano nowego oświadczenia posiadacza rachunku; lub</w:t>
            </w:r>
          </w:p>
          <w:p w14:paraId="04B714E2" w14:textId="5C625259" w:rsidR="00F023F4" w:rsidRPr="00263672" w:rsidRDefault="00F023F4" w:rsidP="00551D6E">
            <w:pPr>
              <w:pStyle w:val="Tekstpodstawowy"/>
              <w:numPr>
                <w:ilvl w:val="1"/>
                <w:numId w:val="8"/>
              </w:numPr>
              <w:spacing w:before="120"/>
              <w:ind w:left="602" w:right="6"/>
              <w:rPr>
                <w:rFonts w:ascii="Lato" w:hAnsi="Lato" w:cs="Times New Roman"/>
                <w:sz w:val="24"/>
                <w:szCs w:val="24"/>
              </w:rPr>
            </w:pPr>
            <w:r w:rsidRPr="00263672">
              <w:rPr>
                <w:rFonts w:ascii="Lato" w:hAnsi="Lato" w:cs="Times New Roman"/>
                <w:sz w:val="24"/>
                <w:szCs w:val="24"/>
              </w:rPr>
              <w:t>w momencie otwarcia rachunku jego wartość była poniżej progu dla dokumentowania i raportowania rachunku, a następnie nastąpiło przekroczenie tego progu, a oświadczenie posiadacza rachunku nie zostało</w:t>
            </w:r>
            <w:r w:rsidR="00D32E05" w:rsidRPr="00263672">
              <w:rPr>
                <w:rFonts w:ascii="Lato" w:hAnsi="Lato" w:cs="Times New Roman"/>
                <w:sz w:val="24"/>
                <w:szCs w:val="24"/>
              </w:rPr>
              <w:t xml:space="preserve"> </w:t>
            </w:r>
            <w:r w:rsidRPr="00263672">
              <w:rPr>
                <w:rFonts w:ascii="Lato" w:hAnsi="Lato" w:cs="Times New Roman"/>
                <w:sz w:val="24"/>
                <w:szCs w:val="24"/>
              </w:rPr>
              <w:t>uzyskane.</w:t>
            </w:r>
          </w:p>
          <w:p w14:paraId="508BEED3" w14:textId="77777777" w:rsidR="00F023F4" w:rsidRPr="00263672" w:rsidRDefault="00F023F4" w:rsidP="001C51F6">
            <w:pPr>
              <w:pStyle w:val="Tekstpodstawowy"/>
              <w:spacing w:before="120"/>
              <w:ind w:left="0" w:right="4"/>
              <w:rPr>
                <w:rFonts w:ascii="Lato" w:hAnsi="Lato" w:cs="Times New Roman"/>
                <w:sz w:val="24"/>
                <w:szCs w:val="24"/>
              </w:rPr>
            </w:pPr>
          </w:p>
          <w:p w14:paraId="105AB499" w14:textId="77777777" w:rsidR="00F023F4" w:rsidRPr="00263672" w:rsidRDefault="00F023F4" w:rsidP="001C51F6">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New individual account that (1) has indicia of a U.S. place of birth, and (2) either:</w:t>
            </w:r>
          </w:p>
          <w:p w14:paraId="02CEFBEC" w14:textId="77777777" w:rsidR="00F023F4" w:rsidRPr="00263672" w:rsidRDefault="00F023F4" w:rsidP="001C51F6">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(a) has a change in circumstances causing the self-certification originally obtained at account opening to be incorrect or unreliable, and a new self-certification has not been obtained, or</w:t>
            </w:r>
          </w:p>
          <w:p w14:paraId="53F0A4FA" w14:textId="13651674" w:rsidR="00F023F4" w:rsidRPr="00263672" w:rsidRDefault="00F023F4" w:rsidP="001C51F6">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(b) was below the threshold for documenting and reporting the account at the time of account opening and subsequently exceeded the threshold, and a self-certification has not been obtained.</w:t>
            </w:r>
          </w:p>
        </w:tc>
      </w:tr>
      <w:tr w:rsidR="00F023F4" w:rsidRPr="00263672" w14:paraId="37638352" w14:textId="77777777" w:rsidTr="00BC43BC">
        <w:trPr>
          <w:trHeight w:val="208"/>
        </w:trPr>
        <w:tc>
          <w:tcPr>
            <w:tcW w:w="1242" w:type="dxa"/>
            <w:tcBorders>
              <w:top w:val="single" w:sz="4" w:space="0" w:color="auto"/>
              <w:bottom w:val="single" w:sz="4" w:space="0" w:color="auto"/>
              <w:right w:val="single" w:sz="4" w:space="0" w:color="auto"/>
            </w:tcBorders>
          </w:tcPr>
          <w:p w14:paraId="6802878B" w14:textId="275CF267" w:rsidR="00F023F4" w:rsidRPr="00263672" w:rsidRDefault="00F023F4" w:rsidP="00D32E05">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444444444</w:t>
            </w:r>
          </w:p>
        </w:tc>
        <w:tc>
          <w:tcPr>
            <w:tcW w:w="8378" w:type="dxa"/>
            <w:tcBorders>
              <w:top w:val="single" w:sz="4" w:space="0" w:color="auto"/>
              <w:left w:val="single" w:sz="4" w:space="0" w:color="auto"/>
              <w:bottom w:val="single" w:sz="4" w:space="0" w:color="auto"/>
            </w:tcBorders>
          </w:tcPr>
          <w:p w14:paraId="0A3D3AE9" w14:textId="2EE7537C" w:rsidR="00F023F4" w:rsidRPr="00263672" w:rsidRDefault="00F023F4" w:rsidP="001C51F6">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Istniejący rachunek indywidualny lub podmiotu, który (1) posiada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inne niż miejsce urodzenia na terenie Stanów Zjednoczonych oraz (2) zachodzi jedna z okoliczności:</w:t>
            </w:r>
          </w:p>
          <w:p w14:paraId="499EAFEF" w14:textId="13892DF1" w:rsidR="00F023F4" w:rsidRPr="00263672" w:rsidRDefault="00F023F4" w:rsidP="00551D6E">
            <w:pPr>
              <w:pStyle w:val="Tekstpodstawowy"/>
              <w:numPr>
                <w:ilvl w:val="0"/>
                <w:numId w:val="9"/>
              </w:numPr>
              <w:spacing w:before="120"/>
              <w:ind w:left="602" w:right="6"/>
              <w:rPr>
                <w:rFonts w:ascii="Lato" w:hAnsi="Lato" w:cs="Times New Roman"/>
                <w:sz w:val="24"/>
                <w:szCs w:val="24"/>
              </w:rPr>
            </w:pPr>
            <w:r w:rsidRPr="00263672">
              <w:rPr>
                <w:rFonts w:ascii="Lato" w:hAnsi="Lato" w:cs="Times New Roman"/>
                <w:sz w:val="24"/>
                <w:szCs w:val="24"/>
              </w:rPr>
              <w:t xml:space="preserve">wystąpiła zmiana okoliczności powodującą, że pierwotnie uzyskane oświadczenie posiadacza rachunku lub inna dokumentacja powiązana </w:t>
            </w:r>
            <w:r w:rsidR="00BC43BC" w:rsidRPr="00263672">
              <w:rPr>
                <w:rFonts w:ascii="Lato" w:hAnsi="Lato" w:cs="Times New Roman"/>
                <w:sz w:val="24"/>
                <w:szCs w:val="24"/>
              </w:rPr>
              <w:br/>
            </w:r>
            <w:r w:rsidRPr="00263672">
              <w:rPr>
                <w:rFonts w:ascii="Lato" w:hAnsi="Lato" w:cs="Times New Roman"/>
                <w:sz w:val="24"/>
                <w:szCs w:val="24"/>
              </w:rPr>
              <w:t xml:space="preserve">z rachunkiem jest niepoprawna lub nierzetelna, oraz nie uzyskano </w:t>
            </w:r>
            <w:r w:rsidRPr="00263672">
              <w:rPr>
                <w:rFonts w:ascii="Lato" w:hAnsi="Lato" w:cs="Times New Roman"/>
                <w:sz w:val="24"/>
                <w:szCs w:val="24"/>
              </w:rPr>
              <w:lastRenderedPageBreak/>
              <w:t>nowego oświadczenia posiadacza rachunku lub innej dokumentacji powiązanej z rachunkiem; lub</w:t>
            </w:r>
          </w:p>
          <w:p w14:paraId="10436C1C" w14:textId="1FAC7BE8" w:rsidR="00F023F4" w:rsidRPr="00263672" w:rsidRDefault="00F023F4" w:rsidP="00551D6E">
            <w:pPr>
              <w:pStyle w:val="Tekstpodstawowy"/>
              <w:numPr>
                <w:ilvl w:val="0"/>
                <w:numId w:val="9"/>
              </w:numPr>
              <w:spacing w:before="120"/>
              <w:ind w:left="602" w:right="6"/>
              <w:rPr>
                <w:rFonts w:ascii="Lato" w:hAnsi="Lato" w:cs="Times New Roman"/>
                <w:sz w:val="24"/>
                <w:szCs w:val="24"/>
              </w:rPr>
            </w:pPr>
            <w:r w:rsidRPr="00263672">
              <w:rPr>
                <w:rFonts w:ascii="Lato" w:hAnsi="Lato" w:cs="Times New Roman"/>
                <w:sz w:val="24"/>
                <w:szCs w:val="24"/>
              </w:rPr>
              <w:t>w momencie otwarcia rachunku jego wartość była poniżej progu dla dokumentowania i raportowania rachunku, a następnie nastąpiło przekroczenie tego progu, a oświadczenie posiadacza rachunku lub inna dokumentacja powiązana z rachunkiem nie została uzyskana.</w:t>
            </w:r>
          </w:p>
          <w:p w14:paraId="16A3224B" w14:textId="77777777" w:rsidR="00D32E05" w:rsidRPr="00263672" w:rsidRDefault="00D32E05" w:rsidP="001C51F6">
            <w:pPr>
              <w:pStyle w:val="Tekstpodstawowy"/>
              <w:spacing w:before="120"/>
              <w:ind w:left="0" w:right="6"/>
              <w:rPr>
                <w:rFonts w:ascii="Lato" w:hAnsi="Lato" w:cs="Times New Roman"/>
                <w:i/>
                <w:sz w:val="24"/>
                <w:szCs w:val="24"/>
              </w:rPr>
            </w:pPr>
          </w:p>
          <w:p w14:paraId="18A93A4A" w14:textId="69E52401" w:rsidR="00F023F4" w:rsidRPr="00263672" w:rsidRDefault="00F023F4" w:rsidP="001C51F6">
            <w:pPr>
              <w:pStyle w:val="Tekstpodstawowy"/>
              <w:spacing w:before="120"/>
              <w:ind w:left="0" w:right="6"/>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individual and entity account that (1) has U.S, indicia other than a U.S. place of birth, and (2) either:</w:t>
            </w:r>
          </w:p>
          <w:p w14:paraId="2F2DEAE5" w14:textId="77777777" w:rsidR="00F023F4" w:rsidRPr="00263672" w:rsidRDefault="00F023F4" w:rsidP="001C51F6">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(a) has a change in circumstances, causing the self-certification or other documentation originally obtained to be incorrect or unreliable, and a new self-certification or other documentation has not been obtained, or</w:t>
            </w:r>
          </w:p>
          <w:p w14:paraId="4416BD28" w14:textId="1BE16E49" w:rsidR="00F023F4" w:rsidRPr="00263672" w:rsidRDefault="00F023F4" w:rsidP="001C51F6">
            <w:pPr>
              <w:pStyle w:val="Tekstpodstawowy"/>
              <w:spacing w:before="120"/>
              <w:ind w:left="0" w:right="6"/>
              <w:rPr>
                <w:rFonts w:ascii="Lato" w:hAnsi="Lato" w:cs="Times New Roman"/>
                <w:sz w:val="24"/>
                <w:szCs w:val="24"/>
                <w:lang w:val="en-GB"/>
              </w:rPr>
            </w:pPr>
            <w:r w:rsidRPr="00263672">
              <w:rPr>
                <w:rFonts w:ascii="Lato" w:hAnsi="Lato" w:cs="Times New Roman"/>
                <w:i/>
                <w:sz w:val="24"/>
                <w:szCs w:val="24"/>
                <w:lang w:val="en-GB"/>
              </w:rPr>
              <w:t>(b) was below the threshold for documenting and reporting the account at the time of account opening and subsequently exceeded the threshold, and a self-certification or other documentation has not been obtained.</w:t>
            </w:r>
          </w:p>
        </w:tc>
      </w:tr>
      <w:tr w:rsidR="00F023F4" w:rsidRPr="00263672" w14:paraId="25DE9617" w14:textId="77777777" w:rsidTr="00BC43BC">
        <w:trPr>
          <w:trHeight w:val="208"/>
        </w:trPr>
        <w:tc>
          <w:tcPr>
            <w:tcW w:w="1242" w:type="dxa"/>
            <w:tcBorders>
              <w:top w:val="single" w:sz="4" w:space="0" w:color="auto"/>
              <w:bottom w:val="single" w:sz="4" w:space="0" w:color="auto"/>
              <w:right w:val="single" w:sz="4" w:space="0" w:color="auto"/>
            </w:tcBorders>
          </w:tcPr>
          <w:p w14:paraId="079AA51A" w14:textId="41C28313" w:rsidR="00F023F4" w:rsidRPr="00263672" w:rsidRDefault="00F023F4" w:rsidP="00D32E05">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lastRenderedPageBreak/>
              <w:t>555555555</w:t>
            </w:r>
          </w:p>
        </w:tc>
        <w:tc>
          <w:tcPr>
            <w:tcW w:w="8378" w:type="dxa"/>
            <w:tcBorders>
              <w:top w:val="single" w:sz="4" w:space="0" w:color="auto"/>
              <w:left w:val="single" w:sz="4" w:space="0" w:color="auto"/>
              <w:bottom w:val="single" w:sz="4" w:space="0" w:color="auto"/>
            </w:tcBorders>
          </w:tcPr>
          <w:p w14:paraId="102FB4EA" w14:textId="7B7A80C1" w:rsidR="001C51F6" w:rsidRPr="00263672" w:rsidRDefault="001C51F6" w:rsidP="001C51F6">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Nowy rachunek indywidualny lub podmiotu, który (1) posiada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inne niż miejsce urodzenia na terenie Stanów Zjednoczonych oraz (2) zachodzi jedna z okoliczności: </w:t>
            </w:r>
          </w:p>
          <w:p w14:paraId="2907D7D3" w14:textId="25AA5B9C" w:rsidR="001C51F6" w:rsidRPr="00263672" w:rsidRDefault="001C51F6" w:rsidP="00551D6E">
            <w:pPr>
              <w:pStyle w:val="Tekstpodstawowy"/>
              <w:numPr>
                <w:ilvl w:val="0"/>
                <w:numId w:val="10"/>
              </w:numPr>
              <w:spacing w:before="120"/>
              <w:ind w:left="602" w:right="6"/>
              <w:rPr>
                <w:rFonts w:ascii="Lato" w:hAnsi="Lato" w:cs="Times New Roman"/>
                <w:sz w:val="24"/>
                <w:szCs w:val="24"/>
              </w:rPr>
            </w:pPr>
            <w:r w:rsidRPr="00263672">
              <w:rPr>
                <w:rFonts w:ascii="Lato" w:hAnsi="Lato" w:cs="Times New Roman"/>
                <w:sz w:val="24"/>
                <w:szCs w:val="24"/>
              </w:rPr>
              <w:t xml:space="preserve">wystąpiła zmiana okoliczności powodującą, że pierwotnie uzyskane oświadczenie posiadacza rachunku lub inna dokumentacja powiązana </w:t>
            </w:r>
            <w:r w:rsidRPr="00263672">
              <w:rPr>
                <w:rFonts w:ascii="Lato" w:hAnsi="Lato" w:cs="Times New Roman"/>
                <w:sz w:val="24"/>
                <w:szCs w:val="24"/>
              </w:rPr>
              <w:br/>
              <w:t>z rachunkiem jest niepoprawna lub nierzetelna, oraz nie uzyskano nowego oświadczenia posiadacza rachunku lub innej dokumentacji powiązanej z rachunkiem; lub</w:t>
            </w:r>
          </w:p>
          <w:p w14:paraId="4E48736E" w14:textId="66E14795" w:rsidR="001C51F6" w:rsidRPr="00263672" w:rsidRDefault="001C51F6" w:rsidP="00551D6E">
            <w:pPr>
              <w:pStyle w:val="Tekstpodstawowy"/>
              <w:numPr>
                <w:ilvl w:val="0"/>
                <w:numId w:val="10"/>
              </w:numPr>
              <w:spacing w:before="120"/>
              <w:ind w:left="602" w:right="6"/>
              <w:rPr>
                <w:rFonts w:ascii="Lato" w:hAnsi="Lato" w:cs="Times New Roman"/>
                <w:sz w:val="24"/>
                <w:szCs w:val="24"/>
              </w:rPr>
            </w:pPr>
            <w:r w:rsidRPr="00263672">
              <w:rPr>
                <w:rFonts w:ascii="Lato" w:hAnsi="Lato" w:cs="Times New Roman"/>
                <w:sz w:val="24"/>
                <w:szCs w:val="24"/>
              </w:rPr>
              <w:t>w momencie otwarcia rachunku jego wartość była poniżej progu dla dokumentowania i raportowania rachunku, a następnie nastąpiło przekroczenie tego progu, a oświadczenie posiadacza rachunku lub inna dokumentacja powiązana z rachunkiem nie została uzyskana.</w:t>
            </w:r>
          </w:p>
          <w:p w14:paraId="034AAB5F" w14:textId="2C75BF80" w:rsidR="001C51F6" w:rsidRPr="00263672" w:rsidRDefault="001C51F6" w:rsidP="001C51F6">
            <w:pPr>
              <w:pStyle w:val="Tekstpodstawowy"/>
              <w:spacing w:before="120"/>
              <w:ind w:left="0" w:right="6"/>
              <w:rPr>
                <w:rFonts w:ascii="Lato" w:hAnsi="Lato" w:cs="Times New Roman"/>
                <w:sz w:val="24"/>
                <w:szCs w:val="24"/>
              </w:rPr>
            </w:pPr>
          </w:p>
          <w:p w14:paraId="67F4F88B" w14:textId="77777777" w:rsidR="001C51F6" w:rsidRPr="00263672" w:rsidRDefault="001C51F6" w:rsidP="001C51F6">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New individual and entity account that has a U.S, indicia other than a U.S. place of birth, and (2) either:</w:t>
            </w:r>
          </w:p>
          <w:p w14:paraId="3BEFDA31" w14:textId="77777777" w:rsidR="001C51F6" w:rsidRPr="00263672" w:rsidRDefault="001C51F6" w:rsidP="001C51F6">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(a) has a change in circumstances causing the self-certification or other documentation originally obtained to be incorrect or unreliable, and a new self-certification or other documentation has not been obtained, or</w:t>
            </w:r>
          </w:p>
          <w:p w14:paraId="52BC88F2" w14:textId="54D88916" w:rsidR="00F023F4" w:rsidRPr="00263672" w:rsidRDefault="001C51F6" w:rsidP="001C51F6">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(b) was below the threshold for documenting and reporting the account at the time of account opening and subsequently exceeded the threshold, and a self-certification or other documentation has not been obtained.</w:t>
            </w:r>
          </w:p>
        </w:tc>
      </w:tr>
      <w:tr w:rsidR="001C51F6" w:rsidRPr="00263672" w14:paraId="52E38C3C" w14:textId="77777777" w:rsidTr="00BC43BC">
        <w:trPr>
          <w:trHeight w:val="208"/>
        </w:trPr>
        <w:tc>
          <w:tcPr>
            <w:tcW w:w="1242" w:type="dxa"/>
            <w:tcBorders>
              <w:top w:val="single" w:sz="4" w:space="0" w:color="auto"/>
              <w:bottom w:val="single" w:sz="4" w:space="0" w:color="auto"/>
              <w:right w:val="single" w:sz="4" w:space="0" w:color="auto"/>
            </w:tcBorders>
          </w:tcPr>
          <w:p w14:paraId="50D7671C" w14:textId="628C204F" w:rsidR="001C51F6" w:rsidRPr="00263672" w:rsidRDefault="001C51F6" w:rsidP="0001652B">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666666666</w:t>
            </w:r>
          </w:p>
        </w:tc>
        <w:tc>
          <w:tcPr>
            <w:tcW w:w="8378" w:type="dxa"/>
            <w:tcBorders>
              <w:top w:val="single" w:sz="4" w:space="0" w:color="auto"/>
              <w:left w:val="single" w:sz="4" w:space="0" w:color="auto"/>
              <w:bottom w:val="single" w:sz="4" w:space="0" w:color="auto"/>
            </w:tcBorders>
          </w:tcPr>
          <w:p w14:paraId="5EF70BCB" w14:textId="6A69C3F7" w:rsidR="001C51F6" w:rsidRPr="00263672" w:rsidRDefault="001C51F6" w:rsidP="001C51F6">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Istniejący rachunek podmiotu z saldem przekraczającym 1 000 000 USD, będący w posiadaniu pasywnego niefinansowego podmiotu zagranicznego </w:t>
            </w:r>
            <w:r w:rsidRPr="00263672">
              <w:rPr>
                <w:rFonts w:ascii="Lato" w:hAnsi="Lato" w:cs="Times New Roman"/>
                <w:sz w:val="24"/>
                <w:szCs w:val="24"/>
              </w:rPr>
              <w:lastRenderedPageBreak/>
              <w:t xml:space="preserve">w odniesieniu do którego nie uzyskano oświadczenia i nie zidentyfikowano żadnych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w odniesieniu do jego osób kontrolujących.</w:t>
            </w:r>
          </w:p>
          <w:p w14:paraId="129F6D15" w14:textId="77777777" w:rsidR="001C51F6" w:rsidRPr="00263672" w:rsidRDefault="001C51F6" w:rsidP="001C51F6">
            <w:pPr>
              <w:pStyle w:val="Tekstpodstawowy"/>
              <w:spacing w:before="120"/>
              <w:ind w:left="0" w:right="6"/>
              <w:rPr>
                <w:rFonts w:ascii="Lato" w:hAnsi="Lato" w:cs="Times New Roman"/>
                <w:sz w:val="24"/>
                <w:szCs w:val="24"/>
              </w:rPr>
            </w:pPr>
          </w:p>
          <w:p w14:paraId="729B8253" w14:textId="768FB88A" w:rsidR="00D32E05" w:rsidRPr="00263672" w:rsidRDefault="001C51F6" w:rsidP="001C51F6">
            <w:pPr>
              <w:pStyle w:val="Tekstpodstawowy"/>
              <w:spacing w:before="120"/>
              <w:ind w:left="0" w:right="6"/>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entity account with account balance exceeding $1,000,000 held by </w:t>
            </w:r>
            <w:r w:rsidRPr="00263672">
              <w:rPr>
                <w:rFonts w:ascii="Lato" w:hAnsi="Lato" w:cs="Times New Roman"/>
                <w:i/>
                <w:sz w:val="24"/>
                <w:szCs w:val="24"/>
                <w:lang w:val="en-GB"/>
              </w:rPr>
              <w:br/>
              <w:t>a passive NFFE with respect to which no self-certifications have not been obtained, and no U.S. indicia have been identified in relation to its controlling persons.</w:t>
            </w:r>
          </w:p>
        </w:tc>
      </w:tr>
      <w:tr w:rsidR="001C51F6" w:rsidRPr="00263672" w14:paraId="3F497588" w14:textId="77777777" w:rsidTr="00BC43BC">
        <w:trPr>
          <w:trHeight w:val="208"/>
        </w:trPr>
        <w:tc>
          <w:tcPr>
            <w:tcW w:w="1242" w:type="dxa"/>
            <w:tcBorders>
              <w:top w:val="single" w:sz="4" w:space="0" w:color="auto"/>
              <w:bottom w:val="single" w:sz="4" w:space="0" w:color="auto"/>
              <w:right w:val="single" w:sz="4" w:space="0" w:color="auto"/>
            </w:tcBorders>
          </w:tcPr>
          <w:p w14:paraId="2221BAB0" w14:textId="326C8228" w:rsidR="001C51F6" w:rsidRPr="00263672" w:rsidRDefault="001C51F6" w:rsidP="00D32E05">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lastRenderedPageBreak/>
              <w:t>777777777</w:t>
            </w:r>
          </w:p>
        </w:tc>
        <w:tc>
          <w:tcPr>
            <w:tcW w:w="8378" w:type="dxa"/>
            <w:tcBorders>
              <w:top w:val="single" w:sz="4" w:space="0" w:color="auto"/>
              <w:left w:val="single" w:sz="4" w:space="0" w:color="auto"/>
              <w:bottom w:val="single" w:sz="4" w:space="0" w:color="auto"/>
            </w:tcBorders>
          </w:tcPr>
          <w:p w14:paraId="0E391B4B" w14:textId="77777777" w:rsidR="001C51F6" w:rsidRPr="00263672" w:rsidRDefault="001C51F6" w:rsidP="001C51F6">
            <w:pPr>
              <w:pStyle w:val="Tekstpodstawowy"/>
              <w:spacing w:before="120"/>
              <w:ind w:left="0" w:right="6"/>
              <w:rPr>
                <w:rFonts w:ascii="Lato" w:hAnsi="Lato" w:cs="Times New Roman"/>
                <w:sz w:val="24"/>
                <w:szCs w:val="24"/>
              </w:rPr>
            </w:pPr>
            <w:r w:rsidRPr="00263672">
              <w:rPr>
                <w:rFonts w:ascii="Lato" w:hAnsi="Lato" w:cs="Times New Roman"/>
                <w:sz w:val="24"/>
                <w:szCs w:val="24"/>
              </w:rPr>
              <w:t>Istniejący rachunek, dla którego numer TIN nie jest dostępny i rachunek znajduje się w stanie uśpienia lub jest nieaktywny, ale pozostaje powyżej progu sprawozdawczości (zwany rachunkiem nieaktywnym). Stany Zjednoczone definiują „rachunek nieaktywny” w przepisach Departamentu Skarbu Stanów Zjednoczonych w §1.1471-4(d)(6)(ii).</w:t>
            </w:r>
          </w:p>
          <w:p w14:paraId="799629FF" w14:textId="77777777" w:rsidR="001C51F6" w:rsidRPr="00263672" w:rsidRDefault="001C51F6" w:rsidP="001C51F6">
            <w:pPr>
              <w:pStyle w:val="Tekstpodstawowy"/>
              <w:spacing w:before="120"/>
              <w:ind w:left="0" w:right="6"/>
              <w:rPr>
                <w:rFonts w:ascii="Lato" w:hAnsi="Lato" w:cs="Times New Roman"/>
                <w:sz w:val="24"/>
                <w:szCs w:val="24"/>
              </w:rPr>
            </w:pPr>
          </w:p>
          <w:p w14:paraId="0303AE7C" w14:textId="006415E2" w:rsidR="001C51F6" w:rsidRPr="00263672" w:rsidRDefault="001C51F6" w:rsidP="001C51F6">
            <w:pPr>
              <w:pStyle w:val="Tekstpodstawowy"/>
              <w:spacing w:before="120"/>
              <w:ind w:left="0" w:right="6"/>
              <w:rPr>
                <w:rFonts w:ascii="Lato" w:hAnsi="Lato" w:cs="Times New Roman"/>
                <w:sz w:val="24"/>
                <w:szCs w:val="24"/>
                <w:lang w:val="en-US"/>
              </w:rPr>
            </w:pPr>
            <w:r w:rsidRPr="00263672">
              <w:rPr>
                <w:rFonts w:ascii="Lato" w:hAnsi="Lato" w:cs="Times New Roman"/>
                <w:i/>
                <w:sz w:val="24"/>
                <w:szCs w:val="24"/>
                <w:lang w:val="en-US"/>
              </w:rPr>
              <w:t>For pre-existing accounts where there is no TIN available and the account has been dormant or inactive, but remains above the reporting threshold, also known as a “dormant account”.  For reference, the U.S. defines “dormant account” in U.S. Treasury Regulations §1.1471-4(d)(6)(ii).</w:t>
            </w:r>
          </w:p>
        </w:tc>
      </w:tr>
    </w:tbl>
    <w:p w14:paraId="035578FC" w14:textId="010F043D" w:rsidR="0077693B" w:rsidRPr="00E1749A" w:rsidRDefault="0077693B" w:rsidP="006F7426">
      <w:pPr>
        <w:spacing w:before="120"/>
        <w:jc w:val="both"/>
        <w:rPr>
          <w:rFonts w:ascii="Lato" w:hAnsi="Lato" w:cs="Times New Roman"/>
          <w:sz w:val="22"/>
          <w:szCs w:val="22"/>
          <w:lang w:val="en-GB"/>
        </w:rPr>
      </w:pPr>
    </w:p>
    <w:p w14:paraId="503647FB" w14:textId="6570BF25" w:rsidR="000258D8" w:rsidRPr="00E1749A" w:rsidRDefault="000258D8" w:rsidP="00185ACD">
      <w:pPr>
        <w:spacing w:after="120"/>
        <w:jc w:val="both"/>
        <w:rPr>
          <w:rFonts w:ascii="Lato" w:hAnsi="Lato" w:cs="Times New Roman"/>
          <w:sz w:val="24"/>
          <w:szCs w:val="24"/>
          <w:lang w:val="en-GB"/>
        </w:rPr>
      </w:pPr>
    </w:p>
    <w:p w14:paraId="3161E461" w14:textId="13833355" w:rsidR="00D856E5" w:rsidRPr="00E1749A" w:rsidRDefault="00D856E5" w:rsidP="00185ACD">
      <w:pPr>
        <w:spacing w:after="120"/>
        <w:jc w:val="both"/>
        <w:rPr>
          <w:rFonts w:ascii="Lato" w:hAnsi="Lato" w:cs="Times New Roman"/>
          <w:sz w:val="24"/>
          <w:szCs w:val="24"/>
          <w:lang w:val="en-GB"/>
        </w:rPr>
      </w:pPr>
    </w:p>
    <w:p w14:paraId="2B551268" w14:textId="79AFE10A" w:rsidR="00D856E5" w:rsidRPr="00E1749A" w:rsidRDefault="00D856E5" w:rsidP="00185ACD">
      <w:pPr>
        <w:spacing w:after="120"/>
        <w:jc w:val="both"/>
        <w:rPr>
          <w:rFonts w:ascii="Lato" w:hAnsi="Lato" w:cs="Times New Roman"/>
          <w:sz w:val="24"/>
          <w:szCs w:val="24"/>
          <w:lang w:val="en-GB"/>
        </w:rPr>
      </w:pPr>
    </w:p>
    <w:p w14:paraId="6B5944DA" w14:textId="5AB341BA" w:rsidR="00D856E5" w:rsidRPr="00E1749A" w:rsidRDefault="00D856E5" w:rsidP="00185ACD">
      <w:pPr>
        <w:spacing w:after="120"/>
        <w:jc w:val="both"/>
        <w:rPr>
          <w:rFonts w:ascii="Lato" w:hAnsi="Lato" w:cs="Times New Roman"/>
          <w:sz w:val="24"/>
          <w:szCs w:val="24"/>
          <w:lang w:val="en-GB"/>
        </w:rPr>
      </w:pPr>
    </w:p>
    <w:p w14:paraId="29ED5104" w14:textId="1049D522" w:rsidR="00D856E5" w:rsidRPr="00E1749A" w:rsidRDefault="00D856E5" w:rsidP="00185ACD">
      <w:pPr>
        <w:spacing w:after="120"/>
        <w:jc w:val="both"/>
        <w:rPr>
          <w:rFonts w:ascii="Lato" w:hAnsi="Lato" w:cs="Times New Roman"/>
          <w:sz w:val="24"/>
          <w:szCs w:val="24"/>
          <w:lang w:val="en-GB"/>
        </w:rPr>
      </w:pPr>
    </w:p>
    <w:p w14:paraId="7B82222F" w14:textId="4A66650D" w:rsidR="00D856E5" w:rsidRPr="00E1749A" w:rsidRDefault="00D856E5" w:rsidP="00185ACD">
      <w:pPr>
        <w:spacing w:after="120"/>
        <w:jc w:val="both"/>
        <w:rPr>
          <w:rFonts w:ascii="Lato" w:hAnsi="Lato" w:cs="Times New Roman"/>
          <w:sz w:val="24"/>
          <w:szCs w:val="24"/>
          <w:lang w:val="en-GB"/>
        </w:rPr>
      </w:pPr>
    </w:p>
    <w:p w14:paraId="553F86DA" w14:textId="01253EF4" w:rsidR="00D856E5" w:rsidRPr="00E1749A" w:rsidRDefault="00D856E5" w:rsidP="00185ACD">
      <w:pPr>
        <w:spacing w:after="120"/>
        <w:jc w:val="both"/>
        <w:rPr>
          <w:rFonts w:ascii="Lato" w:hAnsi="Lato" w:cs="Times New Roman"/>
          <w:sz w:val="24"/>
          <w:szCs w:val="24"/>
          <w:lang w:val="en-GB"/>
        </w:rPr>
      </w:pPr>
    </w:p>
    <w:p w14:paraId="0CECBD62" w14:textId="712A088E" w:rsidR="00D856E5" w:rsidRPr="00E1749A" w:rsidRDefault="00D856E5" w:rsidP="00185ACD">
      <w:pPr>
        <w:spacing w:after="120"/>
        <w:jc w:val="both"/>
        <w:rPr>
          <w:rFonts w:ascii="Lato" w:hAnsi="Lato" w:cs="Times New Roman"/>
          <w:sz w:val="24"/>
          <w:szCs w:val="24"/>
          <w:lang w:val="en-GB"/>
        </w:rPr>
      </w:pPr>
    </w:p>
    <w:p w14:paraId="74971E84" w14:textId="647A97FA" w:rsidR="00D856E5" w:rsidRPr="00E1749A" w:rsidRDefault="00D856E5" w:rsidP="00185ACD">
      <w:pPr>
        <w:spacing w:after="120"/>
        <w:jc w:val="both"/>
        <w:rPr>
          <w:rFonts w:ascii="Lato" w:hAnsi="Lato" w:cs="Times New Roman"/>
          <w:sz w:val="24"/>
          <w:szCs w:val="24"/>
          <w:lang w:val="en-GB"/>
        </w:rPr>
      </w:pPr>
    </w:p>
    <w:p w14:paraId="4E252C8F" w14:textId="032B4285" w:rsidR="00D856E5" w:rsidRPr="00E1749A" w:rsidRDefault="00D856E5" w:rsidP="00185ACD">
      <w:pPr>
        <w:spacing w:after="120"/>
        <w:jc w:val="both"/>
        <w:rPr>
          <w:rFonts w:ascii="Lato" w:hAnsi="Lato" w:cs="Times New Roman"/>
          <w:sz w:val="24"/>
          <w:szCs w:val="24"/>
          <w:lang w:val="en-GB"/>
        </w:rPr>
      </w:pPr>
    </w:p>
    <w:p w14:paraId="2DA39041" w14:textId="76E1E055" w:rsidR="00D856E5" w:rsidRPr="00E1749A" w:rsidRDefault="00D856E5" w:rsidP="00185ACD">
      <w:pPr>
        <w:spacing w:after="120"/>
        <w:jc w:val="both"/>
        <w:rPr>
          <w:rFonts w:ascii="Lato" w:hAnsi="Lato" w:cs="Times New Roman"/>
          <w:sz w:val="24"/>
          <w:szCs w:val="24"/>
          <w:lang w:val="en-GB"/>
        </w:rPr>
      </w:pPr>
    </w:p>
    <w:p w14:paraId="5268221A" w14:textId="7FF117C8" w:rsidR="00D856E5" w:rsidRPr="00E1749A" w:rsidRDefault="00D856E5" w:rsidP="00185ACD">
      <w:pPr>
        <w:spacing w:after="120"/>
        <w:jc w:val="both"/>
        <w:rPr>
          <w:rFonts w:ascii="Lato" w:hAnsi="Lato" w:cs="Times New Roman"/>
          <w:sz w:val="24"/>
          <w:szCs w:val="24"/>
          <w:lang w:val="en-GB"/>
        </w:rPr>
      </w:pPr>
    </w:p>
    <w:p w14:paraId="5F2A59C7" w14:textId="76C30686" w:rsidR="00D856E5" w:rsidRPr="00E1749A" w:rsidRDefault="00D856E5" w:rsidP="00185ACD">
      <w:pPr>
        <w:spacing w:after="120"/>
        <w:jc w:val="both"/>
        <w:rPr>
          <w:rFonts w:ascii="Lato" w:hAnsi="Lato" w:cs="Times New Roman"/>
          <w:sz w:val="24"/>
          <w:szCs w:val="24"/>
          <w:lang w:val="en-GB"/>
        </w:rPr>
      </w:pPr>
    </w:p>
    <w:p w14:paraId="32DE3DB7" w14:textId="12F252DA" w:rsidR="00D856E5" w:rsidRPr="00E1749A" w:rsidRDefault="00D856E5" w:rsidP="00185ACD">
      <w:pPr>
        <w:spacing w:after="120"/>
        <w:jc w:val="both"/>
        <w:rPr>
          <w:rFonts w:ascii="Lato" w:hAnsi="Lato" w:cs="Times New Roman"/>
          <w:sz w:val="24"/>
          <w:szCs w:val="24"/>
          <w:lang w:val="en-GB"/>
        </w:rPr>
      </w:pPr>
    </w:p>
    <w:p w14:paraId="75611F9A" w14:textId="2A064FCE" w:rsidR="00D856E5" w:rsidRPr="00E1749A" w:rsidRDefault="00D856E5" w:rsidP="00185ACD">
      <w:pPr>
        <w:spacing w:after="120"/>
        <w:jc w:val="both"/>
        <w:rPr>
          <w:rFonts w:ascii="Lato" w:hAnsi="Lato" w:cs="Times New Roman"/>
          <w:sz w:val="24"/>
          <w:szCs w:val="24"/>
          <w:lang w:val="en-GB"/>
        </w:rPr>
      </w:pPr>
    </w:p>
    <w:p w14:paraId="4F306B3A" w14:textId="0F8E5E4C" w:rsidR="00D856E5" w:rsidRPr="00E1749A" w:rsidRDefault="00D856E5" w:rsidP="00185ACD">
      <w:pPr>
        <w:spacing w:after="120"/>
        <w:jc w:val="both"/>
        <w:rPr>
          <w:rFonts w:ascii="Lato" w:hAnsi="Lato" w:cs="Times New Roman"/>
          <w:sz w:val="24"/>
          <w:szCs w:val="24"/>
          <w:lang w:val="en-GB"/>
        </w:rPr>
      </w:pPr>
    </w:p>
    <w:p w14:paraId="63C4555C" w14:textId="7E0B9CC2" w:rsidR="00D856E5" w:rsidRPr="00E1749A" w:rsidRDefault="00D856E5" w:rsidP="00185ACD">
      <w:pPr>
        <w:spacing w:after="120"/>
        <w:jc w:val="both"/>
        <w:rPr>
          <w:rFonts w:ascii="Lato" w:hAnsi="Lato" w:cs="Times New Roman"/>
          <w:sz w:val="24"/>
          <w:szCs w:val="24"/>
          <w:lang w:val="en-GB"/>
        </w:rPr>
      </w:pPr>
    </w:p>
    <w:p w14:paraId="1A74932C" w14:textId="18357932" w:rsidR="00D856E5" w:rsidRPr="00E1749A" w:rsidRDefault="00D856E5" w:rsidP="00D856E5">
      <w:pPr>
        <w:pStyle w:val="Akapitzlist"/>
        <w:numPr>
          <w:ilvl w:val="0"/>
          <w:numId w:val="7"/>
        </w:numPr>
        <w:pBdr>
          <w:top w:val="single" w:sz="4" w:space="1" w:color="auto"/>
          <w:bottom w:val="single" w:sz="4" w:space="1" w:color="auto"/>
          <w:between w:val="single" w:sz="4" w:space="1" w:color="auto"/>
        </w:pBdr>
        <w:outlineLvl w:val="0"/>
        <w:rPr>
          <w:rFonts w:ascii="Lato" w:hAnsi="Lato"/>
          <w:b/>
          <w:smallCaps/>
          <w:color w:val="FF0000"/>
          <w:sz w:val="28"/>
          <w:szCs w:val="28"/>
        </w:rPr>
      </w:pPr>
      <w:bookmarkStart w:id="8" w:name="_Toc224904078"/>
      <w:r w:rsidRPr="00E1749A">
        <w:rPr>
          <w:rFonts w:ascii="Lato" w:hAnsi="Lato"/>
          <w:b/>
          <w:smallCaps/>
          <w:color w:val="FF0000"/>
          <w:sz w:val="28"/>
          <w:szCs w:val="28"/>
        </w:rPr>
        <w:lastRenderedPageBreak/>
        <w:t>Raportowanie informacji o U.S. TIN za lata 2022-2024</w:t>
      </w:r>
      <w:bookmarkEnd w:id="8"/>
    </w:p>
    <w:p w14:paraId="4EFDC420" w14:textId="77777777" w:rsidR="001F7556" w:rsidRPr="00263672" w:rsidRDefault="001F7556" w:rsidP="008956F3">
      <w:pPr>
        <w:spacing w:before="120"/>
        <w:jc w:val="both"/>
        <w:rPr>
          <w:rFonts w:ascii="Lato" w:hAnsi="Lato" w:cstheme="minorHAnsi"/>
          <w:sz w:val="24"/>
          <w:szCs w:val="24"/>
        </w:rPr>
      </w:pPr>
      <w:r w:rsidRPr="00263672">
        <w:rPr>
          <w:rFonts w:ascii="Lato" w:hAnsi="Lato" w:cstheme="minorHAnsi"/>
          <w:sz w:val="24"/>
          <w:szCs w:val="24"/>
        </w:rPr>
        <w:t>Na początku 2023 r. administracja amerykańska opublikowała Zawiadomienie 2023-11 (</w:t>
      </w:r>
      <w:proofErr w:type="spellStart"/>
      <w:r w:rsidRPr="00263672">
        <w:rPr>
          <w:rFonts w:ascii="Lato" w:hAnsi="Lato"/>
          <w:sz w:val="24"/>
          <w:szCs w:val="24"/>
        </w:rPr>
        <w:fldChar w:fldCharType="begin"/>
      </w:r>
      <w:r w:rsidRPr="00263672">
        <w:rPr>
          <w:rFonts w:ascii="Lato" w:hAnsi="Lato"/>
          <w:color w:val="0070C0"/>
          <w:sz w:val="24"/>
          <w:szCs w:val="24"/>
        </w:rPr>
        <w:instrText xml:space="preserve"> HYPERLINK "https://lnks.gd/l/eyJhbGciOiJIUzI1NiJ9.eyJidWxsZXRpbl9saW5rX2lkIjoxMTYsInVyaSI6ImJwMjpjbGljayIsImJ1bGxldGluX2lkIjoiMjAyMjEyMzAuNjkwMjExMDEiLCJ1cmwiOiJodHRwczovL3d3dy5pcnMuZ292L3B1Yi9pcnMtZHJvcC9uLTIzLTExLnBkZiJ9.-FctieChXnPSGvRrkrAVaaezv75pVe4zisB_G5HX4LY/s/1191439702/br/151503227371-l" \t "_blank" </w:instrText>
      </w:r>
      <w:r w:rsidRPr="00263672">
        <w:rPr>
          <w:rFonts w:ascii="Lato" w:hAnsi="Lato"/>
          <w:sz w:val="24"/>
          <w:szCs w:val="24"/>
        </w:rPr>
        <w:fldChar w:fldCharType="separate"/>
      </w:r>
      <w:r w:rsidRPr="00263672">
        <w:rPr>
          <w:rStyle w:val="Hipercze"/>
          <w:rFonts w:ascii="Lato" w:hAnsi="Lato" w:cstheme="minorHAnsi"/>
          <w:color w:val="0070C0"/>
          <w:szCs w:val="24"/>
        </w:rPr>
        <w:t>Notice</w:t>
      </w:r>
      <w:proofErr w:type="spellEnd"/>
      <w:r w:rsidRPr="00263672">
        <w:rPr>
          <w:rStyle w:val="Hipercze"/>
          <w:rFonts w:ascii="Lato" w:hAnsi="Lato" w:cstheme="minorHAnsi"/>
          <w:color w:val="0070C0"/>
          <w:szCs w:val="24"/>
        </w:rPr>
        <w:t xml:space="preserve"> 2023-11</w:t>
      </w:r>
      <w:r w:rsidRPr="00263672">
        <w:rPr>
          <w:rStyle w:val="Hipercze"/>
          <w:rFonts w:ascii="Lato" w:hAnsi="Lato" w:cstheme="minorHAnsi"/>
          <w:color w:val="0070C0"/>
          <w:szCs w:val="24"/>
        </w:rPr>
        <w:fldChar w:fldCharType="end"/>
      </w:r>
      <w:r w:rsidRPr="00263672">
        <w:rPr>
          <w:rFonts w:ascii="Lato" w:hAnsi="Lato" w:cstheme="minorHAnsi"/>
          <w:sz w:val="24"/>
          <w:szCs w:val="24"/>
        </w:rPr>
        <w:t>) oraz nowe FAQ w sekcji Reporting – Q6. (</w:t>
      </w:r>
      <w:hyperlink r:id="rId9" w:anchor="reporting" w:history="1">
        <w:r w:rsidRPr="00263672">
          <w:rPr>
            <w:rStyle w:val="Hipercze"/>
            <w:rFonts w:ascii="Lato" w:hAnsi="Lato" w:cstheme="minorHAnsi"/>
            <w:color w:val="0070C0"/>
            <w:szCs w:val="24"/>
          </w:rPr>
          <w:t>FAQ</w:t>
        </w:r>
      </w:hyperlink>
      <w:r w:rsidRPr="00263672">
        <w:rPr>
          <w:rFonts w:ascii="Lato" w:hAnsi="Lato" w:cstheme="minorHAnsi"/>
          <w:sz w:val="24"/>
          <w:szCs w:val="24"/>
        </w:rPr>
        <w:t>), w którym znalazły się nowe wartości (kody) w zakresie elementu ‘TIN’ dla rachunków istniejących, dla których instytucje finansowe nie były w stanie uzyskać poprawnego amerykańskiego numeru TIN (</w:t>
      </w:r>
      <w:r w:rsidRPr="00263672">
        <w:rPr>
          <w:rFonts w:ascii="Lato" w:hAnsi="Lato" w:cstheme="minorHAnsi"/>
          <w:i/>
          <w:sz w:val="24"/>
          <w:szCs w:val="24"/>
        </w:rPr>
        <w:t>U.S. TIN</w:t>
      </w:r>
      <w:r w:rsidRPr="00263672">
        <w:rPr>
          <w:rFonts w:ascii="Lato" w:hAnsi="Lato" w:cstheme="minorHAnsi"/>
          <w:sz w:val="24"/>
          <w:szCs w:val="24"/>
        </w:rPr>
        <w:t xml:space="preserve">). </w:t>
      </w:r>
    </w:p>
    <w:p w14:paraId="7859D1F8" w14:textId="41AA8EA8"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 xml:space="preserve">W Zawiadomieniu strona amerykańska wskazuje, że potrzebuje dodatkowych informacji od raportujących instytucji finansowych pozwalających na zrozumienie faktów </w:t>
      </w:r>
      <w:r w:rsidR="00263672">
        <w:rPr>
          <w:rFonts w:ascii="Lato" w:hAnsi="Lato" w:cstheme="minorHAnsi"/>
          <w:sz w:val="24"/>
          <w:szCs w:val="24"/>
        </w:rPr>
        <w:br/>
      </w:r>
      <w:r w:rsidRPr="00263672">
        <w:rPr>
          <w:rFonts w:ascii="Lato" w:hAnsi="Lato" w:cstheme="minorHAnsi"/>
          <w:sz w:val="24"/>
          <w:szCs w:val="24"/>
        </w:rPr>
        <w:t xml:space="preserve">i okoliczności, które kryją się za przypadkami brakujących poprawnych amerykańskich numerów TIN dla rachunków istniejących. Jako środek tymczasowy, sekcje 3.02, 3.03 </w:t>
      </w:r>
      <w:r w:rsidR="00263672">
        <w:rPr>
          <w:rFonts w:ascii="Lato" w:hAnsi="Lato" w:cstheme="minorHAnsi"/>
          <w:sz w:val="24"/>
          <w:szCs w:val="24"/>
        </w:rPr>
        <w:br/>
      </w:r>
      <w:r w:rsidRPr="00263672">
        <w:rPr>
          <w:rFonts w:ascii="Lato" w:hAnsi="Lato" w:cstheme="minorHAnsi"/>
          <w:sz w:val="24"/>
          <w:szCs w:val="24"/>
        </w:rPr>
        <w:t xml:space="preserve">i 3.04 Zawiadomienia wymieniają procedury, do których raportujące instytucje finansowe powinny się stosować. </w:t>
      </w:r>
    </w:p>
    <w:p w14:paraId="28D9144D" w14:textId="4C05FD81"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Sekcja 3.02 wskazuje, że w odniesieniu do raportowania za lata 2022 – 2024 właściwy organ USA nie powinien stwierdzić istotnego nieprzestrzegania obowiązków</w:t>
      </w:r>
      <w:r w:rsidR="00263672">
        <w:rPr>
          <w:rFonts w:ascii="Lato" w:hAnsi="Lato" w:cstheme="minorHAnsi"/>
          <w:sz w:val="24"/>
          <w:szCs w:val="24"/>
        </w:rPr>
        <w:t xml:space="preserve"> </w:t>
      </w:r>
      <w:r w:rsidRPr="00263672">
        <w:rPr>
          <w:rFonts w:ascii="Lato" w:hAnsi="Lato" w:cstheme="minorHAnsi"/>
          <w:sz w:val="24"/>
          <w:szCs w:val="24"/>
        </w:rPr>
        <w:t xml:space="preserve">wynikających z Umowy, wyłącznie z powodu nieuzyskania i nieprzekazania informacji </w:t>
      </w:r>
      <w:r w:rsidR="00263672">
        <w:rPr>
          <w:rFonts w:ascii="Lato" w:hAnsi="Lato" w:cstheme="minorHAnsi"/>
          <w:sz w:val="24"/>
          <w:szCs w:val="24"/>
        </w:rPr>
        <w:br/>
      </w:r>
      <w:r w:rsidRPr="00263672">
        <w:rPr>
          <w:rFonts w:ascii="Lato" w:hAnsi="Lato" w:cstheme="minorHAnsi"/>
          <w:sz w:val="24"/>
          <w:szCs w:val="24"/>
        </w:rPr>
        <w:t>o prawidłowym amerykańskim numerze TIN (</w:t>
      </w:r>
      <w:r w:rsidRPr="00263672">
        <w:rPr>
          <w:rFonts w:ascii="Lato" w:hAnsi="Lato" w:cstheme="minorHAnsi"/>
          <w:i/>
          <w:sz w:val="24"/>
          <w:szCs w:val="24"/>
        </w:rPr>
        <w:t>U.S. TIN</w:t>
      </w:r>
      <w:r w:rsidRPr="00263672">
        <w:rPr>
          <w:rFonts w:ascii="Lato" w:hAnsi="Lato" w:cstheme="minorHAnsi"/>
          <w:sz w:val="24"/>
          <w:szCs w:val="24"/>
        </w:rPr>
        <w:t xml:space="preserve">) w odniesieniu do istniejącego rachunku, pod warunkiem, że raportująca instytucja finansowa spełni warunki określone w sekcjach 3.03. i 3.04 Zawiadomienia. Podkreślić należy, że procedura opisana </w:t>
      </w:r>
      <w:r w:rsidR="00263672">
        <w:rPr>
          <w:rFonts w:ascii="Lato" w:hAnsi="Lato" w:cstheme="minorHAnsi"/>
          <w:sz w:val="24"/>
          <w:szCs w:val="24"/>
        </w:rPr>
        <w:br/>
      </w:r>
      <w:r w:rsidRPr="00263672">
        <w:rPr>
          <w:rFonts w:ascii="Lato" w:hAnsi="Lato" w:cstheme="minorHAnsi"/>
          <w:sz w:val="24"/>
          <w:szCs w:val="24"/>
        </w:rPr>
        <w:t xml:space="preserve">w Zawiadomieniu ma zastosowanie do istniejących rachunków. </w:t>
      </w:r>
    </w:p>
    <w:p w14:paraId="2AEC9588" w14:textId="1C8AE1AB"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 xml:space="preserve">Strona amerykańska wskazała również w tej sekcji, że żadne z postanowień Zawiadomienia nie uniemożliwia właściwemu organowi USA stwierdzenia istotnej niezgodności z przepisami w przypadku niespełnienia jakiegokolwiek obowiązku wynikającego z Umowy, innego niż brak uzyskania i zgłoszenia każdego wymaganego poprawnego amerykańskiego numeru TIN dla istniejących rachunków. Ponadto żadne </w:t>
      </w:r>
      <w:r w:rsidR="00263672">
        <w:rPr>
          <w:rFonts w:ascii="Lato" w:hAnsi="Lato" w:cstheme="minorHAnsi"/>
          <w:sz w:val="24"/>
          <w:szCs w:val="24"/>
        </w:rPr>
        <w:br/>
      </w:r>
      <w:r w:rsidRPr="00263672">
        <w:rPr>
          <w:rFonts w:ascii="Lato" w:hAnsi="Lato" w:cstheme="minorHAnsi"/>
          <w:sz w:val="24"/>
          <w:szCs w:val="24"/>
        </w:rPr>
        <w:t>z postanowień Zawiadomienia nie ma wpływu na pozostałe obowiązki raportującej instytucji finansowej wynikające z Umowy.</w:t>
      </w:r>
    </w:p>
    <w:p w14:paraId="513147CA" w14:textId="3C9D7749"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W sekcji 3.03 znalazła się informacja, że raportująca instytucja finansowa kwalifikuje się do ulgi opisanej w sekcji 3.02 Z zawiadomienia tylko wtedy, gdy dla każdego amerykańskiego rachunku raportowanego z brakującym wymaganym poprawnym amerykańskim numerem TIN, raportująca instytucja finansowa:</w:t>
      </w:r>
    </w:p>
    <w:p w14:paraId="6A9BF1DD" w14:textId="22B2DA40" w:rsidR="001F7556" w:rsidRPr="00263672" w:rsidRDefault="001F7556" w:rsidP="00551D6E">
      <w:pPr>
        <w:pStyle w:val="Akapitzlist"/>
        <w:numPr>
          <w:ilvl w:val="0"/>
          <w:numId w:val="11"/>
        </w:numPr>
        <w:spacing w:before="120" w:after="120"/>
        <w:contextualSpacing w:val="0"/>
        <w:rPr>
          <w:rFonts w:ascii="Lato" w:hAnsi="Lato" w:cstheme="minorHAnsi"/>
          <w:szCs w:val="24"/>
        </w:rPr>
      </w:pPr>
      <w:r w:rsidRPr="00263672">
        <w:rPr>
          <w:rFonts w:ascii="Lato" w:hAnsi="Lato" w:cstheme="minorHAnsi"/>
          <w:szCs w:val="24"/>
        </w:rPr>
        <w:t>uzyska i zgłosi datę urodzenia każdego posiadacza rachunku, który jest osobą fizyczną, oraz osoby kontrolując</w:t>
      </w:r>
      <w:r w:rsidR="00263672" w:rsidRPr="00263672">
        <w:rPr>
          <w:rFonts w:ascii="Lato" w:hAnsi="Lato" w:cstheme="minorHAnsi"/>
          <w:szCs w:val="24"/>
        </w:rPr>
        <w:t>ej</w:t>
      </w:r>
      <w:r w:rsidRPr="00263672">
        <w:rPr>
          <w:rFonts w:ascii="Lato" w:hAnsi="Lato" w:cstheme="minorHAnsi"/>
          <w:szCs w:val="24"/>
        </w:rPr>
        <w:t>, któr</w:t>
      </w:r>
      <w:r w:rsidR="00263672" w:rsidRPr="00263672">
        <w:rPr>
          <w:rFonts w:ascii="Lato" w:hAnsi="Lato" w:cstheme="minorHAnsi"/>
          <w:szCs w:val="24"/>
        </w:rPr>
        <w:t>ych</w:t>
      </w:r>
      <w:r w:rsidRPr="00263672">
        <w:rPr>
          <w:rFonts w:ascii="Lato" w:hAnsi="Lato" w:cstheme="minorHAnsi"/>
          <w:szCs w:val="24"/>
        </w:rPr>
        <w:t xml:space="preserve"> amerykański numer TIN nie jest raportowany;</w:t>
      </w:r>
    </w:p>
    <w:p w14:paraId="7B9A912F" w14:textId="77777777" w:rsidR="001F7556" w:rsidRPr="00263672" w:rsidRDefault="001F7556" w:rsidP="00551D6E">
      <w:pPr>
        <w:pStyle w:val="Akapitzlist"/>
        <w:numPr>
          <w:ilvl w:val="0"/>
          <w:numId w:val="11"/>
        </w:numPr>
        <w:spacing w:before="120" w:after="120"/>
        <w:contextualSpacing w:val="0"/>
        <w:rPr>
          <w:rFonts w:ascii="Lato" w:hAnsi="Lato" w:cstheme="minorHAnsi"/>
          <w:szCs w:val="24"/>
        </w:rPr>
      </w:pPr>
      <w:r w:rsidRPr="00263672">
        <w:rPr>
          <w:rFonts w:ascii="Lato" w:hAnsi="Lato" w:cstheme="minorHAnsi"/>
          <w:szCs w:val="24"/>
        </w:rPr>
        <w:t>począwszy od roku 2023, corocznie zażąda od każdego posiadacza rachunku brakującego wymaganego amerykańskiego numeru TIN (więcej informacji w sekcji 3.04);</w:t>
      </w:r>
    </w:p>
    <w:p w14:paraId="73C0B979" w14:textId="77777777" w:rsidR="001F7556" w:rsidRPr="00263672" w:rsidRDefault="001F7556" w:rsidP="00551D6E">
      <w:pPr>
        <w:pStyle w:val="Akapitzlist"/>
        <w:numPr>
          <w:ilvl w:val="0"/>
          <w:numId w:val="11"/>
        </w:numPr>
        <w:spacing w:before="120" w:after="120"/>
        <w:contextualSpacing w:val="0"/>
        <w:rPr>
          <w:rFonts w:ascii="Lato" w:hAnsi="Lato" w:cstheme="minorHAnsi"/>
          <w:szCs w:val="24"/>
        </w:rPr>
      </w:pPr>
      <w:r w:rsidRPr="00263672">
        <w:rPr>
          <w:rFonts w:ascii="Lato" w:hAnsi="Lato" w:cstheme="minorHAnsi"/>
          <w:szCs w:val="24"/>
        </w:rPr>
        <w:t xml:space="preserve">począwszy od roku kalendarzowego 2023, corocznie dokona przeglądu elektronicznej bazy danych prowadzonej przez nią, pod kątem brakujących wymaganych amerykańskich numerów TIN; oraz </w:t>
      </w:r>
    </w:p>
    <w:p w14:paraId="43984B78" w14:textId="77777777" w:rsidR="001F7556" w:rsidRPr="00263672" w:rsidRDefault="001F7556" w:rsidP="00551D6E">
      <w:pPr>
        <w:pStyle w:val="Akapitzlist"/>
        <w:numPr>
          <w:ilvl w:val="0"/>
          <w:numId w:val="11"/>
        </w:numPr>
        <w:spacing w:before="120" w:after="120"/>
        <w:contextualSpacing w:val="0"/>
        <w:rPr>
          <w:rFonts w:ascii="Lato" w:hAnsi="Lato" w:cstheme="minorHAnsi"/>
          <w:szCs w:val="24"/>
        </w:rPr>
      </w:pPr>
      <w:r w:rsidRPr="00263672">
        <w:rPr>
          <w:rFonts w:ascii="Lato" w:hAnsi="Lato" w:cstheme="minorHAnsi"/>
          <w:szCs w:val="24"/>
        </w:rPr>
        <w:t xml:space="preserve">zgłosi dokładny kod w zakresie elementu ‘TIN’ dla każdego rachunku, dla którego brakuje wymaganego poprawnego amerykańskiego numeru TIN. </w:t>
      </w:r>
    </w:p>
    <w:p w14:paraId="449425D1" w14:textId="61E0D4FD" w:rsidR="001F7556" w:rsidRPr="00263672" w:rsidRDefault="008956F3" w:rsidP="008956F3">
      <w:pPr>
        <w:spacing w:before="120" w:after="120"/>
        <w:jc w:val="both"/>
        <w:rPr>
          <w:rFonts w:ascii="Lato" w:hAnsi="Lato" w:cstheme="minorHAnsi"/>
          <w:sz w:val="24"/>
          <w:szCs w:val="24"/>
        </w:rPr>
      </w:pPr>
      <w:r w:rsidRPr="00263672">
        <w:rPr>
          <w:rFonts w:ascii="Lato" w:hAnsi="Lato" w:cstheme="minorHAnsi"/>
          <w:b/>
          <w:bCs/>
          <w:sz w:val="24"/>
          <w:szCs w:val="24"/>
          <w:u w:val="single"/>
        </w:rPr>
        <w:lastRenderedPageBreak/>
        <w:t>WAŻNE:</w:t>
      </w:r>
      <w:r w:rsidRPr="00263672">
        <w:rPr>
          <w:rFonts w:ascii="Lato" w:hAnsi="Lato" w:cstheme="minorHAnsi"/>
          <w:sz w:val="24"/>
          <w:szCs w:val="24"/>
        </w:rPr>
        <w:t xml:space="preserve"> w</w:t>
      </w:r>
      <w:r w:rsidR="001F7556" w:rsidRPr="00263672">
        <w:rPr>
          <w:rFonts w:ascii="Lato" w:hAnsi="Lato" w:cstheme="minorHAnsi"/>
          <w:sz w:val="24"/>
          <w:szCs w:val="24"/>
        </w:rPr>
        <w:t xml:space="preserve"> przypadku raportowania za rok kalendarzowy 2022, czwarty warunek może zostać spełniony przez raportującą instytucję finansową poprzez użycie kodów podanych w 2021 r. lub zaktualizowanych kodów. W przypadku raportowania za lata kalendarzowe 2023 i 2024, czwarty warunek musi zostać spełniony wyłącznie przy użyciu zaktualizowanych kodów dla elementów ‘TIN’, wydanych przez IRS.</w:t>
      </w:r>
    </w:p>
    <w:p w14:paraId="027B99FF" w14:textId="7A77F902"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 xml:space="preserve">Sekcja 3.04 opisuje wymóg corocznego żądania podania brakujących wymaganych amerykańskich numerów TIN od posiadaczy rachunków. Aby spełnić ten wymóg, raportująca instytucja finansowa musi wykorzystywać kanały komunikacji, które w jej ocenie są najbardziej racjonalne i pomogą w dotarciu do posiadaczy rachunków celem uzyskania tych informacji. Ponadto prowadzona komunikacja musi zawierać jedno </w:t>
      </w:r>
      <w:r w:rsidR="00263672">
        <w:rPr>
          <w:rFonts w:ascii="Lato" w:hAnsi="Lato" w:cstheme="minorHAnsi"/>
          <w:sz w:val="24"/>
          <w:szCs w:val="24"/>
        </w:rPr>
        <w:br/>
      </w:r>
      <w:r w:rsidRPr="00263672">
        <w:rPr>
          <w:rFonts w:ascii="Lato" w:hAnsi="Lato" w:cstheme="minorHAnsi"/>
          <w:sz w:val="24"/>
          <w:szCs w:val="24"/>
        </w:rPr>
        <w:t>z poniższych:</w:t>
      </w:r>
    </w:p>
    <w:p w14:paraId="6342E04B" w14:textId="6798AF32" w:rsidR="00C454B8" w:rsidRPr="00263672" w:rsidRDefault="001F7556" w:rsidP="00551D6E">
      <w:pPr>
        <w:pStyle w:val="Akapitzlist"/>
        <w:numPr>
          <w:ilvl w:val="0"/>
          <w:numId w:val="12"/>
        </w:numPr>
        <w:spacing w:before="120" w:after="120"/>
        <w:ind w:left="714" w:hanging="357"/>
        <w:contextualSpacing w:val="0"/>
        <w:rPr>
          <w:rFonts w:ascii="Lato" w:hAnsi="Lato" w:cstheme="minorHAnsi"/>
          <w:szCs w:val="24"/>
        </w:rPr>
      </w:pPr>
      <w:r w:rsidRPr="00263672">
        <w:rPr>
          <w:rFonts w:ascii="Lato" w:hAnsi="Lato" w:cstheme="minorHAnsi"/>
          <w:szCs w:val="24"/>
        </w:rPr>
        <w:t>adres strony internetowej Departamentu Stanu USA zawierającej najczęściej zadawane pytania (FAQ) dotyczące FATCA oraz kwestii związanych z tym jak uzyskać numer ubezpieczenia społecznego (</w:t>
      </w:r>
      <w:proofErr w:type="spellStart"/>
      <w:r w:rsidRPr="00263672">
        <w:rPr>
          <w:rFonts w:ascii="Lato" w:hAnsi="Lato" w:cstheme="minorHAnsi"/>
          <w:szCs w:val="24"/>
        </w:rPr>
        <w:t>Social</w:t>
      </w:r>
      <w:proofErr w:type="spellEnd"/>
      <w:r w:rsidRPr="00263672">
        <w:rPr>
          <w:rFonts w:ascii="Lato" w:hAnsi="Lato" w:cstheme="minorHAnsi"/>
          <w:szCs w:val="24"/>
        </w:rPr>
        <w:t xml:space="preserve"> Security </w:t>
      </w:r>
      <w:proofErr w:type="spellStart"/>
      <w:r w:rsidRPr="00263672">
        <w:rPr>
          <w:rFonts w:ascii="Lato" w:hAnsi="Lato" w:cstheme="minorHAnsi"/>
          <w:szCs w:val="24"/>
        </w:rPr>
        <w:t>Number</w:t>
      </w:r>
      <w:proofErr w:type="spellEnd"/>
      <w:r w:rsidRPr="00263672">
        <w:rPr>
          <w:rFonts w:ascii="Lato" w:hAnsi="Lato" w:cstheme="minorHAnsi"/>
          <w:szCs w:val="24"/>
        </w:rPr>
        <w:t xml:space="preserve">), jak zrzec się obywatelstwa USA i jakie są tego konsekwencje podatkowe (w tym link do procedur dotyczących ulg dla niektórych byłych obywateli USA): </w:t>
      </w:r>
    </w:p>
    <w:p w14:paraId="5ACF81A9" w14:textId="2DBECFD1" w:rsidR="001F7556" w:rsidRPr="00263672" w:rsidRDefault="001A06A5" w:rsidP="00C454B8">
      <w:pPr>
        <w:pStyle w:val="Akapitzlist"/>
        <w:spacing w:before="120" w:after="120"/>
        <w:ind w:left="714"/>
        <w:contextualSpacing w:val="0"/>
        <w:rPr>
          <w:rFonts w:ascii="Lato" w:hAnsi="Lato" w:cstheme="minorHAnsi"/>
          <w:szCs w:val="24"/>
        </w:rPr>
      </w:pPr>
      <w:hyperlink r:id="rId10" w:history="1">
        <w:r w:rsidR="00C454B8" w:rsidRPr="00263672">
          <w:rPr>
            <w:rStyle w:val="Hipercze"/>
            <w:rFonts w:ascii="Lato" w:hAnsi="Lato" w:cstheme="minorHAnsi"/>
            <w:color w:val="0070C0"/>
            <w:szCs w:val="24"/>
          </w:rPr>
          <w:t>https://travel.state.gov/content/travel/en/international-travel/while-abroad/Joint-Foreign-Account-Tax-Compliance-FATCA-FAQ.html</w:t>
        </w:r>
      </w:hyperlink>
      <w:r w:rsidR="001F7556" w:rsidRPr="00263672">
        <w:rPr>
          <w:rFonts w:ascii="Lato" w:hAnsi="Lato" w:cstheme="minorHAnsi"/>
          <w:szCs w:val="24"/>
        </w:rPr>
        <w:t>;</w:t>
      </w:r>
    </w:p>
    <w:p w14:paraId="65AE08CF" w14:textId="77777777" w:rsidR="001F7556" w:rsidRPr="00263672" w:rsidRDefault="001F7556" w:rsidP="00551D6E">
      <w:pPr>
        <w:pStyle w:val="Akapitzlist"/>
        <w:numPr>
          <w:ilvl w:val="0"/>
          <w:numId w:val="12"/>
        </w:numPr>
        <w:spacing w:before="120" w:after="120"/>
        <w:contextualSpacing w:val="0"/>
        <w:rPr>
          <w:rFonts w:ascii="Lato" w:hAnsi="Lato" w:cstheme="minorHAnsi"/>
          <w:szCs w:val="24"/>
        </w:rPr>
      </w:pPr>
      <w:r w:rsidRPr="00263672">
        <w:rPr>
          <w:rFonts w:ascii="Lato" w:hAnsi="Lato" w:cstheme="minorHAnsi"/>
          <w:szCs w:val="24"/>
        </w:rPr>
        <w:t>kopię najczęściej zadawanych pytań (opisanych powyżej) oraz:</w:t>
      </w:r>
    </w:p>
    <w:p w14:paraId="6094EAED" w14:textId="77777777" w:rsidR="001F7556" w:rsidRPr="00263672" w:rsidRDefault="001F7556" w:rsidP="00551D6E">
      <w:pPr>
        <w:pStyle w:val="Akapitzlist"/>
        <w:numPr>
          <w:ilvl w:val="0"/>
          <w:numId w:val="13"/>
        </w:numPr>
        <w:spacing w:before="120" w:after="120"/>
        <w:contextualSpacing w:val="0"/>
        <w:rPr>
          <w:rFonts w:ascii="Lato" w:hAnsi="Lato" w:cstheme="minorHAnsi"/>
          <w:szCs w:val="24"/>
        </w:rPr>
      </w:pPr>
      <w:r w:rsidRPr="00263672">
        <w:rPr>
          <w:rFonts w:ascii="Lato" w:hAnsi="Lato" w:cstheme="minorHAnsi"/>
          <w:szCs w:val="24"/>
        </w:rPr>
        <w:t>kopię procedur pomocy przewidzianych dla niektórych byłych obywateli USA, lub</w:t>
      </w:r>
    </w:p>
    <w:p w14:paraId="45B7820F" w14:textId="77777777" w:rsidR="00C454B8" w:rsidRPr="00263672" w:rsidRDefault="001F7556" w:rsidP="00551D6E">
      <w:pPr>
        <w:pStyle w:val="Akapitzlist"/>
        <w:numPr>
          <w:ilvl w:val="0"/>
          <w:numId w:val="13"/>
        </w:numPr>
        <w:spacing w:before="120" w:after="120"/>
        <w:contextualSpacing w:val="0"/>
        <w:rPr>
          <w:rFonts w:ascii="Lato" w:hAnsi="Lato" w:cstheme="minorHAnsi"/>
          <w:szCs w:val="24"/>
        </w:rPr>
      </w:pPr>
      <w:r w:rsidRPr="00263672">
        <w:rPr>
          <w:rFonts w:ascii="Lato" w:hAnsi="Lato" w:cstheme="minorHAnsi"/>
          <w:szCs w:val="24"/>
        </w:rPr>
        <w:t xml:space="preserve">adres strony internetowej, gdzie zamieszczone są te procedury: </w:t>
      </w:r>
    </w:p>
    <w:p w14:paraId="4C057E5B" w14:textId="5448C8BF" w:rsidR="001F7556" w:rsidRPr="00263672" w:rsidRDefault="001A06A5" w:rsidP="00C454B8">
      <w:pPr>
        <w:pStyle w:val="Akapitzlist"/>
        <w:spacing w:before="120" w:after="120"/>
        <w:ind w:left="1440"/>
        <w:contextualSpacing w:val="0"/>
        <w:rPr>
          <w:rFonts w:ascii="Lato" w:hAnsi="Lato" w:cstheme="minorHAnsi"/>
          <w:szCs w:val="24"/>
        </w:rPr>
      </w:pPr>
      <w:hyperlink r:id="rId11" w:history="1">
        <w:r w:rsidR="001F7556" w:rsidRPr="00263672">
          <w:rPr>
            <w:rStyle w:val="Hipercze"/>
            <w:rFonts w:ascii="Lato" w:hAnsi="Lato" w:cstheme="minorHAnsi"/>
            <w:color w:val="0070C0"/>
            <w:szCs w:val="24"/>
          </w:rPr>
          <w:t>https://www.irs.gov/individuals/international-taxpayers/relief-procedures-for-certain-former-citizens</w:t>
        </w:r>
      </w:hyperlink>
      <w:r w:rsidR="001F7556" w:rsidRPr="00263672">
        <w:rPr>
          <w:rFonts w:ascii="Lato" w:hAnsi="Lato" w:cstheme="minorHAnsi"/>
          <w:szCs w:val="24"/>
        </w:rPr>
        <w:t>.</w:t>
      </w:r>
    </w:p>
    <w:p w14:paraId="09CD575B" w14:textId="6785F989" w:rsidR="001F7556" w:rsidRPr="00263672" w:rsidRDefault="001F7556" w:rsidP="008956F3">
      <w:pPr>
        <w:spacing w:before="120" w:after="120"/>
        <w:jc w:val="both"/>
        <w:rPr>
          <w:rFonts w:ascii="Lato" w:hAnsi="Lato" w:cstheme="minorHAnsi"/>
          <w:sz w:val="24"/>
          <w:szCs w:val="24"/>
        </w:rPr>
      </w:pPr>
      <w:r w:rsidRPr="00263672">
        <w:rPr>
          <w:rFonts w:ascii="Lato" w:hAnsi="Lato" w:cstheme="minorHAnsi"/>
          <w:sz w:val="24"/>
          <w:szCs w:val="24"/>
        </w:rPr>
        <w:t xml:space="preserve">Zgodnie z sekcją 3.04 </w:t>
      </w:r>
      <w:r w:rsidR="0035165D" w:rsidRPr="00263672">
        <w:rPr>
          <w:rFonts w:ascii="Lato" w:hAnsi="Lato" w:cstheme="minorHAnsi"/>
          <w:sz w:val="24"/>
          <w:szCs w:val="24"/>
        </w:rPr>
        <w:t xml:space="preserve">Zawiadomienia, </w:t>
      </w:r>
      <w:r w:rsidRPr="00263672">
        <w:rPr>
          <w:rFonts w:ascii="Lato" w:hAnsi="Lato" w:cstheme="minorHAnsi"/>
          <w:sz w:val="24"/>
          <w:szCs w:val="24"/>
        </w:rPr>
        <w:t xml:space="preserve">raportująca instytucja finansowa musi przechowywać dokumentację polityk i procedur przyjętych w celu spełnienia tego wymogu oraz dokumentację potwierdzającą, że te polityki i procedury były przestrzegane, w celu ustalenia zgodności z wymogami </w:t>
      </w:r>
      <w:r w:rsidR="00C441E9" w:rsidRPr="00263672">
        <w:rPr>
          <w:rFonts w:ascii="Lato" w:hAnsi="Lato" w:cstheme="minorHAnsi"/>
          <w:sz w:val="24"/>
          <w:szCs w:val="24"/>
        </w:rPr>
        <w:t>Zawiadomienia</w:t>
      </w:r>
      <w:r w:rsidRPr="00263672">
        <w:rPr>
          <w:rFonts w:ascii="Lato" w:hAnsi="Lato" w:cstheme="minorHAnsi"/>
          <w:sz w:val="24"/>
          <w:szCs w:val="24"/>
        </w:rPr>
        <w:t xml:space="preserve"> – do końca roku kalendarzowego 2028.</w:t>
      </w:r>
    </w:p>
    <w:p w14:paraId="79D28BE5" w14:textId="77777777" w:rsidR="00C454B8" w:rsidRPr="00263672" w:rsidRDefault="00C454B8" w:rsidP="00C454B8">
      <w:pPr>
        <w:spacing w:after="120"/>
        <w:ind w:firstLine="708"/>
        <w:jc w:val="both"/>
        <w:rPr>
          <w:rFonts w:ascii="Lato" w:hAnsi="Lato" w:cs="Times New Roman"/>
          <w:sz w:val="24"/>
          <w:szCs w:val="24"/>
        </w:rPr>
      </w:pPr>
    </w:p>
    <w:p w14:paraId="1D4DB7D2" w14:textId="6DAF0A75" w:rsidR="00C454B8" w:rsidRPr="00263672" w:rsidRDefault="00C454B8" w:rsidP="00C454B8">
      <w:pPr>
        <w:pStyle w:val="Akapitzlist"/>
        <w:numPr>
          <w:ilvl w:val="1"/>
          <w:numId w:val="7"/>
        </w:numPr>
        <w:tabs>
          <w:tab w:val="left" w:pos="567"/>
        </w:tabs>
        <w:spacing w:after="120"/>
        <w:ind w:left="567" w:right="-108" w:hanging="567"/>
        <w:outlineLvl w:val="1"/>
        <w:rPr>
          <w:rFonts w:ascii="Lato" w:hAnsi="Lato"/>
          <w:color w:val="FF0000"/>
          <w:szCs w:val="24"/>
        </w:rPr>
      </w:pPr>
      <w:bookmarkStart w:id="9" w:name="_Toc224904079"/>
      <w:r w:rsidRPr="00263672">
        <w:rPr>
          <w:rFonts w:ascii="Lato" w:hAnsi="Lato"/>
          <w:color w:val="FF0000"/>
          <w:szCs w:val="24"/>
        </w:rPr>
        <w:t xml:space="preserve">Zaktualizowane wartości kodów </w:t>
      </w:r>
      <w:r w:rsidR="00BC43BC" w:rsidRPr="00263672">
        <w:rPr>
          <w:rFonts w:ascii="Lato" w:hAnsi="Lato"/>
          <w:color w:val="FF0000"/>
          <w:szCs w:val="24"/>
        </w:rPr>
        <w:t>TIN</w:t>
      </w:r>
      <w:bookmarkEnd w:id="9"/>
    </w:p>
    <w:p w14:paraId="3942B436" w14:textId="77777777" w:rsidR="00BC43BC" w:rsidRPr="00263672" w:rsidRDefault="00BC43BC" w:rsidP="00BC43BC">
      <w:pPr>
        <w:spacing w:after="120"/>
        <w:rPr>
          <w:rFonts w:ascii="Lato" w:hAnsi="Lato" w:cs="Times New Roman"/>
          <w:sz w:val="24"/>
          <w:szCs w:val="24"/>
        </w:rPr>
      </w:pPr>
    </w:p>
    <w:p w14:paraId="42B816A4" w14:textId="68950C72" w:rsidR="00BC43BC" w:rsidRPr="00263672" w:rsidRDefault="00BC43BC" w:rsidP="00263672">
      <w:pPr>
        <w:spacing w:after="120"/>
        <w:jc w:val="both"/>
        <w:rPr>
          <w:rFonts w:ascii="Lato" w:hAnsi="Lato" w:cs="Times New Roman"/>
          <w:sz w:val="24"/>
          <w:szCs w:val="24"/>
        </w:rPr>
      </w:pPr>
      <w:r w:rsidRPr="00263672">
        <w:rPr>
          <w:rFonts w:ascii="Lato" w:hAnsi="Lato" w:cs="Times New Roman"/>
          <w:sz w:val="24"/>
          <w:szCs w:val="24"/>
        </w:rPr>
        <w:t xml:space="preserve">Zaktualizowane wartości kodów dla TIN obowiązujące za lata 2022 – 2024 wraz </w:t>
      </w:r>
      <w:r w:rsidR="00263672">
        <w:rPr>
          <w:rFonts w:ascii="Lato" w:hAnsi="Lato" w:cs="Times New Roman"/>
          <w:sz w:val="24"/>
          <w:szCs w:val="24"/>
        </w:rPr>
        <w:br/>
      </w:r>
      <w:r w:rsidRPr="00263672">
        <w:rPr>
          <w:rFonts w:ascii="Lato" w:hAnsi="Lato" w:cs="Times New Roman"/>
          <w:sz w:val="24"/>
          <w:szCs w:val="24"/>
        </w:rPr>
        <w:t xml:space="preserve">z przypadkami, kiedy dany kod należy użyć – zachowano również angielską wersję opisu </w:t>
      </w:r>
      <w:r w:rsidR="00263672">
        <w:rPr>
          <w:rFonts w:ascii="Lato" w:hAnsi="Lato" w:cs="Times New Roman"/>
          <w:sz w:val="24"/>
          <w:szCs w:val="24"/>
        </w:rPr>
        <w:br/>
      </w:r>
      <w:r w:rsidRPr="00263672">
        <w:rPr>
          <w:rFonts w:ascii="Lato" w:hAnsi="Lato" w:cs="Times New Roman"/>
          <w:sz w:val="24"/>
          <w:szCs w:val="24"/>
        </w:rPr>
        <w:t xml:space="preserve">w celu wyeliminowania ewentualnych rozbieżności w tłumaczeniu. </w:t>
      </w:r>
    </w:p>
    <w:p w14:paraId="4991AEDB" w14:textId="390B61F5" w:rsidR="00C454B8" w:rsidRDefault="00BC43BC" w:rsidP="00BC43BC">
      <w:pPr>
        <w:spacing w:after="120"/>
        <w:rPr>
          <w:rFonts w:ascii="Lato" w:hAnsi="Lato" w:cs="Times New Roman"/>
          <w:sz w:val="24"/>
          <w:szCs w:val="24"/>
        </w:rPr>
      </w:pPr>
      <w:r w:rsidRPr="00263672">
        <w:rPr>
          <w:rFonts w:ascii="Lato" w:hAnsi="Lato" w:cs="Times New Roman"/>
          <w:sz w:val="24"/>
          <w:szCs w:val="24"/>
        </w:rPr>
        <w:t>Każdy kod składa się z dziewięciu cyfr.</w:t>
      </w:r>
    </w:p>
    <w:p w14:paraId="04B9C71A" w14:textId="6617F4C7" w:rsidR="00263672" w:rsidRDefault="00263672" w:rsidP="00BC43BC">
      <w:pPr>
        <w:spacing w:after="120"/>
        <w:rPr>
          <w:rFonts w:ascii="Lato" w:hAnsi="Lato" w:cs="Times New Roman"/>
          <w:sz w:val="24"/>
          <w:szCs w:val="24"/>
        </w:rPr>
      </w:pPr>
    </w:p>
    <w:p w14:paraId="4016694F" w14:textId="77777777" w:rsidR="00263672" w:rsidRPr="00263672" w:rsidRDefault="00263672" w:rsidP="00BC43BC">
      <w:pPr>
        <w:spacing w:after="120"/>
        <w:rPr>
          <w:rFonts w:ascii="Lato" w:hAnsi="Lato"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469"/>
        <w:gridCol w:w="8151"/>
      </w:tblGrid>
      <w:tr w:rsidR="00936CB4" w:rsidRPr="00263672" w14:paraId="7A595E9B" w14:textId="77777777" w:rsidTr="00EC15EE">
        <w:trPr>
          <w:trHeight w:val="209"/>
        </w:trPr>
        <w:tc>
          <w:tcPr>
            <w:tcW w:w="1242" w:type="dxa"/>
            <w:tcBorders>
              <w:bottom w:val="single" w:sz="4" w:space="0" w:color="auto"/>
              <w:right w:val="single" w:sz="4" w:space="0" w:color="auto"/>
            </w:tcBorders>
          </w:tcPr>
          <w:p w14:paraId="6FBF68EF" w14:textId="77777777" w:rsidR="00936CB4" w:rsidRPr="00263672" w:rsidRDefault="00936CB4" w:rsidP="00EC15EE">
            <w:pPr>
              <w:overflowPunct/>
              <w:textAlignment w:val="auto"/>
              <w:rPr>
                <w:rFonts w:ascii="Lato" w:eastAsiaTheme="minorHAnsi" w:hAnsi="Lato" w:cs="Times New Roman"/>
                <w:b/>
                <w:bCs/>
                <w:color w:val="000000"/>
                <w:sz w:val="24"/>
                <w:szCs w:val="24"/>
                <w:lang w:eastAsia="en-US"/>
              </w:rPr>
            </w:pPr>
            <w:r w:rsidRPr="00263672">
              <w:rPr>
                <w:rFonts w:ascii="Lato" w:eastAsiaTheme="minorHAnsi" w:hAnsi="Lato" w:cs="Times New Roman"/>
                <w:b/>
                <w:bCs/>
                <w:color w:val="000000"/>
                <w:sz w:val="24"/>
                <w:szCs w:val="24"/>
                <w:lang w:eastAsia="en-US"/>
              </w:rPr>
              <w:lastRenderedPageBreak/>
              <w:t>Kod:</w:t>
            </w:r>
          </w:p>
          <w:p w14:paraId="1D2982DA" w14:textId="77777777" w:rsidR="00936CB4" w:rsidRPr="00263672" w:rsidRDefault="00936CB4" w:rsidP="00EC15EE">
            <w:pPr>
              <w:overflowPunct/>
              <w:textAlignment w:val="auto"/>
              <w:rPr>
                <w:rFonts w:ascii="Lato" w:eastAsiaTheme="minorHAnsi" w:hAnsi="Lato" w:cs="Times New Roman"/>
                <w:color w:val="000000"/>
                <w:sz w:val="24"/>
                <w:szCs w:val="24"/>
                <w:lang w:eastAsia="en-US"/>
              </w:rPr>
            </w:pPr>
          </w:p>
        </w:tc>
        <w:tc>
          <w:tcPr>
            <w:tcW w:w="8378" w:type="dxa"/>
            <w:tcBorders>
              <w:left w:val="single" w:sz="4" w:space="0" w:color="auto"/>
              <w:bottom w:val="single" w:sz="4" w:space="0" w:color="auto"/>
            </w:tcBorders>
          </w:tcPr>
          <w:p w14:paraId="5C8D9992" w14:textId="77777777" w:rsidR="00936CB4" w:rsidRPr="00263672" w:rsidRDefault="00936CB4" w:rsidP="00EC15EE">
            <w:pPr>
              <w:overflowPunct/>
              <w:textAlignment w:val="auto"/>
              <w:rPr>
                <w:rFonts w:ascii="Lato" w:eastAsiaTheme="minorHAnsi" w:hAnsi="Lato" w:cs="Times New Roman"/>
                <w:b/>
                <w:bCs/>
                <w:color w:val="000000"/>
                <w:sz w:val="24"/>
                <w:szCs w:val="24"/>
                <w:lang w:eastAsia="en-US"/>
              </w:rPr>
            </w:pPr>
            <w:r w:rsidRPr="00263672">
              <w:rPr>
                <w:rFonts w:ascii="Lato" w:eastAsiaTheme="minorHAnsi" w:hAnsi="Lato" w:cs="Times New Roman"/>
                <w:b/>
                <w:bCs/>
                <w:color w:val="000000"/>
                <w:sz w:val="24"/>
                <w:szCs w:val="24"/>
                <w:lang w:eastAsia="en-US"/>
              </w:rPr>
              <w:t>Opis:</w:t>
            </w:r>
          </w:p>
          <w:p w14:paraId="3F494E9B" w14:textId="77777777" w:rsidR="00936CB4" w:rsidRPr="00263672" w:rsidRDefault="00936CB4" w:rsidP="00EC15EE">
            <w:pPr>
              <w:overflowPunct/>
              <w:textAlignment w:val="auto"/>
              <w:rPr>
                <w:rFonts w:ascii="Lato" w:eastAsiaTheme="minorHAnsi" w:hAnsi="Lato" w:cs="Times New Roman"/>
                <w:color w:val="000000"/>
                <w:sz w:val="24"/>
                <w:szCs w:val="24"/>
                <w:lang w:eastAsia="en-US"/>
              </w:rPr>
            </w:pPr>
          </w:p>
        </w:tc>
      </w:tr>
      <w:tr w:rsidR="00936CB4" w:rsidRPr="00263672" w14:paraId="6807B2E5" w14:textId="77777777" w:rsidTr="00EC15EE">
        <w:trPr>
          <w:trHeight w:val="208"/>
        </w:trPr>
        <w:tc>
          <w:tcPr>
            <w:tcW w:w="1242" w:type="dxa"/>
            <w:tcBorders>
              <w:top w:val="single" w:sz="4" w:space="0" w:color="auto"/>
              <w:bottom w:val="single" w:sz="4" w:space="0" w:color="auto"/>
              <w:right w:val="single" w:sz="4" w:space="0" w:color="auto"/>
            </w:tcBorders>
          </w:tcPr>
          <w:p w14:paraId="518F5964" w14:textId="77777777" w:rsidR="00936CB4" w:rsidRPr="00263672" w:rsidRDefault="00936CB4" w:rsidP="0001652B">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 xml:space="preserve">222222222 </w:t>
            </w:r>
          </w:p>
        </w:tc>
        <w:tc>
          <w:tcPr>
            <w:tcW w:w="8378" w:type="dxa"/>
            <w:tcBorders>
              <w:top w:val="single" w:sz="4" w:space="0" w:color="auto"/>
              <w:left w:val="single" w:sz="4" w:space="0" w:color="auto"/>
              <w:bottom w:val="single" w:sz="4" w:space="0" w:color="auto"/>
            </w:tcBorders>
          </w:tcPr>
          <w:p w14:paraId="401E9F23" w14:textId="36D2CE92" w:rsidR="00243FF0" w:rsidRPr="00263672" w:rsidRDefault="00243FF0" w:rsidP="00243FF0">
            <w:pPr>
              <w:pStyle w:val="Tekstpodstawowy"/>
              <w:spacing w:before="120"/>
              <w:ind w:left="0" w:right="4"/>
              <w:rPr>
                <w:rFonts w:ascii="Lato" w:hAnsi="Lato" w:cs="Times New Roman"/>
                <w:sz w:val="24"/>
                <w:szCs w:val="24"/>
              </w:rPr>
            </w:pPr>
            <w:r w:rsidRPr="00263672">
              <w:rPr>
                <w:rFonts w:ascii="Lato" w:hAnsi="Lato" w:cs="Times New Roman"/>
                <w:sz w:val="24"/>
                <w:szCs w:val="24"/>
              </w:rPr>
              <w:t xml:space="preserve">Istniejący rachunek indywidualny, dla którego jedyną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jest miejsce urodzenia na terenie Stanów Zjednoczonych, inny niż rachunek zgłoszony </w:t>
            </w:r>
            <w:r w:rsidR="00263672">
              <w:rPr>
                <w:rFonts w:ascii="Lato" w:hAnsi="Lato" w:cs="Times New Roman"/>
                <w:sz w:val="24"/>
                <w:szCs w:val="24"/>
              </w:rPr>
              <w:br/>
            </w:r>
            <w:r w:rsidRPr="00263672">
              <w:rPr>
                <w:rFonts w:ascii="Lato" w:hAnsi="Lato" w:cs="Times New Roman"/>
                <w:sz w:val="24"/>
                <w:szCs w:val="24"/>
              </w:rPr>
              <w:t>w ramach kodu 000222111. Ten kod ma pierwszeństwo, jeśli jakikolwiek inny kod (inny niż 000222111) może mieć również zastosowanie.</w:t>
            </w:r>
          </w:p>
          <w:p w14:paraId="25D178AB" w14:textId="77777777" w:rsidR="00243FF0" w:rsidRPr="00263672" w:rsidRDefault="00243FF0" w:rsidP="00243FF0">
            <w:pPr>
              <w:pStyle w:val="Tekstpodstawowy"/>
              <w:spacing w:before="120"/>
              <w:ind w:left="0" w:right="4"/>
              <w:rPr>
                <w:rFonts w:ascii="Lato" w:hAnsi="Lato" w:cs="Times New Roman"/>
                <w:i/>
                <w:sz w:val="24"/>
                <w:szCs w:val="24"/>
              </w:rPr>
            </w:pPr>
          </w:p>
          <w:p w14:paraId="5E43BF1D" w14:textId="700F11E2" w:rsidR="00936CB4" w:rsidRPr="00263672" w:rsidRDefault="00243FF0" w:rsidP="00EC15EE">
            <w:pPr>
              <w:pStyle w:val="Tekstpodstawowy"/>
              <w:spacing w:before="120"/>
              <w:ind w:left="0" w:right="4"/>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individual account with only U.S. indicia being a U.S. place of birth, other than an account reported under code 000222111. This code takes precedence if any other code (other than 000222111) could also be applicable.</w:t>
            </w:r>
          </w:p>
        </w:tc>
      </w:tr>
      <w:tr w:rsidR="00243FF0" w:rsidRPr="00263672" w14:paraId="129A4B0C" w14:textId="77777777" w:rsidTr="00EC15EE">
        <w:trPr>
          <w:trHeight w:val="208"/>
        </w:trPr>
        <w:tc>
          <w:tcPr>
            <w:tcW w:w="1242" w:type="dxa"/>
            <w:tcBorders>
              <w:top w:val="single" w:sz="4" w:space="0" w:color="auto"/>
              <w:bottom w:val="single" w:sz="4" w:space="0" w:color="auto"/>
              <w:right w:val="single" w:sz="4" w:space="0" w:color="auto"/>
            </w:tcBorders>
          </w:tcPr>
          <w:p w14:paraId="1EF95513" w14:textId="43D840F1" w:rsidR="00243FF0" w:rsidRPr="00263672" w:rsidRDefault="00243FF0" w:rsidP="0001652B">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000222111</w:t>
            </w:r>
          </w:p>
        </w:tc>
        <w:tc>
          <w:tcPr>
            <w:tcW w:w="8378" w:type="dxa"/>
            <w:tcBorders>
              <w:top w:val="single" w:sz="4" w:space="0" w:color="auto"/>
              <w:left w:val="single" w:sz="4" w:space="0" w:color="auto"/>
              <w:bottom w:val="single" w:sz="4" w:space="0" w:color="auto"/>
            </w:tcBorders>
          </w:tcPr>
          <w:p w14:paraId="160C7C56" w14:textId="504B8CD5" w:rsidR="00243FF0" w:rsidRPr="00263672" w:rsidRDefault="00243FF0" w:rsidP="00243FF0">
            <w:pPr>
              <w:pStyle w:val="Tekstpodstawowy"/>
              <w:spacing w:before="120"/>
              <w:ind w:left="0" w:right="4"/>
              <w:rPr>
                <w:rFonts w:ascii="Lato" w:hAnsi="Lato" w:cs="Times New Roman"/>
                <w:sz w:val="24"/>
                <w:szCs w:val="24"/>
              </w:rPr>
            </w:pPr>
            <w:r w:rsidRPr="00263672">
              <w:rPr>
                <w:rFonts w:ascii="Lato" w:hAnsi="Lato" w:cs="Times New Roman"/>
                <w:sz w:val="24"/>
                <w:szCs w:val="24"/>
              </w:rPr>
              <w:t xml:space="preserve">Istniejący indywidualny rachunek depozytowy, dla którego jedyną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jest miejsce urodzenia na terenie Stanów Zjednoczonych. Ponadto instytucja finansowa musi ustalić, czy posiadacz rachunku jest rezydentem państwa, w którym rachunek jest prowadzony do celów AML </w:t>
            </w:r>
            <w:r w:rsidR="00263672">
              <w:rPr>
                <w:rFonts w:ascii="Lato" w:hAnsi="Lato" w:cs="Times New Roman"/>
                <w:sz w:val="24"/>
                <w:szCs w:val="24"/>
              </w:rPr>
              <w:br/>
            </w:r>
            <w:r w:rsidRPr="00263672">
              <w:rPr>
                <w:rFonts w:ascii="Lato" w:hAnsi="Lato" w:cs="Times New Roman"/>
                <w:sz w:val="24"/>
                <w:szCs w:val="24"/>
              </w:rPr>
              <w:t>i podatkowych. „Rachunek depozytowy" został zdefiniowany w art. 1 ust. 1 lit. t Umowy FATCA.  Wskazany kod ma pierwszeństwo, jeśli jakikolwiek inny kod może mieć również zastosowanie.</w:t>
            </w:r>
          </w:p>
          <w:p w14:paraId="775636C8" w14:textId="77777777" w:rsidR="00243FF0" w:rsidRPr="00263672" w:rsidRDefault="00243FF0" w:rsidP="00243FF0">
            <w:pPr>
              <w:pStyle w:val="Tekstpodstawowy"/>
              <w:spacing w:before="120"/>
              <w:ind w:left="0" w:right="4"/>
              <w:rPr>
                <w:rFonts w:ascii="Lato" w:hAnsi="Lato" w:cs="Times New Roman"/>
                <w:i/>
                <w:sz w:val="24"/>
                <w:szCs w:val="24"/>
              </w:rPr>
            </w:pPr>
          </w:p>
          <w:p w14:paraId="5E41850E" w14:textId="41808CD2" w:rsidR="00243FF0" w:rsidRPr="00263672" w:rsidRDefault="00243FF0" w:rsidP="00243FF0">
            <w:pPr>
              <w:pStyle w:val="Tekstpodstawowy"/>
              <w:spacing w:before="120"/>
              <w:ind w:left="0" w:right="4"/>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depository individual account with only U.S. indicia being a U.S. place of birth. Additionally, FFI must determine that the account holder is a </w:t>
            </w:r>
            <w:r w:rsidRPr="00263672">
              <w:rPr>
                <w:rFonts w:ascii="Lato" w:hAnsi="Lato" w:cs="Times New Roman"/>
                <w:i/>
                <w:sz w:val="24"/>
                <w:szCs w:val="24"/>
                <w:u w:val="single"/>
                <w:lang w:val="en-GB"/>
              </w:rPr>
              <w:t>resident of the jurisdiction</w:t>
            </w:r>
            <w:r w:rsidRPr="00263672">
              <w:rPr>
                <w:rFonts w:ascii="Lato" w:hAnsi="Lato" w:cs="Times New Roman"/>
                <w:i/>
                <w:sz w:val="24"/>
                <w:szCs w:val="24"/>
                <w:lang w:val="en-GB"/>
              </w:rPr>
              <w:t> where the account is maintained for AML and tax purposes.  For reference, “depository account” has the meaning defined in the applicable Model 1 Intergovernmental Agreement (Model 1 IGA).  This code takes precedence if any other code could also be applicable.</w:t>
            </w:r>
          </w:p>
        </w:tc>
      </w:tr>
      <w:tr w:rsidR="00936CB4" w:rsidRPr="00263672" w14:paraId="048CCF3C" w14:textId="77777777" w:rsidTr="00EC15EE">
        <w:trPr>
          <w:trHeight w:val="208"/>
        </w:trPr>
        <w:tc>
          <w:tcPr>
            <w:tcW w:w="1242" w:type="dxa"/>
            <w:tcBorders>
              <w:top w:val="single" w:sz="4" w:space="0" w:color="auto"/>
              <w:bottom w:val="single" w:sz="4" w:space="0" w:color="auto"/>
              <w:right w:val="single" w:sz="4" w:space="0" w:color="auto"/>
            </w:tcBorders>
          </w:tcPr>
          <w:p w14:paraId="0A66E299" w14:textId="77777777" w:rsidR="00936CB4" w:rsidRPr="00263672" w:rsidRDefault="00936CB4" w:rsidP="0001652B">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333333333</w:t>
            </w:r>
          </w:p>
        </w:tc>
        <w:tc>
          <w:tcPr>
            <w:tcW w:w="8378" w:type="dxa"/>
            <w:tcBorders>
              <w:top w:val="single" w:sz="4" w:space="0" w:color="auto"/>
              <w:left w:val="single" w:sz="4" w:space="0" w:color="auto"/>
              <w:bottom w:val="single" w:sz="4" w:space="0" w:color="auto"/>
            </w:tcBorders>
          </w:tcPr>
          <w:p w14:paraId="3CBAFF34" w14:textId="77777777" w:rsidR="00243FF0" w:rsidRPr="00263672" w:rsidRDefault="00243FF0" w:rsidP="00243FF0">
            <w:pPr>
              <w:pStyle w:val="Tekstpodstawowy"/>
              <w:spacing w:before="120"/>
              <w:ind w:left="0" w:right="4"/>
              <w:rPr>
                <w:rFonts w:ascii="Lato" w:hAnsi="Lato" w:cs="Times New Roman"/>
                <w:iCs/>
                <w:sz w:val="24"/>
                <w:szCs w:val="24"/>
              </w:rPr>
            </w:pPr>
            <w:r w:rsidRPr="00263672">
              <w:rPr>
                <w:rFonts w:ascii="Lato" w:hAnsi="Lato" w:cs="Times New Roman"/>
                <w:iCs/>
                <w:sz w:val="24"/>
                <w:szCs w:val="24"/>
              </w:rPr>
              <w:t xml:space="preserve">Nowy rachunek indywidualny, który (1) posiada </w:t>
            </w:r>
            <w:r w:rsidRPr="00263672">
              <w:rPr>
                <w:rFonts w:ascii="Lato" w:hAnsi="Lato" w:cs="Times New Roman"/>
                <w:i/>
                <w:sz w:val="24"/>
                <w:szCs w:val="24"/>
              </w:rPr>
              <w:t xml:space="preserve">U.S. </w:t>
            </w:r>
            <w:proofErr w:type="spellStart"/>
            <w:r w:rsidRPr="00263672">
              <w:rPr>
                <w:rFonts w:ascii="Lato" w:hAnsi="Lato" w:cs="Times New Roman"/>
                <w:i/>
                <w:sz w:val="24"/>
                <w:szCs w:val="24"/>
              </w:rPr>
              <w:t>indicia</w:t>
            </w:r>
            <w:proofErr w:type="spellEnd"/>
            <w:r w:rsidRPr="00263672">
              <w:rPr>
                <w:rFonts w:ascii="Lato" w:hAnsi="Lato" w:cs="Times New Roman"/>
                <w:iCs/>
                <w:sz w:val="24"/>
                <w:szCs w:val="24"/>
              </w:rPr>
              <w:t xml:space="preserve"> w postaci miejsca urodzenia na terenie Stanów Zjednoczonych oraz (2) zachodzi jedna z okoliczności:</w:t>
            </w:r>
          </w:p>
          <w:p w14:paraId="750BC87D" w14:textId="36960920" w:rsidR="00243FF0" w:rsidRPr="00263672" w:rsidRDefault="00243FF0" w:rsidP="00551D6E">
            <w:pPr>
              <w:pStyle w:val="Tekstpodstawowy"/>
              <w:numPr>
                <w:ilvl w:val="0"/>
                <w:numId w:val="15"/>
              </w:numPr>
              <w:spacing w:before="120"/>
              <w:ind w:left="615" w:right="4"/>
              <w:rPr>
                <w:rFonts w:ascii="Lato" w:hAnsi="Lato" w:cs="Times New Roman"/>
                <w:iCs/>
                <w:sz w:val="24"/>
                <w:szCs w:val="24"/>
              </w:rPr>
            </w:pPr>
            <w:r w:rsidRPr="00263672">
              <w:rPr>
                <w:rFonts w:ascii="Lato" w:hAnsi="Lato" w:cs="Times New Roman"/>
                <w:iCs/>
                <w:sz w:val="24"/>
                <w:szCs w:val="24"/>
              </w:rPr>
              <w:t xml:space="preserve">wystąpiła zmiana okoliczności powodującą, że uzyskane pierwotnie, </w:t>
            </w:r>
            <w:r w:rsidR="00D32E05" w:rsidRPr="00263672">
              <w:rPr>
                <w:rFonts w:ascii="Lato" w:hAnsi="Lato" w:cs="Times New Roman"/>
                <w:iCs/>
                <w:sz w:val="24"/>
                <w:szCs w:val="24"/>
              </w:rPr>
              <w:br/>
            </w:r>
            <w:r w:rsidRPr="00263672">
              <w:rPr>
                <w:rFonts w:ascii="Lato" w:hAnsi="Lato" w:cs="Times New Roman"/>
                <w:iCs/>
                <w:sz w:val="24"/>
                <w:szCs w:val="24"/>
              </w:rPr>
              <w:t>w momencie otwarcia rachunku, oświadczenie posiadacza rachunku jest niepoprawne lub nierzetelne, oraz że nie uzyskano nowego oświadczenia posiadacza rachunku; lub</w:t>
            </w:r>
          </w:p>
          <w:p w14:paraId="7C80ABDB" w14:textId="60174DCF" w:rsidR="00243FF0" w:rsidRPr="00263672" w:rsidRDefault="00243FF0" w:rsidP="00551D6E">
            <w:pPr>
              <w:pStyle w:val="Tekstpodstawowy"/>
              <w:numPr>
                <w:ilvl w:val="0"/>
                <w:numId w:val="15"/>
              </w:numPr>
              <w:spacing w:before="120"/>
              <w:ind w:left="615" w:right="4"/>
              <w:rPr>
                <w:rFonts w:ascii="Lato" w:hAnsi="Lato" w:cs="Times New Roman"/>
                <w:iCs/>
                <w:sz w:val="24"/>
                <w:szCs w:val="24"/>
              </w:rPr>
            </w:pPr>
            <w:r w:rsidRPr="00263672">
              <w:rPr>
                <w:rFonts w:ascii="Lato" w:hAnsi="Lato" w:cs="Times New Roman"/>
                <w:iCs/>
                <w:sz w:val="24"/>
                <w:szCs w:val="24"/>
              </w:rPr>
              <w:t>w momencie otwarcia rachunku jego wartość była poniżej progu dla dokumentowania i raportowania rachunku, a następnie nastąpiło przekroczenie tego progu, a oświadczenie posiadacza rachunku nie zostało uzyskane.</w:t>
            </w:r>
          </w:p>
          <w:p w14:paraId="15D54DF7" w14:textId="77777777" w:rsidR="00243FF0" w:rsidRPr="00263672" w:rsidRDefault="00243FF0" w:rsidP="00243FF0">
            <w:pPr>
              <w:pStyle w:val="Tekstpodstawowy"/>
              <w:spacing w:before="120"/>
              <w:ind w:left="0" w:right="4"/>
              <w:rPr>
                <w:rFonts w:ascii="Lato" w:hAnsi="Lato" w:cs="Times New Roman"/>
                <w:i/>
                <w:sz w:val="24"/>
                <w:szCs w:val="24"/>
              </w:rPr>
            </w:pPr>
          </w:p>
          <w:p w14:paraId="6F4DFAA6" w14:textId="7910D556" w:rsidR="00243FF0" w:rsidRPr="00263672" w:rsidRDefault="00243FF0" w:rsidP="00243FF0">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New individual account that (1) has indicia of a U.S. place of birth, and (2) either:</w:t>
            </w:r>
          </w:p>
          <w:p w14:paraId="1D95A985" w14:textId="77777777" w:rsidR="00243FF0" w:rsidRPr="00263672" w:rsidRDefault="00243FF0" w:rsidP="00243FF0">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 xml:space="preserve">(a) has a change in circumstances causing the self-certification originally obtained at account opening to be incorrect or unreliable, and a new self-certification has </w:t>
            </w:r>
            <w:r w:rsidRPr="00263672">
              <w:rPr>
                <w:rFonts w:ascii="Lato" w:hAnsi="Lato" w:cs="Times New Roman"/>
                <w:i/>
                <w:sz w:val="24"/>
                <w:szCs w:val="24"/>
                <w:lang w:val="en-GB"/>
              </w:rPr>
              <w:lastRenderedPageBreak/>
              <w:t>not been obtained, or</w:t>
            </w:r>
          </w:p>
          <w:p w14:paraId="517EB259" w14:textId="331CAAD0" w:rsidR="00936CB4" w:rsidRPr="00263672" w:rsidRDefault="00243FF0" w:rsidP="00EC15EE">
            <w:pPr>
              <w:pStyle w:val="Tekstpodstawowy"/>
              <w:spacing w:before="120"/>
              <w:ind w:left="0" w:right="4"/>
              <w:rPr>
                <w:rFonts w:ascii="Lato" w:hAnsi="Lato" w:cs="Times New Roman"/>
                <w:i/>
                <w:sz w:val="24"/>
                <w:szCs w:val="24"/>
                <w:lang w:val="en-GB"/>
              </w:rPr>
            </w:pPr>
            <w:r w:rsidRPr="00263672">
              <w:rPr>
                <w:rFonts w:ascii="Lato" w:hAnsi="Lato" w:cs="Times New Roman"/>
                <w:i/>
                <w:sz w:val="24"/>
                <w:szCs w:val="24"/>
                <w:lang w:val="en-GB"/>
              </w:rPr>
              <w:t>(b) was below the threshold for documenting and reporting the account at the time of account opening and subsequently exceeded the threshold, and a self-certification has not been obtained.</w:t>
            </w:r>
          </w:p>
        </w:tc>
      </w:tr>
      <w:tr w:rsidR="00936CB4" w:rsidRPr="00263672" w14:paraId="6E525BD0" w14:textId="77777777" w:rsidTr="00EC15EE">
        <w:trPr>
          <w:trHeight w:val="208"/>
        </w:trPr>
        <w:tc>
          <w:tcPr>
            <w:tcW w:w="1242" w:type="dxa"/>
            <w:tcBorders>
              <w:top w:val="single" w:sz="4" w:space="0" w:color="auto"/>
              <w:bottom w:val="single" w:sz="4" w:space="0" w:color="auto"/>
              <w:right w:val="single" w:sz="4" w:space="0" w:color="auto"/>
            </w:tcBorders>
          </w:tcPr>
          <w:p w14:paraId="28F6EE8A" w14:textId="77777777" w:rsidR="00936CB4" w:rsidRPr="00263672" w:rsidRDefault="00936CB4" w:rsidP="0001652B">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lastRenderedPageBreak/>
              <w:t>444444444</w:t>
            </w:r>
          </w:p>
        </w:tc>
        <w:tc>
          <w:tcPr>
            <w:tcW w:w="8378" w:type="dxa"/>
            <w:tcBorders>
              <w:top w:val="single" w:sz="4" w:space="0" w:color="auto"/>
              <w:left w:val="single" w:sz="4" w:space="0" w:color="auto"/>
              <w:bottom w:val="single" w:sz="4" w:space="0" w:color="auto"/>
            </w:tcBorders>
          </w:tcPr>
          <w:p w14:paraId="50D22041" w14:textId="7D66A064" w:rsidR="00243FF0" w:rsidRPr="00263672" w:rsidRDefault="00243FF0" w:rsidP="00243FF0">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Istniejący rachunek indywidualny lub podmiotu, który (1) posiada </w:t>
            </w:r>
            <w:r w:rsidRPr="00263672">
              <w:rPr>
                <w:rFonts w:ascii="Lato" w:hAnsi="Lato" w:cs="Times New Roman"/>
                <w:i/>
                <w:iCs/>
                <w:sz w:val="24"/>
                <w:szCs w:val="24"/>
              </w:rPr>
              <w:t xml:space="preserve">U.S. </w:t>
            </w:r>
            <w:proofErr w:type="spellStart"/>
            <w:r w:rsidRPr="00263672">
              <w:rPr>
                <w:rFonts w:ascii="Lato" w:hAnsi="Lato" w:cs="Times New Roman"/>
                <w:i/>
                <w:iCs/>
                <w:sz w:val="24"/>
                <w:szCs w:val="24"/>
              </w:rPr>
              <w:t>indicia</w:t>
            </w:r>
            <w:proofErr w:type="spellEnd"/>
            <w:r w:rsidRPr="00263672">
              <w:rPr>
                <w:rFonts w:ascii="Lato" w:hAnsi="Lato" w:cs="Times New Roman"/>
                <w:sz w:val="24"/>
                <w:szCs w:val="24"/>
              </w:rPr>
              <w:t xml:space="preserve"> inne niż miejsce urodzenia na terenie Stanów Zjednoczonych oraz (2) zachodzi jedna z okoliczności:</w:t>
            </w:r>
          </w:p>
          <w:p w14:paraId="533ACE6D" w14:textId="3430ED1F" w:rsidR="00243FF0" w:rsidRPr="00263672" w:rsidRDefault="00243FF0" w:rsidP="00551D6E">
            <w:pPr>
              <w:pStyle w:val="Tekstpodstawowy"/>
              <w:numPr>
                <w:ilvl w:val="1"/>
                <w:numId w:val="14"/>
              </w:numPr>
              <w:spacing w:before="120"/>
              <w:ind w:left="615" w:right="6"/>
              <w:rPr>
                <w:rFonts w:ascii="Lato" w:hAnsi="Lato" w:cs="Times New Roman"/>
                <w:sz w:val="24"/>
                <w:szCs w:val="24"/>
              </w:rPr>
            </w:pPr>
            <w:r w:rsidRPr="00263672">
              <w:rPr>
                <w:rFonts w:ascii="Lato" w:hAnsi="Lato" w:cs="Times New Roman"/>
                <w:sz w:val="24"/>
                <w:szCs w:val="24"/>
              </w:rPr>
              <w:t xml:space="preserve">wystąpiła zmiana okoliczności, która skutkuje powiązaniem </w:t>
            </w:r>
            <w:r w:rsidR="00263672">
              <w:rPr>
                <w:rFonts w:ascii="Lato" w:hAnsi="Lato" w:cs="Times New Roman"/>
                <w:sz w:val="24"/>
                <w:szCs w:val="24"/>
              </w:rPr>
              <w:br/>
            </w:r>
            <w:r w:rsidRPr="00263672">
              <w:rPr>
                <w:rFonts w:ascii="Lato" w:hAnsi="Lato" w:cs="Times New Roman"/>
                <w:sz w:val="24"/>
                <w:szCs w:val="24"/>
              </w:rPr>
              <w:t xml:space="preserve">z rachunkiem jednego lub większej liczby U.S. </w:t>
            </w:r>
            <w:proofErr w:type="spellStart"/>
            <w:r w:rsidRPr="00263672">
              <w:rPr>
                <w:rFonts w:ascii="Lato" w:hAnsi="Lato" w:cs="Times New Roman"/>
                <w:sz w:val="24"/>
                <w:szCs w:val="24"/>
              </w:rPr>
              <w:t>indicia</w:t>
            </w:r>
            <w:proofErr w:type="spellEnd"/>
            <w:r w:rsidRPr="00263672">
              <w:rPr>
                <w:rFonts w:ascii="Lato" w:hAnsi="Lato" w:cs="Times New Roman"/>
                <w:sz w:val="24"/>
                <w:szCs w:val="24"/>
              </w:rPr>
              <w:t>, lub pierwotnie uzyskane oświadczenie posiadacza rachunku lub inna dokumentacja powiązana z rachunkiem jest niepoprawna lub nierzetelna, a po zmianie okoliczności nie uzyskano ważnego oświadczenia posiadacza rachunku lub innej dokumentacji powiązanej z rachunkiem; lub</w:t>
            </w:r>
          </w:p>
          <w:p w14:paraId="449FE012" w14:textId="54058F55" w:rsidR="00243FF0" w:rsidRPr="00263672" w:rsidRDefault="00243FF0" w:rsidP="00551D6E">
            <w:pPr>
              <w:pStyle w:val="Tekstpodstawowy"/>
              <w:numPr>
                <w:ilvl w:val="1"/>
                <w:numId w:val="14"/>
              </w:numPr>
              <w:spacing w:before="120"/>
              <w:ind w:left="615" w:right="6"/>
              <w:rPr>
                <w:rFonts w:ascii="Lato" w:hAnsi="Lato" w:cs="Times New Roman"/>
                <w:sz w:val="24"/>
                <w:szCs w:val="24"/>
              </w:rPr>
            </w:pPr>
            <w:r w:rsidRPr="00263672">
              <w:rPr>
                <w:rFonts w:ascii="Lato" w:hAnsi="Lato" w:cs="Times New Roman"/>
                <w:sz w:val="24"/>
                <w:szCs w:val="24"/>
              </w:rPr>
              <w:t xml:space="preserve">ustalona na dzień przewidziany w Umowie FATCA wartość rachunku była poniżej progu dla dokumentowania i raportowania rachunku, </w:t>
            </w:r>
            <w:r w:rsidR="00263672">
              <w:rPr>
                <w:rFonts w:ascii="Lato" w:hAnsi="Lato" w:cs="Times New Roman"/>
                <w:sz w:val="24"/>
                <w:szCs w:val="24"/>
              </w:rPr>
              <w:br/>
            </w:r>
            <w:r w:rsidRPr="00263672">
              <w:rPr>
                <w:rFonts w:ascii="Lato" w:hAnsi="Lato" w:cs="Times New Roman"/>
                <w:sz w:val="24"/>
                <w:szCs w:val="24"/>
              </w:rPr>
              <w:t>a następnie nastąpiło przekroczenie tego progu, a oświadczenie posiadacza rachunku lub inna dokumentacja powiązana z rachunkiem nie została uzyskana.</w:t>
            </w:r>
          </w:p>
          <w:p w14:paraId="1458EB7B" w14:textId="77777777" w:rsidR="007849A1" w:rsidRPr="00263672" w:rsidRDefault="007849A1" w:rsidP="00243FF0">
            <w:pPr>
              <w:pStyle w:val="Tekstpodstawowy"/>
              <w:spacing w:before="120"/>
              <w:ind w:left="0" w:right="6"/>
              <w:rPr>
                <w:rFonts w:ascii="Lato" w:hAnsi="Lato" w:cs="Times New Roman"/>
                <w:i/>
                <w:sz w:val="24"/>
                <w:szCs w:val="24"/>
              </w:rPr>
            </w:pPr>
          </w:p>
          <w:p w14:paraId="4463E27D" w14:textId="6A0B879C" w:rsidR="00243FF0" w:rsidRPr="00263672" w:rsidRDefault="00243FF0" w:rsidP="00243FF0">
            <w:pPr>
              <w:pStyle w:val="Tekstpodstawowy"/>
              <w:spacing w:before="120"/>
              <w:ind w:left="0" w:right="6"/>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individual and entity account that (1) has U.S, indicia other than a U.S. place of birth, and (2) either:</w:t>
            </w:r>
          </w:p>
          <w:p w14:paraId="46F4A7FB" w14:textId="77777777" w:rsidR="00243FF0" w:rsidRPr="00263672" w:rsidRDefault="00243FF0" w:rsidP="00243FF0">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(a) has a change in circumstances that either results in one or more U.S. indicia being associated with the account or causes a self-certification or other documentation originally obtained to be incorrect or unreliable, and a valid self-certification or other documentation has not been obtained subsequent to the change in circumstances, or</w:t>
            </w:r>
          </w:p>
          <w:p w14:paraId="72277221" w14:textId="575E55FE" w:rsidR="00936CB4" w:rsidRPr="00263672" w:rsidRDefault="00243FF0" w:rsidP="00EC15EE">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(b) was below the threshold for documenting and reporting the account on the determination date provided in the applicable Model 1 IGA and subsequently exceeded the threshold, and a self-certification or other documentation has not been obtained.</w:t>
            </w:r>
          </w:p>
        </w:tc>
      </w:tr>
      <w:tr w:rsidR="00936CB4" w:rsidRPr="00263672" w14:paraId="3F71AA7C" w14:textId="77777777" w:rsidTr="00EC15EE">
        <w:trPr>
          <w:trHeight w:val="208"/>
        </w:trPr>
        <w:tc>
          <w:tcPr>
            <w:tcW w:w="1242" w:type="dxa"/>
            <w:tcBorders>
              <w:top w:val="single" w:sz="4" w:space="0" w:color="auto"/>
              <w:bottom w:val="single" w:sz="4" w:space="0" w:color="auto"/>
              <w:right w:val="single" w:sz="4" w:space="0" w:color="auto"/>
            </w:tcBorders>
          </w:tcPr>
          <w:p w14:paraId="68993644" w14:textId="77777777" w:rsidR="00936CB4" w:rsidRPr="00263672" w:rsidRDefault="00936CB4" w:rsidP="007849A1">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555555555</w:t>
            </w:r>
          </w:p>
        </w:tc>
        <w:tc>
          <w:tcPr>
            <w:tcW w:w="8378" w:type="dxa"/>
            <w:tcBorders>
              <w:top w:val="single" w:sz="4" w:space="0" w:color="auto"/>
              <w:left w:val="single" w:sz="4" w:space="0" w:color="auto"/>
              <w:bottom w:val="single" w:sz="4" w:space="0" w:color="auto"/>
            </w:tcBorders>
          </w:tcPr>
          <w:p w14:paraId="052C9CE2" w14:textId="74589E3F" w:rsidR="00243FF0" w:rsidRPr="00263672" w:rsidRDefault="00243FF0" w:rsidP="00243FF0">
            <w:pPr>
              <w:pStyle w:val="Tekstpodstawowy"/>
              <w:spacing w:before="120"/>
              <w:ind w:left="0" w:right="6"/>
              <w:rPr>
                <w:rFonts w:ascii="Lato" w:hAnsi="Lato" w:cs="Times New Roman"/>
                <w:iCs/>
                <w:sz w:val="24"/>
                <w:szCs w:val="24"/>
              </w:rPr>
            </w:pPr>
            <w:r w:rsidRPr="00263672">
              <w:rPr>
                <w:rFonts w:ascii="Lato" w:hAnsi="Lato" w:cs="Times New Roman"/>
                <w:iCs/>
                <w:sz w:val="24"/>
                <w:szCs w:val="24"/>
              </w:rPr>
              <w:t xml:space="preserve">Nowy rachunek indywidualny lub podmiotu, który (1) posiada </w:t>
            </w:r>
            <w:r w:rsidRPr="00263672">
              <w:rPr>
                <w:rFonts w:ascii="Lato" w:hAnsi="Lato" w:cs="Times New Roman"/>
                <w:i/>
                <w:sz w:val="24"/>
                <w:szCs w:val="24"/>
              </w:rPr>
              <w:t xml:space="preserve">U.S. </w:t>
            </w:r>
            <w:proofErr w:type="spellStart"/>
            <w:r w:rsidRPr="00263672">
              <w:rPr>
                <w:rFonts w:ascii="Lato" w:hAnsi="Lato" w:cs="Times New Roman"/>
                <w:i/>
                <w:sz w:val="24"/>
                <w:szCs w:val="24"/>
              </w:rPr>
              <w:t>indicia</w:t>
            </w:r>
            <w:proofErr w:type="spellEnd"/>
            <w:r w:rsidRPr="00263672">
              <w:rPr>
                <w:rFonts w:ascii="Lato" w:hAnsi="Lato" w:cs="Times New Roman"/>
                <w:iCs/>
                <w:sz w:val="24"/>
                <w:szCs w:val="24"/>
              </w:rPr>
              <w:t xml:space="preserve"> inne niż miejsce urodzenia na terenie Stanów Zjednoczonych oraz (2) zachodzi jedna z okoliczności: </w:t>
            </w:r>
          </w:p>
          <w:p w14:paraId="7BA31AE2" w14:textId="06BBC616" w:rsidR="00243FF0" w:rsidRPr="00263672" w:rsidRDefault="00243FF0" w:rsidP="00551D6E">
            <w:pPr>
              <w:pStyle w:val="Tekstpodstawowy"/>
              <w:numPr>
                <w:ilvl w:val="0"/>
                <w:numId w:val="16"/>
              </w:numPr>
              <w:spacing w:before="120"/>
              <w:ind w:left="615" w:right="6"/>
              <w:rPr>
                <w:rFonts w:ascii="Lato" w:hAnsi="Lato" w:cs="Times New Roman"/>
                <w:iCs/>
                <w:sz w:val="24"/>
                <w:szCs w:val="24"/>
              </w:rPr>
            </w:pPr>
            <w:r w:rsidRPr="00263672">
              <w:rPr>
                <w:rFonts w:ascii="Lato" w:hAnsi="Lato" w:cs="Times New Roman"/>
                <w:iCs/>
                <w:sz w:val="24"/>
                <w:szCs w:val="24"/>
              </w:rPr>
              <w:t xml:space="preserve">wystąpiła zmiana okoliczności powodującą, że pierwotnie uzyskane oświadczenie posiadacza rachunku lub inna dokumentacja powiązana </w:t>
            </w:r>
            <w:r w:rsidR="00D32E05" w:rsidRPr="00263672">
              <w:rPr>
                <w:rFonts w:ascii="Lato" w:hAnsi="Lato" w:cs="Times New Roman"/>
                <w:iCs/>
                <w:sz w:val="24"/>
                <w:szCs w:val="24"/>
              </w:rPr>
              <w:br/>
            </w:r>
            <w:r w:rsidRPr="00263672">
              <w:rPr>
                <w:rFonts w:ascii="Lato" w:hAnsi="Lato" w:cs="Times New Roman"/>
                <w:iCs/>
                <w:sz w:val="24"/>
                <w:szCs w:val="24"/>
              </w:rPr>
              <w:t>z rachunkiem jest niepoprawna lub nierzetelna, oraz nie uzyskano nowego oświadczenia posiadacza rachunku lub innej dokumentacji powiązanej z rachunkiem; lub</w:t>
            </w:r>
          </w:p>
          <w:p w14:paraId="47FCC5FB" w14:textId="3B4B58D9" w:rsidR="00243FF0" w:rsidRPr="00263672" w:rsidRDefault="00243FF0" w:rsidP="00551D6E">
            <w:pPr>
              <w:pStyle w:val="Tekstpodstawowy"/>
              <w:numPr>
                <w:ilvl w:val="0"/>
                <w:numId w:val="16"/>
              </w:numPr>
              <w:spacing w:before="120"/>
              <w:ind w:left="615" w:right="6"/>
              <w:rPr>
                <w:rFonts w:ascii="Lato" w:hAnsi="Lato" w:cs="Times New Roman"/>
                <w:iCs/>
                <w:sz w:val="24"/>
                <w:szCs w:val="24"/>
              </w:rPr>
            </w:pPr>
            <w:r w:rsidRPr="00263672">
              <w:rPr>
                <w:rFonts w:ascii="Lato" w:hAnsi="Lato" w:cs="Times New Roman"/>
                <w:iCs/>
                <w:sz w:val="24"/>
                <w:szCs w:val="24"/>
              </w:rPr>
              <w:t xml:space="preserve">w momencie otwarcia rachunku jego wartość była poniżej progu dla </w:t>
            </w:r>
            <w:r w:rsidRPr="00263672">
              <w:rPr>
                <w:rFonts w:ascii="Lato" w:hAnsi="Lato" w:cs="Times New Roman"/>
                <w:iCs/>
                <w:sz w:val="24"/>
                <w:szCs w:val="24"/>
              </w:rPr>
              <w:lastRenderedPageBreak/>
              <w:t>dokumentowania i raportowania rachunku, a następnie nastąpiło przekroczenie tego progu, a oświadczenie posiadacza rachunku lub inna dokumentacja powiązana z rachunkiem nie została uzyskana.</w:t>
            </w:r>
          </w:p>
          <w:p w14:paraId="09D03787" w14:textId="77777777" w:rsidR="00243FF0" w:rsidRPr="00263672" w:rsidRDefault="00243FF0" w:rsidP="00243FF0">
            <w:pPr>
              <w:pStyle w:val="Tekstpodstawowy"/>
              <w:spacing w:before="120"/>
              <w:ind w:left="0" w:right="6"/>
              <w:rPr>
                <w:rFonts w:ascii="Lato" w:hAnsi="Lato" w:cs="Times New Roman"/>
                <w:i/>
                <w:sz w:val="24"/>
                <w:szCs w:val="24"/>
              </w:rPr>
            </w:pPr>
          </w:p>
          <w:p w14:paraId="47440600" w14:textId="549C4357" w:rsidR="00243FF0" w:rsidRPr="00263672" w:rsidRDefault="00243FF0" w:rsidP="00243FF0">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New individual and entity account that has a U.S, indicia other than a U.S. place of birth, and (2) either:</w:t>
            </w:r>
          </w:p>
          <w:p w14:paraId="17A70359" w14:textId="77777777" w:rsidR="00243FF0" w:rsidRPr="00263672" w:rsidRDefault="00243FF0" w:rsidP="00243FF0">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(a) has a change in circumstances causing the self-certification or other documentation originally obtained to be incorrect or unreliable, and a new self-certification or other documentation has not been obtained, or</w:t>
            </w:r>
          </w:p>
          <w:p w14:paraId="610CB466" w14:textId="13EEDE22" w:rsidR="00936CB4" w:rsidRPr="00263672" w:rsidRDefault="00243FF0" w:rsidP="00EC15EE">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(b) was below the threshold for documenting and reporting the account at the time of account opening and subsequently exceeded the threshold, and a self-certification or other documentation has not been obtained.</w:t>
            </w:r>
          </w:p>
        </w:tc>
      </w:tr>
      <w:tr w:rsidR="00936CB4" w:rsidRPr="00263672" w14:paraId="22EA2792" w14:textId="77777777" w:rsidTr="00EC15EE">
        <w:trPr>
          <w:trHeight w:val="208"/>
        </w:trPr>
        <w:tc>
          <w:tcPr>
            <w:tcW w:w="1242" w:type="dxa"/>
            <w:tcBorders>
              <w:top w:val="single" w:sz="4" w:space="0" w:color="auto"/>
              <w:bottom w:val="single" w:sz="4" w:space="0" w:color="auto"/>
              <w:right w:val="single" w:sz="4" w:space="0" w:color="auto"/>
            </w:tcBorders>
          </w:tcPr>
          <w:p w14:paraId="06A63370" w14:textId="77777777" w:rsidR="00936CB4" w:rsidRPr="00263672" w:rsidRDefault="00936CB4" w:rsidP="007849A1">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lastRenderedPageBreak/>
              <w:t>666666666</w:t>
            </w:r>
          </w:p>
        </w:tc>
        <w:tc>
          <w:tcPr>
            <w:tcW w:w="8378" w:type="dxa"/>
            <w:tcBorders>
              <w:top w:val="single" w:sz="4" w:space="0" w:color="auto"/>
              <w:left w:val="single" w:sz="4" w:space="0" w:color="auto"/>
              <w:bottom w:val="single" w:sz="4" w:space="0" w:color="auto"/>
            </w:tcBorders>
          </w:tcPr>
          <w:p w14:paraId="32151430" w14:textId="77777777" w:rsidR="00243FF0" w:rsidRPr="00263672" w:rsidRDefault="00243FF0" w:rsidP="00243FF0">
            <w:pPr>
              <w:pStyle w:val="Tekstpodstawowy"/>
              <w:spacing w:before="120"/>
              <w:ind w:left="0" w:right="6"/>
              <w:rPr>
                <w:rFonts w:ascii="Lato" w:hAnsi="Lato" w:cs="Times New Roman"/>
                <w:iCs/>
                <w:sz w:val="24"/>
                <w:szCs w:val="24"/>
              </w:rPr>
            </w:pPr>
            <w:r w:rsidRPr="00263672">
              <w:rPr>
                <w:rFonts w:ascii="Lato" w:hAnsi="Lato" w:cs="Times New Roman"/>
                <w:iCs/>
                <w:sz w:val="24"/>
                <w:szCs w:val="24"/>
              </w:rPr>
              <w:t xml:space="preserve">Istniejący rachunek podmiotu, będący w posiadaniu pasywnego niefinansowego podmiotu zagranicznego (NFE), który posiada jedną lub więcej osób kontrolujących, w odniesieniu do których nie uzyskano oświadczenie i nie zidentyfikowano żadnych </w:t>
            </w:r>
            <w:r w:rsidRPr="00263672">
              <w:rPr>
                <w:rFonts w:ascii="Lato" w:hAnsi="Lato" w:cs="Times New Roman"/>
                <w:i/>
                <w:sz w:val="24"/>
                <w:szCs w:val="24"/>
              </w:rPr>
              <w:t xml:space="preserve">U.S. </w:t>
            </w:r>
            <w:proofErr w:type="spellStart"/>
            <w:r w:rsidRPr="00263672">
              <w:rPr>
                <w:rFonts w:ascii="Lato" w:hAnsi="Lato" w:cs="Times New Roman"/>
                <w:i/>
                <w:sz w:val="24"/>
                <w:szCs w:val="24"/>
              </w:rPr>
              <w:t>indicia</w:t>
            </w:r>
            <w:proofErr w:type="spellEnd"/>
            <w:r w:rsidRPr="00263672">
              <w:rPr>
                <w:rFonts w:ascii="Lato" w:hAnsi="Lato" w:cs="Times New Roman"/>
                <w:iCs/>
                <w:sz w:val="24"/>
                <w:szCs w:val="24"/>
              </w:rPr>
              <w:t xml:space="preserve"> w odniesieniu do osób kontrolujących.</w:t>
            </w:r>
          </w:p>
          <w:p w14:paraId="38BCAF31" w14:textId="77777777" w:rsidR="00243FF0" w:rsidRPr="00263672" w:rsidRDefault="00243FF0" w:rsidP="00243FF0">
            <w:pPr>
              <w:pStyle w:val="Tekstpodstawowy"/>
              <w:spacing w:before="120"/>
              <w:ind w:left="0" w:right="6"/>
              <w:rPr>
                <w:rFonts w:ascii="Lato" w:hAnsi="Lato" w:cs="Times New Roman"/>
                <w:i/>
                <w:sz w:val="24"/>
                <w:szCs w:val="24"/>
              </w:rPr>
            </w:pPr>
          </w:p>
          <w:p w14:paraId="2CD92EEE" w14:textId="3999B475" w:rsidR="00936CB4" w:rsidRPr="00263672" w:rsidRDefault="00243FF0" w:rsidP="00EC15EE">
            <w:pPr>
              <w:pStyle w:val="Tekstpodstawowy"/>
              <w:spacing w:before="120"/>
              <w:ind w:left="0" w:right="6"/>
              <w:rPr>
                <w:rFonts w:ascii="Lato" w:hAnsi="Lato" w:cs="Times New Roman"/>
                <w:i/>
                <w:sz w:val="24"/>
                <w:szCs w:val="24"/>
                <w:lang w:val="en-GB"/>
              </w:rPr>
            </w:pPr>
            <w:proofErr w:type="spellStart"/>
            <w:r w:rsidRPr="00263672">
              <w:rPr>
                <w:rFonts w:ascii="Lato" w:hAnsi="Lato" w:cs="Times New Roman"/>
                <w:i/>
                <w:sz w:val="24"/>
                <w:szCs w:val="24"/>
                <w:lang w:val="en-GB"/>
              </w:rPr>
              <w:t>Preexisting</w:t>
            </w:r>
            <w:proofErr w:type="spellEnd"/>
            <w:r w:rsidRPr="00263672">
              <w:rPr>
                <w:rFonts w:ascii="Lato" w:hAnsi="Lato" w:cs="Times New Roman"/>
                <w:i/>
                <w:sz w:val="24"/>
                <w:szCs w:val="24"/>
                <w:lang w:val="en-GB"/>
              </w:rPr>
              <w:t xml:space="preserve"> entity account held by a passive NFFE with one or more controlling persons with respect to which self-certifications have not been obtained, and no U.S. indicia have been identified in relation to any controlling persons.</w:t>
            </w:r>
          </w:p>
        </w:tc>
      </w:tr>
      <w:tr w:rsidR="00936CB4" w:rsidRPr="00263672" w14:paraId="2C82E37F" w14:textId="77777777" w:rsidTr="00EC15EE">
        <w:trPr>
          <w:trHeight w:val="208"/>
        </w:trPr>
        <w:tc>
          <w:tcPr>
            <w:tcW w:w="1242" w:type="dxa"/>
            <w:tcBorders>
              <w:top w:val="single" w:sz="4" w:space="0" w:color="auto"/>
              <w:bottom w:val="single" w:sz="4" w:space="0" w:color="auto"/>
              <w:right w:val="single" w:sz="4" w:space="0" w:color="auto"/>
            </w:tcBorders>
          </w:tcPr>
          <w:p w14:paraId="0BFCCDFB" w14:textId="77777777" w:rsidR="00936CB4" w:rsidRPr="00263672" w:rsidRDefault="00936CB4" w:rsidP="00C07528">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777777777</w:t>
            </w:r>
          </w:p>
        </w:tc>
        <w:tc>
          <w:tcPr>
            <w:tcW w:w="8378" w:type="dxa"/>
            <w:tcBorders>
              <w:top w:val="single" w:sz="4" w:space="0" w:color="auto"/>
              <w:left w:val="single" w:sz="4" w:space="0" w:color="auto"/>
              <w:bottom w:val="single" w:sz="4" w:space="0" w:color="auto"/>
            </w:tcBorders>
          </w:tcPr>
          <w:p w14:paraId="450A5131" w14:textId="6CAADC62" w:rsidR="00243FF0" w:rsidRPr="00263672" w:rsidRDefault="00243FF0" w:rsidP="00243FF0">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Istniejący rachunek, dla którego numer TIN nie jest dostępny i rachunek znajduje się w stanie uśpienia lub jest nieaktywny, ale pozostaje powyżej progu sprawozdawczości (zwany rachunkiem nieaktywnym). „Rachunek nieaktywny” to taki, który spełnia definicję określoną w przepisach Departamentu Skarbu Stanów Zjednoczonych w §1.1471-4(d)(6)(ii) i na którym nie zarejestrowano żadnej aktywności finansowej przez trzy lata, za wyjątkiem księgowania odsetek. Jeśli rachunek można zaklasyfikować do kilku kodów, pierwszeństwo ma inny kod. </w:t>
            </w:r>
          </w:p>
          <w:p w14:paraId="59AF84DD" w14:textId="77777777" w:rsidR="00243FF0" w:rsidRPr="00263672" w:rsidRDefault="00243FF0" w:rsidP="00243FF0">
            <w:pPr>
              <w:pStyle w:val="Tekstpodstawowy"/>
              <w:spacing w:before="120"/>
              <w:ind w:left="0" w:right="6"/>
              <w:rPr>
                <w:rFonts w:ascii="Lato" w:hAnsi="Lato" w:cs="Times New Roman"/>
                <w:i/>
                <w:sz w:val="24"/>
                <w:szCs w:val="24"/>
              </w:rPr>
            </w:pPr>
          </w:p>
          <w:p w14:paraId="0E109077" w14:textId="01985DED" w:rsidR="00936CB4" w:rsidRPr="00263672" w:rsidRDefault="00243FF0" w:rsidP="00EC15EE">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Dormant Accounts – For pre-existing accounts where there is no TIN available and the account has been dormant or inactive, but remains above the reporting threshold, also known as a “dormant account.” A “dormant account” is one that meets the definition set out in U.S. Treasury Regulations §1.1471-4(d)(6)(ii) and had had no financial activity for three years, except for the posting of interest.  If an account could be classified into multiple TIN codes, the other code takes precedence. </w:t>
            </w:r>
          </w:p>
        </w:tc>
      </w:tr>
      <w:tr w:rsidR="00243FF0" w:rsidRPr="00263672" w14:paraId="366B9A30" w14:textId="77777777" w:rsidTr="00EC15EE">
        <w:trPr>
          <w:trHeight w:val="208"/>
        </w:trPr>
        <w:tc>
          <w:tcPr>
            <w:tcW w:w="1242" w:type="dxa"/>
            <w:tcBorders>
              <w:top w:val="single" w:sz="4" w:space="0" w:color="auto"/>
              <w:bottom w:val="single" w:sz="4" w:space="0" w:color="auto"/>
              <w:right w:val="single" w:sz="4" w:space="0" w:color="auto"/>
            </w:tcBorders>
          </w:tcPr>
          <w:p w14:paraId="0C58735D" w14:textId="3DC317CE" w:rsidR="00243FF0" w:rsidRPr="00263672" w:rsidRDefault="00243FF0" w:rsidP="007849A1">
            <w:pPr>
              <w:overflowPunct/>
              <w:spacing w:before="120" w:after="60"/>
              <w:textAlignment w:val="auto"/>
              <w:rPr>
                <w:rFonts w:ascii="Lato" w:eastAsiaTheme="minorHAnsi" w:hAnsi="Lato" w:cs="Times New Roman"/>
                <w:color w:val="000000"/>
                <w:sz w:val="24"/>
                <w:szCs w:val="24"/>
                <w:lang w:eastAsia="en-US"/>
              </w:rPr>
            </w:pPr>
            <w:r w:rsidRPr="00263672">
              <w:rPr>
                <w:rFonts w:ascii="Lato" w:eastAsiaTheme="minorHAnsi" w:hAnsi="Lato" w:cs="Times New Roman"/>
                <w:color w:val="000000"/>
                <w:sz w:val="24"/>
                <w:szCs w:val="24"/>
                <w:lang w:eastAsia="en-US"/>
              </w:rPr>
              <w:t>999999999</w:t>
            </w:r>
          </w:p>
        </w:tc>
        <w:tc>
          <w:tcPr>
            <w:tcW w:w="8378" w:type="dxa"/>
            <w:tcBorders>
              <w:top w:val="single" w:sz="4" w:space="0" w:color="auto"/>
              <w:left w:val="single" w:sz="4" w:space="0" w:color="auto"/>
              <w:bottom w:val="single" w:sz="4" w:space="0" w:color="auto"/>
            </w:tcBorders>
          </w:tcPr>
          <w:p w14:paraId="3F85F66B" w14:textId="71D583C0" w:rsidR="00243FF0" w:rsidRPr="00263672" w:rsidRDefault="00243FF0" w:rsidP="00243FF0">
            <w:pPr>
              <w:pStyle w:val="Tekstpodstawowy"/>
              <w:spacing w:before="120"/>
              <w:ind w:left="0" w:right="6"/>
              <w:rPr>
                <w:rFonts w:ascii="Lato" w:hAnsi="Lato" w:cs="Times New Roman"/>
                <w:sz w:val="24"/>
                <w:szCs w:val="24"/>
              </w:rPr>
            </w:pPr>
            <w:r w:rsidRPr="00263672">
              <w:rPr>
                <w:rFonts w:ascii="Lato" w:hAnsi="Lato" w:cs="Times New Roman"/>
                <w:sz w:val="24"/>
                <w:szCs w:val="24"/>
              </w:rPr>
              <w:t xml:space="preserve">Każdy rachunek, dla którego instytucja finansowa nie mogła uzyskać numeru TIN i żaden z pozostałych kodów nie miałby zastosowania. Użycie </w:t>
            </w:r>
            <w:r w:rsidRPr="00263672">
              <w:rPr>
                <w:rFonts w:ascii="Lato" w:hAnsi="Lato" w:cs="Times New Roman"/>
                <w:sz w:val="24"/>
                <w:szCs w:val="24"/>
              </w:rPr>
              <w:lastRenderedPageBreak/>
              <w:t>tego kodu wskazuje, że instytucja finansowa zakończyła przegląd rachunków, dla których nie posiada amerykańskich numerów TIN i w dobrej wierze zastosowała kody do informacji, gdzie miały one zastosowanie.</w:t>
            </w:r>
          </w:p>
          <w:p w14:paraId="2680A585" w14:textId="77777777" w:rsidR="00243FF0" w:rsidRPr="00263672" w:rsidRDefault="00243FF0" w:rsidP="00243FF0">
            <w:pPr>
              <w:pStyle w:val="Tekstpodstawowy"/>
              <w:spacing w:before="120"/>
              <w:ind w:left="0" w:right="6"/>
              <w:rPr>
                <w:rFonts w:ascii="Lato" w:hAnsi="Lato" w:cs="Times New Roman"/>
                <w:i/>
                <w:sz w:val="24"/>
                <w:szCs w:val="24"/>
              </w:rPr>
            </w:pPr>
          </w:p>
          <w:p w14:paraId="384E7F04" w14:textId="305AB8B5" w:rsidR="00243FF0" w:rsidRPr="00263672" w:rsidRDefault="00243FF0" w:rsidP="00243FF0">
            <w:pPr>
              <w:pStyle w:val="Tekstpodstawowy"/>
              <w:spacing w:before="120"/>
              <w:ind w:left="0" w:right="6"/>
              <w:rPr>
                <w:rFonts w:ascii="Lato" w:hAnsi="Lato" w:cs="Times New Roman"/>
                <w:i/>
                <w:sz w:val="24"/>
                <w:szCs w:val="24"/>
                <w:lang w:val="en-GB"/>
              </w:rPr>
            </w:pPr>
            <w:r w:rsidRPr="00263672">
              <w:rPr>
                <w:rFonts w:ascii="Lato" w:hAnsi="Lato" w:cs="Times New Roman"/>
                <w:i/>
                <w:sz w:val="24"/>
                <w:szCs w:val="24"/>
                <w:lang w:val="en-GB"/>
              </w:rPr>
              <w:t>Any account for which the FFI cannot obtain a TIN and none of the other TIN codes would be applicable.  The use of this code indicates that an FFI has completed its review of accounts without U.S. TINs and has in good faith applied TIN codes to records when applicable. </w:t>
            </w:r>
          </w:p>
        </w:tc>
      </w:tr>
    </w:tbl>
    <w:p w14:paraId="64C1895C" w14:textId="77777777" w:rsidR="00936CB4" w:rsidRPr="00263672" w:rsidRDefault="00936CB4" w:rsidP="00BC43BC">
      <w:pPr>
        <w:spacing w:after="120"/>
        <w:rPr>
          <w:rFonts w:ascii="Lato" w:hAnsi="Lato" w:cs="Times New Roman"/>
          <w:sz w:val="24"/>
          <w:szCs w:val="24"/>
          <w:lang w:val="en-GB"/>
        </w:rPr>
      </w:pPr>
    </w:p>
    <w:p w14:paraId="736FA6AE" w14:textId="272C492C" w:rsidR="00026182" w:rsidRPr="00263672" w:rsidRDefault="00026182" w:rsidP="00026182">
      <w:pPr>
        <w:spacing w:before="120" w:after="120"/>
        <w:jc w:val="both"/>
        <w:rPr>
          <w:rFonts w:ascii="Lato" w:hAnsi="Lato" w:cs="Times New Roman"/>
          <w:sz w:val="24"/>
          <w:szCs w:val="24"/>
        </w:rPr>
      </w:pPr>
      <w:r w:rsidRPr="00263672">
        <w:rPr>
          <w:rFonts w:ascii="Lato" w:hAnsi="Lato" w:cs="Times New Roman"/>
          <w:b/>
          <w:bCs/>
          <w:sz w:val="24"/>
          <w:szCs w:val="24"/>
          <w:u w:val="single"/>
        </w:rPr>
        <w:t>WAŻNE:</w:t>
      </w:r>
      <w:r w:rsidRPr="00263672">
        <w:rPr>
          <w:rFonts w:ascii="Lato" w:hAnsi="Lato" w:cs="Times New Roman"/>
          <w:sz w:val="24"/>
          <w:szCs w:val="24"/>
        </w:rPr>
        <w:t xml:space="preserve"> niezależnie od wykorzystania jednej ze wskazanych wartości, amerykańska administracja podatkowa poinformowała, że będą generowane powiadomienia</w:t>
      </w:r>
      <w:r w:rsidR="00263672" w:rsidRPr="00263672">
        <w:rPr>
          <w:rFonts w:ascii="Lato" w:hAnsi="Lato" w:cs="Times New Roman"/>
          <w:sz w:val="24"/>
          <w:szCs w:val="24"/>
        </w:rPr>
        <w:t>/</w:t>
      </w:r>
      <w:r w:rsidR="00263672">
        <w:rPr>
          <w:rFonts w:ascii="Lato" w:hAnsi="Lato" w:cs="Times New Roman"/>
          <w:sz w:val="24"/>
          <w:szCs w:val="24"/>
        </w:rPr>
        <w:t xml:space="preserve"> </w:t>
      </w:r>
      <w:r w:rsidR="00263672" w:rsidRPr="00263672">
        <w:rPr>
          <w:rFonts w:ascii="Lato" w:hAnsi="Lato" w:cs="Times New Roman"/>
          <w:sz w:val="24"/>
          <w:szCs w:val="24"/>
        </w:rPr>
        <w:t>no</w:t>
      </w:r>
      <w:r w:rsidRPr="00263672">
        <w:rPr>
          <w:rFonts w:ascii="Lato" w:hAnsi="Lato" w:cs="Times New Roman"/>
          <w:sz w:val="24"/>
          <w:szCs w:val="24"/>
        </w:rPr>
        <w:t>tyfikacje, wskazujące na błędy w raportowaniu związane z brakiem poprawnego amerykańskiego numeru TIN.</w:t>
      </w:r>
    </w:p>
    <w:p w14:paraId="2D50026F" w14:textId="717A2514" w:rsidR="00DD19D5" w:rsidRPr="00E1749A" w:rsidRDefault="00DD19D5" w:rsidP="00026182">
      <w:pPr>
        <w:spacing w:before="120" w:after="120"/>
        <w:jc w:val="both"/>
        <w:rPr>
          <w:rFonts w:ascii="Lato" w:hAnsi="Lato" w:cs="Times New Roman"/>
          <w:sz w:val="22"/>
          <w:szCs w:val="22"/>
        </w:rPr>
      </w:pPr>
    </w:p>
    <w:p w14:paraId="75ED586A" w14:textId="2D65C6EE" w:rsidR="00DD19D5" w:rsidRPr="00E1749A" w:rsidRDefault="00DD19D5" w:rsidP="00026182">
      <w:pPr>
        <w:spacing w:before="120" w:after="120"/>
        <w:jc w:val="both"/>
        <w:rPr>
          <w:rFonts w:ascii="Lato" w:hAnsi="Lato" w:cs="Times New Roman"/>
          <w:sz w:val="22"/>
          <w:szCs w:val="22"/>
        </w:rPr>
      </w:pPr>
    </w:p>
    <w:p w14:paraId="348D6C02" w14:textId="30755082" w:rsidR="00DD19D5" w:rsidRPr="00E1749A" w:rsidRDefault="00DD19D5" w:rsidP="00026182">
      <w:pPr>
        <w:spacing w:before="120" w:after="120"/>
        <w:jc w:val="both"/>
        <w:rPr>
          <w:rFonts w:ascii="Lato" w:hAnsi="Lato" w:cs="Times New Roman"/>
          <w:sz w:val="22"/>
          <w:szCs w:val="22"/>
        </w:rPr>
      </w:pPr>
    </w:p>
    <w:p w14:paraId="1F9E6584" w14:textId="1AA94E13" w:rsidR="00DD19D5" w:rsidRPr="00E1749A" w:rsidRDefault="00DD19D5" w:rsidP="00026182">
      <w:pPr>
        <w:spacing w:before="120" w:after="120"/>
        <w:jc w:val="both"/>
        <w:rPr>
          <w:rFonts w:ascii="Lato" w:hAnsi="Lato" w:cs="Times New Roman"/>
          <w:sz w:val="22"/>
          <w:szCs w:val="22"/>
        </w:rPr>
      </w:pPr>
    </w:p>
    <w:p w14:paraId="6C24EF90" w14:textId="60075E26" w:rsidR="00DD19D5" w:rsidRPr="00E1749A" w:rsidRDefault="00DD19D5" w:rsidP="00026182">
      <w:pPr>
        <w:spacing w:before="120" w:after="120"/>
        <w:jc w:val="both"/>
        <w:rPr>
          <w:rFonts w:ascii="Lato" w:hAnsi="Lato" w:cs="Times New Roman"/>
          <w:sz w:val="22"/>
          <w:szCs w:val="22"/>
        </w:rPr>
      </w:pPr>
    </w:p>
    <w:p w14:paraId="15B3B4F2" w14:textId="2A3152ED" w:rsidR="00DD19D5" w:rsidRPr="00E1749A" w:rsidRDefault="00DD19D5" w:rsidP="00026182">
      <w:pPr>
        <w:spacing w:before="120" w:after="120"/>
        <w:jc w:val="both"/>
        <w:rPr>
          <w:rFonts w:ascii="Lato" w:hAnsi="Lato" w:cs="Times New Roman"/>
          <w:sz w:val="22"/>
          <w:szCs w:val="22"/>
        </w:rPr>
      </w:pPr>
    </w:p>
    <w:p w14:paraId="41470B9D" w14:textId="5D9564BE" w:rsidR="00DD19D5" w:rsidRPr="00E1749A" w:rsidRDefault="00DD19D5" w:rsidP="00026182">
      <w:pPr>
        <w:spacing w:before="120" w:after="120"/>
        <w:jc w:val="both"/>
        <w:rPr>
          <w:rFonts w:ascii="Lato" w:hAnsi="Lato" w:cs="Times New Roman"/>
          <w:sz w:val="22"/>
          <w:szCs w:val="22"/>
        </w:rPr>
      </w:pPr>
    </w:p>
    <w:p w14:paraId="4746BDA4" w14:textId="7FE616A3" w:rsidR="00DD19D5" w:rsidRPr="00E1749A" w:rsidRDefault="00DD19D5" w:rsidP="00026182">
      <w:pPr>
        <w:spacing w:before="120" w:after="120"/>
        <w:jc w:val="both"/>
        <w:rPr>
          <w:rFonts w:ascii="Lato" w:hAnsi="Lato" w:cs="Times New Roman"/>
          <w:sz w:val="22"/>
          <w:szCs w:val="22"/>
        </w:rPr>
      </w:pPr>
    </w:p>
    <w:p w14:paraId="38FF7828" w14:textId="3BB163A2" w:rsidR="00DD19D5" w:rsidRPr="00E1749A" w:rsidRDefault="00DD19D5" w:rsidP="00026182">
      <w:pPr>
        <w:spacing w:before="120" w:after="120"/>
        <w:jc w:val="both"/>
        <w:rPr>
          <w:rFonts w:ascii="Lato" w:hAnsi="Lato" w:cs="Times New Roman"/>
          <w:sz w:val="22"/>
          <w:szCs w:val="22"/>
        </w:rPr>
      </w:pPr>
    </w:p>
    <w:p w14:paraId="1F48142C" w14:textId="2B3A990D" w:rsidR="00DD19D5" w:rsidRPr="00E1749A" w:rsidRDefault="00DD19D5" w:rsidP="00026182">
      <w:pPr>
        <w:spacing w:before="120" w:after="120"/>
        <w:jc w:val="both"/>
        <w:rPr>
          <w:rFonts w:ascii="Lato" w:hAnsi="Lato" w:cs="Times New Roman"/>
          <w:sz w:val="22"/>
          <w:szCs w:val="22"/>
        </w:rPr>
      </w:pPr>
    </w:p>
    <w:p w14:paraId="020E62FD" w14:textId="68FFF087" w:rsidR="00DD19D5" w:rsidRDefault="00DD19D5" w:rsidP="00026182">
      <w:pPr>
        <w:spacing w:before="120" w:after="120"/>
        <w:jc w:val="both"/>
        <w:rPr>
          <w:rFonts w:ascii="Lato" w:hAnsi="Lato" w:cs="Times New Roman"/>
          <w:sz w:val="22"/>
          <w:szCs w:val="22"/>
        </w:rPr>
      </w:pPr>
    </w:p>
    <w:p w14:paraId="3DBB5930" w14:textId="575960BA" w:rsidR="00263672" w:rsidRDefault="00263672" w:rsidP="00026182">
      <w:pPr>
        <w:spacing w:before="120" w:after="120"/>
        <w:jc w:val="both"/>
        <w:rPr>
          <w:rFonts w:ascii="Lato" w:hAnsi="Lato" w:cs="Times New Roman"/>
          <w:sz w:val="22"/>
          <w:szCs w:val="22"/>
        </w:rPr>
      </w:pPr>
    </w:p>
    <w:p w14:paraId="1AE094B1" w14:textId="34B50AF7" w:rsidR="00263672" w:rsidRDefault="00263672" w:rsidP="00026182">
      <w:pPr>
        <w:spacing w:before="120" w:after="120"/>
        <w:jc w:val="both"/>
        <w:rPr>
          <w:rFonts w:ascii="Lato" w:hAnsi="Lato" w:cs="Times New Roman"/>
          <w:sz w:val="22"/>
          <w:szCs w:val="22"/>
        </w:rPr>
      </w:pPr>
    </w:p>
    <w:p w14:paraId="20727635" w14:textId="622D85E0" w:rsidR="00263672" w:rsidRDefault="00263672" w:rsidP="00026182">
      <w:pPr>
        <w:spacing w:before="120" w:after="120"/>
        <w:jc w:val="both"/>
        <w:rPr>
          <w:rFonts w:ascii="Lato" w:hAnsi="Lato" w:cs="Times New Roman"/>
          <w:sz w:val="22"/>
          <w:szCs w:val="22"/>
        </w:rPr>
      </w:pPr>
    </w:p>
    <w:p w14:paraId="0775CC2D" w14:textId="4D26A01B" w:rsidR="00263672" w:rsidRDefault="00263672" w:rsidP="00026182">
      <w:pPr>
        <w:spacing w:before="120" w:after="120"/>
        <w:jc w:val="both"/>
        <w:rPr>
          <w:rFonts w:ascii="Lato" w:hAnsi="Lato" w:cs="Times New Roman"/>
          <w:sz w:val="22"/>
          <w:szCs w:val="22"/>
        </w:rPr>
      </w:pPr>
    </w:p>
    <w:p w14:paraId="5DD909C4" w14:textId="6A589BDD" w:rsidR="00263672" w:rsidRDefault="00263672" w:rsidP="00026182">
      <w:pPr>
        <w:spacing w:before="120" w:after="120"/>
        <w:jc w:val="both"/>
        <w:rPr>
          <w:rFonts w:ascii="Lato" w:hAnsi="Lato" w:cs="Times New Roman"/>
          <w:sz w:val="22"/>
          <w:szCs w:val="22"/>
        </w:rPr>
      </w:pPr>
    </w:p>
    <w:p w14:paraId="64604A32" w14:textId="5D0B42FE" w:rsidR="00263672" w:rsidRDefault="00263672" w:rsidP="00026182">
      <w:pPr>
        <w:spacing w:before="120" w:after="120"/>
        <w:jc w:val="both"/>
        <w:rPr>
          <w:rFonts w:ascii="Lato" w:hAnsi="Lato" w:cs="Times New Roman"/>
          <w:sz w:val="22"/>
          <w:szCs w:val="22"/>
        </w:rPr>
      </w:pPr>
    </w:p>
    <w:p w14:paraId="1415FA85" w14:textId="2A38778A" w:rsidR="00263672" w:rsidRDefault="00263672" w:rsidP="00026182">
      <w:pPr>
        <w:spacing w:before="120" w:after="120"/>
        <w:jc w:val="both"/>
        <w:rPr>
          <w:rFonts w:ascii="Lato" w:hAnsi="Lato" w:cs="Times New Roman"/>
          <w:sz w:val="22"/>
          <w:szCs w:val="22"/>
        </w:rPr>
      </w:pPr>
    </w:p>
    <w:p w14:paraId="534EBDF3" w14:textId="77777777" w:rsidR="00263672" w:rsidRPr="00E1749A" w:rsidRDefault="00263672" w:rsidP="00026182">
      <w:pPr>
        <w:spacing w:before="120" w:after="120"/>
        <w:jc w:val="both"/>
        <w:rPr>
          <w:rFonts w:ascii="Lato" w:hAnsi="Lato" w:cs="Times New Roman"/>
          <w:sz w:val="22"/>
          <w:szCs w:val="22"/>
        </w:rPr>
      </w:pPr>
    </w:p>
    <w:p w14:paraId="5AD052DC" w14:textId="0507AE59" w:rsidR="00DD19D5" w:rsidRPr="00E1749A" w:rsidRDefault="00DD19D5" w:rsidP="00026182">
      <w:pPr>
        <w:spacing w:before="120" w:after="120"/>
        <w:jc w:val="both"/>
        <w:rPr>
          <w:rFonts w:ascii="Lato" w:hAnsi="Lato" w:cs="Times New Roman"/>
          <w:sz w:val="22"/>
          <w:szCs w:val="22"/>
        </w:rPr>
      </w:pPr>
    </w:p>
    <w:p w14:paraId="12B83971" w14:textId="408064DD" w:rsidR="00DD19D5" w:rsidRPr="00E1749A" w:rsidRDefault="00DD19D5" w:rsidP="00026182">
      <w:pPr>
        <w:spacing w:before="120" w:after="120"/>
        <w:jc w:val="both"/>
        <w:rPr>
          <w:rFonts w:ascii="Lato" w:hAnsi="Lato" w:cs="Times New Roman"/>
          <w:sz w:val="22"/>
          <w:szCs w:val="22"/>
        </w:rPr>
      </w:pPr>
    </w:p>
    <w:p w14:paraId="18AA50B3" w14:textId="58E69168" w:rsidR="00DD19D5" w:rsidRPr="00E1749A" w:rsidRDefault="00DD19D5" w:rsidP="00026182">
      <w:pPr>
        <w:spacing w:before="120" w:after="120"/>
        <w:jc w:val="both"/>
        <w:rPr>
          <w:rFonts w:ascii="Lato" w:hAnsi="Lato" w:cs="Times New Roman"/>
          <w:sz w:val="22"/>
          <w:szCs w:val="22"/>
        </w:rPr>
      </w:pPr>
    </w:p>
    <w:p w14:paraId="00256037" w14:textId="1D4DA896" w:rsidR="00DD19D5" w:rsidRPr="00E1749A" w:rsidRDefault="00DD19D5" w:rsidP="00DD19D5">
      <w:pPr>
        <w:pStyle w:val="Akapitzlist"/>
        <w:numPr>
          <w:ilvl w:val="0"/>
          <w:numId w:val="7"/>
        </w:numPr>
        <w:pBdr>
          <w:top w:val="single" w:sz="4" w:space="1" w:color="auto"/>
          <w:bottom w:val="single" w:sz="4" w:space="1" w:color="auto"/>
          <w:between w:val="single" w:sz="4" w:space="1" w:color="auto"/>
        </w:pBdr>
        <w:outlineLvl w:val="0"/>
        <w:rPr>
          <w:rFonts w:ascii="Lato" w:hAnsi="Lato"/>
          <w:b/>
          <w:smallCaps/>
          <w:color w:val="FF0000"/>
          <w:sz w:val="28"/>
          <w:szCs w:val="28"/>
        </w:rPr>
      </w:pPr>
      <w:bookmarkStart w:id="10" w:name="_Toc224904080"/>
      <w:r w:rsidRPr="00E1749A">
        <w:rPr>
          <w:rFonts w:ascii="Lato" w:hAnsi="Lato"/>
          <w:b/>
          <w:smallCaps/>
          <w:color w:val="FF0000"/>
          <w:sz w:val="28"/>
          <w:szCs w:val="28"/>
        </w:rPr>
        <w:lastRenderedPageBreak/>
        <w:t>Raportowanie informacji o U.S. TIN za lata 2025-2027</w:t>
      </w:r>
      <w:bookmarkEnd w:id="10"/>
    </w:p>
    <w:p w14:paraId="56DF42C5" w14:textId="5BF61460" w:rsidR="00CC6BB2" w:rsidRPr="00263672" w:rsidRDefault="00DD19D5" w:rsidP="00CC6BB2">
      <w:pPr>
        <w:spacing w:before="120" w:after="120"/>
        <w:jc w:val="both"/>
        <w:rPr>
          <w:rFonts w:ascii="Lato" w:hAnsi="Lato" w:cstheme="minorHAnsi"/>
          <w:sz w:val="24"/>
          <w:szCs w:val="24"/>
        </w:rPr>
      </w:pPr>
      <w:r w:rsidRPr="00263672">
        <w:rPr>
          <w:rFonts w:ascii="Lato" w:hAnsi="Lato" w:cs="Times New Roman"/>
          <w:sz w:val="24"/>
          <w:szCs w:val="24"/>
        </w:rPr>
        <w:t>Amerykańska administracja podatkowa opublikowała nowe Zawiadomienie 2024-78 (</w:t>
      </w:r>
      <w:proofErr w:type="spellStart"/>
      <w:r w:rsidRPr="00263672">
        <w:rPr>
          <w:rFonts w:ascii="Lato" w:hAnsi="Lato" w:cs="Times New Roman"/>
          <w:color w:val="0070C0"/>
          <w:sz w:val="24"/>
          <w:szCs w:val="24"/>
        </w:rPr>
        <w:fldChar w:fldCharType="begin"/>
      </w:r>
      <w:r w:rsidRPr="00263672">
        <w:rPr>
          <w:rFonts w:ascii="Lato" w:hAnsi="Lato" w:cs="Times New Roman"/>
          <w:color w:val="0070C0"/>
          <w:sz w:val="24"/>
          <w:szCs w:val="24"/>
        </w:rPr>
        <w:instrText xml:space="preserve"> HYPERLINK "https://www.irs.gov/pub/irs-drop/n-24-78.pdf" </w:instrText>
      </w:r>
      <w:r w:rsidRPr="00263672">
        <w:rPr>
          <w:rFonts w:ascii="Lato" w:hAnsi="Lato" w:cs="Times New Roman"/>
          <w:color w:val="0070C0"/>
          <w:sz w:val="24"/>
          <w:szCs w:val="24"/>
        </w:rPr>
        <w:fldChar w:fldCharType="separate"/>
      </w:r>
      <w:r w:rsidRPr="00263672">
        <w:rPr>
          <w:rStyle w:val="Hipercze"/>
          <w:rFonts w:ascii="Lato" w:hAnsi="Lato" w:cs="Times New Roman"/>
          <w:color w:val="0070C0"/>
          <w:szCs w:val="24"/>
        </w:rPr>
        <w:t>Notice</w:t>
      </w:r>
      <w:proofErr w:type="spellEnd"/>
      <w:r w:rsidRPr="00263672">
        <w:rPr>
          <w:rStyle w:val="Hipercze"/>
          <w:rFonts w:ascii="Lato" w:hAnsi="Lato" w:cs="Times New Roman"/>
          <w:color w:val="0070C0"/>
          <w:szCs w:val="24"/>
        </w:rPr>
        <w:t xml:space="preserve"> 2024-78</w:t>
      </w:r>
      <w:r w:rsidRPr="00263672">
        <w:rPr>
          <w:rFonts w:ascii="Lato" w:hAnsi="Lato" w:cs="Times New Roman"/>
          <w:color w:val="0070C0"/>
          <w:sz w:val="24"/>
          <w:szCs w:val="24"/>
        </w:rPr>
        <w:fldChar w:fldCharType="end"/>
      </w:r>
      <w:r w:rsidRPr="00263672">
        <w:rPr>
          <w:rFonts w:ascii="Lato" w:hAnsi="Lato" w:cs="Times New Roman"/>
          <w:sz w:val="24"/>
          <w:szCs w:val="24"/>
        </w:rPr>
        <w:t xml:space="preserve">), dotyczący sposobu raportowania informacji o amerykańskich rachunkach raportowanych, dla których instytucje finansowe nie były w stanie uzyskać poprawnego amerykańskiego numeru TIN. Zawiadomienie to przedłuża na lata kalendarzowe 2025-2027 tymczasowe ulgi przewidziane w </w:t>
      </w:r>
      <w:hyperlink r:id="rId12" w:tgtFrame="_blank" w:history="1">
        <w:proofErr w:type="spellStart"/>
        <w:r w:rsidRPr="00263672">
          <w:rPr>
            <w:rStyle w:val="Hipercze"/>
            <w:rFonts w:ascii="Lato" w:hAnsi="Lato" w:cs="Times New Roman"/>
            <w:color w:val="0070C0"/>
            <w:szCs w:val="24"/>
          </w:rPr>
          <w:t>Notice</w:t>
        </w:r>
        <w:proofErr w:type="spellEnd"/>
        <w:r w:rsidRPr="00263672">
          <w:rPr>
            <w:rStyle w:val="Hipercze"/>
            <w:rFonts w:ascii="Lato" w:hAnsi="Lato" w:cs="Times New Roman"/>
            <w:color w:val="0070C0"/>
            <w:szCs w:val="24"/>
          </w:rPr>
          <w:t xml:space="preserve"> 2023-11</w:t>
        </w:r>
      </w:hyperlink>
      <w:r w:rsidRPr="00263672">
        <w:rPr>
          <w:rFonts w:ascii="Lato" w:hAnsi="Lato" w:cs="Times New Roman"/>
          <w:sz w:val="24"/>
          <w:szCs w:val="24"/>
        </w:rPr>
        <w:t xml:space="preserve">, </w:t>
      </w:r>
      <w:r w:rsidR="00263672">
        <w:rPr>
          <w:rFonts w:ascii="Lato" w:hAnsi="Lato" w:cs="Times New Roman"/>
          <w:sz w:val="24"/>
          <w:szCs w:val="24"/>
        </w:rPr>
        <w:br/>
      </w:r>
      <w:r w:rsidRPr="00263672">
        <w:rPr>
          <w:rFonts w:ascii="Lato" w:hAnsi="Lato" w:cs="Times New Roman"/>
          <w:sz w:val="24"/>
          <w:szCs w:val="24"/>
        </w:rPr>
        <w:t xml:space="preserve">z zastrzeżeniem że realizowane będą dotychczasowe cztery wymagania (opisane </w:t>
      </w:r>
      <w:r w:rsidR="00263672">
        <w:rPr>
          <w:rFonts w:ascii="Lato" w:hAnsi="Lato" w:cs="Times New Roman"/>
          <w:sz w:val="24"/>
          <w:szCs w:val="24"/>
        </w:rPr>
        <w:br/>
      </w:r>
      <w:r w:rsidRPr="00263672">
        <w:rPr>
          <w:rFonts w:ascii="Lato" w:hAnsi="Lato" w:cs="Times New Roman"/>
          <w:sz w:val="24"/>
          <w:szCs w:val="24"/>
        </w:rPr>
        <w:t>w Rozdziale 3)</w:t>
      </w:r>
      <w:r w:rsidR="00CC6BB2" w:rsidRPr="00263672">
        <w:rPr>
          <w:rFonts w:ascii="Lato" w:hAnsi="Lato" w:cs="Times New Roman"/>
          <w:sz w:val="24"/>
          <w:szCs w:val="24"/>
        </w:rPr>
        <w:t xml:space="preserve">, zgodnie z którymi </w:t>
      </w:r>
      <w:r w:rsidR="00CC6BB2" w:rsidRPr="00263672">
        <w:rPr>
          <w:rFonts w:ascii="Lato" w:hAnsi="Lato" w:cstheme="minorHAnsi"/>
          <w:sz w:val="24"/>
          <w:szCs w:val="24"/>
        </w:rPr>
        <w:t>raportująca instytucja finansowa:</w:t>
      </w:r>
    </w:p>
    <w:p w14:paraId="4E116F95" w14:textId="20367DDB" w:rsidR="00CC6BB2" w:rsidRPr="00263672" w:rsidRDefault="00263672" w:rsidP="00551D6E">
      <w:pPr>
        <w:pStyle w:val="Akapitzlist"/>
        <w:numPr>
          <w:ilvl w:val="0"/>
          <w:numId w:val="18"/>
        </w:numPr>
        <w:spacing w:before="120" w:after="120"/>
        <w:contextualSpacing w:val="0"/>
        <w:rPr>
          <w:rFonts w:ascii="Lato" w:hAnsi="Lato" w:cstheme="minorHAnsi"/>
          <w:szCs w:val="24"/>
        </w:rPr>
      </w:pPr>
      <w:r w:rsidRPr="00263672">
        <w:rPr>
          <w:rFonts w:ascii="Lato" w:hAnsi="Lato" w:cstheme="minorHAnsi"/>
          <w:szCs w:val="24"/>
        </w:rPr>
        <w:t>uzyska i zgłosi datę urodzenia każdego posiadacza rachunku, który jest osobą fizyczną, oraz osoby kontrolującej, których amerykański numer TIN nie jest raportowany</w:t>
      </w:r>
      <w:r w:rsidR="00CC6BB2" w:rsidRPr="00263672">
        <w:rPr>
          <w:rFonts w:ascii="Lato" w:hAnsi="Lato" w:cstheme="minorHAnsi"/>
          <w:szCs w:val="24"/>
        </w:rPr>
        <w:t>;</w:t>
      </w:r>
    </w:p>
    <w:p w14:paraId="0DF2962D" w14:textId="1A36EE24" w:rsidR="00CC6BB2" w:rsidRPr="00263672" w:rsidRDefault="00CC6BB2" w:rsidP="00551D6E">
      <w:pPr>
        <w:pStyle w:val="Akapitzlist"/>
        <w:numPr>
          <w:ilvl w:val="0"/>
          <w:numId w:val="18"/>
        </w:numPr>
        <w:spacing w:before="120" w:after="120"/>
        <w:contextualSpacing w:val="0"/>
        <w:rPr>
          <w:rFonts w:ascii="Lato" w:hAnsi="Lato" w:cstheme="minorHAnsi"/>
          <w:szCs w:val="24"/>
        </w:rPr>
      </w:pPr>
      <w:r w:rsidRPr="00263672">
        <w:rPr>
          <w:rFonts w:ascii="Lato" w:hAnsi="Lato" w:cstheme="minorHAnsi"/>
          <w:szCs w:val="24"/>
        </w:rPr>
        <w:t>corocznie zażąda od każdego posiadacza rachunku brakującego wymaganego amerykańskiego numeru TIN</w:t>
      </w:r>
      <w:r w:rsidR="00E50CF6" w:rsidRPr="00263672">
        <w:rPr>
          <w:rFonts w:ascii="Lato" w:hAnsi="Lato" w:cstheme="minorHAnsi"/>
          <w:szCs w:val="24"/>
        </w:rPr>
        <w:t>;</w:t>
      </w:r>
    </w:p>
    <w:p w14:paraId="2E77F72B" w14:textId="485A9FCA" w:rsidR="00CC6BB2" w:rsidRPr="00263672" w:rsidRDefault="00CC6BB2" w:rsidP="00551D6E">
      <w:pPr>
        <w:pStyle w:val="Akapitzlist"/>
        <w:numPr>
          <w:ilvl w:val="0"/>
          <w:numId w:val="18"/>
        </w:numPr>
        <w:spacing w:before="120" w:after="120"/>
        <w:contextualSpacing w:val="0"/>
        <w:rPr>
          <w:rFonts w:ascii="Lato" w:hAnsi="Lato" w:cstheme="minorHAnsi"/>
          <w:szCs w:val="24"/>
        </w:rPr>
      </w:pPr>
      <w:r w:rsidRPr="00263672">
        <w:rPr>
          <w:rFonts w:ascii="Lato" w:hAnsi="Lato" w:cstheme="minorHAnsi"/>
          <w:szCs w:val="24"/>
        </w:rPr>
        <w:t xml:space="preserve">corocznie dokona przeglądu elektronicznej bazy danych prowadzonej przez nią, pod kątem brakujących wymaganych amerykańskich numerów TIN; oraz </w:t>
      </w:r>
    </w:p>
    <w:p w14:paraId="4B51F6A6" w14:textId="77777777" w:rsidR="00CC6BB2" w:rsidRPr="00263672" w:rsidRDefault="00CC6BB2" w:rsidP="00551D6E">
      <w:pPr>
        <w:pStyle w:val="Akapitzlist"/>
        <w:numPr>
          <w:ilvl w:val="0"/>
          <w:numId w:val="18"/>
        </w:numPr>
        <w:spacing w:before="120" w:after="120"/>
        <w:contextualSpacing w:val="0"/>
        <w:rPr>
          <w:rFonts w:ascii="Lato" w:hAnsi="Lato" w:cstheme="minorHAnsi"/>
          <w:szCs w:val="24"/>
        </w:rPr>
      </w:pPr>
      <w:r w:rsidRPr="00263672">
        <w:rPr>
          <w:rFonts w:ascii="Lato" w:hAnsi="Lato" w:cstheme="minorHAnsi"/>
          <w:szCs w:val="24"/>
        </w:rPr>
        <w:t xml:space="preserve">zgłosi dokładny kod w zakresie elementu ‘TIN’ dla każdego rachunku, dla którego brakuje wymaganego poprawnego amerykańskiego numeru TIN. </w:t>
      </w:r>
    </w:p>
    <w:p w14:paraId="20652D55" w14:textId="326F45DE" w:rsidR="00DD19D5" w:rsidRPr="00263672" w:rsidRDefault="00DD19D5" w:rsidP="00DD19D5">
      <w:pPr>
        <w:spacing w:before="120" w:after="120"/>
        <w:jc w:val="both"/>
        <w:rPr>
          <w:rFonts w:ascii="Lato" w:hAnsi="Lato" w:cs="Times New Roman"/>
          <w:sz w:val="24"/>
          <w:szCs w:val="24"/>
        </w:rPr>
      </w:pPr>
      <w:r w:rsidRPr="00263672">
        <w:rPr>
          <w:rFonts w:ascii="Lato" w:hAnsi="Lato" w:cs="Times New Roman"/>
          <w:sz w:val="24"/>
          <w:szCs w:val="24"/>
        </w:rPr>
        <w:t xml:space="preserve"> oraz dodatkowe procedury i wymogi opisane w Zawiadomieniu 2024-78, tj.:</w:t>
      </w:r>
    </w:p>
    <w:p w14:paraId="4F297F41" w14:textId="7E7CD7B4" w:rsidR="00DD19D5" w:rsidRPr="00263672" w:rsidRDefault="00DD19D5" w:rsidP="00551D6E">
      <w:pPr>
        <w:pStyle w:val="Akapitzlist"/>
        <w:numPr>
          <w:ilvl w:val="0"/>
          <w:numId w:val="17"/>
        </w:numPr>
        <w:spacing w:before="120" w:after="120"/>
        <w:ind w:left="714" w:hanging="357"/>
        <w:contextualSpacing w:val="0"/>
        <w:rPr>
          <w:rFonts w:ascii="Lato" w:hAnsi="Lato"/>
          <w:szCs w:val="24"/>
        </w:rPr>
      </w:pPr>
      <w:r w:rsidRPr="00263672">
        <w:rPr>
          <w:rFonts w:ascii="Lato" w:hAnsi="Lato"/>
          <w:szCs w:val="24"/>
        </w:rPr>
        <w:t>jeśli prowadzona przez</w:t>
      </w:r>
      <w:r w:rsidR="00CC6BB2" w:rsidRPr="00263672">
        <w:rPr>
          <w:rFonts w:ascii="Lato" w:hAnsi="Lato"/>
          <w:szCs w:val="24"/>
        </w:rPr>
        <w:t xml:space="preserve"> raportującą</w:t>
      </w:r>
      <w:r w:rsidRPr="00263672">
        <w:rPr>
          <w:rFonts w:ascii="Lato" w:hAnsi="Lato"/>
          <w:szCs w:val="24"/>
        </w:rPr>
        <w:t xml:space="preserve"> instytucję finansową elektroniczna baza danych zawiera zagraniczny numer identyfikacyjny podatnika (lub jego funkcjonalny odpowiednik) nadany podatnikowi przez jego kraj rezydencji (FTIN), należy przekazać FTIN dla każdej szczególnej osoby amerykańskiej z brakującym wymaganym amerykańskim numerem TIN; oraz</w:t>
      </w:r>
    </w:p>
    <w:p w14:paraId="69099899" w14:textId="0A7892DA" w:rsidR="00DD19D5" w:rsidRPr="00263672" w:rsidRDefault="00DD19D5" w:rsidP="00551D6E">
      <w:pPr>
        <w:pStyle w:val="Akapitzlist"/>
        <w:numPr>
          <w:ilvl w:val="0"/>
          <w:numId w:val="17"/>
        </w:numPr>
        <w:spacing w:before="120" w:after="120"/>
        <w:ind w:left="714" w:hanging="357"/>
        <w:contextualSpacing w:val="0"/>
        <w:rPr>
          <w:rFonts w:ascii="Lato" w:hAnsi="Lato"/>
          <w:szCs w:val="24"/>
        </w:rPr>
      </w:pPr>
      <w:r w:rsidRPr="00263672">
        <w:rPr>
          <w:rFonts w:ascii="Lato" w:hAnsi="Lato"/>
          <w:szCs w:val="24"/>
        </w:rPr>
        <w:t>wykorzystywać element Address/</w:t>
      </w:r>
      <w:proofErr w:type="spellStart"/>
      <w:r w:rsidRPr="00263672">
        <w:rPr>
          <w:rFonts w:ascii="Lato" w:hAnsi="Lato"/>
          <w:szCs w:val="24"/>
        </w:rPr>
        <w:t>AddressFix</w:t>
      </w:r>
      <w:proofErr w:type="spellEnd"/>
      <w:r w:rsidRPr="00263672">
        <w:rPr>
          <w:rFonts w:ascii="Lato" w:hAnsi="Lato"/>
          <w:szCs w:val="24"/>
        </w:rPr>
        <w:t xml:space="preserve"> </w:t>
      </w:r>
      <w:r w:rsidR="00CC6BB2" w:rsidRPr="00263672">
        <w:rPr>
          <w:rFonts w:ascii="Lato" w:hAnsi="Lato"/>
          <w:szCs w:val="24"/>
        </w:rPr>
        <w:t xml:space="preserve">(adres ustrukturyzowany) </w:t>
      </w:r>
      <w:r w:rsidRPr="00263672">
        <w:rPr>
          <w:rFonts w:ascii="Lato" w:hAnsi="Lato"/>
          <w:szCs w:val="24"/>
        </w:rPr>
        <w:t xml:space="preserve">dla przekazywania informacji o mieście i kraju zamieszkania dla każdej szczególnej osoby amerykańskiej z brakującym wymaganym </w:t>
      </w:r>
      <w:r w:rsidR="00E50CF6" w:rsidRPr="00263672">
        <w:rPr>
          <w:rFonts w:ascii="Lato" w:hAnsi="Lato"/>
          <w:i/>
          <w:iCs/>
          <w:szCs w:val="24"/>
        </w:rPr>
        <w:t>U.S.</w:t>
      </w:r>
      <w:r w:rsidRPr="00263672">
        <w:rPr>
          <w:rFonts w:ascii="Lato" w:hAnsi="Lato"/>
          <w:i/>
          <w:iCs/>
          <w:szCs w:val="24"/>
        </w:rPr>
        <w:t xml:space="preserve"> TIN</w:t>
      </w:r>
      <w:r w:rsidRPr="00263672">
        <w:rPr>
          <w:rFonts w:ascii="Lato" w:hAnsi="Lato"/>
          <w:szCs w:val="24"/>
        </w:rPr>
        <w:t>.</w:t>
      </w:r>
    </w:p>
    <w:p w14:paraId="3A1D4031" w14:textId="4EA65EDB" w:rsidR="005E2055" w:rsidRPr="00263672" w:rsidRDefault="005E2055" w:rsidP="005E2055">
      <w:pPr>
        <w:spacing w:before="120" w:after="120"/>
        <w:jc w:val="both"/>
        <w:rPr>
          <w:rFonts w:ascii="Lato" w:hAnsi="Lato" w:cs="Times New Roman"/>
          <w:sz w:val="24"/>
          <w:szCs w:val="24"/>
        </w:rPr>
      </w:pPr>
      <w:r w:rsidRPr="00263672">
        <w:rPr>
          <w:rFonts w:ascii="Lato" w:hAnsi="Lato" w:cs="Times New Roman"/>
          <w:sz w:val="24"/>
          <w:szCs w:val="24"/>
        </w:rPr>
        <w:t>Jeśli instytucje finansowe będą przestrzegały procedur opisanych w Zawiadomieniu, wówczas właściwy organ USA nie stwierdzi istotnego nieprzestrzegania obowiązków wynikających z Umowy FATCA, wyłącznie z powodu nieuzyskania i nieprzekazania informacji o prawidłowym amerykańskim numerze TIN w odniesieniu do prowadzonych rachunków finansowych za lata kalendarzowe 2025, 2026 i 2027.</w:t>
      </w:r>
    </w:p>
    <w:p w14:paraId="680FC83C" w14:textId="4C5AAFD4" w:rsidR="005E2055" w:rsidRPr="00263672" w:rsidRDefault="005E2055" w:rsidP="00E50CF6">
      <w:pPr>
        <w:spacing w:before="120" w:after="120"/>
        <w:jc w:val="both"/>
        <w:rPr>
          <w:rFonts w:ascii="Lato" w:hAnsi="Lato" w:cs="Times New Roman"/>
          <w:b/>
          <w:bCs/>
          <w:sz w:val="24"/>
          <w:szCs w:val="24"/>
          <w:u w:val="single"/>
        </w:rPr>
      </w:pPr>
      <w:r w:rsidRPr="00263672">
        <w:rPr>
          <w:rFonts w:ascii="Lato" w:hAnsi="Lato" w:cs="Times New Roman"/>
          <w:b/>
          <w:bCs/>
          <w:sz w:val="24"/>
          <w:szCs w:val="24"/>
          <w:u w:val="single"/>
        </w:rPr>
        <w:t>WAŻNE:</w:t>
      </w:r>
      <w:r w:rsidRPr="00263672">
        <w:rPr>
          <w:rFonts w:ascii="Lato" w:hAnsi="Lato" w:cs="Times New Roman"/>
          <w:sz w:val="24"/>
          <w:szCs w:val="24"/>
        </w:rPr>
        <w:t xml:space="preserve"> za lata 2025-2027 obowiązują kody dla TIN opisane w rozdziale 3.1.</w:t>
      </w:r>
    </w:p>
    <w:p w14:paraId="1CEB0303" w14:textId="732316B2" w:rsidR="00E50CF6" w:rsidRPr="00263672" w:rsidRDefault="00E50CF6" w:rsidP="00E50CF6">
      <w:pPr>
        <w:spacing w:before="120" w:after="120"/>
        <w:jc w:val="both"/>
        <w:rPr>
          <w:rFonts w:ascii="Lato" w:hAnsi="Lato" w:cs="Times New Roman"/>
          <w:sz w:val="24"/>
          <w:szCs w:val="24"/>
        </w:rPr>
      </w:pPr>
      <w:r w:rsidRPr="00263672">
        <w:rPr>
          <w:rFonts w:ascii="Lato" w:hAnsi="Lato" w:cs="Times New Roman"/>
          <w:sz w:val="24"/>
          <w:szCs w:val="24"/>
        </w:rPr>
        <w:t xml:space="preserve">W celu spełnienia wymogu, o którym mowa w pkt. 2 (wymóg corocznego żądania podania brakujących wymaganych amerykańskich numerów TIN od posiadaczy rachunków), raportująca instytucja finansowa musi wykorzystywać kanały komunikacji, które w jej ocenie są najbardziej racjonalne i pomogą w dotarciu do posiadaczy rachunków celem uzyskania tych informacji. Ponadto prowadzona komunikacja musi zawierać jedno </w:t>
      </w:r>
      <w:r w:rsidR="00263672">
        <w:rPr>
          <w:rFonts w:ascii="Lato" w:hAnsi="Lato" w:cs="Times New Roman"/>
          <w:sz w:val="24"/>
          <w:szCs w:val="24"/>
        </w:rPr>
        <w:br/>
      </w:r>
      <w:r w:rsidRPr="00263672">
        <w:rPr>
          <w:rFonts w:ascii="Lato" w:hAnsi="Lato" w:cs="Times New Roman"/>
          <w:sz w:val="24"/>
          <w:szCs w:val="24"/>
        </w:rPr>
        <w:t>z poniższych:</w:t>
      </w:r>
    </w:p>
    <w:p w14:paraId="6038C834" w14:textId="242AAACB" w:rsidR="00E50CF6" w:rsidRPr="00263672" w:rsidRDefault="00E50CF6" w:rsidP="00551D6E">
      <w:pPr>
        <w:pStyle w:val="Akapitzlist"/>
        <w:numPr>
          <w:ilvl w:val="0"/>
          <w:numId w:val="19"/>
        </w:numPr>
        <w:spacing w:before="120" w:after="120"/>
        <w:contextualSpacing w:val="0"/>
        <w:rPr>
          <w:rFonts w:ascii="Lato" w:hAnsi="Lato" w:cstheme="minorHAnsi"/>
          <w:szCs w:val="24"/>
        </w:rPr>
      </w:pPr>
      <w:r w:rsidRPr="00263672">
        <w:rPr>
          <w:rFonts w:ascii="Lato" w:hAnsi="Lato" w:cstheme="minorHAnsi"/>
          <w:szCs w:val="24"/>
        </w:rPr>
        <w:lastRenderedPageBreak/>
        <w:t>adres strony internetowej Departamentu Stanu USA zawierającej najczęściej zadawane pytania (FAQ) dotyczące FATCA oraz kwestii związanych z tym jak uzyskać numer ubezpieczenia społecznego (</w:t>
      </w:r>
      <w:proofErr w:type="spellStart"/>
      <w:r w:rsidRPr="00263672">
        <w:rPr>
          <w:rFonts w:ascii="Lato" w:hAnsi="Lato" w:cstheme="minorHAnsi"/>
          <w:szCs w:val="24"/>
        </w:rPr>
        <w:t>Social</w:t>
      </w:r>
      <w:proofErr w:type="spellEnd"/>
      <w:r w:rsidRPr="00263672">
        <w:rPr>
          <w:rFonts w:ascii="Lato" w:hAnsi="Lato" w:cstheme="minorHAnsi"/>
          <w:szCs w:val="24"/>
        </w:rPr>
        <w:t xml:space="preserve"> Security </w:t>
      </w:r>
      <w:proofErr w:type="spellStart"/>
      <w:r w:rsidRPr="00263672">
        <w:rPr>
          <w:rFonts w:ascii="Lato" w:hAnsi="Lato" w:cstheme="minorHAnsi"/>
          <w:szCs w:val="24"/>
        </w:rPr>
        <w:t>Number</w:t>
      </w:r>
      <w:proofErr w:type="spellEnd"/>
      <w:r w:rsidRPr="00263672">
        <w:rPr>
          <w:rFonts w:ascii="Lato" w:hAnsi="Lato" w:cstheme="minorHAnsi"/>
          <w:szCs w:val="24"/>
        </w:rPr>
        <w:t xml:space="preserve">), jak zrzec się obywatelstwa USA i jakie są tego konsekwencje podatkowe (w tym link do procedur dotyczących ulg dla niektórych byłych obywateli USA): </w:t>
      </w:r>
    </w:p>
    <w:p w14:paraId="7D6564B4" w14:textId="77CA6135" w:rsidR="00E50CF6" w:rsidRPr="00263672" w:rsidRDefault="001A06A5" w:rsidP="00E50CF6">
      <w:pPr>
        <w:pStyle w:val="Akapitzlist"/>
        <w:spacing w:before="120" w:after="120"/>
        <w:ind w:left="714"/>
        <w:contextualSpacing w:val="0"/>
        <w:rPr>
          <w:rFonts w:ascii="Lato" w:hAnsi="Lato" w:cstheme="minorHAnsi"/>
          <w:szCs w:val="24"/>
        </w:rPr>
      </w:pPr>
      <w:hyperlink r:id="rId13" w:history="1">
        <w:r w:rsidR="00E50CF6" w:rsidRPr="00263672">
          <w:rPr>
            <w:rStyle w:val="Hipercze"/>
            <w:rFonts w:ascii="Lato" w:hAnsi="Lato" w:cstheme="minorHAnsi"/>
            <w:color w:val="0070C0"/>
            <w:szCs w:val="24"/>
          </w:rPr>
          <w:t>https://travel.state.gov/content/travel/en/international-travel/while-abroad/Joint-Foreign-Account-Tax-Compliance-FATCA-FAQ.html</w:t>
        </w:r>
      </w:hyperlink>
      <w:r w:rsidR="00E50CF6" w:rsidRPr="00263672">
        <w:rPr>
          <w:rFonts w:ascii="Lato" w:hAnsi="Lato" w:cstheme="minorHAnsi"/>
          <w:szCs w:val="24"/>
        </w:rPr>
        <w:t>;</w:t>
      </w:r>
    </w:p>
    <w:p w14:paraId="35D54A39" w14:textId="77777777" w:rsidR="00E50CF6" w:rsidRPr="00263672" w:rsidRDefault="00E50CF6" w:rsidP="00551D6E">
      <w:pPr>
        <w:pStyle w:val="Akapitzlist"/>
        <w:numPr>
          <w:ilvl w:val="0"/>
          <w:numId w:val="19"/>
        </w:numPr>
        <w:spacing w:before="120" w:after="120"/>
        <w:contextualSpacing w:val="0"/>
        <w:rPr>
          <w:rFonts w:ascii="Lato" w:hAnsi="Lato" w:cstheme="minorHAnsi"/>
          <w:szCs w:val="24"/>
        </w:rPr>
      </w:pPr>
      <w:r w:rsidRPr="00263672">
        <w:rPr>
          <w:rFonts w:ascii="Lato" w:hAnsi="Lato" w:cstheme="minorHAnsi"/>
          <w:szCs w:val="24"/>
        </w:rPr>
        <w:t>kopię najczęściej zadawanych pytań (opisanych powyżej) oraz:</w:t>
      </w:r>
    </w:p>
    <w:p w14:paraId="528D37DC" w14:textId="77777777" w:rsidR="00E50CF6" w:rsidRPr="00263672" w:rsidRDefault="00E50CF6" w:rsidP="00551D6E">
      <w:pPr>
        <w:pStyle w:val="Akapitzlist"/>
        <w:numPr>
          <w:ilvl w:val="0"/>
          <w:numId w:val="13"/>
        </w:numPr>
        <w:spacing w:before="120" w:after="120"/>
        <w:contextualSpacing w:val="0"/>
        <w:rPr>
          <w:rFonts w:ascii="Lato" w:hAnsi="Lato" w:cstheme="minorHAnsi"/>
          <w:szCs w:val="24"/>
        </w:rPr>
      </w:pPr>
      <w:r w:rsidRPr="00263672">
        <w:rPr>
          <w:rFonts w:ascii="Lato" w:hAnsi="Lato" w:cstheme="minorHAnsi"/>
          <w:szCs w:val="24"/>
        </w:rPr>
        <w:t>kopię procedur pomocy przewidzianych dla niektórych byłych obywateli USA, lub</w:t>
      </w:r>
    </w:p>
    <w:p w14:paraId="0EA4D3E2" w14:textId="77777777" w:rsidR="00E50CF6" w:rsidRPr="00263672" w:rsidRDefault="00E50CF6" w:rsidP="00551D6E">
      <w:pPr>
        <w:pStyle w:val="Akapitzlist"/>
        <w:numPr>
          <w:ilvl w:val="0"/>
          <w:numId w:val="13"/>
        </w:numPr>
        <w:spacing w:before="120" w:after="120"/>
        <w:contextualSpacing w:val="0"/>
        <w:rPr>
          <w:rFonts w:ascii="Lato" w:hAnsi="Lato" w:cstheme="minorHAnsi"/>
          <w:szCs w:val="24"/>
        </w:rPr>
      </w:pPr>
      <w:r w:rsidRPr="00263672">
        <w:rPr>
          <w:rFonts w:ascii="Lato" w:hAnsi="Lato" w:cstheme="minorHAnsi"/>
          <w:szCs w:val="24"/>
        </w:rPr>
        <w:t xml:space="preserve">adres strony internetowej, gdzie zamieszczone są te procedury: </w:t>
      </w:r>
    </w:p>
    <w:p w14:paraId="64613A39" w14:textId="4B856CA8" w:rsidR="00E50CF6" w:rsidRPr="00263672" w:rsidRDefault="001A06A5" w:rsidP="00E50CF6">
      <w:pPr>
        <w:pStyle w:val="Akapitzlist"/>
        <w:spacing w:before="120" w:after="120"/>
        <w:ind w:left="1440"/>
        <w:rPr>
          <w:rFonts w:ascii="Lato" w:hAnsi="Lato" w:cstheme="minorHAnsi"/>
          <w:szCs w:val="24"/>
        </w:rPr>
      </w:pPr>
      <w:hyperlink r:id="rId14" w:history="1">
        <w:r w:rsidR="00E50CF6" w:rsidRPr="00263672">
          <w:rPr>
            <w:rStyle w:val="Hipercze"/>
            <w:rFonts w:ascii="Lato" w:hAnsi="Lato" w:cstheme="minorHAnsi"/>
            <w:color w:val="0070C0"/>
            <w:szCs w:val="24"/>
          </w:rPr>
          <w:t>https://www.irs.gov/individuals/international-taxpayers/relief-procedures-for-certain-former-citizens</w:t>
        </w:r>
      </w:hyperlink>
      <w:r w:rsidR="00E50CF6" w:rsidRPr="00263672">
        <w:rPr>
          <w:rFonts w:ascii="Lato" w:hAnsi="Lato" w:cstheme="minorHAnsi"/>
          <w:szCs w:val="24"/>
        </w:rPr>
        <w:t>.</w:t>
      </w:r>
    </w:p>
    <w:p w14:paraId="01039499" w14:textId="13E6F89A" w:rsidR="00E50CF6" w:rsidRPr="00263672" w:rsidRDefault="00E50CF6" w:rsidP="00E50CF6">
      <w:pPr>
        <w:spacing w:before="120" w:after="120"/>
        <w:jc w:val="both"/>
        <w:rPr>
          <w:rFonts w:ascii="Lato" w:hAnsi="Lato" w:cstheme="minorHAnsi"/>
          <w:sz w:val="24"/>
          <w:szCs w:val="24"/>
        </w:rPr>
      </w:pPr>
      <w:r w:rsidRPr="00263672">
        <w:rPr>
          <w:rFonts w:ascii="Lato" w:hAnsi="Lato" w:cstheme="minorHAnsi"/>
          <w:sz w:val="24"/>
          <w:szCs w:val="24"/>
        </w:rPr>
        <w:t>Zgodnie z sekcją 3.0</w:t>
      </w:r>
      <w:r w:rsidR="0035165D" w:rsidRPr="00263672">
        <w:rPr>
          <w:rFonts w:ascii="Lato" w:hAnsi="Lato" w:cstheme="minorHAnsi"/>
          <w:sz w:val="24"/>
          <w:szCs w:val="24"/>
        </w:rPr>
        <w:t>3 Zawiadomienia,</w:t>
      </w:r>
      <w:r w:rsidRPr="00263672">
        <w:rPr>
          <w:rFonts w:ascii="Lato" w:hAnsi="Lato" w:cstheme="minorHAnsi"/>
          <w:sz w:val="24"/>
          <w:szCs w:val="24"/>
        </w:rPr>
        <w:t xml:space="preserve"> raportująca instytucja finansowa musi przechowywać</w:t>
      </w:r>
      <w:r w:rsidR="0035165D" w:rsidRPr="00263672">
        <w:rPr>
          <w:rFonts w:ascii="Lato" w:hAnsi="Lato" w:cstheme="minorHAnsi"/>
          <w:sz w:val="24"/>
          <w:szCs w:val="24"/>
        </w:rPr>
        <w:t xml:space="preserve"> </w:t>
      </w:r>
      <w:r w:rsidRPr="00263672">
        <w:rPr>
          <w:rFonts w:ascii="Lato" w:hAnsi="Lato" w:cstheme="minorHAnsi"/>
          <w:sz w:val="24"/>
          <w:szCs w:val="24"/>
        </w:rPr>
        <w:t xml:space="preserve">dokumentację polityk i procedur przyjętych w celu spełnienia tego wymogu oraz dokumentację potwierdzającą, że te polityki i procedury były przestrzegane, w celu ustalenia zgodności z wymogami </w:t>
      </w:r>
      <w:r w:rsidR="00C441E9" w:rsidRPr="00263672">
        <w:rPr>
          <w:rFonts w:ascii="Lato" w:hAnsi="Lato" w:cstheme="minorHAnsi"/>
          <w:sz w:val="24"/>
          <w:szCs w:val="24"/>
        </w:rPr>
        <w:t>Zawiadomienia</w:t>
      </w:r>
      <w:r w:rsidRPr="00263672">
        <w:rPr>
          <w:rFonts w:ascii="Lato" w:hAnsi="Lato" w:cstheme="minorHAnsi"/>
          <w:sz w:val="24"/>
          <w:szCs w:val="24"/>
        </w:rPr>
        <w:t xml:space="preserve"> – do końca roku kalendarzowego </w:t>
      </w:r>
      <w:r w:rsidR="00C441E9" w:rsidRPr="00263672">
        <w:rPr>
          <w:rFonts w:ascii="Lato" w:hAnsi="Lato" w:cstheme="minorHAnsi"/>
          <w:sz w:val="24"/>
          <w:szCs w:val="24"/>
        </w:rPr>
        <w:t>2031</w:t>
      </w:r>
      <w:r w:rsidRPr="00263672">
        <w:rPr>
          <w:rFonts w:ascii="Lato" w:hAnsi="Lato" w:cstheme="minorHAnsi"/>
          <w:sz w:val="24"/>
          <w:szCs w:val="24"/>
        </w:rPr>
        <w:t>.</w:t>
      </w:r>
    </w:p>
    <w:p w14:paraId="39659FEB" w14:textId="6CA0E8F9" w:rsidR="000258D8" w:rsidRPr="00263672" w:rsidRDefault="00C441E9" w:rsidP="00E1749A">
      <w:pPr>
        <w:spacing w:before="120" w:after="120"/>
        <w:jc w:val="both"/>
        <w:rPr>
          <w:rFonts w:ascii="Lato" w:hAnsi="Lato" w:cs="Times New Roman"/>
          <w:sz w:val="24"/>
          <w:szCs w:val="24"/>
        </w:rPr>
      </w:pPr>
      <w:r w:rsidRPr="00263672">
        <w:rPr>
          <w:rFonts w:ascii="Lato" w:hAnsi="Lato" w:cs="Times New Roman"/>
          <w:b/>
          <w:bCs/>
          <w:sz w:val="24"/>
          <w:szCs w:val="24"/>
          <w:u w:val="single"/>
        </w:rPr>
        <w:t>WAŻNE:</w:t>
      </w:r>
      <w:r w:rsidRPr="00263672">
        <w:rPr>
          <w:rFonts w:ascii="Lato" w:hAnsi="Lato" w:cs="Times New Roman"/>
          <w:sz w:val="24"/>
          <w:szCs w:val="24"/>
        </w:rPr>
        <w:t xml:space="preserve"> aby uzyskać ulgę opisaną w Zawiadomieniu 2024-78, instytucja finansowa musi również przechowywać do 2031 r. wszelkie rejestry lub dokumenty sporządzone </w:t>
      </w:r>
      <w:r w:rsidR="00263672">
        <w:rPr>
          <w:rFonts w:ascii="Lato" w:hAnsi="Lato" w:cs="Times New Roman"/>
          <w:sz w:val="24"/>
          <w:szCs w:val="24"/>
        </w:rPr>
        <w:br/>
      </w:r>
      <w:r w:rsidRPr="00263672">
        <w:rPr>
          <w:rFonts w:ascii="Lato" w:hAnsi="Lato" w:cs="Times New Roman"/>
          <w:sz w:val="24"/>
          <w:szCs w:val="24"/>
        </w:rPr>
        <w:t xml:space="preserve">w poprzednich latach w celu uzyskania ulgi na podstawie Zawiadomienia 2023-11, </w:t>
      </w:r>
      <w:r w:rsidR="00263672">
        <w:rPr>
          <w:rFonts w:ascii="Lato" w:hAnsi="Lato" w:cs="Times New Roman"/>
          <w:sz w:val="24"/>
          <w:szCs w:val="24"/>
        </w:rPr>
        <w:br/>
      </w:r>
      <w:r w:rsidRPr="00263672">
        <w:rPr>
          <w:rFonts w:ascii="Lato" w:hAnsi="Lato" w:cs="Times New Roman"/>
          <w:sz w:val="24"/>
          <w:szCs w:val="24"/>
        </w:rPr>
        <w:t>w zakresie, w jakim ma to zastosowanie.</w:t>
      </w:r>
    </w:p>
    <w:sectPr w:rsidR="000258D8" w:rsidRPr="00263672" w:rsidSect="000258D8">
      <w:footerReference w:type="even" r:id="rId15"/>
      <w:pgSz w:w="12240" w:h="15840" w:code="1"/>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E377" w14:textId="77777777" w:rsidR="001A06A5" w:rsidRDefault="001A06A5" w:rsidP="00985BAA">
      <w:r>
        <w:separator/>
      </w:r>
    </w:p>
  </w:endnote>
  <w:endnote w:type="continuationSeparator" w:id="0">
    <w:p w14:paraId="438AB8C0" w14:textId="77777777" w:rsidR="001A06A5" w:rsidRDefault="001A06A5" w:rsidP="0098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DEDC" w14:textId="77777777" w:rsidR="00200596" w:rsidRDefault="002005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926BB3" w14:textId="77777777" w:rsidR="00200596" w:rsidRDefault="0020059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4219" w14:textId="77777777" w:rsidR="001A06A5" w:rsidRDefault="001A06A5" w:rsidP="00985BAA">
      <w:r>
        <w:separator/>
      </w:r>
    </w:p>
  </w:footnote>
  <w:footnote w:type="continuationSeparator" w:id="0">
    <w:p w14:paraId="28FD1C53" w14:textId="77777777" w:rsidR="001A06A5" w:rsidRDefault="001A06A5" w:rsidP="00985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6DC5C3C"/>
    <w:lvl w:ilvl="0">
      <w:numFmt w:val="decimal"/>
      <w:lvlText w:val="%1."/>
      <w:lvlJc w:val="left"/>
      <w:pPr>
        <w:tabs>
          <w:tab w:val="num" w:pos="360"/>
        </w:tabs>
        <w:ind w:left="360" w:hanging="360"/>
      </w:pPr>
      <w:rPr>
        <w:rFonts w:ascii="Arial" w:hAnsi="Arial" w:hint="default"/>
        <w:b w:val="0"/>
        <w:i w:val="0"/>
        <w:color w:val="auto"/>
        <w:sz w:val="24"/>
      </w:rPr>
    </w:lvl>
    <w:lvl w:ilvl="1">
      <w:start w:val="1"/>
      <w:numFmt w:val="decimal"/>
      <w:lvlText w:val="%1.%2"/>
      <w:lvlJc w:val="left"/>
      <w:pPr>
        <w:tabs>
          <w:tab w:val="num" w:pos="0"/>
        </w:tabs>
        <w:ind w:left="0" w:firstLine="0"/>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none"/>
      <w:lvlRestart w:val="0"/>
      <w:pStyle w:val="Nagwek5"/>
      <w:suff w:val="nothing"/>
      <w:lvlText w:val=""/>
      <w:lvlJc w:val="left"/>
      <w:pPr>
        <w:ind w:left="0" w:firstLine="0"/>
      </w:pPr>
      <w:rPr>
        <w:rFonts w:hint="default"/>
      </w:rPr>
    </w:lvl>
    <w:lvl w:ilvl="5">
      <w:start w:val="1"/>
      <w:numFmt w:val="decimal"/>
      <w:pStyle w:val="Nagwek6"/>
      <w:lvlText w:val="%1.%2.%3.%4.%5.%6"/>
      <w:lvlJc w:val="left"/>
      <w:pPr>
        <w:tabs>
          <w:tab w:val="num" w:pos="108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1" w15:restartNumberingAfterBreak="0">
    <w:nsid w:val="00000019"/>
    <w:multiLevelType w:val="multilevel"/>
    <w:tmpl w:val="26F872DA"/>
    <w:name w:val="WW8Num25"/>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15:restartNumberingAfterBreak="0">
    <w:nsid w:val="01681AD1"/>
    <w:multiLevelType w:val="hybridMultilevel"/>
    <w:tmpl w:val="164E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C18BD"/>
    <w:multiLevelType w:val="hybridMultilevel"/>
    <w:tmpl w:val="642ED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417F4"/>
    <w:multiLevelType w:val="multilevel"/>
    <w:tmpl w:val="7C54085C"/>
    <w:name w:val="WW8Num2522"/>
    <w:lvl w:ilvl="0">
      <w:start w:val="5"/>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19A203BE"/>
    <w:multiLevelType w:val="hybridMultilevel"/>
    <w:tmpl w:val="856CEC3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869043B"/>
    <w:multiLevelType w:val="hybridMultilevel"/>
    <w:tmpl w:val="1F8A52A0"/>
    <w:name w:val="WW8Num296"/>
    <w:lvl w:ilvl="0" w:tplc="6FB017B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871614"/>
    <w:multiLevelType w:val="hybridMultilevel"/>
    <w:tmpl w:val="5E32212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EA40C59"/>
    <w:multiLevelType w:val="hybridMultilevel"/>
    <w:tmpl w:val="8D7EBC2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2D6764"/>
    <w:multiLevelType w:val="hybridMultilevel"/>
    <w:tmpl w:val="743823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2EB00A0"/>
    <w:multiLevelType w:val="multilevel"/>
    <w:tmpl w:val="27A0AA14"/>
    <w:name w:val="WW8Num252"/>
    <w:lvl w:ilvl="0">
      <w:start w:val="3"/>
      <w:numFmt w:val="decimal"/>
      <w:lvlText w:val="%1."/>
      <w:lvlJc w:val="left"/>
      <w:pPr>
        <w:tabs>
          <w:tab w:val="num" w:pos="0"/>
        </w:tabs>
        <w:ind w:left="450" w:hanging="450"/>
      </w:pPr>
      <w:rPr>
        <w:rFonts w:hint="default"/>
      </w:rPr>
    </w:lvl>
    <w:lvl w:ilvl="1">
      <w:start w:val="3"/>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4400072F"/>
    <w:multiLevelType w:val="hybridMultilevel"/>
    <w:tmpl w:val="642ED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7410F0"/>
    <w:multiLevelType w:val="hybridMultilevel"/>
    <w:tmpl w:val="E190CDAA"/>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3" w15:restartNumberingAfterBreak="0">
    <w:nsid w:val="4ADE6B94"/>
    <w:multiLevelType w:val="hybridMultilevel"/>
    <w:tmpl w:val="164E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8B5642"/>
    <w:multiLevelType w:val="multilevel"/>
    <w:tmpl w:val="30B02ADA"/>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pStyle w:val="Nagwek81"/>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96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5" w15:restartNumberingAfterBreak="0">
    <w:nsid w:val="4BF404B2"/>
    <w:multiLevelType w:val="hybridMultilevel"/>
    <w:tmpl w:val="D434637E"/>
    <w:name w:val="WW8Num80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BE5DE7"/>
    <w:multiLevelType w:val="multilevel"/>
    <w:tmpl w:val="61404200"/>
    <w:lvl w:ilvl="0">
      <w:start w:val="1"/>
      <w:numFmt w:val="decimal"/>
      <w:lvlText w:val="%1."/>
      <w:lvlJc w:val="left"/>
      <w:pPr>
        <w:ind w:left="360" w:hanging="360"/>
      </w:pPr>
      <w:rPr>
        <w:rFonts w:hint="default"/>
        <w:b/>
        <w:color w:val="FF0000"/>
        <w:sz w:val="28"/>
        <w:szCs w:val="28"/>
      </w:rPr>
    </w:lvl>
    <w:lvl w:ilvl="1">
      <w:start w:val="1"/>
      <w:numFmt w:val="decimal"/>
      <w:lvlText w:val="%1.%2."/>
      <w:lvlJc w:val="left"/>
      <w:pPr>
        <w:ind w:left="1567" w:hanging="432"/>
      </w:pPr>
      <w:rPr>
        <w:rFonts w:hint="default"/>
        <w:b w:val="0"/>
        <w:color w:val="FF0000"/>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color w:val="FF000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F313C1"/>
    <w:multiLevelType w:val="hybridMultilevel"/>
    <w:tmpl w:val="0290A5C6"/>
    <w:lvl w:ilvl="0" w:tplc="1D56DC54">
      <w:start w:val="1"/>
      <w:numFmt w:val="decimal"/>
      <w:pStyle w:val="Referencja"/>
      <w:lvlText w:val="[%1]"/>
      <w:lvlJc w:val="right"/>
      <w:pPr>
        <w:tabs>
          <w:tab w:val="num" w:pos="1440"/>
        </w:tabs>
        <w:ind w:left="144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3302D79"/>
    <w:multiLevelType w:val="hybridMultilevel"/>
    <w:tmpl w:val="723026A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F673084"/>
    <w:multiLevelType w:val="multilevel"/>
    <w:tmpl w:val="14FA0268"/>
    <w:lvl w:ilvl="0">
      <w:start w:val="1"/>
      <w:numFmt w:val="decimal"/>
      <w:pStyle w:val="Nagwek1"/>
      <w:lvlText w:val="%1."/>
      <w:lvlJc w:val="left"/>
      <w:pPr>
        <w:ind w:left="720" w:hanging="360"/>
      </w:pPr>
      <w:rPr>
        <w:rFonts w:hint="default"/>
      </w:rPr>
    </w:lvl>
    <w:lvl w:ilvl="1">
      <w:start w:val="1"/>
      <w:numFmt w:val="decimal"/>
      <w:lvlText w:val="%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3D05DFC"/>
    <w:multiLevelType w:val="multilevel"/>
    <w:tmpl w:val="3790E160"/>
    <w:name w:val="WW8Num143"/>
    <w:lvl w:ilvl="0">
      <w:start w:val="1"/>
      <w:numFmt w:val="decimal"/>
      <w:pStyle w:val="WyliczanieZnak"/>
      <w:lvlText w:val="%1)"/>
      <w:lvlJc w:val="left"/>
      <w:pPr>
        <w:tabs>
          <w:tab w:val="num" w:pos="5016"/>
        </w:tabs>
        <w:ind w:left="5016" w:hanging="360"/>
      </w:pPr>
      <w:rPr>
        <w:rFonts w:hint="default"/>
      </w:rPr>
    </w:lvl>
    <w:lvl w:ilvl="1">
      <w:start w:val="1"/>
      <w:numFmt w:val="decimal"/>
      <w:lvlText w:val="%2)"/>
      <w:lvlJc w:val="left"/>
      <w:pPr>
        <w:tabs>
          <w:tab w:val="num" w:pos="-1078"/>
        </w:tabs>
        <w:ind w:left="1778" w:hanging="360"/>
      </w:pPr>
      <w:rPr>
        <w:rFonts w:hint="default"/>
      </w:rPr>
    </w:lvl>
    <w:lvl w:ilvl="2">
      <w:start w:val="1"/>
      <w:numFmt w:val="lowerLetter"/>
      <w:lvlText w:val="%3)"/>
      <w:lvlJc w:val="left"/>
      <w:pPr>
        <w:tabs>
          <w:tab w:val="num" w:pos="0"/>
        </w:tabs>
        <w:ind w:left="3756" w:hanging="360"/>
      </w:pPr>
      <w:rPr>
        <w:rFonts w:eastAsia="Calibri" w:cs="Times New Roman" w:hint="default"/>
        <w:color w:val="000000"/>
      </w:rPr>
    </w:lvl>
    <w:lvl w:ilvl="3">
      <w:start w:val="1"/>
      <w:numFmt w:val="decimal"/>
      <w:lvlText w:val="%4."/>
      <w:lvlJc w:val="left"/>
      <w:pPr>
        <w:tabs>
          <w:tab w:val="num" w:pos="0"/>
        </w:tabs>
        <w:ind w:left="4296" w:hanging="360"/>
      </w:pPr>
      <w:rPr>
        <w:rFonts w:hint="default"/>
      </w:rPr>
    </w:lvl>
    <w:lvl w:ilvl="4">
      <w:start w:val="1"/>
      <w:numFmt w:val="lowerLetter"/>
      <w:lvlText w:val="%5."/>
      <w:lvlJc w:val="left"/>
      <w:pPr>
        <w:tabs>
          <w:tab w:val="num" w:pos="0"/>
        </w:tabs>
        <w:ind w:left="5016" w:hanging="360"/>
      </w:pPr>
      <w:rPr>
        <w:rFonts w:hint="default"/>
      </w:rPr>
    </w:lvl>
    <w:lvl w:ilvl="5">
      <w:start w:val="1"/>
      <w:numFmt w:val="lowerRoman"/>
      <w:lvlText w:val="%6."/>
      <w:lvlJc w:val="right"/>
      <w:pPr>
        <w:tabs>
          <w:tab w:val="num" w:pos="0"/>
        </w:tabs>
        <w:ind w:left="5736" w:hanging="180"/>
      </w:pPr>
      <w:rPr>
        <w:rFonts w:hint="default"/>
      </w:rPr>
    </w:lvl>
    <w:lvl w:ilvl="6">
      <w:start w:val="1"/>
      <w:numFmt w:val="decimal"/>
      <w:lvlText w:val="%7."/>
      <w:lvlJc w:val="left"/>
      <w:pPr>
        <w:tabs>
          <w:tab w:val="num" w:pos="0"/>
        </w:tabs>
        <w:ind w:left="6456" w:hanging="360"/>
      </w:pPr>
      <w:rPr>
        <w:rFonts w:hint="default"/>
      </w:rPr>
    </w:lvl>
    <w:lvl w:ilvl="7">
      <w:start w:val="1"/>
      <w:numFmt w:val="lowerLetter"/>
      <w:lvlText w:val="%8."/>
      <w:lvlJc w:val="left"/>
      <w:pPr>
        <w:tabs>
          <w:tab w:val="num" w:pos="0"/>
        </w:tabs>
        <w:ind w:left="7176" w:hanging="360"/>
      </w:pPr>
      <w:rPr>
        <w:rFonts w:hint="default"/>
      </w:rPr>
    </w:lvl>
    <w:lvl w:ilvl="8">
      <w:start w:val="1"/>
      <w:numFmt w:val="lowerRoman"/>
      <w:lvlText w:val="%9."/>
      <w:lvlJc w:val="right"/>
      <w:pPr>
        <w:tabs>
          <w:tab w:val="num" w:pos="0"/>
        </w:tabs>
        <w:ind w:left="7896" w:hanging="180"/>
      </w:pPr>
      <w:rPr>
        <w:rFonts w:hint="default"/>
      </w:rPr>
    </w:lvl>
  </w:abstractNum>
  <w:abstractNum w:abstractNumId="21" w15:restartNumberingAfterBreak="0">
    <w:nsid w:val="653F73B3"/>
    <w:multiLevelType w:val="hybridMultilevel"/>
    <w:tmpl w:val="CBEA4446"/>
    <w:lvl w:ilvl="0" w:tplc="9FD6666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E00898"/>
    <w:multiLevelType w:val="hybridMultilevel"/>
    <w:tmpl w:val="AED0D4D8"/>
    <w:lvl w:ilvl="0" w:tplc="A7862C60">
      <w:start w:val="1"/>
      <w:numFmt w:val="lowerLetter"/>
      <w:pStyle w:val="Uwagi1"/>
      <w:lvlText w:val="%1."/>
      <w:lvlJc w:val="left"/>
      <w:pPr>
        <w:tabs>
          <w:tab w:val="num" w:pos="387"/>
        </w:tabs>
        <w:ind w:left="3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766F1D"/>
    <w:multiLevelType w:val="multilevel"/>
    <w:tmpl w:val="C0BEAEC2"/>
    <w:name w:val="WW8Num2523"/>
    <w:lvl w:ilvl="0">
      <w:start w:val="3"/>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4" w15:restartNumberingAfterBreak="0">
    <w:nsid w:val="7FE25251"/>
    <w:multiLevelType w:val="hybridMultilevel"/>
    <w:tmpl w:val="86BAFD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7"/>
  </w:num>
  <w:num w:numId="3">
    <w:abstractNumId w:val="14"/>
  </w:num>
  <w:num w:numId="4">
    <w:abstractNumId w:val="22"/>
  </w:num>
  <w:num w:numId="5">
    <w:abstractNumId w:val="20"/>
  </w:num>
  <w:num w:numId="6">
    <w:abstractNumId w:val="19"/>
  </w:num>
  <w:num w:numId="7">
    <w:abstractNumId w:val="16"/>
  </w:num>
  <w:num w:numId="8">
    <w:abstractNumId w:val="8"/>
  </w:num>
  <w:num w:numId="9">
    <w:abstractNumId w:val="7"/>
  </w:num>
  <w:num w:numId="10">
    <w:abstractNumId w:val="5"/>
  </w:num>
  <w:num w:numId="11">
    <w:abstractNumId w:val="3"/>
  </w:num>
  <w:num w:numId="12">
    <w:abstractNumId w:val="13"/>
  </w:num>
  <w:num w:numId="13">
    <w:abstractNumId w:val="9"/>
  </w:num>
  <w:num w:numId="14">
    <w:abstractNumId w:val="24"/>
  </w:num>
  <w:num w:numId="15">
    <w:abstractNumId w:val="12"/>
  </w:num>
  <w:num w:numId="16">
    <w:abstractNumId w:val="18"/>
  </w:num>
  <w:num w:numId="17">
    <w:abstractNumId w:val="21"/>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BAA"/>
    <w:rsid w:val="00000DC8"/>
    <w:rsid w:val="00001097"/>
    <w:rsid w:val="00006109"/>
    <w:rsid w:val="0000632D"/>
    <w:rsid w:val="00006D3A"/>
    <w:rsid w:val="000074CB"/>
    <w:rsid w:val="00012E13"/>
    <w:rsid w:val="00013D90"/>
    <w:rsid w:val="0001474D"/>
    <w:rsid w:val="00014EEB"/>
    <w:rsid w:val="0001652B"/>
    <w:rsid w:val="00017C13"/>
    <w:rsid w:val="000258D8"/>
    <w:rsid w:val="00026182"/>
    <w:rsid w:val="00033792"/>
    <w:rsid w:val="00036DCD"/>
    <w:rsid w:val="00037061"/>
    <w:rsid w:val="00041DAF"/>
    <w:rsid w:val="00042767"/>
    <w:rsid w:val="00047AB0"/>
    <w:rsid w:val="000519A9"/>
    <w:rsid w:val="000553F8"/>
    <w:rsid w:val="00056549"/>
    <w:rsid w:val="00057FB2"/>
    <w:rsid w:val="00060899"/>
    <w:rsid w:val="00063830"/>
    <w:rsid w:val="0006429A"/>
    <w:rsid w:val="000729A7"/>
    <w:rsid w:val="00080EED"/>
    <w:rsid w:val="00086FB8"/>
    <w:rsid w:val="000876D0"/>
    <w:rsid w:val="000935AC"/>
    <w:rsid w:val="00094553"/>
    <w:rsid w:val="000A019C"/>
    <w:rsid w:val="000A0B06"/>
    <w:rsid w:val="000A40D1"/>
    <w:rsid w:val="000B7418"/>
    <w:rsid w:val="000C2991"/>
    <w:rsid w:val="000C4600"/>
    <w:rsid w:val="000C689E"/>
    <w:rsid w:val="000C6CB7"/>
    <w:rsid w:val="000D495F"/>
    <w:rsid w:val="000D4B8B"/>
    <w:rsid w:val="000D54AE"/>
    <w:rsid w:val="000D6416"/>
    <w:rsid w:val="000E071F"/>
    <w:rsid w:val="000E4A09"/>
    <w:rsid w:val="000E5A7D"/>
    <w:rsid w:val="000E7E44"/>
    <w:rsid w:val="000F7346"/>
    <w:rsid w:val="00100F41"/>
    <w:rsid w:val="001038CE"/>
    <w:rsid w:val="00106150"/>
    <w:rsid w:val="00112446"/>
    <w:rsid w:val="00112813"/>
    <w:rsid w:val="00113C6F"/>
    <w:rsid w:val="00114CFD"/>
    <w:rsid w:val="001171FA"/>
    <w:rsid w:val="00123CC7"/>
    <w:rsid w:val="00126092"/>
    <w:rsid w:val="0013260B"/>
    <w:rsid w:val="00134075"/>
    <w:rsid w:val="00144742"/>
    <w:rsid w:val="001448DA"/>
    <w:rsid w:val="0014731C"/>
    <w:rsid w:val="0015176B"/>
    <w:rsid w:val="001628C3"/>
    <w:rsid w:val="0016775C"/>
    <w:rsid w:val="001701F8"/>
    <w:rsid w:val="00171B4E"/>
    <w:rsid w:val="001720E4"/>
    <w:rsid w:val="00172ABA"/>
    <w:rsid w:val="00176858"/>
    <w:rsid w:val="00182FD7"/>
    <w:rsid w:val="00185ACD"/>
    <w:rsid w:val="00186C2A"/>
    <w:rsid w:val="00194D8C"/>
    <w:rsid w:val="00194FC6"/>
    <w:rsid w:val="0019560C"/>
    <w:rsid w:val="00195732"/>
    <w:rsid w:val="00195FEC"/>
    <w:rsid w:val="001973C6"/>
    <w:rsid w:val="001A04BA"/>
    <w:rsid w:val="001A06A5"/>
    <w:rsid w:val="001A08E3"/>
    <w:rsid w:val="001A2741"/>
    <w:rsid w:val="001A3760"/>
    <w:rsid w:val="001A411A"/>
    <w:rsid w:val="001A57DC"/>
    <w:rsid w:val="001A65FC"/>
    <w:rsid w:val="001A6CB3"/>
    <w:rsid w:val="001A6F11"/>
    <w:rsid w:val="001A79F1"/>
    <w:rsid w:val="001B166B"/>
    <w:rsid w:val="001B2936"/>
    <w:rsid w:val="001B5FBE"/>
    <w:rsid w:val="001C0F20"/>
    <w:rsid w:val="001C51F6"/>
    <w:rsid w:val="001D0EB6"/>
    <w:rsid w:val="001D2E70"/>
    <w:rsid w:val="001D335D"/>
    <w:rsid w:val="001D3455"/>
    <w:rsid w:val="001E0EE3"/>
    <w:rsid w:val="001F5EFE"/>
    <w:rsid w:val="001F63A5"/>
    <w:rsid w:val="001F7556"/>
    <w:rsid w:val="00200596"/>
    <w:rsid w:val="00201B25"/>
    <w:rsid w:val="00207395"/>
    <w:rsid w:val="002079C7"/>
    <w:rsid w:val="00207ED4"/>
    <w:rsid w:val="00213610"/>
    <w:rsid w:val="002146CC"/>
    <w:rsid w:val="00214DAE"/>
    <w:rsid w:val="0021750B"/>
    <w:rsid w:val="002176CC"/>
    <w:rsid w:val="0021786E"/>
    <w:rsid w:val="00221F4C"/>
    <w:rsid w:val="002251E7"/>
    <w:rsid w:val="0022735E"/>
    <w:rsid w:val="00233517"/>
    <w:rsid w:val="002341FC"/>
    <w:rsid w:val="00235BAB"/>
    <w:rsid w:val="00236999"/>
    <w:rsid w:val="002402DE"/>
    <w:rsid w:val="00240886"/>
    <w:rsid w:val="00240AA7"/>
    <w:rsid w:val="00242753"/>
    <w:rsid w:val="00243FF0"/>
    <w:rsid w:val="00244D57"/>
    <w:rsid w:val="00244E0C"/>
    <w:rsid w:val="002451AC"/>
    <w:rsid w:val="00252814"/>
    <w:rsid w:val="002535F6"/>
    <w:rsid w:val="00255365"/>
    <w:rsid w:val="00255905"/>
    <w:rsid w:val="00262952"/>
    <w:rsid w:val="00263297"/>
    <w:rsid w:val="00263672"/>
    <w:rsid w:val="0026513D"/>
    <w:rsid w:val="00266720"/>
    <w:rsid w:val="00267916"/>
    <w:rsid w:val="002717D8"/>
    <w:rsid w:val="002743FF"/>
    <w:rsid w:val="00282FE4"/>
    <w:rsid w:val="00283287"/>
    <w:rsid w:val="00283A58"/>
    <w:rsid w:val="0028402E"/>
    <w:rsid w:val="0028761F"/>
    <w:rsid w:val="00290003"/>
    <w:rsid w:val="002920E9"/>
    <w:rsid w:val="0029514A"/>
    <w:rsid w:val="002952B2"/>
    <w:rsid w:val="002968F3"/>
    <w:rsid w:val="002A0604"/>
    <w:rsid w:val="002A15AF"/>
    <w:rsid w:val="002A1678"/>
    <w:rsid w:val="002A33A5"/>
    <w:rsid w:val="002B04B2"/>
    <w:rsid w:val="002B4124"/>
    <w:rsid w:val="002C068D"/>
    <w:rsid w:val="002C2DC7"/>
    <w:rsid w:val="002D1C35"/>
    <w:rsid w:val="002D5CA0"/>
    <w:rsid w:val="002D6AB5"/>
    <w:rsid w:val="002D6E58"/>
    <w:rsid w:val="002E26B3"/>
    <w:rsid w:val="002E5FEA"/>
    <w:rsid w:val="002F54B5"/>
    <w:rsid w:val="00300071"/>
    <w:rsid w:val="00305E0F"/>
    <w:rsid w:val="00306FAD"/>
    <w:rsid w:val="00307EF4"/>
    <w:rsid w:val="0032133D"/>
    <w:rsid w:val="00321B5C"/>
    <w:rsid w:val="0032559D"/>
    <w:rsid w:val="003335FC"/>
    <w:rsid w:val="00341390"/>
    <w:rsid w:val="00341E37"/>
    <w:rsid w:val="00344CC8"/>
    <w:rsid w:val="00350D32"/>
    <w:rsid w:val="0035165D"/>
    <w:rsid w:val="00354F11"/>
    <w:rsid w:val="00371347"/>
    <w:rsid w:val="003717CF"/>
    <w:rsid w:val="003719BA"/>
    <w:rsid w:val="003745B6"/>
    <w:rsid w:val="00381A90"/>
    <w:rsid w:val="00383797"/>
    <w:rsid w:val="00384953"/>
    <w:rsid w:val="00384FC7"/>
    <w:rsid w:val="0039102B"/>
    <w:rsid w:val="003925EE"/>
    <w:rsid w:val="00392F66"/>
    <w:rsid w:val="00393BBB"/>
    <w:rsid w:val="0039628C"/>
    <w:rsid w:val="003965AA"/>
    <w:rsid w:val="00396979"/>
    <w:rsid w:val="00397CC6"/>
    <w:rsid w:val="003A1285"/>
    <w:rsid w:val="003A4F51"/>
    <w:rsid w:val="003B2496"/>
    <w:rsid w:val="003B3B55"/>
    <w:rsid w:val="003B4A5D"/>
    <w:rsid w:val="003C1DD5"/>
    <w:rsid w:val="003C3B2A"/>
    <w:rsid w:val="003C53A6"/>
    <w:rsid w:val="003C7447"/>
    <w:rsid w:val="003D0F8E"/>
    <w:rsid w:val="003D1CA3"/>
    <w:rsid w:val="003D3C5F"/>
    <w:rsid w:val="003D4B93"/>
    <w:rsid w:val="003E085A"/>
    <w:rsid w:val="003E38F1"/>
    <w:rsid w:val="003E6427"/>
    <w:rsid w:val="003E64AF"/>
    <w:rsid w:val="003F3165"/>
    <w:rsid w:val="0040237F"/>
    <w:rsid w:val="0041098A"/>
    <w:rsid w:val="00414F36"/>
    <w:rsid w:val="00416E96"/>
    <w:rsid w:val="00424D7B"/>
    <w:rsid w:val="00433097"/>
    <w:rsid w:val="004416BA"/>
    <w:rsid w:val="0044425E"/>
    <w:rsid w:val="00446153"/>
    <w:rsid w:val="0044666D"/>
    <w:rsid w:val="00446CF4"/>
    <w:rsid w:val="00451D23"/>
    <w:rsid w:val="004568F5"/>
    <w:rsid w:val="00462C3D"/>
    <w:rsid w:val="00462FD1"/>
    <w:rsid w:val="00475B3F"/>
    <w:rsid w:val="00480B18"/>
    <w:rsid w:val="004832CF"/>
    <w:rsid w:val="00487E41"/>
    <w:rsid w:val="00491BD8"/>
    <w:rsid w:val="004A123B"/>
    <w:rsid w:val="004A73D7"/>
    <w:rsid w:val="004B2D17"/>
    <w:rsid w:val="004B3D08"/>
    <w:rsid w:val="004B5B97"/>
    <w:rsid w:val="004C3236"/>
    <w:rsid w:val="004C4658"/>
    <w:rsid w:val="004C4EE1"/>
    <w:rsid w:val="004D0E35"/>
    <w:rsid w:val="004D15CB"/>
    <w:rsid w:val="004D2853"/>
    <w:rsid w:val="004D7A98"/>
    <w:rsid w:val="004E1E12"/>
    <w:rsid w:val="004E3957"/>
    <w:rsid w:val="004E7076"/>
    <w:rsid w:val="004F03C1"/>
    <w:rsid w:val="004F45FF"/>
    <w:rsid w:val="004F6ABD"/>
    <w:rsid w:val="004F6D4F"/>
    <w:rsid w:val="00500E77"/>
    <w:rsid w:val="00502695"/>
    <w:rsid w:val="00502B44"/>
    <w:rsid w:val="005051D6"/>
    <w:rsid w:val="00507FC6"/>
    <w:rsid w:val="00511124"/>
    <w:rsid w:val="00513CE3"/>
    <w:rsid w:val="00514B47"/>
    <w:rsid w:val="00517AA3"/>
    <w:rsid w:val="00522A6C"/>
    <w:rsid w:val="005246CE"/>
    <w:rsid w:val="005334D9"/>
    <w:rsid w:val="005346A4"/>
    <w:rsid w:val="00543570"/>
    <w:rsid w:val="00543C27"/>
    <w:rsid w:val="00545F4B"/>
    <w:rsid w:val="00545F5B"/>
    <w:rsid w:val="0054649A"/>
    <w:rsid w:val="005471F1"/>
    <w:rsid w:val="00547FA0"/>
    <w:rsid w:val="00550C0D"/>
    <w:rsid w:val="005514AC"/>
    <w:rsid w:val="005519DB"/>
    <w:rsid w:val="00551D6E"/>
    <w:rsid w:val="005521FF"/>
    <w:rsid w:val="00556F0F"/>
    <w:rsid w:val="00556F32"/>
    <w:rsid w:val="00560EF8"/>
    <w:rsid w:val="00572172"/>
    <w:rsid w:val="00572FC5"/>
    <w:rsid w:val="00575308"/>
    <w:rsid w:val="00575C49"/>
    <w:rsid w:val="00577480"/>
    <w:rsid w:val="00577933"/>
    <w:rsid w:val="00580251"/>
    <w:rsid w:val="0058307E"/>
    <w:rsid w:val="00583CC5"/>
    <w:rsid w:val="00585B8D"/>
    <w:rsid w:val="00585C11"/>
    <w:rsid w:val="0059077D"/>
    <w:rsid w:val="00591488"/>
    <w:rsid w:val="00591542"/>
    <w:rsid w:val="00592202"/>
    <w:rsid w:val="005A3AA4"/>
    <w:rsid w:val="005A4491"/>
    <w:rsid w:val="005B15D5"/>
    <w:rsid w:val="005B4BAA"/>
    <w:rsid w:val="005B4CCD"/>
    <w:rsid w:val="005B7848"/>
    <w:rsid w:val="005C30F6"/>
    <w:rsid w:val="005D2945"/>
    <w:rsid w:val="005D29CC"/>
    <w:rsid w:val="005D337D"/>
    <w:rsid w:val="005D40A8"/>
    <w:rsid w:val="005D5734"/>
    <w:rsid w:val="005D5A26"/>
    <w:rsid w:val="005E0D43"/>
    <w:rsid w:val="005E2055"/>
    <w:rsid w:val="005E3B2B"/>
    <w:rsid w:val="005E40B3"/>
    <w:rsid w:val="005F03FF"/>
    <w:rsid w:val="005F0BE7"/>
    <w:rsid w:val="005F3207"/>
    <w:rsid w:val="00600A7D"/>
    <w:rsid w:val="006024F3"/>
    <w:rsid w:val="00602A08"/>
    <w:rsid w:val="00603611"/>
    <w:rsid w:val="00604B6F"/>
    <w:rsid w:val="006051E4"/>
    <w:rsid w:val="00607AF7"/>
    <w:rsid w:val="00611DAF"/>
    <w:rsid w:val="00612ABB"/>
    <w:rsid w:val="00612CF2"/>
    <w:rsid w:val="0061477A"/>
    <w:rsid w:val="00615315"/>
    <w:rsid w:val="00615BF5"/>
    <w:rsid w:val="006160DA"/>
    <w:rsid w:val="00621E7E"/>
    <w:rsid w:val="00624B12"/>
    <w:rsid w:val="00625E5F"/>
    <w:rsid w:val="00632AA9"/>
    <w:rsid w:val="00634973"/>
    <w:rsid w:val="006401DB"/>
    <w:rsid w:val="00640C21"/>
    <w:rsid w:val="006419C4"/>
    <w:rsid w:val="00642AA2"/>
    <w:rsid w:val="0064349B"/>
    <w:rsid w:val="00645D55"/>
    <w:rsid w:val="006466A4"/>
    <w:rsid w:val="00646FA3"/>
    <w:rsid w:val="00655A3E"/>
    <w:rsid w:val="00655BB2"/>
    <w:rsid w:val="00660DC9"/>
    <w:rsid w:val="00661FFB"/>
    <w:rsid w:val="00662933"/>
    <w:rsid w:val="00663C49"/>
    <w:rsid w:val="006642D8"/>
    <w:rsid w:val="0067055C"/>
    <w:rsid w:val="006708E9"/>
    <w:rsid w:val="0067202E"/>
    <w:rsid w:val="006774E4"/>
    <w:rsid w:val="006809E1"/>
    <w:rsid w:val="00690683"/>
    <w:rsid w:val="006972E8"/>
    <w:rsid w:val="006A2038"/>
    <w:rsid w:val="006A6559"/>
    <w:rsid w:val="006A702D"/>
    <w:rsid w:val="006A7275"/>
    <w:rsid w:val="006A774B"/>
    <w:rsid w:val="006B005B"/>
    <w:rsid w:val="006B0F64"/>
    <w:rsid w:val="006B3514"/>
    <w:rsid w:val="006B5777"/>
    <w:rsid w:val="006C2FFE"/>
    <w:rsid w:val="006C4796"/>
    <w:rsid w:val="006D2FDA"/>
    <w:rsid w:val="006D44D3"/>
    <w:rsid w:val="006D5859"/>
    <w:rsid w:val="006E04BC"/>
    <w:rsid w:val="006E0ED2"/>
    <w:rsid w:val="006E5A11"/>
    <w:rsid w:val="006E7ADF"/>
    <w:rsid w:val="006E7FB6"/>
    <w:rsid w:val="006F11ED"/>
    <w:rsid w:val="006F136F"/>
    <w:rsid w:val="006F3776"/>
    <w:rsid w:val="006F44D2"/>
    <w:rsid w:val="006F5E8B"/>
    <w:rsid w:val="006F7426"/>
    <w:rsid w:val="0070012C"/>
    <w:rsid w:val="00700748"/>
    <w:rsid w:val="00700A0F"/>
    <w:rsid w:val="00702409"/>
    <w:rsid w:val="00702C3C"/>
    <w:rsid w:val="00703302"/>
    <w:rsid w:val="00707044"/>
    <w:rsid w:val="00714E7C"/>
    <w:rsid w:val="0071693B"/>
    <w:rsid w:val="00720BAC"/>
    <w:rsid w:val="007211EC"/>
    <w:rsid w:val="00726FB7"/>
    <w:rsid w:val="00733D25"/>
    <w:rsid w:val="007363B1"/>
    <w:rsid w:val="0073753B"/>
    <w:rsid w:val="00737BFF"/>
    <w:rsid w:val="00740C4E"/>
    <w:rsid w:val="007411A9"/>
    <w:rsid w:val="0074129D"/>
    <w:rsid w:val="007449B4"/>
    <w:rsid w:val="007507CE"/>
    <w:rsid w:val="00757114"/>
    <w:rsid w:val="00757BCE"/>
    <w:rsid w:val="00761ED8"/>
    <w:rsid w:val="00762828"/>
    <w:rsid w:val="00762941"/>
    <w:rsid w:val="00764D2E"/>
    <w:rsid w:val="00765697"/>
    <w:rsid w:val="00765AE5"/>
    <w:rsid w:val="00766AE3"/>
    <w:rsid w:val="00770536"/>
    <w:rsid w:val="007756C7"/>
    <w:rsid w:val="0077693B"/>
    <w:rsid w:val="00777DA7"/>
    <w:rsid w:val="007825BC"/>
    <w:rsid w:val="00783269"/>
    <w:rsid w:val="007837B5"/>
    <w:rsid w:val="00784018"/>
    <w:rsid w:val="007849A1"/>
    <w:rsid w:val="007860DA"/>
    <w:rsid w:val="00790BFC"/>
    <w:rsid w:val="0079205D"/>
    <w:rsid w:val="0079762F"/>
    <w:rsid w:val="007A2729"/>
    <w:rsid w:val="007A2DE9"/>
    <w:rsid w:val="007A423D"/>
    <w:rsid w:val="007A6E28"/>
    <w:rsid w:val="007B3624"/>
    <w:rsid w:val="007B3D6E"/>
    <w:rsid w:val="007B53C3"/>
    <w:rsid w:val="007B75A8"/>
    <w:rsid w:val="007C2310"/>
    <w:rsid w:val="007C39E0"/>
    <w:rsid w:val="007C5C8F"/>
    <w:rsid w:val="007C657F"/>
    <w:rsid w:val="007C690F"/>
    <w:rsid w:val="007D0951"/>
    <w:rsid w:val="007D4BBD"/>
    <w:rsid w:val="007D5267"/>
    <w:rsid w:val="007E20BF"/>
    <w:rsid w:val="007E7889"/>
    <w:rsid w:val="007E7FF4"/>
    <w:rsid w:val="007F595B"/>
    <w:rsid w:val="00800CE9"/>
    <w:rsid w:val="008018EC"/>
    <w:rsid w:val="008047D7"/>
    <w:rsid w:val="00810230"/>
    <w:rsid w:val="00812B33"/>
    <w:rsid w:val="0081647A"/>
    <w:rsid w:val="008170AF"/>
    <w:rsid w:val="0082290D"/>
    <w:rsid w:val="00823D81"/>
    <w:rsid w:val="00823F65"/>
    <w:rsid w:val="008244AE"/>
    <w:rsid w:val="00824978"/>
    <w:rsid w:val="00826484"/>
    <w:rsid w:val="00827296"/>
    <w:rsid w:val="008309F6"/>
    <w:rsid w:val="00841E9B"/>
    <w:rsid w:val="008441CF"/>
    <w:rsid w:val="00844EA8"/>
    <w:rsid w:val="00846F98"/>
    <w:rsid w:val="00851C6C"/>
    <w:rsid w:val="008553BC"/>
    <w:rsid w:val="008557FB"/>
    <w:rsid w:val="00856434"/>
    <w:rsid w:val="008617DC"/>
    <w:rsid w:val="0086197E"/>
    <w:rsid w:val="00861DA1"/>
    <w:rsid w:val="008622B1"/>
    <w:rsid w:val="00864CDC"/>
    <w:rsid w:val="008673EF"/>
    <w:rsid w:val="008735F8"/>
    <w:rsid w:val="00873F66"/>
    <w:rsid w:val="008743FF"/>
    <w:rsid w:val="00874706"/>
    <w:rsid w:val="00875B33"/>
    <w:rsid w:val="008832E6"/>
    <w:rsid w:val="00883F70"/>
    <w:rsid w:val="00886B51"/>
    <w:rsid w:val="008905C8"/>
    <w:rsid w:val="00892C54"/>
    <w:rsid w:val="00895054"/>
    <w:rsid w:val="008952AB"/>
    <w:rsid w:val="008956F3"/>
    <w:rsid w:val="008966D0"/>
    <w:rsid w:val="008A3D0F"/>
    <w:rsid w:val="008A3DAC"/>
    <w:rsid w:val="008B25F1"/>
    <w:rsid w:val="008B3220"/>
    <w:rsid w:val="008B4138"/>
    <w:rsid w:val="008B59BF"/>
    <w:rsid w:val="008B7EAB"/>
    <w:rsid w:val="008D0E8A"/>
    <w:rsid w:val="008D133A"/>
    <w:rsid w:val="008D3A06"/>
    <w:rsid w:val="008D64C3"/>
    <w:rsid w:val="008D7735"/>
    <w:rsid w:val="008E238A"/>
    <w:rsid w:val="008E2DDD"/>
    <w:rsid w:val="008E480A"/>
    <w:rsid w:val="008E5C15"/>
    <w:rsid w:val="008F396A"/>
    <w:rsid w:val="008F3AEF"/>
    <w:rsid w:val="008F5DA0"/>
    <w:rsid w:val="008F6D54"/>
    <w:rsid w:val="008F7F27"/>
    <w:rsid w:val="00903030"/>
    <w:rsid w:val="009051FE"/>
    <w:rsid w:val="00906E8E"/>
    <w:rsid w:val="009075E7"/>
    <w:rsid w:val="009113EE"/>
    <w:rsid w:val="00914B15"/>
    <w:rsid w:val="00923DFD"/>
    <w:rsid w:val="00930155"/>
    <w:rsid w:val="00935B44"/>
    <w:rsid w:val="00936CB4"/>
    <w:rsid w:val="00937D58"/>
    <w:rsid w:val="00941B69"/>
    <w:rsid w:val="0094319D"/>
    <w:rsid w:val="009436A3"/>
    <w:rsid w:val="00946FED"/>
    <w:rsid w:val="0095151A"/>
    <w:rsid w:val="00957354"/>
    <w:rsid w:val="0095755E"/>
    <w:rsid w:val="0096241A"/>
    <w:rsid w:val="00962F0A"/>
    <w:rsid w:val="00963D09"/>
    <w:rsid w:val="00963DA4"/>
    <w:rsid w:val="00964FF0"/>
    <w:rsid w:val="00970E55"/>
    <w:rsid w:val="00972536"/>
    <w:rsid w:val="009748F7"/>
    <w:rsid w:val="00985BAA"/>
    <w:rsid w:val="009877CB"/>
    <w:rsid w:val="00987D70"/>
    <w:rsid w:val="00993D9F"/>
    <w:rsid w:val="00994833"/>
    <w:rsid w:val="009A0DF5"/>
    <w:rsid w:val="009A1D43"/>
    <w:rsid w:val="009A79E2"/>
    <w:rsid w:val="009B0B10"/>
    <w:rsid w:val="009B1741"/>
    <w:rsid w:val="009B291C"/>
    <w:rsid w:val="009C18A3"/>
    <w:rsid w:val="009C42FF"/>
    <w:rsid w:val="009C74F9"/>
    <w:rsid w:val="009C7572"/>
    <w:rsid w:val="009D0C99"/>
    <w:rsid w:val="009D2D57"/>
    <w:rsid w:val="009D620A"/>
    <w:rsid w:val="009D66E8"/>
    <w:rsid w:val="009E04A5"/>
    <w:rsid w:val="009E2949"/>
    <w:rsid w:val="009E5680"/>
    <w:rsid w:val="009F3AF2"/>
    <w:rsid w:val="00A040EF"/>
    <w:rsid w:val="00A15EDB"/>
    <w:rsid w:val="00A16E9D"/>
    <w:rsid w:val="00A209A0"/>
    <w:rsid w:val="00A21F99"/>
    <w:rsid w:val="00A22BA1"/>
    <w:rsid w:val="00A25301"/>
    <w:rsid w:val="00A26E63"/>
    <w:rsid w:val="00A307C2"/>
    <w:rsid w:val="00A33D04"/>
    <w:rsid w:val="00A3555C"/>
    <w:rsid w:val="00A3768A"/>
    <w:rsid w:val="00A42ACC"/>
    <w:rsid w:val="00A44E9A"/>
    <w:rsid w:val="00A65170"/>
    <w:rsid w:val="00A664C1"/>
    <w:rsid w:val="00A66B5C"/>
    <w:rsid w:val="00A70EC2"/>
    <w:rsid w:val="00A71286"/>
    <w:rsid w:val="00A75B4C"/>
    <w:rsid w:val="00A771B5"/>
    <w:rsid w:val="00A81744"/>
    <w:rsid w:val="00A8221D"/>
    <w:rsid w:val="00A86804"/>
    <w:rsid w:val="00A90073"/>
    <w:rsid w:val="00A95398"/>
    <w:rsid w:val="00AA120C"/>
    <w:rsid w:val="00AA244A"/>
    <w:rsid w:val="00AA3157"/>
    <w:rsid w:val="00AA488D"/>
    <w:rsid w:val="00AA52D4"/>
    <w:rsid w:val="00AA658E"/>
    <w:rsid w:val="00AA7A5F"/>
    <w:rsid w:val="00AB0A17"/>
    <w:rsid w:val="00AB7604"/>
    <w:rsid w:val="00AC291C"/>
    <w:rsid w:val="00AC292C"/>
    <w:rsid w:val="00AC51CC"/>
    <w:rsid w:val="00AC76D2"/>
    <w:rsid w:val="00AD2F9D"/>
    <w:rsid w:val="00AD3B6B"/>
    <w:rsid w:val="00AE034D"/>
    <w:rsid w:val="00AE151E"/>
    <w:rsid w:val="00AE578A"/>
    <w:rsid w:val="00AE5B39"/>
    <w:rsid w:val="00AE645A"/>
    <w:rsid w:val="00AE7941"/>
    <w:rsid w:val="00AF60E4"/>
    <w:rsid w:val="00AF6263"/>
    <w:rsid w:val="00AF6360"/>
    <w:rsid w:val="00B113ED"/>
    <w:rsid w:val="00B11CAA"/>
    <w:rsid w:val="00B11CB6"/>
    <w:rsid w:val="00B1281A"/>
    <w:rsid w:val="00B136FE"/>
    <w:rsid w:val="00B20E8F"/>
    <w:rsid w:val="00B24104"/>
    <w:rsid w:val="00B249D0"/>
    <w:rsid w:val="00B269A8"/>
    <w:rsid w:val="00B3141A"/>
    <w:rsid w:val="00B3226F"/>
    <w:rsid w:val="00B33589"/>
    <w:rsid w:val="00B455FF"/>
    <w:rsid w:val="00B47D5B"/>
    <w:rsid w:val="00B5081C"/>
    <w:rsid w:val="00B51D28"/>
    <w:rsid w:val="00B53E38"/>
    <w:rsid w:val="00B543F4"/>
    <w:rsid w:val="00B56970"/>
    <w:rsid w:val="00B57198"/>
    <w:rsid w:val="00B610CB"/>
    <w:rsid w:val="00B6142F"/>
    <w:rsid w:val="00B76871"/>
    <w:rsid w:val="00B77621"/>
    <w:rsid w:val="00B82952"/>
    <w:rsid w:val="00B87092"/>
    <w:rsid w:val="00B94523"/>
    <w:rsid w:val="00BA10E9"/>
    <w:rsid w:val="00BA4CB9"/>
    <w:rsid w:val="00BA61C4"/>
    <w:rsid w:val="00BA7FE0"/>
    <w:rsid w:val="00BB0634"/>
    <w:rsid w:val="00BC14A8"/>
    <w:rsid w:val="00BC43BC"/>
    <w:rsid w:val="00BD0B66"/>
    <w:rsid w:val="00BE1774"/>
    <w:rsid w:val="00BE209B"/>
    <w:rsid w:val="00BF1B99"/>
    <w:rsid w:val="00BF248B"/>
    <w:rsid w:val="00BF43D1"/>
    <w:rsid w:val="00C07528"/>
    <w:rsid w:val="00C140B2"/>
    <w:rsid w:val="00C219B9"/>
    <w:rsid w:val="00C222C3"/>
    <w:rsid w:val="00C266B9"/>
    <w:rsid w:val="00C27454"/>
    <w:rsid w:val="00C303E3"/>
    <w:rsid w:val="00C3455E"/>
    <w:rsid w:val="00C3481F"/>
    <w:rsid w:val="00C36CE2"/>
    <w:rsid w:val="00C441E9"/>
    <w:rsid w:val="00C44A9A"/>
    <w:rsid w:val="00C454B8"/>
    <w:rsid w:val="00C45747"/>
    <w:rsid w:val="00C46411"/>
    <w:rsid w:val="00C469CA"/>
    <w:rsid w:val="00C5352E"/>
    <w:rsid w:val="00C53EC0"/>
    <w:rsid w:val="00C5402D"/>
    <w:rsid w:val="00C5420F"/>
    <w:rsid w:val="00C5544C"/>
    <w:rsid w:val="00C60CBA"/>
    <w:rsid w:val="00C626F7"/>
    <w:rsid w:val="00C653CE"/>
    <w:rsid w:val="00C65F5C"/>
    <w:rsid w:val="00C66958"/>
    <w:rsid w:val="00C6745A"/>
    <w:rsid w:val="00C76555"/>
    <w:rsid w:val="00C772DD"/>
    <w:rsid w:val="00C7741F"/>
    <w:rsid w:val="00C77AE4"/>
    <w:rsid w:val="00C8321C"/>
    <w:rsid w:val="00C87B47"/>
    <w:rsid w:val="00C90BCD"/>
    <w:rsid w:val="00C9198C"/>
    <w:rsid w:val="00C94F70"/>
    <w:rsid w:val="00CA2A04"/>
    <w:rsid w:val="00CA3330"/>
    <w:rsid w:val="00CA5FA7"/>
    <w:rsid w:val="00CB1817"/>
    <w:rsid w:val="00CB2348"/>
    <w:rsid w:val="00CB455F"/>
    <w:rsid w:val="00CB54AF"/>
    <w:rsid w:val="00CB61AE"/>
    <w:rsid w:val="00CB6AD8"/>
    <w:rsid w:val="00CC07EE"/>
    <w:rsid w:val="00CC0A55"/>
    <w:rsid w:val="00CC1848"/>
    <w:rsid w:val="00CC397F"/>
    <w:rsid w:val="00CC60A8"/>
    <w:rsid w:val="00CC6BB2"/>
    <w:rsid w:val="00CD223D"/>
    <w:rsid w:val="00CD53F5"/>
    <w:rsid w:val="00CD67E2"/>
    <w:rsid w:val="00CE2224"/>
    <w:rsid w:val="00CE3156"/>
    <w:rsid w:val="00CE315A"/>
    <w:rsid w:val="00CF05A4"/>
    <w:rsid w:val="00CF0F2C"/>
    <w:rsid w:val="00CF13CB"/>
    <w:rsid w:val="00CF3296"/>
    <w:rsid w:val="00D04226"/>
    <w:rsid w:val="00D04E6E"/>
    <w:rsid w:val="00D13AF6"/>
    <w:rsid w:val="00D13E80"/>
    <w:rsid w:val="00D17729"/>
    <w:rsid w:val="00D207B9"/>
    <w:rsid w:val="00D2776F"/>
    <w:rsid w:val="00D320AF"/>
    <w:rsid w:val="00D32E05"/>
    <w:rsid w:val="00D371AE"/>
    <w:rsid w:val="00D40544"/>
    <w:rsid w:val="00D40CAC"/>
    <w:rsid w:val="00D53348"/>
    <w:rsid w:val="00D563BA"/>
    <w:rsid w:val="00D60CDE"/>
    <w:rsid w:val="00D61BE7"/>
    <w:rsid w:val="00D64072"/>
    <w:rsid w:val="00D7687F"/>
    <w:rsid w:val="00D83535"/>
    <w:rsid w:val="00D855AE"/>
    <w:rsid w:val="00D856E5"/>
    <w:rsid w:val="00D867A2"/>
    <w:rsid w:val="00D87DD6"/>
    <w:rsid w:val="00D901BD"/>
    <w:rsid w:val="00D915A7"/>
    <w:rsid w:val="00D91713"/>
    <w:rsid w:val="00D91D50"/>
    <w:rsid w:val="00D944A2"/>
    <w:rsid w:val="00DA35ED"/>
    <w:rsid w:val="00DB546E"/>
    <w:rsid w:val="00DB793E"/>
    <w:rsid w:val="00DC0B8B"/>
    <w:rsid w:val="00DC0E92"/>
    <w:rsid w:val="00DC1E35"/>
    <w:rsid w:val="00DC1F40"/>
    <w:rsid w:val="00DC2528"/>
    <w:rsid w:val="00DD01DE"/>
    <w:rsid w:val="00DD19D5"/>
    <w:rsid w:val="00DD27A4"/>
    <w:rsid w:val="00DD686D"/>
    <w:rsid w:val="00DE0F82"/>
    <w:rsid w:val="00DE4792"/>
    <w:rsid w:val="00DE5668"/>
    <w:rsid w:val="00DE6D76"/>
    <w:rsid w:val="00DE77C5"/>
    <w:rsid w:val="00DF0678"/>
    <w:rsid w:val="00DF46E2"/>
    <w:rsid w:val="00DF4831"/>
    <w:rsid w:val="00DF69A3"/>
    <w:rsid w:val="00E02804"/>
    <w:rsid w:val="00E03464"/>
    <w:rsid w:val="00E044FE"/>
    <w:rsid w:val="00E056BF"/>
    <w:rsid w:val="00E06C25"/>
    <w:rsid w:val="00E1345F"/>
    <w:rsid w:val="00E140A6"/>
    <w:rsid w:val="00E14FE3"/>
    <w:rsid w:val="00E15929"/>
    <w:rsid w:val="00E17010"/>
    <w:rsid w:val="00E1749A"/>
    <w:rsid w:val="00E20164"/>
    <w:rsid w:val="00E22FAC"/>
    <w:rsid w:val="00E241CF"/>
    <w:rsid w:val="00E25506"/>
    <w:rsid w:val="00E27532"/>
    <w:rsid w:val="00E30ABC"/>
    <w:rsid w:val="00E30CA8"/>
    <w:rsid w:val="00E30EC2"/>
    <w:rsid w:val="00E32D80"/>
    <w:rsid w:val="00E342D7"/>
    <w:rsid w:val="00E377EC"/>
    <w:rsid w:val="00E40F40"/>
    <w:rsid w:val="00E41BB0"/>
    <w:rsid w:val="00E46A3F"/>
    <w:rsid w:val="00E50CF6"/>
    <w:rsid w:val="00E52AF4"/>
    <w:rsid w:val="00E54FF9"/>
    <w:rsid w:val="00E5742A"/>
    <w:rsid w:val="00E60B01"/>
    <w:rsid w:val="00E6331C"/>
    <w:rsid w:val="00E64F90"/>
    <w:rsid w:val="00E65EA4"/>
    <w:rsid w:val="00E6746C"/>
    <w:rsid w:val="00E72027"/>
    <w:rsid w:val="00E73968"/>
    <w:rsid w:val="00E7713C"/>
    <w:rsid w:val="00E81AD7"/>
    <w:rsid w:val="00E875B5"/>
    <w:rsid w:val="00E91867"/>
    <w:rsid w:val="00E9359C"/>
    <w:rsid w:val="00E95588"/>
    <w:rsid w:val="00E96049"/>
    <w:rsid w:val="00EA4015"/>
    <w:rsid w:val="00EA46E4"/>
    <w:rsid w:val="00EA60D8"/>
    <w:rsid w:val="00EA6118"/>
    <w:rsid w:val="00EB3EA4"/>
    <w:rsid w:val="00EC1234"/>
    <w:rsid w:val="00EC158B"/>
    <w:rsid w:val="00EC3174"/>
    <w:rsid w:val="00ED0961"/>
    <w:rsid w:val="00ED16C1"/>
    <w:rsid w:val="00ED6ACE"/>
    <w:rsid w:val="00ED6EA2"/>
    <w:rsid w:val="00EE3758"/>
    <w:rsid w:val="00EF1B8E"/>
    <w:rsid w:val="00EF2729"/>
    <w:rsid w:val="00EF2F03"/>
    <w:rsid w:val="00EF7934"/>
    <w:rsid w:val="00F023F4"/>
    <w:rsid w:val="00F073C2"/>
    <w:rsid w:val="00F07D25"/>
    <w:rsid w:val="00F10C4A"/>
    <w:rsid w:val="00F133B4"/>
    <w:rsid w:val="00F1425F"/>
    <w:rsid w:val="00F14A1F"/>
    <w:rsid w:val="00F16061"/>
    <w:rsid w:val="00F215AB"/>
    <w:rsid w:val="00F24496"/>
    <w:rsid w:val="00F268EA"/>
    <w:rsid w:val="00F30B9E"/>
    <w:rsid w:val="00F30E68"/>
    <w:rsid w:val="00F333D4"/>
    <w:rsid w:val="00F34E0C"/>
    <w:rsid w:val="00F369F6"/>
    <w:rsid w:val="00F4015D"/>
    <w:rsid w:val="00F42DE3"/>
    <w:rsid w:val="00F44733"/>
    <w:rsid w:val="00F5271F"/>
    <w:rsid w:val="00F56B69"/>
    <w:rsid w:val="00F61F4C"/>
    <w:rsid w:val="00F66201"/>
    <w:rsid w:val="00F66407"/>
    <w:rsid w:val="00F72403"/>
    <w:rsid w:val="00F74C11"/>
    <w:rsid w:val="00F7501B"/>
    <w:rsid w:val="00F753C3"/>
    <w:rsid w:val="00F7565E"/>
    <w:rsid w:val="00F83ABE"/>
    <w:rsid w:val="00F84F73"/>
    <w:rsid w:val="00F906D1"/>
    <w:rsid w:val="00F91295"/>
    <w:rsid w:val="00F91373"/>
    <w:rsid w:val="00F93F23"/>
    <w:rsid w:val="00F95775"/>
    <w:rsid w:val="00F96C8C"/>
    <w:rsid w:val="00FA230A"/>
    <w:rsid w:val="00FA4563"/>
    <w:rsid w:val="00FB3118"/>
    <w:rsid w:val="00FB3803"/>
    <w:rsid w:val="00FB3EB6"/>
    <w:rsid w:val="00FB404C"/>
    <w:rsid w:val="00FC4145"/>
    <w:rsid w:val="00FC426B"/>
    <w:rsid w:val="00FC7DDB"/>
    <w:rsid w:val="00FD04E5"/>
    <w:rsid w:val="00FD3F04"/>
    <w:rsid w:val="00FD4F84"/>
    <w:rsid w:val="00FD58B6"/>
    <w:rsid w:val="00FD66AC"/>
    <w:rsid w:val="00FE754F"/>
    <w:rsid w:val="00FF11C4"/>
    <w:rsid w:val="00FF4B67"/>
    <w:rsid w:val="00FF5F2E"/>
    <w:rsid w:val="00FF6B5D"/>
    <w:rsid w:val="00FF7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2AA0"/>
  <w15:docId w15:val="{F068A14D-DE54-42D3-98BE-22B295BB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BAA"/>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eastAsia="pl-PL"/>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
    <w:basedOn w:val="Normalny"/>
    <w:next w:val="Normalny"/>
    <w:link w:val="Nagwek1Znak"/>
    <w:autoRedefine/>
    <w:uiPriority w:val="9"/>
    <w:qFormat/>
    <w:rsid w:val="00784018"/>
    <w:pPr>
      <w:pageBreakBefore/>
      <w:numPr>
        <w:numId w:val="6"/>
      </w:numPr>
      <w:tabs>
        <w:tab w:val="left" w:pos="709"/>
      </w:tabs>
      <w:suppressAutoHyphens/>
      <w:overflowPunct/>
      <w:autoSpaceDE/>
      <w:autoSpaceDN/>
      <w:adjustRightInd/>
      <w:jc w:val="both"/>
      <w:textAlignment w:val="auto"/>
      <w:outlineLvl w:val="0"/>
    </w:pPr>
    <w:rPr>
      <w:rFonts w:cs="Times New Roman"/>
      <w:b/>
      <w:sz w:val="28"/>
      <w:szCs w:val="28"/>
      <w:lang w:val="en-US"/>
    </w:rPr>
  </w:style>
  <w:style w:type="paragraph" w:styleId="Nagwek2">
    <w:name w:val="heading 2"/>
    <w:aliases w:val="2,Header 2,H2,UNDERRUBRIK 1-2,Level 2,Reset numbering,Abschnitt,Arial 12 Fett Kursiv,2 headline,h,H21,H22,HD2,PIM2,wally's numerowanie 1"/>
    <w:basedOn w:val="Nagwek1"/>
    <w:next w:val="Normalny"/>
    <w:link w:val="Nagwek2Znak"/>
    <w:autoRedefine/>
    <w:qFormat/>
    <w:rsid w:val="00446CF4"/>
    <w:pPr>
      <w:pageBreakBefore w:val="0"/>
      <w:numPr>
        <w:numId w:val="0"/>
      </w:numPr>
      <w:tabs>
        <w:tab w:val="left" w:pos="851"/>
      </w:tabs>
      <w:outlineLvl w:val="1"/>
    </w:pPr>
    <w:rPr>
      <w:lang w:val="pl-PL"/>
    </w:rPr>
  </w:style>
  <w:style w:type="paragraph" w:styleId="Nagwek3">
    <w:name w:val="heading 3"/>
    <w:basedOn w:val="Nagwek1"/>
    <w:next w:val="Normalny"/>
    <w:link w:val="Nagwek3Znak"/>
    <w:qFormat/>
    <w:rsid w:val="00985BAA"/>
    <w:pPr>
      <w:numPr>
        <w:ilvl w:val="2"/>
        <w:numId w:val="1"/>
      </w:numPr>
      <w:outlineLvl w:val="2"/>
    </w:pPr>
    <w:rPr>
      <w:b w:val="0"/>
      <w:i/>
      <w:sz w:val="20"/>
    </w:rPr>
  </w:style>
  <w:style w:type="paragraph" w:styleId="Nagwek4">
    <w:name w:val="heading 4"/>
    <w:basedOn w:val="Nagwek1"/>
    <w:next w:val="Normalny"/>
    <w:link w:val="Nagwek4Znak"/>
    <w:qFormat/>
    <w:rsid w:val="00985BAA"/>
    <w:pPr>
      <w:numPr>
        <w:ilvl w:val="3"/>
        <w:numId w:val="1"/>
      </w:numPr>
      <w:outlineLvl w:val="3"/>
    </w:pPr>
    <w:rPr>
      <w:b w:val="0"/>
      <w:sz w:val="20"/>
    </w:rPr>
  </w:style>
  <w:style w:type="paragraph" w:styleId="Nagwek5">
    <w:name w:val="heading 5"/>
    <w:basedOn w:val="Normalny"/>
    <w:next w:val="Normalny"/>
    <w:link w:val="Nagwek5Znak"/>
    <w:qFormat/>
    <w:rsid w:val="00985BAA"/>
    <w:pPr>
      <w:keepNext/>
      <w:numPr>
        <w:ilvl w:val="4"/>
        <w:numId w:val="1"/>
      </w:numPr>
      <w:spacing w:before="240" w:after="360"/>
      <w:outlineLvl w:val="4"/>
    </w:pPr>
    <w:rPr>
      <w:rFonts w:ascii="Arial" w:hAnsi="Arial"/>
      <w:color w:val="5E5C00"/>
      <w:u w:val="single"/>
    </w:rPr>
  </w:style>
  <w:style w:type="paragraph" w:styleId="Nagwek6">
    <w:name w:val="heading 6"/>
    <w:basedOn w:val="Normalny"/>
    <w:next w:val="Normalny"/>
    <w:link w:val="Nagwek6Znak"/>
    <w:qFormat/>
    <w:rsid w:val="00985BAA"/>
    <w:pPr>
      <w:numPr>
        <w:ilvl w:val="5"/>
        <w:numId w:val="1"/>
      </w:numPr>
      <w:spacing w:before="240" w:after="60"/>
      <w:outlineLvl w:val="5"/>
    </w:pPr>
    <w:rPr>
      <w:i/>
      <w:sz w:val="22"/>
    </w:rPr>
  </w:style>
  <w:style w:type="paragraph" w:styleId="Nagwek7">
    <w:name w:val="heading 7"/>
    <w:basedOn w:val="Normalny"/>
    <w:next w:val="Normalny"/>
    <w:link w:val="Nagwek7Znak"/>
    <w:qFormat/>
    <w:rsid w:val="00985BAA"/>
    <w:pPr>
      <w:numPr>
        <w:ilvl w:val="6"/>
        <w:numId w:val="1"/>
      </w:numPr>
      <w:spacing w:before="240" w:after="60"/>
      <w:outlineLvl w:val="6"/>
    </w:pPr>
  </w:style>
  <w:style w:type="paragraph" w:styleId="Nagwek8">
    <w:name w:val="heading 8"/>
    <w:basedOn w:val="Normalny"/>
    <w:next w:val="Normalny"/>
    <w:link w:val="Nagwek8Znak"/>
    <w:qFormat/>
    <w:rsid w:val="00985BAA"/>
    <w:pPr>
      <w:numPr>
        <w:ilvl w:val="7"/>
        <w:numId w:val="1"/>
      </w:numPr>
      <w:spacing w:before="240" w:after="60"/>
      <w:outlineLvl w:val="7"/>
    </w:pPr>
    <w:rPr>
      <w:i/>
    </w:rPr>
  </w:style>
  <w:style w:type="paragraph" w:styleId="Nagwek9">
    <w:name w:val="heading 9"/>
    <w:basedOn w:val="Normalny"/>
    <w:next w:val="Normalny"/>
    <w:link w:val="Nagwek9Znak"/>
    <w:qFormat/>
    <w:rsid w:val="00985BAA"/>
    <w:pPr>
      <w:numPr>
        <w:ilvl w:val="8"/>
        <w:numId w:val="1"/>
      </w:num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atasheet title Znak,1 Znak,h1 Znak,level 1 Znak,Level 1 Head Znak,H1 Znak,Heading AJS Znak,Section Heading Znak,Kapitel Znak,Arial 14 Fett Znak,Arial 14 Fett1 Znak,Arial 14 Fett2 Znak,Arial 16 Fett Znak,Header 1 Znak,Head 1 Znak"/>
    <w:basedOn w:val="Domylnaczcionkaakapitu"/>
    <w:link w:val="Nagwek1"/>
    <w:uiPriority w:val="9"/>
    <w:rsid w:val="00784018"/>
    <w:rPr>
      <w:rFonts w:ascii="Times New Roman" w:eastAsia="Times New Roman" w:hAnsi="Times New Roman" w:cs="Times New Roman"/>
      <w:b/>
      <w:sz w:val="28"/>
      <w:szCs w:val="28"/>
      <w:lang w:val="en-US" w:eastAsia="pl-PL"/>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
    <w:basedOn w:val="Domylnaczcionkaakapitu"/>
    <w:link w:val="Nagwek2"/>
    <w:rsid w:val="00446CF4"/>
    <w:rPr>
      <w:rFonts w:ascii="Times New Roman" w:eastAsia="Times New Roman" w:hAnsi="Times New Roman" w:cs="Times New Roman"/>
      <w:b/>
      <w:sz w:val="28"/>
      <w:szCs w:val="28"/>
      <w:lang w:eastAsia="pl-PL"/>
    </w:rPr>
  </w:style>
  <w:style w:type="character" w:customStyle="1" w:styleId="Nagwek3Znak">
    <w:name w:val="Nagłówek 3 Znak"/>
    <w:basedOn w:val="Domylnaczcionkaakapitu"/>
    <w:link w:val="Nagwek3"/>
    <w:rsid w:val="00985BAA"/>
    <w:rPr>
      <w:rFonts w:ascii="Times New Roman" w:eastAsia="Times New Roman" w:hAnsi="Times New Roman" w:cs="Times New Roman"/>
      <w:i/>
      <w:sz w:val="20"/>
      <w:szCs w:val="28"/>
      <w:lang w:val="en-US" w:eastAsia="pl-PL"/>
    </w:rPr>
  </w:style>
  <w:style w:type="character" w:customStyle="1" w:styleId="Nagwek4Znak">
    <w:name w:val="Nagłówek 4 Znak"/>
    <w:basedOn w:val="Domylnaczcionkaakapitu"/>
    <w:link w:val="Nagwek4"/>
    <w:rsid w:val="00985BAA"/>
    <w:rPr>
      <w:rFonts w:ascii="Times New Roman" w:eastAsia="Times New Roman" w:hAnsi="Times New Roman" w:cs="Times New Roman"/>
      <w:sz w:val="20"/>
      <w:szCs w:val="28"/>
      <w:lang w:val="en-US" w:eastAsia="pl-PL"/>
    </w:rPr>
  </w:style>
  <w:style w:type="character" w:customStyle="1" w:styleId="Nagwek5Znak">
    <w:name w:val="Nagłówek 5 Znak"/>
    <w:basedOn w:val="Domylnaczcionkaakapitu"/>
    <w:link w:val="Nagwek5"/>
    <w:rsid w:val="00985BAA"/>
    <w:rPr>
      <w:rFonts w:ascii="Arial" w:eastAsia="Times New Roman" w:hAnsi="Arial" w:cs="Arial"/>
      <w:color w:val="5E5C00"/>
      <w:sz w:val="20"/>
      <w:szCs w:val="20"/>
      <w:u w:val="single"/>
      <w:lang w:eastAsia="pl-PL"/>
    </w:rPr>
  </w:style>
  <w:style w:type="character" w:customStyle="1" w:styleId="Nagwek6Znak">
    <w:name w:val="Nagłówek 6 Znak"/>
    <w:basedOn w:val="Domylnaczcionkaakapitu"/>
    <w:link w:val="Nagwek6"/>
    <w:rsid w:val="00985BAA"/>
    <w:rPr>
      <w:rFonts w:ascii="Times New Roman" w:eastAsia="Times New Roman" w:hAnsi="Times New Roman" w:cs="Arial"/>
      <w:i/>
      <w:szCs w:val="20"/>
      <w:lang w:eastAsia="pl-PL"/>
    </w:rPr>
  </w:style>
  <w:style w:type="character" w:customStyle="1" w:styleId="Nagwek7Znak">
    <w:name w:val="Nagłówek 7 Znak"/>
    <w:basedOn w:val="Domylnaczcionkaakapitu"/>
    <w:link w:val="Nagwek7"/>
    <w:rsid w:val="00985BAA"/>
    <w:rPr>
      <w:rFonts w:ascii="Times New Roman" w:eastAsia="Times New Roman" w:hAnsi="Times New Roman" w:cs="Arial"/>
      <w:sz w:val="20"/>
      <w:szCs w:val="20"/>
      <w:lang w:eastAsia="pl-PL"/>
    </w:rPr>
  </w:style>
  <w:style w:type="character" w:customStyle="1" w:styleId="Nagwek8Znak">
    <w:name w:val="Nagłówek 8 Znak"/>
    <w:basedOn w:val="Domylnaczcionkaakapitu"/>
    <w:link w:val="Nagwek8"/>
    <w:rsid w:val="00985BAA"/>
    <w:rPr>
      <w:rFonts w:ascii="Times New Roman" w:eastAsia="Times New Roman" w:hAnsi="Times New Roman" w:cs="Arial"/>
      <w:i/>
      <w:sz w:val="20"/>
      <w:szCs w:val="20"/>
      <w:lang w:eastAsia="pl-PL"/>
    </w:rPr>
  </w:style>
  <w:style w:type="character" w:customStyle="1" w:styleId="Nagwek9Znak">
    <w:name w:val="Nagłówek 9 Znak"/>
    <w:basedOn w:val="Domylnaczcionkaakapitu"/>
    <w:link w:val="Nagwek9"/>
    <w:rsid w:val="00985BAA"/>
    <w:rPr>
      <w:rFonts w:ascii="Times New Roman" w:eastAsia="Times New Roman" w:hAnsi="Times New Roman" w:cs="Arial"/>
      <w:b/>
      <w:i/>
      <w:sz w:val="18"/>
      <w:szCs w:val="20"/>
      <w:lang w:eastAsia="pl-PL"/>
    </w:rPr>
  </w:style>
  <w:style w:type="paragraph" w:customStyle="1" w:styleId="Paragraph2">
    <w:name w:val="Paragraph2"/>
    <w:basedOn w:val="Normalny"/>
    <w:rsid w:val="00985BAA"/>
    <w:pPr>
      <w:spacing w:before="80"/>
      <w:ind w:left="720"/>
      <w:jc w:val="both"/>
    </w:pPr>
    <w:rPr>
      <w:color w:val="000000"/>
      <w:lang w:val="en-AU"/>
    </w:rPr>
  </w:style>
  <w:style w:type="paragraph" w:styleId="Tytu">
    <w:name w:val="Title"/>
    <w:basedOn w:val="Normalny"/>
    <w:next w:val="Normalny"/>
    <w:link w:val="TytuZnak"/>
    <w:qFormat/>
    <w:rsid w:val="00985BAA"/>
    <w:pPr>
      <w:jc w:val="center"/>
    </w:pPr>
    <w:rPr>
      <w:rFonts w:ascii="Arial" w:hAnsi="Arial"/>
      <w:b/>
      <w:sz w:val="36"/>
    </w:rPr>
  </w:style>
  <w:style w:type="character" w:customStyle="1" w:styleId="TytuZnak">
    <w:name w:val="Tytuł Znak"/>
    <w:basedOn w:val="Domylnaczcionkaakapitu"/>
    <w:link w:val="Tytu"/>
    <w:rsid w:val="00985BAA"/>
    <w:rPr>
      <w:rFonts w:ascii="Arial" w:eastAsia="Times New Roman" w:hAnsi="Arial" w:cs="Arial"/>
      <w:b/>
      <w:sz w:val="36"/>
      <w:szCs w:val="20"/>
      <w:lang w:eastAsia="pl-PL"/>
    </w:rPr>
  </w:style>
  <w:style w:type="paragraph" w:styleId="Podtytu">
    <w:name w:val="Subtitle"/>
    <w:basedOn w:val="Normalny"/>
    <w:link w:val="PodtytuZnak"/>
    <w:qFormat/>
    <w:rsid w:val="00985BAA"/>
    <w:pPr>
      <w:spacing w:after="60"/>
      <w:jc w:val="center"/>
    </w:pPr>
    <w:rPr>
      <w:rFonts w:ascii="Arial" w:hAnsi="Arial"/>
      <w:i/>
      <w:sz w:val="36"/>
      <w:lang w:val="en-AU"/>
    </w:rPr>
  </w:style>
  <w:style w:type="character" w:customStyle="1" w:styleId="PodtytuZnak">
    <w:name w:val="Podtytuł Znak"/>
    <w:basedOn w:val="Domylnaczcionkaakapitu"/>
    <w:link w:val="Podtytu"/>
    <w:rsid w:val="00985BAA"/>
    <w:rPr>
      <w:rFonts w:ascii="Arial" w:eastAsia="Times New Roman" w:hAnsi="Arial" w:cs="Arial"/>
      <w:i/>
      <w:sz w:val="36"/>
      <w:szCs w:val="20"/>
      <w:lang w:val="en-AU" w:eastAsia="pl-PL"/>
    </w:rPr>
  </w:style>
  <w:style w:type="paragraph" w:styleId="Wcicienormalne">
    <w:name w:val="Normal Indent"/>
    <w:basedOn w:val="Normalny"/>
    <w:semiHidden/>
    <w:rsid w:val="00985BAA"/>
    <w:pPr>
      <w:ind w:left="900" w:hanging="900"/>
    </w:pPr>
  </w:style>
  <w:style w:type="paragraph" w:styleId="Spistreci1">
    <w:name w:val="toc 1"/>
    <w:basedOn w:val="Normalny"/>
    <w:next w:val="Normalny"/>
    <w:uiPriority w:val="39"/>
    <w:rsid w:val="00985BAA"/>
    <w:pPr>
      <w:spacing w:before="360"/>
    </w:pPr>
    <w:rPr>
      <w:rFonts w:asciiTheme="majorHAnsi" w:hAnsiTheme="majorHAnsi"/>
      <w:b/>
      <w:bCs/>
      <w:caps/>
      <w:sz w:val="24"/>
      <w:szCs w:val="24"/>
    </w:rPr>
  </w:style>
  <w:style w:type="paragraph" w:styleId="Spistreci2">
    <w:name w:val="toc 2"/>
    <w:basedOn w:val="Normalny"/>
    <w:next w:val="Normalny"/>
    <w:uiPriority w:val="39"/>
    <w:rsid w:val="00985BAA"/>
    <w:pPr>
      <w:spacing w:before="240"/>
    </w:pPr>
    <w:rPr>
      <w:rFonts w:asciiTheme="minorHAnsi" w:hAnsiTheme="minorHAnsi" w:cstheme="minorHAnsi"/>
      <w:b/>
      <w:bCs/>
    </w:rPr>
  </w:style>
  <w:style w:type="paragraph" w:styleId="Spistreci3">
    <w:name w:val="toc 3"/>
    <w:basedOn w:val="Normalny"/>
    <w:next w:val="Normalny"/>
    <w:uiPriority w:val="39"/>
    <w:rsid w:val="00985BAA"/>
    <w:pPr>
      <w:ind w:left="200"/>
    </w:pPr>
    <w:rPr>
      <w:rFonts w:asciiTheme="minorHAnsi" w:hAnsiTheme="minorHAnsi" w:cstheme="minorHAnsi"/>
    </w:rPr>
  </w:style>
  <w:style w:type="paragraph" w:styleId="Nagwek">
    <w:name w:val="header"/>
    <w:basedOn w:val="Normalny"/>
    <w:link w:val="NagwekZnak1"/>
    <w:uiPriority w:val="99"/>
    <w:rsid w:val="00985BAA"/>
    <w:pPr>
      <w:tabs>
        <w:tab w:val="center" w:pos="4320"/>
        <w:tab w:val="right" w:pos="8640"/>
      </w:tabs>
    </w:pPr>
  </w:style>
  <w:style w:type="character" w:customStyle="1" w:styleId="NagwekZnak">
    <w:name w:val="Nagłówek Znak"/>
    <w:basedOn w:val="Domylnaczcionkaakapitu"/>
    <w:uiPriority w:val="99"/>
    <w:rsid w:val="00985BAA"/>
    <w:rPr>
      <w:rFonts w:ascii="Times New Roman" w:eastAsia="Times New Roman" w:hAnsi="Times New Roman" w:cs="Arial"/>
      <w:sz w:val="20"/>
      <w:szCs w:val="20"/>
      <w:lang w:eastAsia="pl-PL"/>
    </w:rPr>
  </w:style>
  <w:style w:type="character" w:customStyle="1" w:styleId="NagwekZnak1">
    <w:name w:val="Nagłówek Znak1"/>
    <w:link w:val="Nagwek"/>
    <w:uiPriority w:val="99"/>
    <w:rsid w:val="00985BAA"/>
    <w:rPr>
      <w:rFonts w:ascii="Times New Roman" w:eastAsia="Times New Roman" w:hAnsi="Times New Roman" w:cs="Arial"/>
      <w:sz w:val="20"/>
      <w:szCs w:val="20"/>
      <w:lang w:eastAsia="pl-PL"/>
    </w:rPr>
  </w:style>
  <w:style w:type="paragraph" w:styleId="Stopka">
    <w:name w:val="footer"/>
    <w:basedOn w:val="Normalny"/>
    <w:link w:val="StopkaZnak"/>
    <w:uiPriority w:val="99"/>
    <w:rsid w:val="00985BAA"/>
    <w:pPr>
      <w:tabs>
        <w:tab w:val="center" w:pos="4320"/>
        <w:tab w:val="right" w:pos="8640"/>
      </w:tabs>
    </w:pPr>
  </w:style>
  <w:style w:type="character" w:customStyle="1" w:styleId="StopkaZnak">
    <w:name w:val="Stopka Znak"/>
    <w:basedOn w:val="Domylnaczcionkaakapitu"/>
    <w:link w:val="Stopka"/>
    <w:uiPriority w:val="99"/>
    <w:rsid w:val="00985BAA"/>
    <w:rPr>
      <w:rFonts w:ascii="Times New Roman" w:eastAsia="Times New Roman" w:hAnsi="Times New Roman" w:cs="Arial"/>
      <w:sz w:val="20"/>
      <w:szCs w:val="20"/>
      <w:lang w:eastAsia="pl-PL"/>
    </w:rPr>
  </w:style>
  <w:style w:type="character" w:styleId="Numerstrony">
    <w:name w:val="page number"/>
    <w:basedOn w:val="Domylnaczcionkaakapitu"/>
    <w:semiHidden/>
    <w:rsid w:val="00985BAA"/>
  </w:style>
  <w:style w:type="paragraph" w:customStyle="1" w:styleId="Bullet1">
    <w:name w:val="Bullet1"/>
    <w:basedOn w:val="Normalny"/>
    <w:rsid w:val="00985BAA"/>
    <w:pPr>
      <w:ind w:left="720" w:hanging="432"/>
    </w:pPr>
  </w:style>
  <w:style w:type="paragraph" w:customStyle="1" w:styleId="Bullet2">
    <w:name w:val="Bullet2"/>
    <w:basedOn w:val="Normalny"/>
    <w:rsid w:val="00985BAA"/>
    <w:pPr>
      <w:ind w:left="1440" w:hanging="360"/>
    </w:pPr>
    <w:rPr>
      <w:color w:val="000080"/>
    </w:rPr>
  </w:style>
  <w:style w:type="paragraph" w:customStyle="1" w:styleId="Tabletext">
    <w:name w:val="Tabletext"/>
    <w:basedOn w:val="Normalny"/>
    <w:rsid w:val="00985BAA"/>
    <w:pPr>
      <w:keepLines/>
      <w:spacing w:after="120"/>
    </w:pPr>
  </w:style>
  <w:style w:type="paragraph" w:styleId="Tekstpodstawowy">
    <w:name w:val="Body Text"/>
    <w:basedOn w:val="Normalny"/>
    <w:link w:val="TekstpodstawowyZnak"/>
    <w:uiPriority w:val="99"/>
    <w:rsid w:val="00985BAA"/>
    <w:pPr>
      <w:keepLines/>
      <w:spacing w:after="120"/>
      <w:ind w:left="720"/>
      <w:jc w:val="both"/>
    </w:pPr>
  </w:style>
  <w:style w:type="character" w:customStyle="1" w:styleId="TekstpodstawowyZnak">
    <w:name w:val="Tekst podstawowy Znak"/>
    <w:basedOn w:val="Domylnaczcionkaakapitu"/>
    <w:link w:val="Tekstpodstawowy"/>
    <w:uiPriority w:val="99"/>
    <w:rsid w:val="00985BAA"/>
    <w:rPr>
      <w:rFonts w:ascii="Times New Roman" w:eastAsia="Times New Roman" w:hAnsi="Times New Roman" w:cs="Arial"/>
      <w:sz w:val="20"/>
      <w:szCs w:val="20"/>
      <w:lang w:eastAsia="pl-PL"/>
    </w:rPr>
  </w:style>
  <w:style w:type="paragraph" w:customStyle="1" w:styleId="Plandokumentu1">
    <w:name w:val="Plan dokumentu1"/>
    <w:basedOn w:val="Normalny"/>
    <w:rsid w:val="00985BAA"/>
    <w:pPr>
      <w:shd w:val="clear" w:color="auto" w:fill="000080"/>
    </w:pPr>
    <w:rPr>
      <w:rFonts w:ascii="Tahoma" w:hAnsi="Tahoma"/>
    </w:rPr>
  </w:style>
  <w:style w:type="character" w:styleId="Odwoanieprzypisudolnego">
    <w:name w:val="footnote reference"/>
    <w:aliases w:val="FZ,Footnote symbol,Знак сноски-FN,callout"/>
    <w:uiPriority w:val="99"/>
    <w:rsid w:val="00985BAA"/>
    <w:rPr>
      <w:sz w:val="20"/>
      <w:vertAlign w:val="superscript"/>
    </w:rPr>
  </w:style>
  <w:style w:type="paragraph" w:styleId="Tekstprzypisudolnego">
    <w:name w:val="footnote text"/>
    <w:aliases w:val="Podrozdział"/>
    <w:basedOn w:val="Normalny"/>
    <w:link w:val="TekstprzypisudolnegoZnak"/>
    <w:rsid w:val="00985BAA"/>
    <w:pPr>
      <w:keepNext/>
      <w:keepLines/>
      <w:pBdr>
        <w:bottom w:val="single" w:sz="6" w:space="0" w:color="000000"/>
      </w:pBdr>
      <w:spacing w:before="40" w:after="40"/>
      <w:ind w:left="360" w:hanging="360"/>
    </w:pPr>
    <w:rPr>
      <w:rFonts w:ascii="Helvetica" w:hAnsi="Helvetica"/>
      <w:sz w:val="16"/>
    </w:rPr>
  </w:style>
  <w:style w:type="character" w:customStyle="1" w:styleId="TekstprzypisudolnegoZnak">
    <w:name w:val="Tekst przypisu dolnego Znak"/>
    <w:aliases w:val="Podrozdział Znak"/>
    <w:basedOn w:val="Domylnaczcionkaakapitu"/>
    <w:link w:val="Tekstprzypisudolnego"/>
    <w:rsid w:val="00985BAA"/>
    <w:rPr>
      <w:rFonts w:ascii="Helvetica" w:eastAsia="Times New Roman" w:hAnsi="Helvetica" w:cs="Arial"/>
      <w:sz w:val="16"/>
      <w:szCs w:val="20"/>
      <w:lang w:eastAsia="pl-PL"/>
    </w:rPr>
  </w:style>
  <w:style w:type="paragraph" w:customStyle="1" w:styleId="MainTitle">
    <w:name w:val="Main Title"/>
    <w:basedOn w:val="Normalny"/>
    <w:rsid w:val="00985BAA"/>
    <w:pPr>
      <w:spacing w:before="480" w:after="60"/>
      <w:jc w:val="center"/>
    </w:pPr>
    <w:rPr>
      <w:rFonts w:ascii="Arial" w:hAnsi="Arial"/>
      <w:b/>
      <w:kern w:val="28"/>
      <w:sz w:val="32"/>
    </w:rPr>
  </w:style>
  <w:style w:type="paragraph" w:customStyle="1" w:styleId="Paragraph1">
    <w:name w:val="Paragraph1"/>
    <w:basedOn w:val="Normalny"/>
    <w:rsid w:val="00985BAA"/>
    <w:pPr>
      <w:spacing w:before="80"/>
      <w:jc w:val="both"/>
    </w:pPr>
  </w:style>
  <w:style w:type="paragraph" w:customStyle="1" w:styleId="Paragraph3">
    <w:name w:val="Paragraph3"/>
    <w:basedOn w:val="Normalny"/>
    <w:rsid w:val="00985BAA"/>
    <w:pPr>
      <w:spacing w:before="80"/>
      <w:ind w:left="1530"/>
      <w:jc w:val="both"/>
    </w:pPr>
  </w:style>
  <w:style w:type="paragraph" w:customStyle="1" w:styleId="Paragraph4">
    <w:name w:val="Paragraph4"/>
    <w:basedOn w:val="Normalny"/>
    <w:rsid w:val="00985BAA"/>
    <w:pPr>
      <w:spacing w:before="80"/>
      <w:ind w:left="2250"/>
      <w:jc w:val="both"/>
    </w:pPr>
  </w:style>
  <w:style w:type="paragraph" w:styleId="Spistreci4">
    <w:name w:val="toc 4"/>
    <w:basedOn w:val="Normalny"/>
    <w:next w:val="Normalny"/>
    <w:uiPriority w:val="39"/>
    <w:rsid w:val="00985BAA"/>
    <w:pPr>
      <w:ind w:left="400"/>
    </w:pPr>
    <w:rPr>
      <w:rFonts w:asciiTheme="minorHAnsi" w:hAnsiTheme="minorHAnsi" w:cstheme="minorHAnsi"/>
    </w:rPr>
  </w:style>
  <w:style w:type="paragraph" w:styleId="Spistreci5">
    <w:name w:val="toc 5"/>
    <w:basedOn w:val="Normalny"/>
    <w:next w:val="Normalny"/>
    <w:uiPriority w:val="39"/>
    <w:rsid w:val="00985BAA"/>
    <w:pPr>
      <w:ind w:left="600"/>
    </w:pPr>
    <w:rPr>
      <w:rFonts w:asciiTheme="minorHAnsi" w:hAnsiTheme="minorHAnsi" w:cstheme="minorHAnsi"/>
    </w:rPr>
  </w:style>
  <w:style w:type="paragraph" w:styleId="Spistreci6">
    <w:name w:val="toc 6"/>
    <w:basedOn w:val="Normalny"/>
    <w:next w:val="Normalny"/>
    <w:semiHidden/>
    <w:rsid w:val="00985BAA"/>
    <w:pPr>
      <w:ind w:left="800"/>
    </w:pPr>
    <w:rPr>
      <w:rFonts w:asciiTheme="minorHAnsi" w:hAnsiTheme="minorHAnsi" w:cstheme="minorHAnsi"/>
    </w:rPr>
  </w:style>
  <w:style w:type="paragraph" w:styleId="Spistreci7">
    <w:name w:val="toc 7"/>
    <w:basedOn w:val="Normalny"/>
    <w:next w:val="Normalny"/>
    <w:semiHidden/>
    <w:rsid w:val="00985BAA"/>
    <w:pPr>
      <w:ind w:left="1000"/>
    </w:pPr>
    <w:rPr>
      <w:rFonts w:asciiTheme="minorHAnsi" w:hAnsiTheme="minorHAnsi" w:cstheme="minorHAnsi"/>
    </w:rPr>
  </w:style>
  <w:style w:type="paragraph" w:styleId="Spistreci8">
    <w:name w:val="toc 8"/>
    <w:basedOn w:val="Normalny"/>
    <w:next w:val="Normalny"/>
    <w:semiHidden/>
    <w:rsid w:val="00985BAA"/>
    <w:pPr>
      <w:ind w:left="1200"/>
    </w:pPr>
    <w:rPr>
      <w:rFonts w:asciiTheme="minorHAnsi" w:hAnsiTheme="minorHAnsi" w:cstheme="minorHAnsi"/>
    </w:rPr>
  </w:style>
  <w:style w:type="paragraph" w:styleId="Spistreci9">
    <w:name w:val="toc 9"/>
    <w:basedOn w:val="Normalny"/>
    <w:next w:val="Normalny"/>
    <w:semiHidden/>
    <w:rsid w:val="00985BAA"/>
    <w:pPr>
      <w:ind w:left="1400"/>
    </w:pPr>
    <w:rPr>
      <w:rFonts w:asciiTheme="minorHAnsi" w:hAnsiTheme="minorHAnsi" w:cstheme="minorHAnsi"/>
    </w:rPr>
  </w:style>
  <w:style w:type="paragraph" w:customStyle="1" w:styleId="Tekstpodstawowy21">
    <w:name w:val="Tekst podstawowy 21"/>
    <w:basedOn w:val="Normalny"/>
    <w:rsid w:val="00985BAA"/>
    <w:rPr>
      <w:i/>
      <w:color w:val="0000FF"/>
    </w:rPr>
  </w:style>
  <w:style w:type="paragraph" w:customStyle="1" w:styleId="Tekstpodstawowy22">
    <w:name w:val="Tekst podstawowy 22"/>
    <w:basedOn w:val="Normalny"/>
    <w:rsid w:val="00985BAA"/>
    <w:pPr>
      <w:ind w:left="720"/>
    </w:pPr>
    <w:rPr>
      <w:i/>
      <w:color w:val="0000FF"/>
      <w:u w:val="single"/>
    </w:rPr>
  </w:style>
  <w:style w:type="paragraph" w:customStyle="1" w:styleId="Body">
    <w:name w:val="Body"/>
    <w:basedOn w:val="Normalny"/>
    <w:rsid w:val="00985BAA"/>
    <w:pPr>
      <w:spacing w:before="120"/>
      <w:jc w:val="both"/>
    </w:pPr>
    <w:rPr>
      <w:rFonts w:ascii="Book Antiqua" w:hAnsi="Book Antiqua"/>
    </w:rPr>
  </w:style>
  <w:style w:type="paragraph" w:customStyle="1" w:styleId="Bullet">
    <w:name w:val="Bullet"/>
    <w:basedOn w:val="Normalny"/>
    <w:rsid w:val="00985BAA"/>
    <w:pPr>
      <w:tabs>
        <w:tab w:val="left" w:pos="360"/>
        <w:tab w:val="left" w:pos="720"/>
      </w:tabs>
      <w:spacing w:before="120"/>
      <w:ind w:left="720" w:right="360"/>
      <w:jc w:val="both"/>
    </w:pPr>
    <w:rPr>
      <w:rFonts w:ascii="Book Antiqua" w:hAnsi="Book Antiqua"/>
    </w:rPr>
  </w:style>
  <w:style w:type="paragraph" w:customStyle="1" w:styleId="InfoBlue">
    <w:name w:val="InfoBlue"/>
    <w:basedOn w:val="Normalny"/>
    <w:next w:val="Tekstpodstawowy"/>
    <w:rsid w:val="00985BAA"/>
    <w:pPr>
      <w:spacing w:after="120"/>
      <w:ind w:left="720"/>
      <w:jc w:val="both"/>
    </w:pPr>
    <w:rPr>
      <w:i/>
      <w:vanish/>
      <w:color w:val="0000FF"/>
    </w:rPr>
  </w:style>
  <w:style w:type="character" w:customStyle="1" w:styleId="Hipercze1">
    <w:name w:val="Hiperłącze1"/>
    <w:rsid w:val="00985BAA"/>
    <w:rPr>
      <w:color w:val="0000FF"/>
      <w:u w:val="single"/>
    </w:rPr>
  </w:style>
  <w:style w:type="paragraph" w:styleId="Tekstpodstawowywcity2">
    <w:name w:val="Body Text Indent 2"/>
    <w:basedOn w:val="Normalny"/>
    <w:link w:val="Tekstpodstawowywcity2Znak"/>
    <w:semiHidden/>
    <w:rsid w:val="00985BAA"/>
    <w:pPr>
      <w:overflowPunct/>
      <w:autoSpaceDE/>
      <w:autoSpaceDN/>
      <w:adjustRightInd/>
      <w:ind w:firstLine="708"/>
      <w:textAlignment w:val="auto"/>
    </w:pPr>
    <w:rPr>
      <w:szCs w:val="24"/>
    </w:rPr>
  </w:style>
  <w:style w:type="character" w:customStyle="1" w:styleId="Tekstpodstawowywcity2Znak">
    <w:name w:val="Tekst podstawowy wcięty 2 Znak"/>
    <w:basedOn w:val="Domylnaczcionkaakapitu"/>
    <w:link w:val="Tekstpodstawowywcity2"/>
    <w:semiHidden/>
    <w:rsid w:val="00985BAA"/>
    <w:rPr>
      <w:rFonts w:ascii="Times New Roman" w:eastAsia="Times New Roman" w:hAnsi="Times New Roman" w:cs="Arial"/>
      <w:sz w:val="20"/>
      <w:szCs w:val="24"/>
      <w:lang w:eastAsia="pl-PL"/>
    </w:rPr>
  </w:style>
  <w:style w:type="paragraph" w:styleId="Tekstpodstawowy3">
    <w:name w:val="Body Text 3"/>
    <w:basedOn w:val="Normalny"/>
    <w:link w:val="Tekstpodstawowy3Znak"/>
    <w:semiHidden/>
    <w:rsid w:val="00985BAA"/>
    <w:pPr>
      <w:jc w:val="center"/>
    </w:pPr>
    <w:rPr>
      <w:rFonts w:cs="Times New Roman"/>
    </w:rPr>
  </w:style>
  <w:style w:type="character" w:customStyle="1" w:styleId="Tekstpodstawowy3Znak">
    <w:name w:val="Tekst podstawowy 3 Znak"/>
    <w:basedOn w:val="Domylnaczcionkaakapitu"/>
    <w:link w:val="Tekstpodstawowy3"/>
    <w:semiHidden/>
    <w:rsid w:val="00985BA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985BAA"/>
    <w:pPr>
      <w:jc w:val="center"/>
    </w:pPr>
    <w:rPr>
      <w:rFonts w:cs="Times New Roman"/>
      <w:b/>
      <w:bCs/>
    </w:rPr>
  </w:style>
  <w:style w:type="character" w:customStyle="1" w:styleId="Tekstpodstawowy2Znak">
    <w:name w:val="Tekst podstawowy 2 Znak"/>
    <w:basedOn w:val="Domylnaczcionkaakapitu"/>
    <w:link w:val="Tekstpodstawowy2"/>
    <w:semiHidden/>
    <w:rsid w:val="00985BAA"/>
    <w:rPr>
      <w:rFonts w:ascii="Times New Roman" w:eastAsia="Times New Roman" w:hAnsi="Times New Roman" w:cs="Times New Roman"/>
      <w:b/>
      <w:bCs/>
      <w:sz w:val="20"/>
      <w:szCs w:val="20"/>
      <w:lang w:eastAsia="pl-PL"/>
    </w:rPr>
  </w:style>
  <w:style w:type="paragraph" w:styleId="Legenda">
    <w:name w:val="caption"/>
    <w:aliases w:val="Podpis obiektu"/>
    <w:basedOn w:val="Normalny"/>
    <w:next w:val="Normalny"/>
    <w:qFormat/>
    <w:rsid w:val="00985BAA"/>
    <w:pPr>
      <w:spacing w:before="120" w:after="120"/>
    </w:pPr>
    <w:rPr>
      <w:b/>
      <w:bCs/>
    </w:rPr>
  </w:style>
  <w:style w:type="paragraph" w:styleId="Tekstpodstawowywcity">
    <w:name w:val="Body Text Indent"/>
    <w:basedOn w:val="Normalny"/>
    <w:link w:val="TekstpodstawowywcityZnak"/>
    <w:rsid w:val="00985BAA"/>
    <w:pPr>
      <w:ind w:left="452" w:hanging="452"/>
    </w:pPr>
    <w:rPr>
      <w:rFonts w:cs="Times New Roman"/>
      <w:sz w:val="16"/>
    </w:rPr>
  </w:style>
  <w:style w:type="character" w:customStyle="1" w:styleId="TekstpodstawowywcityZnak">
    <w:name w:val="Tekst podstawowy wcięty Znak"/>
    <w:basedOn w:val="Domylnaczcionkaakapitu"/>
    <w:link w:val="Tekstpodstawowywcity"/>
    <w:rsid w:val="00985BAA"/>
    <w:rPr>
      <w:rFonts w:ascii="Times New Roman" w:eastAsia="Times New Roman" w:hAnsi="Times New Roman" w:cs="Times New Roman"/>
      <w:sz w:val="16"/>
      <w:szCs w:val="20"/>
      <w:lang w:eastAsia="pl-PL"/>
    </w:rPr>
  </w:style>
  <w:style w:type="paragraph" w:customStyle="1" w:styleId="Opis">
    <w:name w:val="Opis"/>
    <w:basedOn w:val="Normalny"/>
    <w:rsid w:val="00985BAA"/>
    <w:rPr>
      <w:rFonts w:cs="Times New Roman"/>
      <w:sz w:val="16"/>
    </w:rPr>
  </w:style>
  <w:style w:type="paragraph" w:customStyle="1" w:styleId="Referencja">
    <w:name w:val="Referencja"/>
    <w:basedOn w:val="Normalny"/>
    <w:rsid w:val="00985BAA"/>
    <w:pPr>
      <w:numPr>
        <w:numId w:val="2"/>
      </w:numPr>
    </w:pPr>
    <w:rPr>
      <w:rFonts w:cs="Times New Roman"/>
    </w:rPr>
  </w:style>
  <w:style w:type="character" w:styleId="Hipercze">
    <w:name w:val="Hyperlink"/>
    <w:uiPriority w:val="99"/>
    <w:rsid w:val="00985BAA"/>
    <w:rPr>
      <w:rFonts w:ascii="Arial" w:hAnsi="Arial"/>
      <w:color w:val="auto"/>
      <w:sz w:val="24"/>
      <w:u w:val="single"/>
    </w:rPr>
  </w:style>
  <w:style w:type="paragraph" w:customStyle="1" w:styleId="Nagwek81">
    <w:name w:val="Nagłówek 81"/>
    <w:basedOn w:val="Normalny"/>
    <w:rsid w:val="00985BAA"/>
    <w:pPr>
      <w:numPr>
        <w:ilvl w:val="2"/>
        <w:numId w:val="3"/>
      </w:numPr>
    </w:pPr>
    <w:rPr>
      <w:rFonts w:cs="Times New Roman"/>
    </w:rPr>
  </w:style>
  <w:style w:type="paragraph" w:styleId="Tekstpodstawowywcity3">
    <w:name w:val="Body Text Indent 3"/>
    <w:basedOn w:val="Normalny"/>
    <w:link w:val="Tekstpodstawowywcity3Znak"/>
    <w:semiHidden/>
    <w:rsid w:val="00985BAA"/>
    <w:pPr>
      <w:spacing w:after="120"/>
      <w:ind w:left="1077"/>
      <w:jc w:val="both"/>
    </w:pPr>
  </w:style>
  <w:style w:type="character" w:customStyle="1" w:styleId="Tekstpodstawowywcity3Znak">
    <w:name w:val="Tekst podstawowy wcięty 3 Znak"/>
    <w:basedOn w:val="Domylnaczcionkaakapitu"/>
    <w:link w:val="Tekstpodstawowywcity3"/>
    <w:semiHidden/>
    <w:rsid w:val="00985BAA"/>
    <w:rPr>
      <w:rFonts w:ascii="Times New Roman" w:eastAsia="Times New Roman" w:hAnsi="Times New Roman" w:cs="Arial"/>
      <w:sz w:val="20"/>
      <w:szCs w:val="20"/>
      <w:lang w:eastAsia="pl-PL"/>
    </w:rPr>
  </w:style>
  <w:style w:type="paragraph" w:customStyle="1" w:styleId="Uwagi1">
    <w:name w:val="Uwagi1"/>
    <w:basedOn w:val="Normalny"/>
    <w:rsid w:val="00985BAA"/>
    <w:pPr>
      <w:numPr>
        <w:numId w:val="4"/>
      </w:numPr>
    </w:pPr>
    <w:rPr>
      <w:rFonts w:cs="Times New Roman"/>
    </w:rPr>
  </w:style>
  <w:style w:type="paragraph" w:customStyle="1" w:styleId="Douzupenienia">
    <w:name w:val="Do uzupełnienia"/>
    <w:basedOn w:val="Tekstpodstawowy"/>
    <w:rsid w:val="00985BAA"/>
    <w:rPr>
      <w:i/>
      <w:iCs/>
      <w:color w:val="FF00FF"/>
    </w:rPr>
  </w:style>
  <w:style w:type="character" w:styleId="UyteHipercze">
    <w:name w:val="FollowedHyperlink"/>
    <w:semiHidden/>
    <w:rsid w:val="00985BAA"/>
    <w:rPr>
      <w:color w:val="800080"/>
      <w:u w:val="single"/>
    </w:rPr>
  </w:style>
  <w:style w:type="paragraph" w:customStyle="1" w:styleId="P">
    <w:name w:val="P"/>
    <w:basedOn w:val="Tekstpodstawowy"/>
    <w:rsid w:val="00985BAA"/>
    <w:rPr>
      <w:b/>
      <w:bCs/>
      <w:u w:val="single"/>
    </w:rPr>
  </w:style>
  <w:style w:type="paragraph" w:customStyle="1" w:styleId="Zadanietre">
    <w:name w:val="Zadanie treść"/>
    <w:basedOn w:val="Normalny"/>
    <w:rsid w:val="00985BAA"/>
    <w:pPr>
      <w:overflowPunct/>
      <w:autoSpaceDE/>
      <w:autoSpaceDN/>
      <w:adjustRightInd/>
      <w:ind w:firstLine="709"/>
      <w:textAlignment w:val="auto"/>
    </w:pPr>
    <w:rPr>
      <w:rFonts w:ascii="Arial" w:hAnsi="Arial"/>
      <w:sz w:val="24"/>
      <w:szCs w:val="24"/>
    </w:rPr>
  </w:style>
  <w:style w:type="paragraph" w:customStyle="1" w:styleId="Tabela-tekstwkomrce">
    <w:name w:val="Tabela - tekst w komórce"/>
    <w:basedOn w:val="Normalny"/>
    <w:rsid w:val="00985BAA"/>
    <w:pPr>
      <w:overflowPunct/>
      <w:autoSpaceDE/>
      <w:autoSpaceDN/>
      <w:adjustRightInd/>
      <w:spacing w:before="20" w:after="20"/>
      <w:textAlignment w:val="auto"/>
    </w:pPr>
    <w:rPr>
      <w:rFonts w:ascii="Arial" w:hAnsi="Arial" w:cs="Times New Roman"/>
      <w:sz w:val="18"/>
      <w:lang w:val="de-DE"/>
    </w:rPr>
  </w:style>
  <w:style w:type="paragraph" w:customStyle="1" w:styleId="TekstOpisuZnak">
    <w:name w:val="TekstOpisu Znak"/>
    <w:basedOn w:val="Normalny"/>
    <w:rsid w:val="00985BAA"/>
    <w:pPr>
      <w:overflowPunct/>
      <w:autoSpaceDE/>
      <w:autoSpaceDN/>
      <w:adjustRightInd/>
      <w:spacing w:before="40" w:after="60"/>
      <w:ind w:left="1134"/>
      <w:textAlignment w:val="auto"/>
    </w:pPr>
    <w:rPr>
      <w:rFonts w:ascii="Bookman Old Style" w:hAnsi="Bookman Old Style" w:cs="Times New Roman"/>
      <w:sz w:val="22"/>
    </w:rPr>
  </w:style>
  <w:style w:type="character" w:styleId="Odwoaniedokomentarza">
    <w:name w:val="annotation reference"/>
    <w:semiHidden/>
    <w:rsid w:val="00985BAA"/>
    <w:rPr>
      <w:sz w:val="16"/>
      <w:szCs w:val="16"/>
    </w:rPr>
  </w:style>
  <w:style w:type="paragraph" w:styleId="Tekstkomentarza">
    <w:name w:val="annotation text"/>
    <w:basedOn w:val="Normalny"/>
    <w:link w:val="TekstkomentarzaZnak1"/>
    <w:rsid w:val="00985BAA"/>
  </w:style>
  <w:style w:type="character" w:customStyle="1" w:styleId="TekstkomentarzaZnak">
    <w:name w:val="Tekst komentarza Znak"/>
    <w:basedOn w:val="Domylnaczcionkaakapitu"/>
    <w:uiPriority w:val="99"/>
    <w:rsid w:val="00985BAA"/>
    <w:rPr>
      <w:rFonts w:ascii="Times New Roman" w:eastAsia="Times New Roman" w:hAnsi="Times New Roman" w:cs="Arial"/>
      <w:sz w:val="20"/>
      <w:szCs w:val="20"/>
      <w:lang w:eastAsia="pl-PL"/>
    </w:rPr>
  </w:style>
  <w:style w:type="character" w:customStyle="1" w:styleId="TekstkomentarzaZnak1">
    <w:name w:val="Tekst komentarza Znak1"/>
    <w:link w:val="Tekstkomentarza"/>
    <w:rsid w:val="00985BAA"/>
    <w:rPr>
      <w:rFonts w:ascii="Times New Roman" w:eastAsia="Times New Roman" w:hAnsi="Times New Roman" w:cs="Arial"/>
      <w:sz w:val="20"/>
      <w:szCs w:val="20"/>
      <w:lang w:eastAsia="pl-PL"/>
    </w:rPr>
  </w:style>
  <w:style w:type="table" w:styleId="Tabela-Siatka">
    <w:name w:val="Table Grid"/>
    <w:basedOn w:val="Standardowy"/>
    <w:uiPriority w:val="59"/>
    <w:rsid w:val="00985BA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985BAA"/>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rsid w:val="00985BAA"/>
    <w:rPr>
      <w:rFonts w:ascii="Tahoma" w:eastAsia="Times New Roman" w:hAnsi="Tahoma" w:cs="Times New Roman"/>
      <w:sz w:val="16"/>
      <w:szCs w:val="16"/>
      <w:lang w:val="x-none" w:eastAsia="x-none"/>
    </w:rPr>
  </w:style>
  <w:style w:type="character" w:customStyle="1" w:styleId="InfoBlueZnak">
    <w:name w:val="InfoBlue Znak"/>
    <w:rsid w:val="00985BAA"/>
    <w:rPr>
      <w:rFonts w:cs="Arial"/>
      <w:i/>
      <w:vanish/>
      <w:color w:val="0000FF"/>
      <w:lang w:val="pl-PL" w:eastAsia="pl-PL" w:bidi="ar-SA"/>
    </w:rPr>
  </w:style>
  <w:style w:type="paragraph" w:styleId="Tematkomentarza">
    <w:name w:val="annotation subject"/>
    <w:basedOn w:val="Tekstkomentarza"/>
    <w:next w:val="Tekstkomentarza"/>
    <w:link w:val="TematkomentarzaZnak1"/>
    <w:uiPriority w:val="99"/>
    <w:rsid w:val="00985BAA"/>
    <w:rPr>
      <w:b/>
      <w:bCs/>
    </w:rPr>
  </w:style>
  <w:style w:type="character" w:customStyle="1" w:styleId="TematkomentarzaZnak">
    <w:name w:val="Temat komentarza Znak"/>
    <w:basedOn w:val="TekstkomentarzaZnak"/>
    <w:uiPriority w:val="99"/>
    <w:rsid w:val="00985BAA"/>
    <w:rPr>
      <w:rFonts w:ascii="Times New Roman" w:eastAsia="Times New Roman" w:hAnsi="Times New Roman" w:cs="Arial"/>
      <w:b/>
      <w:bCs/>
      <w:sz w:val="20"/>
      <w:szCs w:val="20"/>
      <w:lang w:eastAsia="pl-PL"/>
    </w:rPr>
  </w:style>
  <w:style w:type="character" w:customStyle="1" w:styleId="TematkomentarzaZnak1">
    <w:name w:val="Temat komentarza Znak1"/>
    <w:link w:val="Tematkomentarza"/>
    <w:uiPriority w:val="99"/>
    <w:rsid w:val="00985BAA"/>
    <w:rPr>
      <w:rFonts w:ascii="Times New Roman" w:eastAsia="Times New Roman" w:hAnsi="Times New Roman" w:cs="Arial"/>
      <w:b/>
      <w:bCs/>
      <w:sz w:val="20"/>
      <w:szCs w:val="20"/>
      <w:lang w:eastAsia="pl-PL"/>
    </w:rPr>
  </w:style>
  <w:style w:type="paragraph" w:styleId="Listapunktowana2">
    <w:name w:val="List Bullet 2"/>
    <w:basedOn w:val="Normalny"/>
    <w:semiHidden/>
    <w:rsid w:val="00985BAA"/>
    <w:pPr>
      <w:tabs>
        <w:tab w:val="num" w:pos="643"/>
      </w:tabs>
      <w:overflowPunct/>
      <w:autoSpaceDE/>
      <w:autoSpaceDN/>
      <w:adjustRightInd/>
      <w:spacing w:before="60"/>
      <w:ind w:left="643" w:hanging="360"/>
      <w:jc w:val="both"/>
      <w:textAlignment w:val="auto"/>
    </w:pPr>
    <w:rPr>
      <w:rFonts w:cs="Times New Roman"/>
      <w:sz w:val="24"/>
      <w:szCs w:val="24"/>
    </w:rPr>
  </w:style>
  <w:style w:type="paragraph" w:styleId="Lista2">
    <w:name w:val="List 2"/>
    <w:basedOn w:val="Normalny"/>
    <w:semiHidden/>
    <w:rsid w:val="00985BAA"/>
    <w:pPr>
      <w:overflowPunct/>
      <w:autoSpaceDE/>
      <w:autoSpaceDN/>
      <w:adjustRightInd/>
      <w:spacing w:before="60"/>
      <w:ind w:left="566" w:hanging="283"/>
      <w:jc w:val="both"/>
      <w:textAlignment w:val="auto"/>
    </w:pPr>
    <w:rPr>
      <w:rFonts w:cs="Times New Roman"/>
      <w:sz w:val="24"/>
      <w:szCs w:val="24"/>
    </w:rPr>
  </w:style>
  <w:style w:type="paragraph" w:styleId="Akapitzlist">
    <w:name w:val="List Paragraph"/>
    <w:basedOn w:val="Normalny"/>
    <w:uiPriority w:val="34"/>
    <w:qFormat/>
    <w:rsid w:val="00985BAA"/>
    <w:pPr>
      <w:overflowPunct/>
      <w:autoSpaceDE/>
      <w:autoSpaceDN/>
      <w:adjustRightInd/>
      <w:ind w:left="720"/>
      <w:contextualSpacing/>
      <w:jc w:val="both"/>
      <w:textAlignment w:val="auto"/>
    </w:pPr>
    <w:rPr>
      <w:rFonts w:ascii="Arial" w:eastAsia="Calibri" w:hAnsi="Arial" w:cs="Times New Roman"/>
      <w:sz w:val="24"/>
      <w:szCs w:val="22"/>
      <w:lang w:eastAsia="en-US"/>
    </w:rPr>
  </w:style>
  <w:style w:type="paragraph" w:styleId="NormalnyWeb">
    <w:name w:val="Normal (Web)"/>
    <w:basedOn w:val="Normalny"/>
    <w:uiPriority w:val="99"/>
    <w:unhideWhenUsed/>
    <w:rsid w:val="00985BAA"/>
    <w:pPr>
      <w:overflowPunct/>
      <w:autoSpaceDE/>
      <w:autoSpaceDN/>
      <w:adjustRightInd/>
      <w:spacing w:before="100" w:beforeAutospacing="1" w:after="100" w:afterAutospacing="1"/>
      <w:textAlignment w:val="auto"/>
    </w:pPr>
    <w:rPr>
      <w:rFonts w:eastAsia="Calibri" w:cs="Times New Roman"/>
      <w:sz w:val="24"/>
      <w:szCs w:val="24"/>
    </w:rPr>
  </w:style>
  <w:style w:type="paragraph" w:styleId="Zwykytekst">
    <w:name w:val="Plain Text"/>
    <w:basedOn w:val="Normalny"/>
    <w:link w:val="ZwykytekstZnak"/>
    <w:unhideWhenUsed/>
    <w:rsid w:val="00985BAA"/>
    <w:pPr>
      <w:overflowPunct/>
      <w:autoSpaceDE/>
      <w:autoSpaceDN/>
      <w:adjustRightInd/>
      <w:textAlignment w:val="auto"/>
    </w:pPr>
    <w:rPr>
      <w:rFonts w:ascii="Consolas" w:eastAsia="Calibri" w:hAnsi="Consolas" w:cs="Times New Roman"/>
      <w:sz w:val="21"/>
      <w:szCs w:val="21"/>
      <w:lang w:eastAsia="en-US"/>
    </w:rPr>
  </w:style>
  <w:style w:type="character" w:customStyle="1" w:styleId="ZwykytekstZnak">
    <w:name w:val="Zwykły tekst Znak"/>
    <w:basedOn w:val="Domylnaczcionkaakapitu"/>
    <w:link w:val="Zwykytekst"/>
    <w:rsid w:val="00985BAA"/>
    <w:rPr>
      <w:rFonts w:ascii="Consolas" w:eastAsia="Calibri" w:hAnsi="Consolas" w:cs="Times New Roman"/>
      <w:sz w:val="21"/>
      <w:szCs w:val="21"/>
    </w:rPr>
  </w:style>
  <w:style w:type="paragraph" w:customStyle="1" w:styleId="Tekst">
    <w:name w:val="Tekst"/>
    <w:rsid w:val="00985BAA"/>
    <w:pPr>
      <w:suppressAutoHyphens/>
      <w:spacing w:before="120" w:after="0" w:line="240" w:lineRule="auto"/>
      <w:jc w:val="both"/>
    </w:pPr>
    <w:rPr>
      <w:rFonts w:ascii="Times New Roman" w:eastAsia="Times New Roman" w:hAnsi="Times New Roman" w:cs="Times New Roman"/>
      <w:sz w:val="24"/>
      <w:szCs w:val="24"/>
      <w:lang w:eastAsia="ar-SA"/>
    </w:rPr>
  </w:style>
  <w:style w:type="character" w:customStyle="1" w:styleId="data">
    <w:name w:val="data"/>
    <w:basedOn w:val="Domylnaczcionkaakapitu"/>
    <w:rsid w:val="00985BAA"/>
  </w:style>
  <w:style w:type="character" w:customStyle="1" w:styleId="apple-converted-space">
    <w:name w:val="apple-converted-space"/>
    <w:basedOn w:val="Domylnaczcionkaakapitu"/>
    <w:rsid w:val="00985BAA"/>
  </w:style>
  <w:style w:type="paragraph" w:customStyle="1" w:styleId="WyliczanieZnak">
    <w:name w:val="Wyliczanie Znak"/>
    <w:basedOn w:val="Normalny"/>
    <w:rsid w:val="00985BAA"/>
    <w:pPr>
      <w:numPr>
        <w:numId w:val="5"/>
      </w:numPr>
      <w:suppressAutoHyphens/>
      <w:overflowPunct/>
      <w:autoSpaceDE/>
      <w:autoSpaceDN/>
      <w:adjustRightInd/>
      <w:jc w:val="both"/>
      <w:textAlignment w:val="auto"/>
    </w:pPr>
    <w:rPr>
      <w:rFonts w:ascii="Bookman Old Style" w:eastAsia="Calibri" w:hAnsi="Bookman Old Style" w:cs="Calibri"/>
      <w:i/>
      <w:sz w:val="24"/>
      <w:szCs w:val="22"/>
      <w:lang w:eastAsia="ar-SA"/>
    </w:rPr>
  </w:style>
  <w:style w:type="character" w:customStyle="1" w:styleId="apple-style-span">
    <w:name w:val="apple-style-span"/>
    <w:basedOn w:val="Domylnaczcionkaakapitu"/>
    <w:rsid w:val="00985BAA"/>
  </w:style>
  <w:style w:type="paragraph" w:styleId="Tekstprzypisukocowego">
    <w:name w:val="endnote text"/>
    <w:basedOn w:val="Normalny"/>
    <w:link w:val="TekstprzypisukocowegoZnak"/>
    <w:rsid w:val="00985BAA"/>
    <w:pPr>
      <w:overflowPunct/>
      <w:autoSpaceDE/>
      <w:autoSpaceDN/>
      <w:adjustRightInd/>
      <w:textAlignment w:val="auto"/>
    </w:pPr>
    <w:rPr>
      <w:rFonts w:cs="Times New Roman"/>
    </w:rPr>
  </w:style>
  <w:style w:type="character" w:customStyle="1" w:styleId="TekstprzypisukocowegoZnak">
    <w:name w:val="Tekst przypisu końcowego Znak"/>
    <w:basedOn w:val="Domylnaczcionkaakapitu"/>
    <w:link w:val="Tekstprzypisukocowego"/>
    <w:rsid w:val="00985BAA"/>
    <w:rPr>
      <w:rFonts w:ascii="Times New Roman" w:eastAsia="Times New Roman" w:hAnsi="Times New Roman" w:cs="Times New Roman"/>
      <w:sz w:val="20"/>
      <w:szCs w:val="20"/>
      <w:lang w:eastAsia="pl-PL"/>
    </w:rPr>
  </w:style>
  <w:style w:type="character" w:styleId="Odwoanieprzypisukocowego">
    <w:name w:val="endnote reference"/>
    <w:rsid w:val="00985BAA"/>
    <w:rPr>
      <w:vertAlign w:val="superscript"/>
    </w:rPr>
  </w:style>
  <w:style w:type="paragraph" w:customStyle="1" w:styleId="Default">
    <w:name w:val="Default"/>
    <w:rsid w:val="00985BAA"/>
    <w:pPr>
      <w:autoSpaceDE w:val="0"/>
      <w:autoSpaceDN w:val="0"/>
      <w:adjustRightInd w:val="0"/>
      <w:spacing w:after="0" w:line="240" w:lineRule="auto"/>
    </w:pPr>
    <w:rPr>
      <w:rFonts w:ascii="Palatino Linotype" w:eastAsia="Times New Roman" w:hAnsi="Palatino Linotype" w:cs="Palatino Linotype"/>
      <w:color w:val="000000"/>
      <w:sz w:val="24"/>
      <w:szCs w:val="24"/>
      <w:lang w:eastAsia="pl-PL"/>
    </w:rPr>
  </w:style>
  <w:style w:type="character" w:customStyle="1" w:styleId="n31">
    <w:name w:val="n31"/>
    <w:rsid w:val="00985BAA"/>
    <w:rPr>
      <w:b w:val="0"/>
      <w:bCs w:val="0"/>
      <w:strike w:val="0"/>
      <w:dstrike w:val="0"/>
      <w:sz w:val="19"/>
      <w:szCs w:val="19"/>
      <w:u w:val="none"/>
      <w:effect w:val="none"/>
    </w:rPr>
  </w:style>
  <w:style w:type="paragraph" w:customStyle="1" w:styleId="WW-Default">
    <w:name w:val="WW-Default"/>
    <w:rsid w:val="00985BA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PKTpunkt">
    <w:name w:val="PKT – punkt"/>
    <w:uiPriority w:val="13"/>
    <w:qFormat/>
    <w:rsid w:val="000553F8"/>
    <w:pPr>
      <w:spacing w:after="0" w:line="360" w:lineRule="auto"/>
      <w:ind w:left="510" w:hanging="510"/>
      <w:jc w:val="both"/>
    </w:pPr>
    <w:rPr>
      <w:rFonts w:ascii="Times" w:eastAsia="Times New Roman" w:hAnsi="Times" w:cs="Arial"/>
      <w:bCs/>
      <w:sz w:val="24"/>
      <w:szCs w:val="20"/>
      <w:lang w:eastAsia="pl-PL"/>
    </w:rPr>
  </w:style>
  <w:style w:type="paragraph" w:styleId="Nagwekspisutreci">
    <w:name w:val="TOC Heading"/>
    <w:basedOn w:val="Nagwek1"/>
    <w:next w:val="Normalny"/>
    <w:uiPriority w:val="39"/>
    <w:unhideWhenUsed/>
    <w:qFormat/>
    <w:rsid w:val="00D2776F"/>
    <w:pPr>
      <w:keepNext/>
      <w:keepLines/>
      <w:pageBreakBefore w:val="0"/>
      <w:numPr>
        <w:numId w:val="0"/>
      </w:numPr>
      <w:tabs>
        <w:tab w:val="clear" w:pos="709"/>
      </w:tab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lang w:val="pl-PL"/>
    </w:rPr>
  </w:style>
  <w:style w:type="paragraph" w:styleId="Cytatintensywny">
    <w:name w:val="Intense Quote"/>
    <w:basedOn w:val="Normalny"/>
    <w:next w:val="Normalny"/>
    <w:link w:val="CytatintensywnyZnak"/>
    <w:uiPriority w:val="30"/>
    <w:qFormat/>
    <w:rsid w:val="006F7426"/>
    <w:pPr>
      <w:pBdr>
        <w:top w:val="single" w:sz="4" w:space="10" w:color="auto"/>
        <w:bottom w:val="single" w:sz="4" w:space="10" w:color="auto"/>
      </w:pBdr>
      <w:spacing w:before="360" w:after="360"/>
      <w:ind w:left="864" w:right="864"/>
      <w:jc w:val="center"/>
    </w:pPr>
    <w:rPr>
      <w:rFonts w:ascii="Lato" w:hAnsi="Lato"/>
      <w:i/>
      <w:iCs/>
    </w:rPr>
  </w:style>
  <w:style w:type="character" w:customStyle="1" w:styleId="CytatintensywnyZnak">
    <w:name w:val="Cytat intensywny Znak"/>
    <w:basedOn w:val="Domylnaczcionkaakapitu"/>
    <w:link w:val="Cytatintensywny"/>
    <w:uiPriority w:val="30"/>
    <w:rsid w:val="006F7426"/>
    <w:rPr>
      <w:rFonts w:ascii="Lato" w:eastAsia="Times New Roman" w:hAnsi="Lato" w:cs="Arial"/>
      <w:i/>
      <w:iCs/>
      <w:sz w:val="20"/>
      <w:szCs w:val="20"/>
      <w:lang w:eastAsia="pl-PL"/>
    </w:rPr>
  </w:style>
  <w:style w:type="character" w:styleId="Nierozpoznanawzmianka">
    <w:name w:val="Unresolved Mention"/>
    <w:basedOn w:val="Domylnaczcionkaakapitu"/>
    <w:uiPriority w:val="99"/>
    <w:semiHidden/>
    <w:unhideWhenUsed/>
    <w:rsid w:val="00C45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2341">
      <w:bodyDiv w:val="1"/>
      <w:marLeft w:val="0"/>
      <w:marRight w:val="0"/>
      <w:marTop w:val="0"/>
      <w:marBottom w:val="0"/>
      <w:divBdr>
        <w:top w:val="none" w:sz="0" w:space="0" w:color="auto"/>
        <w:left w:val="none" w:sz="0" w:space="0" w:color="auto"/>
        <w:bottom w:val="none" w:sz="0" w:space="0" w:color="auto"/>
        <w:right w:val="none" w:sz="0" w:space="0" w:color="auto"/>
      </w:divBdr>
    </w:div>
    <w:div w:id="559094056">
      <w:bodyDiv w:val="1"/>
      <w:marLeft w:val="0"/>
      <w:marRight w:val="0"/>
      <w:marTop w:val="0"/>
      <w:marBottom w:val="0"/>
      <w:divBdr>
        <w:top w:val="none" w:sz="0" w:space="0" w:color="auto"/>
        <w:left w:val="none" w:sz="0" w:space="0" w:color="auto"/>
        <w:bottom w:val="none" w:sz="0" w:space="0" w:color="auto"/>
        <w:right w:val="none" w:sz="0" w:space="0" w:color="auto"/>
      </w:divBdr>
    </w:div>
    <w:div w:id="991446128">
      <w:bodyDiv w:val="1"/>
      <w:marLeft w:val="0"/>
      <w:marRight w:val="0"/>
      <w:marTop w:val="0"/>
      <w:marBottom w:val="0"/>
      <w:divBdr>
        <w:top w:val="none" w:sz="0" w:space="0" w:color="auto"/>
        <w:left w:val="none" w:sz="0" w:space="0" w:color="auto"/>
        <w:bottom w:val="none" w:sz="0" w:space="0" w:color="auto"/>
        <w:right w:val="none" w:sz="0" w:space="0" w:color="auto"/>
      </w:divBdr>
    </w:div>
    <w:div w:id="1075318990">
      <w:bodyDiv w:val="1"/>
      <w:marLeft w:val="0"/>
      <w:marRight w:val="0"/>
      <w:marTop w:val="0"/>
      <w:marBottom w:val="0"/>
      <w:divBdr>
        <w:top w:val="none" w:sz="0" w:space="0" w:color="auto"/>
        <w:left w:val="none" w:sz="0" w:space="0" w:color="auto"/>
        <w:bottom w:val="none" w:sz="0" w:space="0" w:color="auto"/>
        <w:right w:val="none" w:sz="0" w:space="0" w:color="auto"/>
      </w:divBdr>
    </w:div>
    <w:div w:id="1173422527">
      <w:bodyDiv w:val="1"/>
      <w:marLeft w:val="0"/>
      <w:marRight w:val="0"/>
      <w:marTop w:val="0"/>
      <w:marBottom w:val="0"/>
      <w:divBdr>
        <w:top w:val="none" w:sz="0" w:space="0" w:color="auto"/>
        <w:left w:val="none" w:sz="0" w:space="0" w:color="auto"/>
        <w:bottom w:val="none" w:sz="0" w:space="0" w:color="auto"/>
        <w:right w:val="none" w:sz="0" w:space="0" w:color="auto"/>
      </w:divBdr>
    </w:div>
    <w:div w:id="1265653564">
      <w:bodyDiv w:val="1"/>
      <w:marLeft w:val="0"/>
      <w:marRight w:val="0"/>
      <w:marTop w:val="0"/>
      <w:marBottom w:val="0"/>
      <w:divBdr>
        <w:top w:val="none" w:sz="0" w:space="0" w:color="auto"/>
        <w:left w:val="none" w:sz="0" w:space="0" w:color="auto"/>
        <w:bottom w:val="none" w:sz="0" w:space="0" w:color="auto"/>
        <w:right w:val="none" w:sz="0" w:space="0" w:color="auto"/>
      </w:divBdr>
    </w:div>
    <w:div w:id="1512717189">
      <w:bodyDiv w:val="1"/>
      <w:marLeft w:val="0"/>
      <w:marRight w:val="0"/>
      <w:marTop w:val="0"/>
      <w:marBottom w:val="0"/>
      <w:divBdr>
        <w:top w:val="none" w:sz="0" w:space="0" w:color="auto"/>
        <w:left w:val="none" w:sz="0" w:space="0" w:color="auto"/>
        <w:bottom w:val="none" w:sz="0" w:space="0" w:color="auto"/>
        <w:right w:val="none" w:sz="0" w:space="0" w:color="auto"/>
      </w:divBdr>
    </w:div>
    <w:div w:id="1764380604">
      <w:bodyDiv w:val="1"/>
      <w:marLeft w:val="0"/>
      <w:marRight w:val="0"/>
      <w:marTop w:val="0"/>
      <w:marBottom w:val="0"/>
      <w:divBdr>
        <w:top w:val="none" w:sz="0" w:space="0" w:color="auto"/>
        <w:left w:val="none" w:sz="0" w:space="0" w:color="auto"/>
        <w:bottom w:val="none" w:sz="0" w:space="0" w:color="auto"/>
        <w:right w:val="none" w:sz="0" w:space="0" w:color="auto"/>
      </w:divBdr>
    </w:div>
    <w:div w:id="1862814745">
      <w:bodyDiv w:val="1"/>
      <w:marLeft w:val="0"/>
      <w:marRight w:val="0"/>
      <w:marTop w:val="0"/>
      <w:marBottom w:val="0"/>
      <w:divBdr>
        <w:top w:val="none" w:sz="0" w:space="0" w:color="auto"/>
        <w:left w:val="none" w:sz="0" w:space="0" w:color="auto"/>
        <w:bottom w:val="none" w:sz="0" w:space="0" w:color="auto"/>
        <w:right w:val="none" w:sz="0" w:space="0" w:color="auto"/>
      </w:divBdr>
    </w:div>
    <w:div w:id="2010714208">
      <w:bodyDiv w:val="1"/>
      <w:marLeft w:val="0"/>
      <w:marRight w:val="0"/>
      <w:marTop w:val="0"/>
      <w:marBottom w:val="0"/>
      <w:divBdr>
        <w:top w:val="none" w:sz="0" w:space="0" w:color="auto"/>
        <w:left w:val="none" w:sz="0" w:space="0" w:color="auto"/>
        <w:bottom w:val="none" w:sz="0" w:space="0" w:color="auto"/>
        <w:right w:val="none" w:sz="0" w:space="0" w:color="auto"/>
      </w:divBdr>
      <w:divsChild>
        <w:div w:id="935014336">
          <w:marLeft w:val="0"/>
          <w:marRight w:val="0"/>
          <w:marTop w:val="0"/>
          <w:marBottom w:val="0"/>
          <w:divBdr>
            <w:top w:val="none" w:sz="0" w:space="0" w:color="auto"/>
            <w:left w:val="none" w:sz="0" w:space="0" w:color="auto"/>
            <w:bottom w:val="none" w:sz="0" w:space="0" w:color="auto"/>
            <w:right w:val="none" w:sz="0" w:space="0" w:color="auto"/>
          </w:divBdr>
          <w:divsChild>
            <w:div w:id="497574850">
              <w:marLeft w:val="0"/>
              <w:marRight w:val="0"/>
              <w:marTop w:val="0"/>
              <w:marBottom w:val="0"/>
              <w:divBdr>
                <w:top w:val="none" w:sz="0" w:space="0" w:color="auto"/>
                <w:left w:val="none" w:sz="0" w:space="0" w:color="auto"/>
                <w:bottom w:val="none" w:sz="0" w:space="0" w:color="auto"/>
                <w:right w:val="none" w:sz="0" w:space="0" w:color="auto"/>
              </w:divBdr>
              <w:divsChild>
                <w:div w:id="1633828165">
                  <w:marLeft w:val="0"/>
                  <w:marRight w:val="0"/>
                  <w:marTop w:val="0"/>
                  <w:marBottom w:val="0"/>
                  <w:divBdr>
                    <w:top w:val="none" w:sz="0" w:space="0" w:color="auto"/>
                    <w:left w:val="none" w:sz="0" w:space="0" w:color="auto"/>
                    <w:bottom w:val="none" w:sz="0" w:space="0" w:color="auto"/>
                    <w:right w:val="none" w:sz="0" w:space="0" w:color="auto"/>
                  </w:divBdr>
                  <w:divsChild>
                    <w:div w:id="679770016">
                      <w:marLeft w:val="0"/>
                      <w:marRight w:val="0"/>
                      <w:marTop w:val="0"/>
                      <w:marBottom w:val="0"/>
                      <w:divBdr>
                        <w:top w:val="none" w:sz="0" w:space="0" w:color="auto"/>
                        <w:left w:val="none" w:sz="0" w:space="0" w:color="auto"/>
                        <w:bottom w:val="none" w:sz="0" w:space="0" w:color="auto"/>
                        <w:right w:val="none" w:sz="0" w:space="0" w:color="auto"/>
                      </w:divBdr>
                      <w:divsChild>
                        <w:div w:id="822699883">
                          <w:marLeft w:val="0"/>
                          <w:marRight w:val="0"/>
                          <w:marTop w:val="0"/>
                          <w:marBottom w:val="0"/>
                          <w:divBdr>
                            <w:top w:val="none" w:sz="0" w:space="0" w:color="auto"/>
                            <w:left w:val="none" w:sz="0" w:space="0" w:color="auto"/>
                            <w:bottom w:val="none" w:sz="0" w:space="0" w:color="auto"/>
                            <w:right w:val="none" w:sz="0" w:space="0" w:color="auto"/>
                          </w:divBdr>
                          <w:divsChild>
                            <w:div w:id="1836608974">
                              <w:marLeft w:val="0"/>
                              <w:marRight w:val="0"/>
                              <w:marTop w:val="0"/>
                              <w:marBottom w:val="0"/>
                              <w:divBdr>
                                <w:top w:val="none" w:sz="0" w:space="0" w:color="auto"/>
                                <w:left w:val="none" w:sz="0" w:space="0" w:color="auto"/>
                                <w:bottom w:val="none" w:sz="0" w:space="0" w:color="auto"/>
                                <w:right w:val="none" w:sz="0" w:space="0" w:color="auto"/>
                              </w:divBdr>
                              <w:divsChild>
                                <w:div w:id="1192498167">
                                  <w:marLeft w:val="0"/>
                                  <w:marRight w:val="0"/>
                                  <w:marTop w:val="0"/>
                                  <w:marBottom w:val="0"/>
                                  <w:divBdr>
                                    <w:top w:val="none" w:sz="0" w:space="0" w:color="auto"/>
                                    <w:left w:val="none" w:sz="0" w:space="0" w:color="auto"/>
                                    <w:bottom w:val="none" w:sz="0" w:space="0" w:color="auto"/>
                                    <w:right w:val="none" w:sz="0" w:space="0" w:color="auto"/>
                                  </w:divBdr>
                                  <w:divsChild>
                                    <w:div w:id="1906144549">
                                      <w:marLeft w:val="0"/>
                                      <w:marRight w:val="0"/>
                                      <w:marTop w:val="0"/>
                                      <w:marBottom w:val="0"/>
                                      <w:divBdr>
                                        <w:top w:val="none" w:sz="0" w:space="0" w:color="auto"/>
                                        <w:left w:val="none" w:sz="0" w:space="0" w:color="auto"/>
                                        <w:bottom w:val="none" w:sz="0" w:space="0" w:color="auto"/>
                                        <w:right w:val="none" w:sz="0" w:space="0" w:color="auto"/>
                                      </w:divBdr>
                                      <w:divsChild>
                                        <w:div w:id="83452654">
                                          <w:marLeft w:val="0"/>
                                          <w:marRight w:val="0"/>
                                          <w:marTop w:val="0"/>
                                          <w:marBottom w:val="495"/>
                                          <w:divBdr>
                                            <w:top w:val="none" w:sz="0" w:space="0" w:color="auto"/>
                                            <w:left w:val="none" w:sz="0" w:space="0" w:color="auto"/>
                                            <w:bottom w:val="none" w:sz="0" w:space="0" w:color="auto"/>
                                            <w:right w:val="none" w:sz="0" w:space="0" w:color="auto"/>
                                          </w:divBdr>
                                          <w:divsChild>
                                            <w:div w:id="5409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3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ravel.state.gov/content/travel/en/international-travel/while-abroad/Joint-Foreign-Account-Tax-Compliance-FATCA-FAQ.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nks.gd/l/eyJhbGciOiJIUzI1NiJ9.eyJidWxsZXRpbl9saW5rX2lkIjoxMTYsInVyaSI6ImJwMjpjbGljayIsImJ1bGxldGluX2lkIjoiMjAyMjEyMzAuNjkwMjExMDEiLCJ1cmwiOiJodHRwczovL3d3dy5pcnMuZ292L3B1Yi9pcnMtZHJvcC9uLTIzLTExLnBkZiJ9.-FctieChXnPSGvRrkrAVaaezv75pVe4zisB_G5HX4LY/s/1191439702/br/15150322737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individuals/international-taxpayers/relief-procedures-for-certain-former-citize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vel.state.gov/content/travel/en/international-travel/while-abroad/Joint-Foreign-Account-Tax-Compliance-FATCA-FAQ.html" TargetMode="External"/><Relationship Id="rId4" Type="http://schemas.openxmlformats.org/officeDocument/2006/relationships/settings" Target="settings.xml"/><Relationship Id="rId9" Type="http://schemas.openxmlformats.org/officeDocument/2006/relationships/hyperlink" Target="https://www.irs.gov/businesses/corporations/frequently-asked-questions-faqs-fatca-compliance-legal" TargetMode="External"/><Relationship Id="rId14" Type="http://schemas.openxmlformats.org/officeDocument/2006/relationships/hyperlink" Target="https://www.irs.gov/individuals/international-taxpayers/relief-procedures-for-certain-former-citize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F2620-C28B-4868-8DB4-BE412910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3847</Words>
  <Characters>23082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Modzelewski Michał</dc:creator>
  <cp:lastModifiedBy>Modzelewski Michał</cp:lastModifiedBy>
  <cp:revision>66</cp:revision>
  <cp:lastPrinted>2023-06-14T12:17:00Z</cp:lastPrinted>
  <dcterms:created xsi:type="dcterms:W3CDTF">2019-04-10T12:02:00Z</dcterms:created>
  <dcterms:modified xsi:type="dcterms:W3CDTF">2026-03-27T12:48:00Z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UxC4dwLulzfINJ8nQH+xvX5LNGipWa4BRSZhPgxsCvlTp2Hi+fFfSlHZN7MUA9ODLkXCdnmTS+uJp9XWKKAKag==</vt:lpwstr>
  </property>
  <property fmtid="{D5CDD505-2E9C-101B-9397-08002B2CF9AE}" pid="4" name="MFClassificationDate">
    <vt:lpwstr>2022-05-09T13:14:50.6738758+02:00</vt:lpwstr>
  </property>
  <property fmtid="{D5CDD505-2E9C-101B-9397-08002B2CF9AE}" pid="5" name="MFClassifiedBySID">
    <vt:lpwstr>UxC4dwLulzfINJ8nQH+xvX5LNGipWa4BRSZhPgxsCvm42mrIC/DSDv0ggS+FjUN/2v1BBotkLlY5aAiEhoi6uQneOvaoF1BQMVtmzDTPhfFDkZDymkU3/7PyoQooItnw</vt:lpwstr>
  </property>
  <property fmtid="{D5CDD505-2E9C-101B-9397-08002B2CF9AE}" pid="6" name="MFGRNItemId">
    <vt:lpwstr>GRN-bf917ab7-ca23-4cad-a9c4-0f4cd9cde0e8</vt:lpwstr>
  </property>
  <property fmtid="{D5CDD505-2E9C-101B-9397-08002B2CF9AE}" pid="7" name="MFHash">
    <vt:lpwstr>8McsLNT4mMYTSOoZGuG9JcdeNI+oaWIs+MEyz3rDL1Y=</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