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A71F" w14:textId="77777777" w:rsidR="008251B2" w:rsidRPr="004A6CBE" w:rsidRDefault="008251B2" w:rsidP="008251B2">
      <w:pPr>
        <w:rPr>
          <w:lang w:val="uk-UA"/>
        </w:rPr>
      </w:pPr>
      <w:r w:rsidRPr="004A6CBE">
        <w:rPr>
          <w:lang w:val="uk-UA"/>
        </w:rPr>
        <w:t>Шановні панове,</w:t>
      </w:r>
    </w:p>
    <w:p w14:paraId="6FED115F" w14:textId="77777777" w:rsidR="008251B2" w:rsidRPr="004A6CBE" w:rsidRDefault="008251B2" w:rsidP="008251B2">
      <w:pPr>
        <w:rPr>
          <w:lang w:val="uk-UA"/>
        </w:rPr>
      </w:pPr>
      <w:r w:rsidRPr="004A6CBE">
        <w:rPr>
          <w:lang w:val="uk-UA"/>
        </w:rPr>
        <w:t>у зв'язку зі збройним конфліктом на території України, Міністерство здоров'я, маючи на увазі рекомендацію групи з імунізації від 7 березня ц.</w:t>
      </w:r>
      <w:r>
        <w:t xml:space="preserve"> </w:t>
      </w:r>
      <w:r w:rsidRPr="004A6CBE">
        <w:rPr>
          <w:lang w:val="uk-UA"/>
        </w:rPr>
        <w:t>р. повідомляє, що вакцинація для людей з України повинна здійснюватися вакцинами, наявними в національній програмі вакцинації проти COVID-19, відповідно до показань і схеми поведінки, здійснюваної в Польщі.</w:t>
      </w:r>
    </w:p>
    <w:p w14:paraId="74C063CB" w14:textId="77777777" w:rsidR="008251B2" w:rsidRPr="004A6CBE" w:rsidRDefault="008251B2" w:rsidP="008251B2">
      <w:pPr>
        <w:rPr>
          <w:lang w:val="uk-UA"/>
        </w:rPr>
      </w:pPr>
      <w:r w:rsidRPr="004A6CBE">
        <w:rPr>
          <w:lang w:val="uk-UA"/>
        </w:rPr>
        <w:t>Кожен біженець з України старше 5 років, який раніше не був щеплений в рекомендованій схемі вакцинації проти COVID-19, повинен мати можливість вакцинації або доповнення вакцинації препаратами, доступними в Польщі.</w:t>
      </w:r>
    </w:p>
    <w:p w14:paraId="13C14D5F" w14:textId="77777777" w:rsidR="008251B2" w:rsidRPr="004A6CBE" w:rsidRDefault="008251B2" w:rsidP="008251B2">
      <w:pPr>
        <w:rPr>
          <w:lang w:val="uk-UA"/>
        </w:rPr>
      </w:pPr>
      <w:r w:rsidRPr="004A6CBE">
        <w:rPr>
          <w:lang w:val="uk-UA"/>
        </w:rPr>
        <w:t>Крім того, необхідно враховувати, що програма вакцинації проти COVID-19 людей у віці ≥ 18 років в Україні реалізовувалася вакцинами:</w:t>
      </w:r>
    </w:p>
    <w:p w14:paraId="79C1FB44" w14:textId="77777777" w:rsidR="008251B2" w:rsidRPr="004A6CBE" w:rsidRDefault="008251B2" w:rsidP="008251B2">
      <w:pPr>
        <w:pStyle w:val="Akapitzlist"/>
        <w:numPr>
          <w:ilvl w:val="0"/>
          <w:numId w:val="9"/>
        </w:numPr>
        <w:rPr>
          <w:lang w:val="uk-UA"/>
        </w:rPr>
      </w:pPr>
      <w:r w:rsidRPr="004A6CBE">
        <w:rPr>
          <w:lang w:val="uk-UA"/>
        </w:rPr>
        <w:t>Допущеними до обігу в Європейському союзі є такі препарати: Comirnaty (Pfizer-BioNTech) і Spikevax (Moderna), а також Vaxzevria (Astra Zeneca).</w:t>
      </w:r>
    </w:p>
    <w:p w14:paraId="21D16407" w14:textId="77777777" w:rsidR="008251B2" w:rsidRPr="004A6CBE" w:rsidRDefault="008251B2" w:rsidP="008251B2">
      <w:pPr>
        <w:pStyle w:val="Akapitzlist"/>
        <w:numPr>
          <w:ilvl w:val="0"/>
          <w:numId w:val="9"/>
        </w:numPr>
        <w:rPr>
          <w:lang w:val="uk-UA"/>
        </w:rPr>
      </w:pPr>
      <w:r w:rsidRPr="004A6CBE">
        <w:rPr>
          <w:lang w:val="uk-UA"/>
        </w:rPr>
        <w:t>Забороненими до обігу в Європейському союзі, зазначеними в переліку аналогів вакцин, дозволених до обігу на території Європейського союзу (ЄС) або еквівалентних цим вакцинам: CoronaVac/Sinovac Biotech як еквівалент зареєстрованого в ЄС препарату Nuvaxovid (Novavax), а також Covishield як еквівалент зареєстрованого в ЄС препарату Vaxzevria (AstraZeneca).</w:t>
      </w:r>
    </w:p>
    <w:p w14:paraId="78F731FD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lang w:val="uk-UA"/>
        </w:rPr>
      </w:pPr>
      <w:r w:rsidRPr="004A6CBE">
        <w:rPr>
          <w:lang w:val="uk-UA"/>
        </w:rPr>
        <w:t>Забороненими до обігу в Європейському союзі, а також незазначеними в переліку аналогів вакцин, дозволених до обігу на території Європейського союзу (ЄС) або еквівалентних цим вакцинам. Ця ситуація може стосуватися окремих осіб.</w:t>
      </w:r>
    </w:p>
    <w:p w14:paraId="3E45A1C2" w14:textId="77777777" w:rsidR="008251B2" w:rsidRPr="004A6CBE" w:rsidRDefault="008251B2" w:rsidP="008251B2">
      <w:pPr>
        <w:rPr>
          <w:rFonts w:cstheme="minorHAnsi"/>
          <w:lang w:val="uk-UA"/>
        </w:rPr>
      </w:pPr>
      <w:r w:rsidRPr="004A6CBE">
        <w:rPr>
          <w:rFonts w:cstheme="minorHAnsi"/>
          <w:lang w:val="uk-UA"/>
        </w:rPr>
        <w:t>Відповідно, в процесі кваліфікації на вакцинацію проти COVID-19 осіб з України повинні бути:</w:t>
      </w:r>
    </w:p>
    <w:p w14:paraId="105B6A38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rFonts w:cstheme="minorHAnsi"/>
          <w:lang w:val="uk-UA"/>
        </w:rPr>
      </w:pPr>
      <w:r w:rsidRPr="004A6CBE">
        <w:rPr>
          <w:rFonts w:cstheme="minorHAnsi"/>
          <w:u w:val="single"/>
          <w:lang w:val="uk-UA"/>
        </w:rPr>
        <w:t>Для дорослого, який не отримав досі жодної дози вакцини</w:t>
      </w:r>
      <w:r w:rsidRPr="004A6CBE">
        <w:rPr>
          <w:rFonts w:cstheme="minorHAnsi"/>
          <w:lang w:val="uk-UA"/>
        </w:rPr>
        <w:t>, дотримуватися показань і схеми вакцинації, реалізованої в Польщі, з урахуванням можливості застосування режиму одноразової вакцини</w:t>
      </w:r>
      <w:r w:rsidRPr="004A6CBE">
        <w:rPr>
          <w:lang w:val="uk-UA"/>
        </w:rPr>
        <w:t xml:space="preserve"> </w:t>
      </w:r>
      <w:r w:rsidRPr="004A6CBE">
        <w:rPr>
          <w:rFonts w:cstheme="minorHAnsi"/>
          <w:lang w:val="uk-UA"/>
        </w:rPr>
        <w:t>COVID-19 Vaccine Janssen (Johnson&amp;Johnson)</w:t>
      </w:r>
      <w:r>
        <w:rPr>
          <w:rFonts w:cstheme="minorHAnsi"/>
          <w:lang w:val="uk-UA"/>
        </w:rPr>
        <w:t>.</w:t>
      </w:r>
    </w:p>
    <w:p w14:paraId="1E06988C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rFonts w:cstheme="minorHAnsi"/>
          <w:lang w:val="uk-UA"/>
        </w:rPr>
      </w:pPr>
      <w:r w:rsidRPr="004A6CBE">
        <w:rPr>
          <w:rFonts w:cstheme="minorHAnsi"/>
          <w:u w:val="single"/>
          <w:lang w:val="uk-UA"/>
        </w:rPr>
        <w:t>Для дорослого, який має документи щодо вакцинації в Україні</w:t>
      </w:r>
      <w:r w:rsidRPr="004A6CBE">
        <w:rPr>
          <w:rFonts w:cstheme="minorHAnsi"/>
          <w:lang w:val="uk-UA"/>
        </w:rPr>
        <w:t xml:space="preserve"> за неповною схемою з вакциною,</w:t>
      </w:r>
      <w:r w:rsidRPr="004A6CBE">
        <w:rPr>
          <w:lang w:val="uk-UA"/>
        </w:rPr>
        <w:t xml:space="preserve"> </w:t>
      </w:r>
      <w:r w:rsidRPr="004A6CBE">
        <w:rPr>
          <w:rFonts w:cstheme="minorHAnsi"/>
          <w:lang w:val="uk-UA"/>
        </w:rPr>
        <w:t>реалізованої в Польщі, дотримуватися рекомендацій, що діють у програмі вакцинації проти</w:t>
      </w:r>
      <w:r w:rsidRPr="004A6CBE">
        <w:rPr>
          <w:lang w:val="uk-UA"/>
        </w:rPr>
        <w:t xml:space="preserve"> </w:t>
      </w:r>
      <w:r w:rsidRPr="004A6CBE">
        <w:rPr>
          <w:rFonts w:cstheme="minorHAnsi"/>
          <w:lang w:val="uk-UA"/>
        </w:rPr>
        <w:t>COVID-19</w:t>
      </w:r>
      <w:r w:rsidRPr="004A6CBE">
        <w:rPr>
          <w:lang w:val="uk-UA"/>
        </w:rPr>
        <w:t xml:space="preserve"> </w:t>
      </w:r>
      <w:r w:rsidRPr="004A6CBE">
        <w:rPr>
          <w:rFonts w:cstheme="minorHAnsi"/>
          <w:lang w:val="uk-UA"/>
        </w:rPr>
        <w:t>в Польщі</w:t>
      </w:r>
      <w:r>
        <w:rPr>
          <w:rFonts w:cstheme="minorHAnsi"/>
          <w:lang w:val="uk-UA"/>
        </w:rPr>
        <w:t>.</w:t>
      </w:r>
    </w:p>
    <w:p w14:paraId="7E170128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rFonts w:cstheme="minorHAnsi"/>
          <w:lang w:val="uk-UA"/>
        </w:rPr>
      </w:pPr>
      <w:r w:rsidRPr="00A36695">
        <w:rPr>
          <w:rFonts w:cstheme="minorHAnsi"/>
          <w:u w:val="single"/>
          <w:lang w:val="uk-UA"/>
        </w:rPr>
        <w:t>Якщо доросла людина, має документацію про вакцинацію в Україні в неповній схемі вакциною, включеною до переліку аналогів вакцин, допущених в обіг на території Європейського союзу (ЄС)</w:t>
      </w:r>
      <w:r w:rsidRPr="004A6CBE">
        <w:rPr>
          <w:rFonts w:cstheme="minorHAnsi"/>
          <w:lang w:val="uk-UA"/>
        </w:rPr>
        <w:t xml:space="preserve"> або еквівалентних тим вакцинам, треба діяти відповідно до інструкцій, що діють у програмі вакцинації проти COVID-19 у Польщі.</w:t>
      </w:r>
    </w:p>
    <w:p w14:paraId="5394549D" w14:textId="77777777" w:rsidR="008251B2" w:rsidRPr="004A6CBE" w:rsidRDefault="008251B2" w:rsidP="008251B2">
      <w:pPr>
        <w:pStyle w:val="Akapitzlist"/>
        <w:rPr>
          <w:rFonts w:cstheme="minorHAnsi"/>
          <w:lang w:val="uk-UA"/>
        </w:rPr>
      </w:pPr>
      <w:r w:rsidRPr="004A6CBE">
        <w:rPr>
          <w:rFonts w:cstheme="minorHAnsi"/>
          <w:lang w:val="uk-UA"/>
        </w:rPr>
        <w:t>У разі документального підтвердження введення 1 дози інактивованої вакцини CoronaVac/Sinovac Biotech слід вказати в якості другої дози векторну вакцину COVID-19 Vaccine Janssen (Johnson&amp;Johnson) або дозу вакцини mRNA. У разі документального підтвердження введення 2 доз вакцини слід вводити профілактичну дозу відповідно до рекомендацій програми вакцинації проти COVID-19 у Польщі.</w:t>
      </w:r>
    </w:p>
    <w:p w14:paraId="7C7EF940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rFonts w:cstheme="minorHAnsi"/>
          <w:lang w:val="uk-UA"/>
        </w:rPr>
      </w:pPr>
      <w:r w:rsidRPr="003F7C4B">
        <w:rPr>
          <w:rFonts w:cstheme="minorHAnsi"/>
          <w:u w:val="single"/>
          <w:lang w:val="uk-UA"/>
        </w:rPr>
        <w:t>Я</w:t>
      </w:r>
      <w:r w:rsidRPr="00293618">
        <w:rPr>
          <w:rFonts w:cstheme="minorHAnsi"/>
          <w:u w:val="single"/>
          <w:lang w:val="uk-UA"/>
        </w:rPr>
        <w:t>кщо особа у віці 12-17 років не отримала досі жодної дози вакцини</w:t>
      </w:r>
      <w:r w:rsidRPr="004A6CBE">
        <w:rPr>
          <w:rFonts w:cstheme="minorHAnsi"/>
          <w:lang w:val="uk-UA"/>
        </w:rPr>
        <w:t>,</w:t>
      </w:r>
      <w:r w:rsidRPr="00082930">
        <w:rPr>
          <w:rFonts w:cstheme="minorHAnsi"/>
          <w:lang w:val="uk-UA"/>
        </w:rPr>
        <w:t xml:space="preserve"> </w:t>
      </w:r>
      <w:r w:rsidRPr="004A6CBE">
        <w:rPr>
          <w:rFonts w:cstheme="minorHAnsi"/>
          <w:lang w:val="uk-UA"/>
        </w:rPr>
        <w:t>треба  діяти у відповідності з показаннями та схемою вакцинації, здійснюваної в Польщі, реалізувати вакцинацію вакциною mRNA Comirnaty (Pfizer-BioNTech) або Spikevax (Moderna)</w:t>
      </w:r>
      <w:r>
        <w:rPr>
          <w:rFonts w:cstheme="minorHAnsi"/>
          <w:lang w:val="uk-UA"/>
        </w:rPr>
        <w:t>.</w:t>
      </w:r>
    </w:p>
    <w:p w14:paraId="2E2D13DF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rFonts w:cstheme="minorHAnsi"/>
          <w:lang w:val="uk-UA"/>
        </w:rPr>
      </w:pPr>
      <w:r w:rsidRPr="008E3CCF">
        <w:rPr>
          <w:rFonts w:cstheme="minorHAnsi"/>
          <w:u w:val="single"/>
          <w:lang w:val="uk-UA"/>
        </w:rPr>
        <w:t>У разі коли особа віком 12-17 років, має документацію</w:t>
      </w:r>
      <w:r w:rsidRPr="004A6CBE">
        <w:rPr>
          <w:rFonts w:cstheme="minorHAnsi"/>
          <w:lang w:val="uk-UA"/>
        </w:rPr>
        <w:t xml:space="preserve"> незакінченої схеми вакцинації Comirnaty (Pfizer-BioNTech) треба діяти відповідно до показань і схеми вакцинації молоді, яка проводиться в Польщі.</w:t>
      </w:r>
    </w:p>
    <w:p w14:paraId="1260232A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rFonts w:cstheme="minorHAnsi"/>
          <w:lang w:val="uk-UA"/>
        </w:rPr>
      </w:pPr>
      <w:r w:rsidRPr="00E12F12">
        <w:rPr>
          <w:rFonts w:cstheme="minorHAnsi"/>
          <w:u w:val="single"/>
          <w:lang w:val="uk-UA"/>
        </w:rPr>
        <w:lastRenderedPageBreak/>
        <w:t>У разі коли особа віком 12-17 років, не має документації</w:t>
      </w:r>
      <w:r w:rsidRPr="004A6CBE">
        <w:rPr>
          <w:rFonts w:cstheme="minorHAnsi"/>
          <w:lang w:val="uk-UA"/>
        </w:rPr>
        <w:t xml:space="preserve"> щодо вакцинації, розглядати її як невакциновану особу та реалізувати вакцинація відповідно до показань та схеми вакцинації, що здійснюється у Польщі.</w:t>
      </w:r>
    </w:p>
    <w:p w14:paraId="0D31AADF" w14:textId="77777777" w:rsidR="008251B2" w:rsidRPr="004A6CBE" w:rsidRDefault="008251B2" w:rsidP="008251B2">
      <w:pPr>
        <w:pStyle w:val="Akapitzlist"/>
        <w:numPr>
          <w:ilvl w:val="0"/>
          <w:numId w:val="8"/>
        </w:numPr>
        <w:rPr>
          <w:rFonts w:cstheme="minorHAnsi"/>
          <w:lang w:val="uk-UA"/>
        </w:rPr>
      </w:pPr>
      <w:r w:rsidRPr="008E3CCF">
        <w:rPr>
          <w:rFonts w:cstheme="minorHAnsi"/>
          <w:u w:val="single"/>
          <w:lang w:val="uk-UA"/>
        </w:rPr>
        <w:t>Для дитини віком 5-11 років</w:t>
      </w:r>
      <w:r w:rsidRPr="004A6CBE">
        <w:rPr>
          <w:rFonts w:cstheme="minorHAnsi"/>
          <w:lang w:val="uk-UA"/>
        </w:rPr>
        <w:t xml:space="preserve"> реалізувати щеплення відповідно до показань і схеми вакцинації, здійснюваної для цієї вікової групи в Польщі.</w:t>
      </w:r>
    </w:p>
    <w:p w14:paraId="4574F1B9" w14:textId="77777777" w:rsidR="008251B2" w:rsidRPr="004A6CBE" w:rsidRDefault="008251B2" w:rsidP="008251B2">
      <w:pPr>
        <w:rPr>
          <w:rFonts w:cstheme="minorHAnsi"/>
          <w:lang w:val="uk-UA"/>
        </w:rPr>
      </w:pPr>
      <w:r w:rsidRPr="004A6CBE">
        <w:rPr>
          <w:rFonts w:cstheme="minorHAnsi"/>
          <w:lang w:val="uk-UA"/>
        </w:rPr>
        <w:t>В процесі кваліфікації на щеплення слід дотримуватися загальних правил проведення щеплень - в разі відсутності документації більш безпечним і рекомендованим вибором є лікування людини як невакцинованої і повторення щеплень.</w:t>
      </w:r>
    </w:p>
    <w:p w14:paraId="326A0F57" w14:textId="77777777" w:rsidR="008251B2" w:rsidRPr="004A6CBE" w:rsidRDefault="008251B2" w:rsidP="008251B2">
      <w:pPr>
        <w:rPr>
          <w:rFonts w:cstheme="minorHAnsi"/>
          <w:lang w:val="uk-UA"/>
        </w:rPr>
      </w:pPr>
      <w:r w:rsidRPr="004A6CBE">
        <w:rPr>
          <w:rFonts w:cstheme="minorHAnsi"/>
          <w:lang w:val="uk-UA"/>
        </w:rPr>
        <w:t xml:space="preserve">Відсутність документації щодо попередньої вакцинації та підтвердження виконання вакцинації препаратами, які не допущені на ринок Європейського союзу, а також неперерахованими у списку аналогів вакцин, допущених в обіг на території Європейського союзу (ЄС) </w:t>
      </w:r>
      <w:hyperlink r:id="rId7" w:history="1">
        <w:r w:rsidRPr="004A6CBE">
          <w:rPr>
            <w:rStyle w:val="Hipercze"/>
            <w:rFonts w:cstheme="minorHAnsi"/>
            <w:lang w:val="uk-UA"/>
          </w:rPr>
          <w:t>http://bip.pzh.gov.pl/public/?id=216377</w:t>
        </w:r>
      </w:hyperlink>
      <w:r w:rsidRPr="004A6CBE">
        <w:rPr>
          <w:rFonts w:cstheme="minorHAnsi"/>
          <w:lang w:val="uk-UA"/>
        </w:rPr>
        <w:t xml:space="preserve"> обумовлює початок нової схеми вакцинації в NPS відповідно до рекомендацій.</w:t>
      </w:r>
    </w:p>
    <w:p w14:paraId="29DB3ADF" w14:textId="77777777" w:rsidR="008251B2" w:rsidRPr="004A6CBE" w:rsidRDefault="008251B2" w:rsidP="008251B2">
      <w:pPr>
        <w:rPr>
          <w:rFonts w:cstheme="minorHAnsi"/>
          <w:lang w:val="uk-UA"/>
        </w:rPr>
      </w:pPr>
      <w:r w:rsidRPr="004A6CBE">
        <w:rPr>
          <w:rFonts w:cstheme="minorHAnsi"/>
          <w:lang w:val="uk-UA"/>
        </w:rPr>
        <w:t>Під час кваліфікації для вакцинації проти COVID-19 можуть використовуватися анкети попереднього інтерв'ю перед вакцинацією українською, російською або англійською мовами.</w:t>
      </w:r>
    </w:p>
    <w:p w14:paraId="5A6E54AD" w14:textId="77777777" w:rsidR="008251B2" w:rsidRPr="004A6CBE" w:rsidRDefault="008251B2" w:rsidP="008251B2">
      <w:pPr>
        <w:rPr>
          <w:rFonts w:cstheme="minorHAnsi"/>
          <w:iCs/>
          <w:u w:val="single"/>
          <w:lang w:val="uk-UA"/>
        </w:rPr>
      </w:pPr>
      <w:r w:rsidRPr="004A6CBE">
        <w:rPr>
          <w:rFonts w:cstheme="minorHAnsi"/>
          <w:iCs/>
          <w:u w:val="single"/>
          <w:lang w:val="uk-UA"/>
        </w:rPr>
        <w:t>Додаток:</w:t>
      </w:r>
    </w:p>
    <w:p w14:paraId="57EE9CA2" w14:textId="5D41B135" w:rsidR="00EA1EAC" w:rsidRPr="008251B2" w:rsidRDefault="008251B2" w:rsidP="008251B2">
      <w:pPr>
        <w:rPr>
          <w:lang w:val="uk-UA"/>
        </w:rPr>
      </w:pPr>
      <w:r w:rsidRPr="004A6CBE">
        <w:rPr>
          <w:rFonts w:cstheme="minorHAnsi"/>
          <w:i/>
          <w:iCs/>
          <w:lang w:val="uk-UA"/>
        </w:rPr>
        <w:t>Перелік схем вакцинації для вакцин ЄС + не-ЄС</w:t>
      </w:r>
    </w:p>
    <w:sectPr w:rsidR="00EA1EAC" w:rsidRPr="0082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7683" w14:textId="77777777" w:rsidR="00C94A9D" w:rsidRDefault="00C94A9D" w:rsidP="00492205">
      <w:pPr>
        <w:spacing w:after="0" w:line="240" w:lineRule="auto"/>
      </w:pPr>
      <w:r>
        <w:separator/>
      </w:r>
    </w:p>
  </w:endnote>
  <w:endnote w:type="continuationSeparator" w:id="0">
    <w:p w14:paraId="7F2B9774" w14:textId="77777777" w:rsidR="00C94A9D" w:rsidRDefault="00C94A9D" w:rsidP="0049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CD46" w14:textId="77777777" w:rsidR="00C94A9D" w:rsidRDefault="00C94A9D" w:rsidP="00492205">
      <w:pPr>
        <w:spacing w:after="0" w:line="240" w:lineRule="auto"/>
      </w:pPr>
      <w:r>
        <w:separator/>
      </w:r>
    </w:p>
  </w:footnote>
  <w:footnote w:type="continuationSeparator" w:id="0">
    <w:p w14:paraId="1060765B" w14:textId="77777777" w:rsidR="00C94A9D" w:rsidRDefault="00C94A9D" w:rsidP="0049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7DAF"/>
    <w:multiLevelType w:val="hybridMultilevel"/>
    <w:tmpl w:val="2CC27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2CDF"/>
    <w:multiLevelType w:val="multilevel"/>
    <w:tmpl w:val="5FA8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F51CB"/>
    <w:multiLevelType w:val="hybridMultilevel"/>
    <w:tmpl w:val="42147BF8"/>
    <w:lvl w:ilvl="0" w:tplc="359E7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C1AAB"/>
    <w:multiLevelType w:val="multilevel"/>
    <w:tmpl w:val="B1C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B2D64"/>
    <w:multiLevelType w:val="hybridMultilevel"/>
    <w:tmpl w:val="2320C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07290"/>
    <w:multiLevelType w:val="hybridMultilevel"/>
    <w:tmpl w:val="A87C118E"/>
    <w:lvl w:ilvl="0" w:tplc="EBA6C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42630"/>
    <w:multiLevelType w:val="multilevel"/>
    <w:tmpl w:val="4DB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7605A"/>
    <w:multiLevelType w:val="hybridMultilevel"/>
    <w:tmpl w:val="73D4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781D"/>
    <w:multiLevelType w:val="hybridMultilevel"/>
    <w:tmpl w:val="8B5CD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A2767"/>
    <w:rsid w:val="00005A2B"/>
    <w:rsid w:val="00017426"/>
    <w:rsid w:val="000208FF"/>
    <w:rsid w:val="00021DCE"/>
    <w:rsid w:val="000255EE"/>
    <w:rsid w:val="000304AD"/>
    <w:rsid w:val="00063D05"/>
    <w:rsid w:val="00063EE8"/>
    <w:rsid w:val="00074A40"/>
    <w:rsid w:val="00082930"/>
    <w:rsid w:val="00096185"/>
    <w:rsid w:val="000B0F5F"/>
    <w:rsid w:val="000B1C8A"/>
    <w:rsid w:val="000C1D77"/>
    <w:rsid w:val="000C3D9C"/>
    <w:rsid w:val="000D71F7"/>
    <w:rsid w:val="000E7504"/>
    <w:rsid w:val="000F74A3"/>
    <w:rsid w:val="00102F6A"/>
    <w:rsid w:val="00103095"/>
    <w:rsid w:val="00111546"/>
    <w:rsid w:val="001149D6"/>
    <w:rsid w:val="00114F12"/>
    <w:rsid w:val="001312CB"/>
    <w:rsid w:val="001409E3"/>
    <w:rsid w:val="00145677"/>
    <w:rsid w:val="001518A3"/>
    <w:rsid w:val="00164FDB"/>
    <w:rsid w:val="001733B3"/>
    <w:rsid w:val="001825A1"/>
    <w:rsid w:val="00183B92"/>
    <w:rsid w:val="001A3B7B"/>
    <w:rsid w:val="001E0032"/>
    <w:rsid w:val="001F07B0"/>
    <w:rsid w:val="00201A7B"/>
    <w:rsid w:val="00243FA8"/>
    <w:rsid w:val="002440D0"/>
    <w:rsid w:val="002455D2"/>
    <w:rsid w:val="002816DE"/>
    <w:rsid w:val="00284677"/>
    <w:rsid w:val="0029347B"/>
    <w:rsid w:val="0029355E"/>
    <w:rsid w:val="00293618"/>
    <w:rsid w:val="002C43EE"/>
    <w:rsid w:val="002C5EE2"/>
    <w:rsid w:val="002C5F74"/>
    <w:rsid w:val="002D46C9"/>
    <w:rsid w:val="002D70D5"/>
    <w:rsid w:val="002E6DCF"/>
    <w:rsid w:val="002F25EC"/>
    <w:rsid w:val="00300BB3"/>
    <w:rsid w:val="00301F28"/>
    <w:rsid w:val="00307296"/>
    <w:rsid w:val="00324C05"/>
    <w:rsid w:val="00327799"/>
    <w:rsid w:val="00330421"/>
    <w:rsid w:val="003409C0"/>
    <w:rsid w:val="00343C2F"/>
    <w:rsid w:val="003461B4"/>
    <w:rsid w:val="00352C41"/>
    <w:rsid w:val="00364B62"/>
    <w:rsid w:val="00364C27"/>
    <w:rsid w:val="00364CB9"/>
    <w:rsid w:val="00366D52"/>
    <w:rsid w:val="00392BD3"/>
    <w:rsid w:val="003930B9"/>
    <w:rsid w:val="003A4103"/>
    <w:rsid w:val="003B6E82"/>
    <w:rsid w:val="003B7F1B"/>
    <w:rsid w:val="003D2DFA"/>
    <w:rsid w:val="003F3C46"/>
    <w:rsid w:val="003F7C4B"/>
    <w:rsid w:val="004070C0"/>
    <w:rsid w:val="00415F46"/>
    <w:rsid w:val="0044159F"/>
    <w:rsid w:val="004439D1"/>
    <w:rsid w:val="00451FDE"/>
    <w:rsid w:val="00470847"/>
    <w:rsid w:val="00471FA3"/>
    <w:rsid w:val="004839AC"/>
    <w:rsid w:val="00484227"/>
    <w:rsid w:val="00491171"/>
    <w:rsid w:val="00491B9A"/>
    <w:rsid w:val="00492205"/>
    <w:rsid w:val="004A2767"/>
    <w:rsid w:val="004A5A54"/>
    <w:rsid w:val="004A6CBE"/>
    <w:rsid w:val="004C1B00"/>
    <w:rsid w:val="004C2CA9"/>
    <w:rsid w:val="004D0586"/>
    <w:rsid w:val="004F45D8"/>
    <w:rsid w:val="00511D16"/>
    <w:rsid w:val="00520AA2"/>
    <w:rsid w:val="005263C3"/>
    <w:rsid w:val="005264EB"/>
    <w:rsid w:val="0052735B"/>
    <w:rsid w:val="00534A8B"/>
    <w:rsid w:val="005531A8"/>
    <w:rsid w:val="005551CD"/>
    <w:rsid w:val="0056271E"/>
    <w:rsid w:val="00571F3C"/>
    <w:rsid w:val="005914B3"/>
    <w:rsid w:val="005B0067"/>
    <w:rsid w:val="005B5F45"/>
    <w:rsid w:val="005C77F0"/>
    <w:rsid w:val="005D2098"/>
    <w:rsid w:val="005D28CB"/>
    <w:rsid w:val="005E031C"/>
    <w:rsid w:val="005E58D2"/>
    <w:rsid w:val="005F7786"/>
    <w:rsid w:val="006024F1"/>
    <w:rsid w:val="00614DD2"/>
    <w:rsid w:val="0062119C"/>
    <w:rsid w:val="006259B8"/>
    <w:rsid w:val="00635B1C"/>
    <w:rsid w:val="006666D4"/>
    <w:rsid w:val="00676582"/>
    <w:rsid w:val="0067740D"/>
    <w:rsid w:val="00683AD2"/>
    <w:rsid w:val="006940CD"/>
    <w:rsid w:val="006A781D"/>
    <w:rsid w:val="006B0A10"/>
    <w:rsid w:val="006B7125"/>
    <w:rsid w:val="006C334B"/>
    <w:rsid w:val="006D0DDB"/>
    <w:rsid w:val="006D70A7"/>
    <w:rsid w:val="0070766C"/>
    <w:rsid w:val="007170F8"/>
    <w:rsid w:val="00726682"/>
    <w:rsid w:val="00735099"/>
    <w:rsid w:val="00737CAB"/>
    <w:rsid w:val="00751C2B"/>
    <w:rsid w:val="007632CB"/>
    <w:rsid w:val="007872A9"/>
    <w:rsid w:val="007B2926"/>
    <w:rsid w:val="007C217E"/>
    <w:rsid w:val="007E582E"/>
    <w:rsid w:val="007F6143"/>
    <w:rsid w:val="0080768F"/>
    <w:rsid w:val="00815D9F"/>
    <w:rsid w:val="00815ECB"/>
    <w:rsid w:val="00824A71"/>
    <w:rsid w:val="008251B2"/>
    <w:rsid w:val="008519A1"/>
    <w:rsid w:val="00882517"/>
    <w:rsid w:val="00884157"/>
    <w:rsid w:val="00897394"/>
    <w:rsid w:val="008B1865"/>
    <w:rsid w:val="008B7573"/>
    <w:rsid w:val="008D26C2"/>
    <w:rsid w:val="008D5517"/>
    <w:rsid w:val="008E1D80"/>
    <w:rsid w:val="008E3CCF"/>
    <w:rsid w:val="008E676E"/>
    <w:rsid w:val="008F2CCD"/>
    <w:rsid w:val="008F3284"/>
    <w:rsid w:val="00913B0A"/>
    <w:rsid w:val="0092232C"/>
    <w:rsid w:val="00922D40"/>
    <w:rsid w:val="00923A3E"/>
    <w:rsid w:val="00926C49"/>
    <w:rsid w:val="00926F84"/>
    <w:rsid w:val="00942A08"/>
    <w:rsid w:val="009673D8"/>
    <w:rsid w:val="00971853"/>
    <w:rsid w:val="00983B51"/>
    <w:rsid w:val="0099283B"/>
    <w:rsid w:val="00992BBE"/>
    <w:rsid w:val="009B413C"/>
    <w:rsid w:val="009B7DF7"/>
    <w:rsid w:val="009C0D21"/>
    <w:rsid w:val="009C14FB"/>
    <w:rsid w:val="009C6E3A"/>
    <w:rsid w:val="009D5E6F"/>
    <w:rsid w:val="00A00B10"/>
    <w:rsid w:val="00A02B4C"/>
    <w:rsid w:val="00A22592"/>
    <w:rsid w:val="00A36695"/>
    <w:rsid w:val="00A441D6"/>
    <w:rsid w:val="00A51025"/>
    <w:rsid w:val="00A5397D"/>
    <w:rsid w:val="00A709EF"/>
    <w:rsid w:val="00A92F14"/>
    <w:rsid w:val="00AB20BA"/>
    <w:rsid w:val="00AD5202"/>
    <w:rsid w:val="00AD6B2D"/>
    <w:rsid w:val="00AE5230"/>
    <w:rsid w:val="00AF2500"/>
    <w:rsid w:val="00B0061D"/>
    <w:rsid w:val="00B07A1E"/>
    <w:rsid w:val="00B1035E"/>
    <w:rsid w:val="00B11DFB"/>
    <w:rsid w:val="00B16516"/>
    <w:rsid w:val="00B644B7"/>
    <w:rsid w:val="00B82BB0"/>
    <w:rsid w:val="00BA5D13"/>
    <w:rsid w:val="00BB73A1"/>
    <w:rsid w:val="00BF02EC"/>
    <w:rsid w:val="00C247AE"/>
    <w:rsid w:val="00C347A2"/>
    <w:rsid w:val="00C57A92"/>
    <w:rsid w:val="00C94A9D"/>
    <w:rsid w:val="00C95013"/>
    <w:rsid w:val="00C9535B"/>
    <w:rsid w:val="00CC267A"/>
    <w:rsid w:val="00CC7EDD"/>
    <w:rsid w:val="00CD0D8D"/>
    <w:rsid w:val="00CE4028"/>
    <w:rsid w:val="00CE6C60"/>
    <w:rsid w:val="00D11D66"/>
    <w:rsid w:val="00D12BD8"/>
    <w:rsid w:val="00D26B89"/>
    <w:rsid w:val="00D3053F"/>
    <w:rsid w:val="00D35FF3"/>
    <w:rsid w:val="00D36808"/>
    <w:rsid w:val="00D5081D"/>
    <w:rsid w:val="00D53AB3"/>
    <w:rsid w:val="00D63305"/>
    <w:rsid w:val="00D63601"/>
    <w:rsid w:val="00D65D02"/>
    <w:rsid w:val="00D674CC"/>
    <w:rsid w:val="00D71072"/>
    <w:rsid w:val="00D73BA4"/>
    <w:rsid w:val="00D76599"/>
    <w:rsid w:val="00D8703C"/>
    <w:rsid w:val="00D91808"/>
    <w:rsid w:val="00DA0E82"/>
    <w:rsid w:val="00DA20D9"/>
    <w:rsid w:val="00DC1ABE"/>
    <w:rsid w:val="00DC3216"/>
    <w:rsid w:val="00DC4D3D"/>
    <w:rsid w:val="00DD5ACE"/>
    <w:rsid w:val="00DD6767"/>
    <w:rsid w:val="00DE1388"/>
    <w:rsid w:val="00DE49D0"/>
    <w:rsid w:val="00DF1807"/>
    <w:rsid w:val="00E04F62"/>
    <w:rsid w:val="00E12F12"/>
    <w:rsid w:val="00E20368"/>
    <w:rsid w:val="00E54AC7"/>
    <w:rsid w:val="00E55276"/>
    <w:rsid w:val="00E725AB"/>
    <w:rsid w:val="00E74834"/>
    <w:rsid w:val="00E876BD"/>
    <w:rsid w:val="00EA136E"/>
    <w:rsid w:val="00EA1EAC"/>
    <w:rsid w:val="00EA7805"/>
    <w:rsid w:val="00ED622A"/>
    <w:rsid w:val="00EE1E61"/>
    <w:rsid w:val="00F023CE"/>
    <w:rsid w:val="00F061EB"/>
    <w:rsid w:val="00F13AB0"/>
    <w:rsid w:val="00F212ED"/>
    <w:rsid w:val="00F43C72"/>
    <w:rsid w:val="00F6779B"/>
    <w:rsid w:val="00FB5E66"/>
    <w:rsid w:val="00FC008E"/>
    <w:rsid w:val="00FC5804"/>
    <w:rsid w:val="00FD2C26"/>
    <w:rsid w:val="00FE157C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00E9"/>
  <w15:docId w15:val="{DA33F3BF-F4EA-429E-BD5D-15270D48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B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2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6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6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6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4F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4FDB"/>
    <w:rPr>
      <w:color w:val="0000FF"/>
      <w:u w:val="single"/>
    </w:rPr>
  </w:style>
  <w:style w:type="character" w:customStyle="1" w:styleId="1">
    <w:name w:val="Неразрешенное упоминание1"/>
    <w:basedOn w:val="Domylnaczcionkaakapitu"/>
    <w:uiPriority w:val="99"/>
    <w:semiHidden/>
    <w:unhideWhenUsed/>
    <w:rsid w:val="00D368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6808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2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2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205"/>
    <w:rPr>
      <w:vertAlign w:val="superscript"/>
    </w:rPr>
  </w:style>
  <w:style w:type="paragraph" w:styleId="Poprawka">
    <w:name w:val="Revision"/>
    <w:hidden/>
    <w:uiPriority w:val="99"/>
    <w:semiHidden/>
    <w:rsid w:val="00C57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zh.gov.pl/public/?id=216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3763</Characters>
  <Application>Microsoft Office Word</Application>
  <DocSecurity>0</DocSecurity>
  <Lines>101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Dziełak Dariusz</dc:creator>
  <cp:lastModifiedBy>hp</cp:lastModifiedBy>
  <cp:revision>2</cp:revision>
  <dcterms:created xsi:type="dcterms:W3CDTF">2022-03-09T07:56:00Z</dcterms:created>
  <dcterms:modified xsi:type="dcterms:W3CDTF">2022-03-09T07:56:00Z</dcterms:modified>
</cp:coreProperties>
</file>