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E6" w:rsidRDefault="00F8691B" w:rsidP="00DB5AB5">
      <w:pPr>
        <w:pStyle w:val="Pagedecouverture"/>
        <w:rPr>
          <w:noProof/>
        </w:rPr>
      </w:pPr>
      <w:bookmarkStart w:id="0" w:name="LW_BM_COVERPAGE"/>
      <w:bookmarkStart w:id="1" w:name="_GoBack"/>
      <w:bookmarkEnd w:id="1"/>
      <w:r>
        <w:rPr>
          <w:noProof/>
        </w:rPr>
        <w:drawing>
          <wp:inline distT="0" distB="0" distL="0" distR="0">
            <wp:extent cx="5725160" cy="7235825"/>
            <wp:effectExtent l="0" t="0" r="8890" b="3175"/>
            <wp:docPr id="2" name="Obraz 2" descr="1D6E4285-3849-4B71-B287-49C6456B0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D6E4285-3849-4B71-B287-49C6456B01F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5160" cy="7235825"/>
                    </a:xfrm>
                    <a:prstGeom prst="rect">
                      <a:avLst/>
                    </a:prstGeom>
                    <a:noFill/>
                    <a:ln>
                      <a:noFill/>
                    </a:ln>
                  </pic:spPr>
                </pic:pic>
              </a:graphicData>
            </a:graphic>
          </wp:inline>
        </w:drawing>
      </w:r>
    </w:p>
    <w:bookmarkEnd w:id="0"/>
    <w:p w:rsidR="00677DE6" w:rsidRDefault="00677DE6">
      <w:pPr>
        <w:rPr>
          <w:noProof/>
        </w:rPr>
        <w:sectPr w:rsidR="00677DE6" w:rsidSect="00DB5AB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677DE6" w:rsidRDefault="00DB5AB5">
      <w:pPr>
        <w:pStyle w:val="Nagwek1"/>
        <w:numPr>
          <w:ilvl w:val="0"/>
          <w:numId w:val="0"/>
        </w:numPr>
        <w:spacing w:before="120" w:after="360"/>
        <w:jc w:val="center"/>
        <w:rPr>
          <w:noProof/>
        </w:rPr>
      </w:pPr>
      <w:r>
        <w:rPr>
          <w:noProof/>
        </w:rPr>
        <w:lastRenderedPageBreak/>
        <w:t>DZIAŁANIA PRIORYTETOWE W ZAKRESIE LEPSZEGO WDRAŻANIA POLITYKI OCHRONY ŚRODOWISKA</w:t>
      </w:r>
    </w:p>
    <w:p w:rsidR="00677DE6" w:rsidRDefault="00DB5AB5">
      <w:pPr>
        <w:jc w:val="center"/>
        <w:rPr>
          <w:rFonts w:ascii="Times New Roman" w:hAnsi="Times New Roman" w:cs="Times New Roman"/>
          <w:noProof/>
        </w:rPr>
      </w:pPr>
      <w:r>
        <w:rPr>
          <w:rFonts w:ascii="Times New Roman" w:hAnsi="Times New Roman"/>
          <w:noProof/>
        </w:rPr>
        <w:t>Niniejszy załącznik zawiera podsumowanie działań priorytetowych zawartych w 28 sprawozdaniach krajowych dotyczących przeglądu wdrażania polityki ochrony środowiska</w:t>
      </w:r>
      <w:r>
        <w:rPr>
          <w:rFonts w:ascii="Times New Roman" w:hAnsi="Times New Roman"/>
          <w:noProof/>
        </w:rPr>
        <w:footnoteReference w:id="2"/>
      </w:r>
      <w:r>
        <w:rPr>
          <w:rFonts w:ascii="Times New Roman" w:hAnsi="Times New Roman"/>
          <w:noProof/>
        </w:rPr>
        <w:t>.</w:t>
      </w:r>
    </w:p>
    <w:tbl>
      <w:tblPr>
        <w:tblStyle w:val="Tabela-Siatka"/>
        <w:tblW w:w="9468" w:type="dxa"/>
        <w:tblLayout w:type="fixed"/>
        <w:tblLook w:val="04A0" w:firstRow="1" w:lastRow="0" w:firstColumn="1" w:lastColumn="0" w:noHBand="0" w:noVBand="1"/>
      </w:tblPr>
      <w:tblGrid>
        <w:gridCol w:w="7111"/>
        <w:gridCol w:w="2357"/>
      </w:tblGrid>
      <w:tr w:rsidR="00677DE6">
        <w:tc>
          <w:tcPr>
            <w:tcW w:w="7111" w:type="dxa"/>
            <w:shd w:val="clear" w:color="auto" w:fill="auto"/>
            <w:vAlign w:val="center"/>
          </w:tcPr>
          <w:p w:rsidR="00677DE6" w:rsidRDefault="00DB5AB5">
            <w:pPr>
              <w:pStyle w:val="Text1"/>
              <w:ind w:left="0"/>
              <w:jc w:val="left"/>
              <w:rPr>
                <w:i/>
                <w:noProof/>
                <w:sz w:val="20"/>
              </w:rPr>
            </w:pPr>
            <w:r>
              <w:rPr>
                <w:i/>
                <w:noProof/>
                <w:sz w:val="20"/>
              </w:rPr>
              <w:t>Działania priorytetowe</w:t>
            </w:r>
          </w:p>
        </w:tc>
        <w:tc>
          <w:tcPr>
            <w:tcW w:w="2357" w:type="dxa"/>
            <w:shd w:val="clear" w:color="auto" w:fill="auto"/>
            <w:vAlign w:val="center"/>
          </w:tcPr>
          <w:p w:rsidR="00677DE6" w:rsidRDefault="00DB5AB5">
            <w:pPr>
              <w:pStyle w:val="Text1"/>
              <w:ind w:left="0"/>
              <w:jc w:val="left"/>
              <w:rPr>
                <w:i/>
                <w:noProof/>
                <w:sz w:val="20"/>
              </w:rPr>
            </w:pPr>
            <w:r>
              <w:rPr>
                <w:i/>
                <w:noProof/>
                <w:sz w:val="20"/>
              </w:rPr>
              <w:t xml:space="preserve">Państwo (państwa) członkowskie </w:t>
            </w:r>
          </w:p>
        </w:tc>
      </w:tr>
      <w:tr w:rsidR="00677DE6">
        <w:tc>
          <w:tcPr>
            <w:tcW w:w="9468" w:type="dxa"/>
            <w:gridSpan w:val="2"/>
            <w:shd w:val="clear" w:color="auto" w:fill="C6D9F1" w:themeFill="text2" w:themeFillTint="33"/>
            <w:vAlign w:val="center"/>
          </w:tcPr>
          <w:p w:rsidR="00677DE6" w:rsidRDefault="00DB5AB5">
            <w:pPr>
              <w:pStyle w:val="Text1"/>
              <w:spacing w:after="0"/>
              <w:ind w:left="0"/>
              <w:rPr>
                <w:noProof/>
                <w:sz w:val="20"/>
              </w:rPr>
            </w:pPr>
            <w:r>
              <w:rPr>
                <w:b/>
                <w:noProof/>
                <w:sz w:val="20"/>
              </w:rPr>
              <w:t>Środki na rzecz osiągnięcia gospodarki o obiegu zamkniętym</w:t>
            </w:r>
          </w:p>
        </w:tc>
      </w:tr>
      <w:tr w:rsidR="00677DE6" w:rsidRPr="00DB5AB5">
        <w:tc>
          <w:tcPr>
            <w:tcW w:w="7111" w:type="dxa"/>
            <w:shd w:val="clear" w:color="auto" w:fill="auto"/>
            <w:vAlign w:val="center"/>
          </w:tcPr>
          <w:p w:rsidR="00677DE6" w:rsidRDefault="00DB5AB5">
            <w:pPr>
              <w:pStyle w:val="Akapitzlist"/>
              <w:numPr>
                <w:ilvl w:val="0"/>
                <w:numId w:val="3"/>
              </w:numPr>
              <w:rPr>
                <w:noProof/>
                <w:sz w:val="20"/>
              </w:rPr>
            </w:pPr>
            <w:r>
              <w:rPr>
                <w:noProof/>
                <w:sz w:val="20"/>
              </w:rPr>
              <w:t xml:space="preserve">Wzmocnić ramy polityki, aby przyspieszyć proces przestawiania wszystkich sektorów na gospodarkę o obiegu zamkniętym, np. w odniesieniu do oszczędności energii i wody, zmniejszenia ilości odpadów, recyklingu materiałów lub korzystania z rynku surowców wtórnych.  </w:t>
            </w:r>
          </w:p>
        </w:tc>
        <w:tc>
          <w:tcPr>
            <w:tcW w:w="2357" w:type="dxa"/>
            <w:shd w:val="clear" w:color="auto" w:fill="auto"/>
            <w:vAlign w:val="center"/>
          </w:tcPr>
          <w:p w:rsidR="00677DE6" w:rsidRDefault="00DB5AB5">
            <w:pPr>
              <w:spacing w:after="120"/>
              <w:jc w:val="both"/>
              <w:rPr>
                <w:noProof/>
                <w:lang w:val="es-ES"/>
              </w:rPr>
            </w:pPr>
            <w:r>
              <w:rPr>
                <w:noProof/>
                <w:lang w:val="es-ES"/>
              </w:rPr>
              <w:t>AT, BG, CY, CZ, DE, EL, EE, ES, HR, HU, IE, LV, MT, PL, PT, RO, SK</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Przyjąć zasady gospodarki o obiegu zamkniętym, które zachęcają do wdrażania środków na rzecz efektywnego gospodarowania zasobami i zwiększonego recyklingu, poprawiania wyników w zakresie ekoinnowacji oraz inwestowania w ekologiczne produkty i usługi.</w:t>
            </w:r>
          </w:p>
        </w:tc>
        <w:tc>
          <w:tcPr>
            <w:tcW w:w="2357" w:type="dxa"/>
            <w:shd w:val="clear" w:color="auto" w:fill="auto"/>
            <w:vAlign w:val="center"/>
          </w:tcPr>
          <w:p w:rsidR="00677DE6" w:rsidRDefault="00DB5AB5">
            <w:pPr>
              <w:pStyle w:val="Text1"/>
              <w:ind w:left="0"/>
              <w:rPr>
                <w:noProof/>
                <w:sz w:val="20"/>
                <w:lang w:val="en-GB"/>
              </w:rPr>
            </w:pPr>
            <w:r>
              <w:rPr>
                <w:noProof/>
                <w:sz w:val="20"/>
                <w:lang w:val="en-GB"/>
              </w:rPr>
              <w:t>AT, CY, EL, HU, IT, MT, NL, RO, SK</w:t>
            </w:r>
          </w:p>
        </w:tc>
      </w:tr>
      <w:tr w:rsidR="00677DE6">
        <w:tc>
          <w:tcPr>
            <w:tcW w:w="9468" w:type="dxa"/>
            <w:gridSpan w:val="2"/>
            <w:shd w:val="clear" w:color="auto" w:fill="C6D9F1" w:themeFill="text2" w:themeFillTint="33"/>
            <w:vAlign w:val="center"/>
          </w:tcPr>
          <w:p w:rsidR="00677DE6" w:rsidRDefault="00DB5AB5">
            <w:pPr>
              <w:pStyle w:val="Text1"/>
              <w:spacing w:after="0"/>
              <w:ind w:left="0"/>
              <w:rPr>
                <w:b/>
                <w:noProof/>
                <w:sz w:val="20"/>
              </w:rPr>
            </w:pPr>
            <w:r>
              <w:rPr>
                <w:b/>
                <w:noProof/>
                <w:sz w:val="20"/>
              </w:rPr>
              <w:t xml:space="preserve">Gospodarowanie odpadami </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Wprowadzić nowe strategie, w tym instrumenty gospodarcze, w celu dalszego wdrażania hierarchii postępowania z odpadami, tj. promować działania zapobiegawcze oraz zwiększyć ekonomiczną atrakcyjność ponownego użycia i recyklingu, a także kontynuować wdrażanie istniejących strategii.</w:t>
            </w:r>
          </w:p>
        </w:tc>
        <w:tc>
          <w:tcPr>
            <w:tcW w:w="2357" w:type="dxa"/>
            <w:shd w:val="clear" w:color="auto" w:fill="auto"/>
            <w:vAlign w:val="center"/>
          </w:tcPr>
          <w:p w:rsidR="00677DE6" w:rsidRDefault="00DB5AB5">
            <w:pPr>
              <w:pStyle w:val="Text1"/>
              <w:ind w:left="0"/>
              <w:rPr>
                <w:noProof/>
                <w:sz w:val="20"/>
              </w:rPr>
            </w:pPr>
            <w:r>
              <w:rPr>
                <w:noProof/>
                <w:sz w:val="20"/>
              </w:rPr>
              <w:t>AT, BG, CY, DE, DK, EE, FI, IE, IT, LT, LU, LV, NL, PL, PT, RO, SE, SI, UK</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Poprawić funkcjonowanie systemów rozszerzonej odpowiedzialności producenta zgodnie z ogólnymi minimalnymi wymogami określonymi w dyrektywie ramowej w sprawie odpadów.</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AT, CY, CZ, EE, EL, ES, HR, HU, IT, LT, LV, MT, PL, RO, SI, SK, UK</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Odejść od spalania odpadów nadających się do ponownego użycia i recyklingu poprzez stopniowe znoszenie dotacji do spalania lub wprowadzenie podatku od spalania. Przeznaczyć dochody z tego tytułu na środki na rzecz poprawy gospodarowania odpadami zgodnie z hierarchią postępowania z odpadami.</w:t>
            </w:r>
          </w:p>
        </w:tc>
        <w:tc>
          <w:tcPr>
            <w:tcW w:w="2357" w:type="dxa"/>
            <w:shd w:val="clear" w:color="auto" w:fill="auto"/>
            <w:vAlign w:val="center"/>
          </w:tcPr>
          <w:p w:rsidR="00677DE6" w:rsidRDefault="00DB5AB5">
            <w:pPr>
              <w:pStyle w:val="Text1"/>
              <w:ind w:left="0"/>
              <w:rPr>
                <w:noProof/>
                <w:sz w:val="20"/>
              </w:rPr>
            </w:pPr>
            <w:r>
              <w:rPr>
                <w:noProof/>
                <w:sz w:val="20"/>
              </w:rPr>
              <w:t>AT, BE, CZ, DE, DK, EE, FI, IE, LT, LU, NL, PL, PT, SE</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Wprowadzić lub stopniowo zwiększać podatki od składowania odpadów w celu stopniowego wyeliminowania składowania odpadów nadających się do recyklingu i do odzysku. Zharmonizować regionalne podatki od składowania odpadów. Przeznaczyć dochody na środki na rzecz poprawy gospodarowania odpadami zgodnie z hierarchią postępowania z odpadami.</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CY, CZ, EL, ES, HR, HU, IT, LT, LV, MT, RO, SI, SK, UK</w:t>
            </w:r>
          </w:p>
        </w:tc>
      </w:tr>
      <w:tr w:rsidR="00677DE6">
        <w:tc>
          <w:tcPr>
            <w:tcW w:w="7111" w:type="dxa"/>
            <w:shd w:val="clear" w:color="auto" w:fill="auto"/>
            <w:vAlign w:val="center"/>
          </w:tcPr>
          <w:p w:rsidR="00677DE6" w:rsidRDefault="00DB5AB5">
            <w:pPr>
              <w:pStyle w:val="Akapitzlist"/>
              <w:numPr>
                <w:ilvl w:val="0"/>
                <w:numId w:val="2"/>
              </w:numPr>
              <w:rPr>
                <w:noProof/>
                <w:sz w:val="20"/>
              </w:rPr>
            </w:pPr>
            <w:r>
              <w:rPr>
                <w:noProof/>
                <w:sz w:val="20"/>
              </w:rPr>
              <w:t>Skoncentrować się na wypełnianiu obowiązku selektywnego zbierania, aby zwiększyć współczynniki recyklingu, w tym zbieranie bioodpadów. Opracować i wdrożyć minimalne normy w zakresie usług lub programy wsparcia dla gmin.</w:t>
            </w:r>
          </w:p>
        </w:tc>
        <w:tc>
          <w:tcPr>
            <w:tcW w:w="2357" w:type="dxa"/>
            <w:shd w:val="clear" w:color="auto" w:fill="auto"/>
            <w:vAlign w:val="center"/>
          </w:tcPr>
          <w:p w:rsidR="00677DE6" w:rsidRDefault="00DB5AB5">
            <w:pPr>
              <w:spacing w:after="120"/>
              <w:jc w:val="both"/>
              <w:rPr>
                <w:noProof/>
              </w:rPr>
            </w:pPr>
            <w:r>
              <w:rPr>
                <w:noProof/>
              </w:rPr>
              <w:t>BG, CY, CZ, EE, EL, ES, FI, FR, HR, HU, IE, IT, LT, LV, MT, PL, PT, RO, SI, SK, UK</w:t>
            </w:r>
          </w:p>
        </w:tc>
      </w:tr>
      <w:tr w:rsidR="00677DE6">
        <w:tc>
          <w:tcPr>
            <w:tcW w:w="7111" w:type="dxa"/>
            <w:shd w:val="clear" w:color="auto" w:fill="auto"/>
            <w:vAlign w:val="center"/>
          </w:tcPr>
          <w:p w:rsidR="00677DE6" w:rsidRDefault="00DB5AB5">
            <w:pPr>
              <w:pStyle w:val="Akapitzlist"/>
              <w:numPr>
                <w:ilvl w:val="0"/>
                <w:numId w:val="2"/>
              </w:numPr>
              <w:rPr>
                <w:noProof/>
                <w:sz w:val="20"/>
              </w:rPr>
            </w:pPr>
            <w:r>
              <w:rPr>
                <w:noProof/>
                <w:sz w:val="20"/>
              </w:rPr>
              <w:t>Uzupełnić lub zaktualizować plan/plany gospodarki odpadami lub program/programy zapobiegania powstawaniu odpadów.</w:t>
            </w:r>
          </w:p>
        </w:tc>
        <w:tc>
          <w:tcPr>
            <w:tcW w:w="2357" w:type="dxa"/>
            <w:shd w:val="clear" w:color="auto" w:fill="auto"/>
            <w:vAlign w:val="center"/>
          </w:tcPr>
          <w:p w:rsidR="00677DE6" w:rsidRDefault="00DB5AB5">
            <w:pPr>
              <w:pStyle w:val="Text1"/>
              <w:ind w:left="0"/>
              <w:rPr>
                <w:noProof/>
                <w:sz w:val="20"/>
              </w:rPr>
            </w:pPr>
            <w:r>
              <w:rPr>
                <w:noProof/>
                <w:sz w:val="20"/>
              </w:rPr>
              <w:t>ES, FR</w:t>
            </w:r>
          </w:p>
        </w:tc>
      </w:tr>
      <w:tr w:rsidR="00677DE6" w:rsidRPr="00DB5AB5">
        <w:tc>
          <w:tcPr>
            <w:tcW w:w="7111" w:type="dxa"/>
            <w:shd w:val="clear" w:color="auto" w:fill="auto"/>
            <w:vAlign w:val="center"/>
          </w:tcPr>
          <w:p w:rsidR="00677DE6" w:rsidRDefault="00DB5AB5">
            <w:pPr>
              <w:pStyle w:val="Akapitzlist"/>
              <w:numPr>
                <w:ilvl w:val="0"/>
                <w:numId w:val="2"/>
              </w:numPr>
              <w:rPr>
                <w:noProof/>
                <w:sz w:val="20"/>
              </w:rPr>
            </w:pPr>
            <w:r>
              <w:rPr>
                <w:noProof/>
                <w:sz w:val="20"/>
              </w:rPr>
              <w:t xml:space="preserve">Priorytetowo potraktować zamykanie i rekultywowanie składowisk niespełniających wymogów. </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BG, CY, EL, ES, IT, PL, RO, SI, SK</w:t>
            </w:r>
          </w:p>
        </w:tc>
      </w:tr>
      <w:tr w:rsidR="00677DE6" w:rsidRPr="00DB5AB5">
        <w:tc>
          <w:tcPr>
            <w:tcW w:w="7111" w:type="dxa"/>
            <w:shd w:val="clear" w:color="auto" w:fill="auto"/>
            <w:vAlign w:val="center"/>
          </w:tcPr>
          <w:p w:rsidR="00677DE6" w:rsidRDefault="00DB5AB5">
            <w:pPr>
              <w:pStyle w:val="Akapitzlist"/>
              <w:numPr>
                <w:ilvl w:val="0"/>
                <w:numId w:val="2"/>
              </w:numPr>
              <w:rPr>
                <w:noProof/>
                <w:sz w:val="20"/>
              </w:rPr>
            </w:pPr>
            <w:r>
              <w:rPr>
                <w:noProof/>
                <w:sz w:val="20"/>
              </w:rPr>
              <w:t>Ograniczyć budowanie infrastruktury przeznaczonej do przetwarzania odpadów resztkowych, takich jak zakłady mechaniczno-biologicznego przetwarzania odpadów, spalarnie i składowiska.</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CZ, EL, LT, PL, SK</w:t>
            </w:r>
          </w:p>
        </w:tc>
      </w:tr>
      <w:tr w:rsidR="00677DE6">
        <w:tc>
          <w:tcPr>
            <w:tcW w:w="7111" w:type="dxa"/>
            <w:shd w:val="clear" w:color="auto" w:fill="auto"/>
            <w:vAlign w:val="center"/>
          </w:tcPr>
          <w:p w:rsidR="00677DE6" w:rsidRDefault="00DB5AB5">
            <w:pPr>
              <w:pStyle w:val="Akapitzlist"/>
              <w:numPr>
                <w:ilvl w:val="0"/>
                <w:numId w:val="2"/>
              </w:numPr>
              <w:rPr>
                <w:noProof/>
                <w:sz w:val="20"/>
              </w:rPr>
            </w:pPr>
            <w:r>
              <w:rPr>
                <w:noProof/>
                <w:sz w:val="20"/>
              </w:rPr>
              <w:t>Zapewnić zgodność statystyk odpadów z wytycznymi Eurostatu. Dostarczać aktualne dane na temat gospodarowania odpadami i poprawić ich spójność.</w:t>
            </w:r>
          </w:p>
        </w:tc>
        <w:tc>
          <w:tcPr>
            <w:tcW w:w="2357" w:type="dxa"/>
            <w:shd w:val="clear" w:color="auto" w:fill="auto"/>
            <w:vAlign w:val="center"/>
          </w:tcPr>
          <w:p w:rsidR="00677DE6" w:rsidRDefault="00DB5AB5">
            <w:pPr>
              <w:pStyle w:val="Text1"/>
              <w:ind w:left="0"/>
              <w:rPr>
                <w:noProof/>
                <w:sz w:val="20"/>
              </w:rPr>
            </w:pPr>
            <w:r>
              <w:rPr>
                <w:noProof/>
                <w:sz w:val="20"/>
              </w:rPr>
              <w:t>CZ, IE, SI</w:t>
            </w:r>
          </w:p>
        </w:tc>
      </w:tr>
      <w:tr w:rsidR="00677DE6">
        <w:tc>
          <w:tcPr>
            <w:tcW w:w="9468" w:type="dxa"/>
            <w:gridSpan w:val="2"/>
            <w:shd w:val="clear" w:color="auto" w:fill="C6D9F1" w:themeFill="text2" w:themeFillTint="33"/>
            <w:vAlign w:val="center"/>
          </w:tcPr>
          <w:p w:rsidR="00677DE6" w:rsidRDefault="00DB5AB5">
            <w:pPr>
              <w:pStyle w:val="Text1"/>
              <w:pageBreakBefore/>
              <w:spacing w:after="0"/>
              <w:ind w:left="0"/>
              <w:rPr>
                <w:b/>
                <w:noProof/>
                <w:sz w:val="20"/>
              </w:rPr>
            </w:pPr>
            <w:bookmarkStart w:id="2" w:name="_Toc433296160"/>
            <w:bookmarkStart w:id="3" w:name="_Toc439678149"/>
            <w:r>
              <w:rPr>
                <w:b/>
                <w:noProof/>
                <w:sz w:val="20"/>
              </w:rPr>
              <w:lastRenderedPageBreak/>
              <w:t>Przyroda i różnorodność biologiczna</w:t>
            </w:r>
            <w:bookmarkEnd w:id="2"/>
            <w:bookmarkEnd w:id="3"/>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Dokończyć proces wyznaczania obszarów Natura 2000, w tym na obszarach morskich oraz ustalić jasno zdefiniowane cele w zakresie ochrony i konieczne środki ochronne w odniesieniu do wszystkich obszarów Natura 2000, najlepiej w ramach planów zadań ochronnych lub równoważnych instrumentów.</w:t>
            </w:r>
          </w:p>
        </w:tc>
        <w:tc>
          <w:tcPr>
            <w:tcW w:w="2357" w:type="dxa"/>
            <w:shd w:val="clear" w:color="auto" w:fill="auto"/>
            <w:vAlign w:val="center"/>
          </w:tcPr>
          <w:p w:rsidR="00677DE6" w:rsidRDefault="00DB5AB5">
            <w:pPr>
              <w:pStyle w:val="Text1"/>
              <w:ind w:left="0"/>
              <w:rPr>
                <w:noProof/>
                <w:sz w:val="20"/>
              </w:rPr>
            </w:pPr>
            <w:r>
              <w:rPr>
                <w:noProof/>
                <w:sz w:val="20"/>
              </w:rPr>
              <w:t>AT, BE, BG, CY, CZ, DE, DK, EE, EL, ES, FI, HR, HU, IE, IT, LT, LV, MT, NL, PL, PT, RO, SE, SI, SK, UK</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Zapewnić, aby plany zadań ochronnych dla obszarów Natura 2000 były skutecznie wdrażane przy użyciu wystarczających zasobów administracyjnych i  finansowych. </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 xml:space="preserve">BG, EE, ES, EL, FR, HR, HU, IE, IT, LT, LU, MT, RO, SI, SK </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Opracować i propagować inteligentne i ujednolicone podejścia do wdrażania, w szczególności w odniesieniu do odpowiednich procedur oceny oraz procedur udzielania pozwoleń dotyczących gatunków, zapewniając dostępność niezbędnej wiedzy i danych oraz wzmacniając komunikację z zainteresowanymi stronami. </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BG, CY, EE, EL, HU, IT, LT, PT, RO, SI</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Zapewnić odpowiednie egzekwowanie zakazów polowania na chronione gatunki ptaków lub ich odławiania.</w:t>
            </w:r>
          </w:p>
        </w:tc>
        <w:tc>
          <w:tcPr>
            <w:tcW w:w="2357" w:type="dxa"/>
            <w:shd w:val="clear" w:color="auto" w:fill="auto"/>
            <w:vAlign w:val="center"/>
          </w:tcPr>
          <w:p w:rsidR="00677DE6" w:rsidRDefault="00DB5AB5">
            <w:pPr>
              <w:pStyle w:val="Text1"/>
              <w:ind w:left="0"/>
              <w:rPr>
                <w:noProof/>
                <w:sz w:val="20"/>
              </w:rPr>
            </w:pPr>
            <w:r>
              <w:rPr>
                <w:noProof/>
                <w:sz w:val="20"/>
              </w:rPr>
              <w:t>CY, ES, IT, MT</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Poprawić włączenie kwestii różnorodności biologicznej do innych obszarów polityki (w szczególności rolnictwa, jak również rybołówstwa, urbanistyki i planowania infrastruktury oraz turystyki) i promować lepszą komunikację między podmiotami. W stosownych przypadkach unikać dalszej fragmentacji siedlisk i podjąć środki mające na celu przywrócenie łączności ekologicznej.</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CZ, DE, DK, EL, ES, FI, FR, HR, LU, NL, PT, SK</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Wzmocnić zachęty dla leśników i rolników do zapewniania lepszej ochrony siedlisk w lasach i na użytkach zielonych. Zapewnić zrównoważoną gospodarkę leśną i promować wydajne wykorzystywanie biomasy.</w:t>
            </w:r>
          </w:p>
        </w:tc>
        <w:tc>
          <w:tcPr>
            <w:tcW w:w="2357" w:type="dxa"/>
            <w:shd w:val="clear" w:color="auto" w:fill="auto"/>
            <w:vAlign w:val="center"/>
          </w:tcPr>
          <w:p w:rsidR="00677DE6" w:rsidRDefault="00DB5AB5">
            <w:pPr>
              <w:pStyle w:val="Text1"/>
              <w:ind w:left="0"/>
              <w:rPr>
                <w:noProof/>
                <w:sz w:val="20"/>
              </w:rPr>
            </w:pPr>
            <w:r>
              <w:rPr>
                <w:noProof/>
                <w:sz w:val="20"/>
              </w:rPr>
              <w:t>FI, LT, LV, PL, SE, SK</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Wspierać prace prowadzone w zakresie zrównoważonego partnerstwa na rzecz ochrony różnorodności biologicznej, zrównoważonego rozwoju oraz środków przystosowania się do zmiany klimatu i łagodzenia tej zmiany w niektórych regionach najbardziej oddalonych oraz w krajach i na terytoriach zamorskich.</w:t>
            </w:r>
          </w:p>
        </w:tc>
        <w:tc>
          <w:tcPr>
            <w:tcW w:w="2357" w:type="dxa"/>
            <w:shd w:val="clear" w:color="auto" w:fill="auto"/>
            <w:vAlign w:val="center"/>
          </w:tcPr>
          <w:p w:rsidR="00677DE6" w:rsidRDefault="00DB5AB5">
            <w:pPr>
              <w:pStyle w:val="Text1"/>
              <w:ind w:left="0"/>
              <w:rPr>
                <w:noProof/>
                <w:sz w:val="20"/>
              </w:rPr>
            </w:pPr>
            <w:r>
              <w:rPr>
                <w:noProof/>
                <w:sz w:val="20"/>
              </w:rPr>
              <w:t>FR, UK</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Wspierać mapowanie i ocenę ekosystemów i ich usług oraz ocenę i rozwój w zakresie systemów rozliczania kapitału naturalnego.</w:t>
            </w:r>
          </w:p>
        </w:tc>
        <w:tc>
          <w:tcPr>
            <w:tcW w:w="2357" w:type="dxa"/>
            <w:shd w:val="clear" w:color="auto" w:fill="auto"/>
            <w:vAlign w:val="center"/>
          </w:tcPr>
          <w:p w:rsidR="00677DE6" w:rsidRDefault="00DB5AB5">
            <w:pPr>
              <w:pStyle w:val="Text1"/>
              <w:ind w:left="0"/>
              <w:rPr>
                <w:noProof/>
                <w:sz w:val="20"/>
              </w:rPr>
            </w:pPr>
            <w:r>
              <w:rPr>
                <w:noProof/>
                <w:sz w:val="20"/>
              </w:rPr>
              <w:t>AT, BE, CZ, DK, EE, HU, PT, SE, SK</w:t>
            </w:r>
          </w:p>
        </w:tc>
      </w:tr>
      <w:tr w:rsidR="00677DE6">
        <w:tc>
          <w:tcPr>
            <w:tcW w:w="9468" w:type="dxa"/>
            <w:gridSpan w:val="2"/>
            <w:shd w:val="clear" w:color="auto" w:fill="B8CCE4" w:themeFill="accent1" w:themeFillTint="66"/>
            <w:vAlign w:val="center"/>
          </w:tcPr>
          <w:p w:rsidR="00677DE6" w:rsidRDefault="00DB5AB5">
            <w:pPr>
              <w:pStyle w:val="Text1"/>
              <w:spacing w:after="0"/>
              <w:ind w:left="0"/>
              <w:rPr>
                <w:b/>
                <w:noProof/>
                <w:sz w:val="20"/>
              </w:rPr>
            </w:pPr>
            <w:r>
              <w:rPr>
                <w:b/>
                <w:noProof/>
                <w:sz w:val="20"/>
              </w:rPr>
              <w:t>Inwazyjne gatunki obce</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Przyjąć przepisy krajowe w celu spełnienia zobowiązań określonych w rozporządzeniu w sprawie inwazyjnych gatunków obcych oraz zawiadomić o tym Komisję. Dostarczać odpowiednich danych. </w:t>
            </w:r>
          </w:p>
        </w:tc>
        <w:tc>
          <w:tcPr>
            <w:tcW w:w="2357" w:type="dxa"/>
            <w:shd w:val="clear" w:color="auto" w:fill="auto"/>
            <w:vAlign w:val="center"/>
          </w:tcPr>
          <w:p w:rsidR="00677DE6" w:rsidRDefault="00DB5AB5">
            <w:pPr>
              <w:pStyle w:val="Text1"/>
              <w:ind w:left="0"/>
              <w:rPr>
                <w:noProof/>
                <w:sz w:val="20"/>
              </w:rPr>
            </w:pPr>
            <w:r>
              <w:rPr>
                <w:noProof/>
                <w:sz w:val="20"/>
              </w:rPr>
              <w:t>AT, BE, CZ, EL, IE, PT, RO, SE, SK, UK</w:t>
            </w:r>
          </w:p>
        </w:tc>
      </w:tr>
      <w:tr w:rsidR="00677DE6" w:rsidRPr="00DB5AB5">
        <w:trPr>
          <w:trHeight w:val="978"/>
        </w:trPr>
        <w:tc>
          <w:tcPr>
            <w:tcW w:w="7111" w:type="dxa"/>
            <w:shd w:val="clear" w:color="auto" w:fill="auto"/>
            <w:vAlign w:val="center"/>
          </w:tcPr>
          <w:p w:rsidR="00677DE6" w:rsidRDefault="00DB5AB5">
            <w:pPr>
              <w:pStyle w:val="Text1"/>
              <w:numPr>
                <w:ilvl w:val="0"/>
                <w:numId w:val="2"/>
              </w:numPr>
              <w:rPr>
                <w:noProof/>
                <w:sz w:val="20"/>
              </w:rPr>
            </w:pPr>
            <w:r>
              <w:rPr>
                <w:noProof/>
                <w:sz w:val="20"/>
              </w:rPr>
              <w:t>Zgłosić wykaz inwazyjnych gatunków obcych lub planowane środki ich eliminacji w danym państwie. Wdrożyć środki, jeżeli nie istnieją. W stosownych przypadkach zbadać przyczyny wyraźnych braków w danych i sposoby usprawnienia systemu nadzoru.</w:t>
            </w:r>
          </w:p>
        </w:tc>
        <w:tc>
          <w:tcPr>
            <w:tcW w:w="2357" w:type="dxa"/>
            <w:shd w:val="clear" w:color="auto" w:fill="auto"/>
            <w:vAlign w:val="center"/>
          </w:tcPr>
          <w:p w:rsidR="00677DE6" w:rsidRDefault="00DB5AB5">
            <w:pPr>
              <w:pStyle w:val="Text1"/>
              <w:spacing w:after="0"/>
              <w:ind w:left="0"/>
              <w:rPr>
                <w:noProof/>
                <w:sz w:val="20"/>
                <w:lang w:val="es-ES"/>
              </w:rPr>
            </w:pPr>
            <w:r>
              <w:rPr>
                <w:noProof/>
                <w:sz w:val="20"/>
                <w:lang w:val="es-ES"/>
              </w:rPr>
              <w:t>CZ, DE, DK, EL, ES, FR, HU, PT</w:t>
            </w:r>
          </w:p>
        </w:tc>
      </w:tr>
      <w:tr w:rsidR="00677DE6">
        <w:trPr>
          <w:cantSplit/>
        </w:trPr>
        <w:tc>
          <w:tcPr>
            <w:tcW w:w="9468" w:type="dxa"/>
            <w:gridSpan w:val="2"/>
            <w:shd w:val="clear" w:color="auto" w:fill="C6D9F1" w:themeFill="text2" w:themeFillTint="33"/>
            <w:vAlign w:val="center"/>
          </w:tcPr>
          <w:p w:rsidR="00677DE6" w:rsidRDefault="00DB5AB5">
            <w:pPr>
              <w:pStyle w:val="Text1"/>
              <w:keepLines/>
              <w:spacing w:after="0"/>
              <w:ind w:left="0"/>
              <w:rPr>
                <w:b/>
                <w:noProof/>
                <w:sz w:val="20"/>
              </w:rPr>
            </w:pPr>
            <w:r>
              <w:rPr>
                <w:b/>
                <w:noProof/>
                <w:sz w:val="20"/>
              </w:rPr>
              <w:t>Ochrona obszarów morskich</w:t>
            </w:r>
            <w:r>
              <w:rPr>
                <w:b/>
                <w:noProof/>
                <w:sz w:val="20"/>
              </w:rPr>
              <w:footnoteReference w:id="3"/>
            </w:r>
          </w:p>
        </w:tc>
      </w:tr>
      <w:tr w:rsidR="00677DE6" w:rsidRPr="00DB5AB5">
        <w:tc>
          <w:tcPr>
            <w:tcW w:w="7111" w:type="dxa"/>
            <w:vAlign w:val="center"/>
          </w:tcPr>
          <w:p w:rsidR="00677DE6" w:rsidRDefault="00DB5AB5">
            <w:pPr>
              <w:pStyle w:val="Akapitzlist"/>
              <w:keepLines/>
              <w:widowControl w:val="0"/>
              <w:numPr>
                <w:ilvl w:val="0"/>
                <w:numId w:val="2"/>
              </w:numPr>
              <w:rPr>
                <w:noProof/>
                <w:sz w:val="20"/>
              </w:rPr>
            </w:pPr>
            <w:r>
              <w:rPr>
                <w:noProof/>
                <w:sz w:val="20"/>
              </w:rPr>
              <w:t>Zapewnić terminowe zgłaszanie poszczególnych elementów przewidzianych w dyrektywie ramowej w sprawie strategii morskiej, które mają być częścią przyszłych ocen Komisji.</w:t>
            </w:r>
          </w:p>
        </w:tc>
        <w:tc>
          <w:tcPr>
            <w:tcW w:w="2357" w:type="dxa"/>
            <w:shd w:val="clear" w:color="auto" w:fill="auto"/>
            <w:vAlign w:val="center"/>
          </w:tcPr>
          <w:p w:rsidR="00677DE6" w:rsidRDefault="00DB5AB5">
            <w:pPr>
              <w:pStyle w:val="Text1"/>
              <w:keepLines/>
              <w:ind w:left="0"/>
              <w:rPr>
                <w:noProof/>
                <w:sz w:val="20"/>
                <w:lang w:val="es-ES"/>
              </w:rPr>
            </w:pPr>
            <w:r>
              <w:rPr>
                <w:noProof/>
                <w:sz w:val="20"/>
                <w:lang w:val="es-ES"/>
              </w:rPr>
              <w:t>DK, EE, EL, HR, LT, RO, SI</w:t>
            </w:r>
          </w:p>
        </w:tc>
      </w:tr>
      <w:tr w:rsidR="00677DE6">
        <w:trPr>
          <w:cantSplit/>
        </w:trPr>
        <w:tc>
          <w:tcPr>
            <w:tcW w:w="7111" w:type="dxa"/>
            <w:vAlign w:val="center"/>
          </w:tcPr>
          <w:p w:rsidR="00677DE6" w:rsidRDefault="00DB5AB5">
            <w:pPr>
              <w:pStyle w:val="Akapitzlist"/>
              <w:keepLines/>
              <w:widowControl w:val="0"/>
              <w:numPr>
                <w:ilvl w:val="0"/>
                <w:numId w:val="2"/>
              </w:numPr>
              <w:rPr>
                <w:noProof/>
                <w:sz w:val="20"/>
              </w:rPr>
            </w:pPr>
            <w:r>
              <w:rPr>
                <w:noProof/>
                <w:sz w:val="20"/>
              </w:rPr>
              <w:t>Określić dobry stan środowiska lub ustalić ramy czasowe osiągnięcia dobrego stanu środowiska. Wyznaczyć cele, jeżeli nie istnieją.</w:t>
            </w:r>
          </w:p>
        </w:tc>
        <w:tc>
          <w:tcPr>
            <w:tcW w:w="2357" w:type="dxa"/>
            <w:shd w:val="clear" w:color="auto" w:fill="auto"/>
            <w:vAlign w:val="center"/>
          </w:tcPr>
          <w:p w:rsidR="00677DE6" w:rsidRDefault="00DB5AB5">
            <w:pPr>
              <w:pStyle w:val="Text1"/>
              <w:keepLines/>
              <w:ind w:left="0"/>
              <w:rPr>
                <w:noProof/>
                <w:sz w:val="20"/>
              </w:rPr>
            </w:pPr>
            <w:r>
              <w:rPr>
                <w:noProof/>
                <w:sz w:val="20"/>
              </w:rPr>
              <w:t>BG, DE, ES, FI, IE, IT, LV, MT, NL, PL, PT, SE, UK</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Przekazywać więcej informacji na temat środków na rzecz osiągnięcia dobrego stanu środowiska, ustanowić większą liczbę środków, które mają bezpośredni wpływ na presje, oraz określić wyniki ilościowo pod kątem przewidywanego ograniczenia presji.</w:t>
            </w:r>
          </w:p>
        </w:tc>
        <w:tc>
          <w:tcPr>
            <w:tcW w:w="2357" w:type="dxa"/>
            <w:shd w:val="clear" w:color="auto" w:fill="auto"/>
            <w:vAlign w:val="center"/>
          </w:tcPr>
          <w:p w:rsidR="00677DE6" w:rsidRDefault="00DB5AB5">
            <w:pPr>
              <w:pStyle w:val="Text1"/>
              <w:ind w:left="0"/>
              <w:rPr>
                <w:noProof/>
                <w:sz w:val="20"/>
              </w:rPr>
            </w:pPr>
            <w:r>
              <w:rPr>
                <w:noProof/>
                <w:sz w:val="20"/>
              </w:rPr>
              <w:t>BE, BG, CY, DE, ES, FR, IE, IT, LV, MT, NL, PL, PT, SE, UK</w:t>
            </w:r>
          </w:p>
        </w:tc>
      </w:tr>
      <w:tr w:rsidR="00677DE6">
        <w:tc>
          <w:tcPr>
            <w:tcW w:w="7111" w:type="dxa"/>
            <w:vAlign w:val="center"/>
          </w:tcPr>
          <w:p w:rsidR="00677DE6" w:rsidRDefault="00DB5AB5">
            <w:pPr>
              <w:pStyle w:val="Akapitzlist"/>
              <w:numPr>
                <w:ilvl w:val="0"/>
                <w:numId w:val="2"/>
              </w:numPr>
              <w:rPr>
                <w:noProof/>
                <w:sz w:val="20"/>
              </w:rPr>
            </w:pPr>
            <w:r>
              <w:rPr>
                <w:noProof/>
                <w:sz w:val="20"/>
              </w:rPr>
              <w:t xml:space="preserve">Zapewnić współpracę na szczeblu regionalnym z państwami członkowskimi, </w:t>
            </w:r>
            <w:r>
              <w:rPr>
                <w:noProof/>
                <w:sz w:val="20"/>
              </w:rPr>
              <w:lastRenderedPageBreak/>
              <w:t>które mają dostęp do tego samego regionu (podregionu) morskiego, aby rozwiązać problem dominujących presji.</w:t>
            </w:r>
          </w:p>
        </w:tc>
        <w:tc>
          <w:tcPr>
            <w:tcW w:w="2357" w:type="dxa"/>
            <w:shd w:val="clear" w:color="auto" w:fill="auto"/>
            <w:vAlign w:val="center"/>
          </w:tcPr>
          <w:p w:rsidR="00677DE6" w:rsidRDefault="00DB5AB5">
            <w:pPr>
              <w:spacing w:after="120"/>
              <w:jc w:val="both"/>
              <w:rPr>
                <w:noProof/>
              </w:rPr>
            </w:pPr>
            <w:r>
              <w:rPr>
                <w:noProof/>
              </w:rPr>
              <w:lastRenderedPageBreak/>
              <w:t xml:space="preserve">BE, BG, CY, DE, ES, FI, </w:t>
            </w:r>
            <w:r>
              <w:rPr>
                <w:noProof/>
              </w:rPr>
              <w:lastRenderedPageBreak/>
              <w:t>IE, IT, LV, PT, SE, UK</w:t>
            </w:r>
          </w:p>
        </w:tc>
      </w:tr>
    </w:tbl>
    <w:p w:rsidR="00677DE6" w:rsidRDefault="00677DE6">
      <w:pPr>
        <w:pStyle w:val="Akapitzlist"/>
        <w:widowControl w:val="0"/>
        <w:numPr>
          <w:ilvl w:val="0"/>
          <w:numId w:val="2"/>
        </w:numPr>
        <w:rPr>
          <w:noProof/>
          <w:sz w:val="20"/>
        </w:rPr>
        <w:sectPr w:rsidR="00677DE6">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851" w:left="1417" w:header="709" w:footer="709" w:gutter="0"/>
          <w:pgNumType w:start="1"/>
          <w:cols w:space="720"/>
          <w:titlePg/>
          <w:docGrid w:linePitch="360"/>
        </w:sectPr>
      </w:pPr>
    </w:p>
    <w:tbl>
      <w:tblPr>
        <w:tblStyle w:val="Tabela-Siatka"/>
        <w:tblW w:w="9468" w:type="dxa"/>
        <w:tblLayout w:type="fixed"/>
        <w:tblLook w:val="04A0" w:firstRow="1" w:lastRow="0" w:firstColumn="1" w:lastColumn="0" w:noHBand="0" w:noVBand="1"/>
      </w:tblPr>
      <w:tblGrid>
        <w:gridCol w:w="7111"/>
        <w:gridCol w:w="2357"/>
      </w:tblGrid>
      <w:tr w:rsidR="00677DE6" w:rsidRPr="00DB5AB5">
        <w:tc>
          <w:tcPr>
            <w:tcW w:w="7111" w:type="dxa"/>
            <w:vAlign w:val="center"/>
          </w:tcPr>
          <w:p w:rsidR="00677DE6" w:rsidRDefault="00DB5AB5">
            <w:pPr>
              <w:pStyle w:val="Akapitzlist"/>
              <w:widowControl w:val="0"/>
              <w:numPr>
                <w:ilvl w:val="0"/>
                <w:numId w:val="2"/>
              </w:numPr>
              <w:rPr>
                <w:noProof/>
                <w:sz w:val="20"/>
              </w:rPr>
            </w:pPr>
            <w:r>
              <w:rPr>
                <w:noProof/>
                <w:sz w:val="20"/>
              </w:rPr>
              <w:lastRenderedPageBreak/>
              <w:t>Zapewnić bezzwłoczne wdrożenie programu monitorowania w poszczególnych państwach członkowskich i składanie sprawozdań w tym zakresie w określonym terminie.</w:t>
            </w:r>
          </w:p>
        </w:tc>
        <w:tc>
          <w:tcPr>
            <w:tcW w:w="2357" w:type="dxa"/>
            <w:shd w:val="clear" w:color="auto" w:fill="auto"/>
            <w:vAlign w:val="center"/>
          </w:tcPr>
          <w:p w:rsidR="00677DE6" w:rsidRDefault="00DB5AB5">
            <w:pPr>
              <w:pStyle w:val="Text1"/>
              <w:ind w:left="0"/>
              <w:rPr>
                <w:noProof/>
                <w:sz w:val="20"/>
                <w:lang w:val="en-GB"/>
              </w:rPr>
            </w:pPr>
            <w:r>
              <w:rPr>
                <w:noProof/>
                <w:sz w:val="20"/>
                <w:lang w:val="en-GB"/>
              </w:rPr>
              <w:t>BG, CY, ES, FR, IE, IT, LV, MT, PL, UK</w:t>
            </w:r>
          </w:p>
        </w:tc>
      </w:tr>
      <w:tr w:rsidR="00677DE6">
        <w:tc>
          <w:tcPr>
            <w:tcW w:w="9468" w:type="dxa"/>
            <w:gridSpan w:val="2"/>
            <w:shd w:val="clear" w:color="auto" w:fill="C6D9F1" w:themeFill="text2" w:themeFillTint="33"/>
            <w:vAlign w:val="center"/>
          </w:tcPr>
          <w:p w:rsidR="00677DE6" w:rsidRDefault="00DB5AB5">
            <w:pPr>
              <w:pStyle w:val="Text1"/>
              <w:spacing w:after="0"/>
              <w:ind w:left="0"/>
              <w:rPr>
                <w:noProof/>
                <w:sz w:val="20"/>
              </w:rPr>
            </w:pPr>
            <w:bookmarkStart w:id="4" w:name="_Toc433296166"/>
            <w:bookmarkStart w:id="5" w:name="_Toc439678155"/>
            <w:r>
              <w:rPr>
                <w:b/>
                <w:noProof/>
                <w:sz w:val="20"/>
              </w:rPr>
              <w:t>Jakość powietrza</w:t>
            </w:r>
            <w:bookmarkEnd w:id="4"/>
            <w:bookmarkEnd w:id="5"/>
          </w:p>
        </w:tc>
      </w:tr>
      <w:tr w:rsidR="00677DE6">
        <w:tc>
          <w:tcPr>
            <w:tcW w:w="7111" w:type="dxa"/>
            <w:tcBorders>
              <w:right w:val="single" w:sz="4" w:space="0" w:color="auto"/>
            </w:tcBorders>
            <w:vAlign w:val="center"/>
          </w:tcPr>
          <w:p w:rsidR="00677DE6" w:rsidRDefault="00DB5AB5">
            <w:pPr>
              <w:pStyle w:val="Akapitzlist"/>
              <w:numPr>
                <w:ilvl w:val="0"/>
                <w:numId w:val="2"/>
              </w:numPr>
              <w:rPr>
                <w:rFonts w:eastAsia="Times New Roman"/>
                <w:noProof/>
                <w:sz w:val="20"/>
              </w:rPr>
            </w:pPr>
            <w:r>
              <w:rPr>
                <w:noProof/>
                <w:sz w:val="20"/>
              </w:rPr>
              <w:t>Przy opracowywaniu odpowiednich krajowych programów ograniczania zanieczyszczenia powietrza (KPOZP) podjąć działania w celu zredukowania głównych źródeł emisji i spełnienia wszystkich norm jakości powietrza.</w:t>
            </w:r>
          </w:p>
        </w:tc>
        <w:tc>
          <w:tcPr>
            <w:tcW w:w="2357" w:type="dxa"/>
            <w:tcBorders>
              <w:left w:val="single" w:sz="4" w:space="0" w:color="auto"/>
            </w:tcBorders>
            <w:shd w:val="clear" w:color="auto" w:fill="auto"/>
            <w:vAlign w:val="center"/>
          </w:tcPr>
          <w:p w:rsidR="00677DE6" w:rsidRDefault="00DB5AB5">
            <w:pPr>
              <w:spacing w:after="120"/>
              <w:ind w:left="720" w:hanging="720"/>
              <w:jc w:val="both"/>
              <w:rPr>
                <w:noProof/>
              </w:rPr>
            </w:pPr>
            <w:r>
              <w:rPr>
                <w:noProof/>
              </w:rPr>
              <w:t>Wszystkie państwa członkowskie</w:t>
            </w:r>
          </w:p>
        </w:tc>
      </w:tr>
      <w:tr w:rsidR="00677DE6" w:rsidRPr="00DB5AB5">
        <w:tc>
          <w:tcPr>
            <w:tcW w:w="7111" w:type="dxa"/>
            <w:tcBorders>
              <w:right w:val="single" w:sz="4" w:space="0" w:color="auto"/>
            </w:tcBorders>
            <w:vAlign w:val="center"/>
          </w:tcPr>
          <w:p w:rsidR="00677DE6" w:rsidRDefault="00DB5AB5">
            <w:pPr>
              <w:pStyle w:val="Akapitzlist"/>
              <w:numPr>
                <w:ilvl w:val="0"/>
                <w:numId w:val="2"/>
              </w:numPr>
              <w:rPr>
                <w:rFonts w:eastAsia="Times New Roman"/>
                <w:noProof/>
                <w:sz w:val="20"/>
              </w:rPr>
            </w:pPr>
            <w:r>
              <w:rPr>
                <w:noProof/>
                <w:sz w:val="20"/>
              </w:rPr>
              <w:t>Przyspieszyć redukcję emisji i stężeń cząstek stałych (PM</w:t>
            </w:r>
            <w:r>
              <w:rPr>
                <w:noProof/>
                <w:sz w:val="20"/>
                <w:vertAlign w:val="subscript"/>
              </w:rPr>
              <w:t>2,5</w:t>
            </w:r>
            <w:r>
              <w:rPr>
                <w:noProof/>
                <w:sz w:val="20"/>
              </w:rPr>
              <w:t xml:space="preserve"> i PM</w:t>
            </w:r>
            <w:r>
              <w:rPr>
                <w:noProof/>
                <w:sz w:val="20"/>
                <w:vertAlign w:val="subscript"/>
              </w:rPr>
              <w:t>10</w:t>
            </w:r>
            <w:r>
              <w:rPr>
                <w:noProof/>
                <w:sz w:val="20"/>
              </w:rPr>
              <w:t>) poprzez zmniejszenie emisji z produkcji energii i wytwarzania ciepła przy użyciu paliw stałych. Promować wykorzystywanie wydajnych i ekologicznych systemów lokalnego ogrzewania oraz energooszczędnego budownictwa.</w:t>
            </w:r>
          </w:p>
        </w:tc>
        <w:tc>
          <w:tcPr>
            <w:tcW w:w="2357" w:type="dxa"/>
            <w:tcBorders>
              <w:left w:val="single" w:sz="4" w:space="0" w:color="auto"/>
            </w:tcBorders>
            <w:shd w:val="clear" w:color="auto" w:fill="auto"/>
            <w:vAlign w:val="center"/>
          </w:tcPr>
          <w:p w:rsidR="00677DE6" w:rsidRDefault="00DB5AB5">
            <w:pPr>
              <w:spacing w:after="120"/>
              <w:jc w:val="both"/>
              <w:rPr>
                <w:noProof/>
                <w:lang w:val="es-ES"/>
              </w:rPr>
            </w:pPr>
            <w:r>
              <w:rPr>
                <w:noProof/>
                <w:lang w:val="es-ES"/>
              </w:rPr>
              <w:t xml:space="preserve">AT, BG, CZ, DE, EL, ES, FR, HR, HU, IT, PL, RO, SE, SI, SK </w:t>
            </w:r>
          </w:p>
        </w:tc>
      </w:tr>
      <w:tr w:rsidR="00677DE6" w:rsidRPr="00DB5AB5">
        <w:tc>
          <w:tcPr>
            <w:tcW w:w="7111" w:type="dxa"/>
            <w:tcBorders>
              <w:right w:val="single" w:sz="4" w:space="0" w:color="auto"/>
            </w:tcBorders>
            <w:vAlign w:val="center"/>
          </w:tcPr>
          <w:p w:rsidR="00677DE6" w:rsidRDefault="00DB5AB5">
            <w:pPr>
              <w:pStyle w:val="Akapitzlist"/>
              <w:numPr>
                <w:ilvl w:val="0"/>
                <w:numId w:val="2"/>
              </w:numPr>
              <w:rPr>
                <w:noProof/>
                <w:sz w:val="20"/>
              </w:rPr>
            </w:pPr>
            <w:r>
              <w:rPr>
                <w:noProof/>
                <w:sz w:val="20"/>
              </w:rPr>
              <w:t>Ograniczyć wykorzystywanie węgla do ogrzewania domowego, aby zmniejszyć emisje zanieczyszczeń powietrza, bazując np. na inicjatywie na rzecz regionów górniczych w procesie transformacji.</w:t>
            </w:r>
          </w:p>
        </w:tc>
        <w:tc>
          <w:tcPr>
            <w:tcW w:w="2357" w:type="dxa"/>
            <w:tcBorders>
              <w:left w:val="single" w:sz="4" w:space="0" w:color="auto"/>
            </w:tcBorders>
            <w:shd w:val="clear" w:color="auto" w:fill="auto"/>
            <w:vAlign w:val="center"/>
          </w:tcPr>
          <w:p w:rsidR="00677DE6" w:rsidRDefault="00DB5AB5">
            <w:pPr>
              <w:spacing w:after="120"/>
              <w:jc w:val="both"/>
              <w:rPr>
                <w:noProof/>
                <w:lang w:val="es-ES"/>
              </w:rPr>
            </w:pPr>
            <w:r>
              <w:rPr>
                <w:noProof/>
                <w:lang w:val="es-ES"/>
              </w:rPr>
              <w:t>BG, CZ, EL, HU, PL, RO, SK</w:t>
            </w:r>
          </w:p>
        </w:tc>
      </w:tr>
      <w:tr w:rsidR="00677DE6">
        <w:tc>
          <w:tcPr>
            <w:tcW w:w="7111" w:type="dxa"/>
            <w:vAlign w:val="center"/>
          </w:tcPr>
          <w:p w:rsidR="00677DE6" w:rsidRDefault="00DB5AB5">
            <w:pPr>
              <w:pStyle w:val="Akapitzlist"/>
              <w:numPr>
                <w:ilvl w:val="0"/>
                <w:numId w:val="2"/>
              </w:numPr>
              <w:rPr>
                <w:noProof/>
                <w:sz w:val="20"/>
              </w:rPr>
            </w:pPr>
            <w:r>
              <w:rPr>
                <w:noProof/>
                <w:sz w:val="20"/>
              </w:rPr>
              <w:t>Przyspieszyć redukcję emisji tlenku azotu (NO</w:t>
            </w:r>
            <w:r>
              <w:rPr>
                <w:noProof/>
                <w:sz w:val="20"/>
                <w:vertAlign w:val="subscript"/>
              </w:rPr>
              <w:t>x</w:t>
            </w:r>
            <w:r>
              <w:rPr>
                <w:noProof/>
                <w:sz w:val="20"/>
              </w:rPr>
              <w:t>) i stężeń dwutlenku azotu (NO</w:t>
            </w:r>
            <w:r>
              <w:rPr>
                <w:noProof/>
                <w:sz w:val="20"/>
                <w:vertAlign w:val="subscript"/>
              </w:rPr>
              <w:t>2</w:t>
            </w:r>
            <w:r>
              <w:rPr>
                <w:noProof/>
                <w:sz w:val="20"/>
              </w:rPr>
              <w:t>) poprzez dalsze ograniczanie emisji z transportu, w szczególności na obszarach miejskich. Może to również wymagać proporcjonalnych i ukierunkowanych ograniczeń w zakresie dostępu pojazdów do obszarów miejskich lub zachęt podatkowych.</w:t>
            </w:r>
          </w:p>
        </w:tc>
        <w:tc>
          <w:tcPr>
            <w:tcW w:w="2357" w:type="dxa"/>
            <w:shd w:val="clear" w:color="auto" w:fill="auto"/>
            <w:vAlign w:val="center"/>
          </w:tcPr>
          <w:p w:rsidR="00677DE6" w:rsidRDefault="00DB5AB5">
            <w:pPr>
              <w:spacing w:after="120"/>
              <w:jc w:val="both"/>
              <w:rPr>
                <w:noProof/>
              </w:rPr>
            </w:pPr>
            <w:r>
              <w:rPr>
                <w:noProof/>
              </w:rPr>
              <w:t xml:space="preserve">AT, BE, BG, CZ, DE, EL, ES, FR, HR, HU, IE, IT, LU, NL, PL, PT, RO, UK </w:t>
            </w:r>
          </w:p>
        </w:tc>
      </w:tr>
      <w:tr w:rsidR="00677DE6">
        <w:tc>
          <w:tcPr>
            <w:tcW w:w="7111" w:type="dxa"/>
            <w:vAlign w:val="center"/>
          </w:tcPr>
          <w:p w:rsidR="00677DE6" w:rsidRDefault="00DB5AB5">
            <w:pPr>
              <w:pStyle w:val="Akapitzlist"/>
              <w:numPr>
                <w:ilvl w:val="0"/>
                <w:numId w:val="2"/>
              </w:numPr>
              <w:rPr>
                <w:noProof/>
                <w:sz w:val="20"/>
              </w:rPr>
            </w:pPr>
            <w:r>
              <w:rPr>
                <w:noProof/>
                <w:sz w:val="20"/>
              </w:rPr>
              <w:t>Zredukować emisje amoniaku (NH</w:t>
            </w:r>
            <w:r>
              <w:rPr>
                <w:noProof/>
                <w:sz w:val="20"/>
                <w:vertAlign w:val="subscript"/>
              </w:rPr>
              <w:t>3</w:t>
            </w:r>
            <w:r>
              <w:rPr>
                <w:noProof/>
                <w:sz w:val="20"/>
              </w:rPr>
              <w:t>), np. dzięki wprowadzeniu niskoemisyjnych technik rolniczych lub rozszerzeniu ich stosowania.</w:t>
            </w:r>
          </w:p>
        </w:tc>
        <w:tc>
          <w:tcPr>
            <w:tcW w:w="2357" w:type="dxa"/>
            <w:shd w:val="clear" w:color="auto" w:fill="auto"/>
            <w:vAlign w:val="center"/>
          </w:tcPr>
          <w:p w:rsidR="00677DE6" w:rsidRDefault="00DB5AB5">
            <w:pPr>
              <w:spacing w:after="120"/>
              <w:jc w:val="both"/>
              <w:rPr>
                <w:noProof/>
              </w:rPr>
            </w:pPr>
            <w:r>
              <w:rPr>
                <w:noProof/>
              </w:rPr>
              <w:t xml:space="preserve">AT, DE, DK, ES, HR, IE </w:t>
            </w:r>
          </w:p>
        </w:tc>
      </w:tr>
      <w:tr w:rsidR="00677DE6">
        <w:tc>
          <w:tcPr>
            <w:tcW w:w="7111" w:type="dxa"/>
            <w:vAlign w:val="center"/>
          </w:tcPr>
          <w:p w:rsidR="00677DE6" w:rsidRDefault="00DB5AB5">
            <w:pPr>
              <w:pStyle w:val="Akapitzlist"/>
              <w:numPr>
                <w:ilvl w:val="0"/>
                <w:numId w:val="2"/>
              </w:numPr>
              <w:tabs>
                <w:tab w:val="left" w:pos="1392"/>
              </w:tabs>
              <w:rPr>
                <w:noProof/>
                <w:sz w:val="20"/>
              </w:rPr>
            </w:pPr>
            <w:r>
              <w:rPr>
                <w:noProof/>
                <w:sz w:val="20"/>
              </w:rPr>
              <w:t>Zredukować emisje niemetanowych lotnych związków organicznych (NMLZO) (w stosownych przypadkach, aby zapewnić zgodność z obowiązującymi obecnie krajowymi pułapami emisji).</w:t>
            </w:r>
          </w:p>
        </w:tc>
        <w:tc>
          <w:tcPr>
            <w:tcW w:w="2357" w:type="dxa"/>
            <w:shd w:val="clear" w:color="auto" w:fill="auto"/>
            <w:vAlign w:val="center"/>
          </w:tcPr>
          <w:p w:rsidR="00677DE6" w:rsidRDefault="00DB5AB5">
            <w:pPr>
              <w:spacing w:after="120"/>
              <w:jc w:val="both"/>
              <w:rPr>
                <w:noProof/>
              </w:rPr>
            </w:pPr>
            <w:r>
              <w:rPr>
                <w:noProof/>
              </w:rPr>
              <w:t>DE, HU, IE, LU</w:t>
            </w:r>
          </w:p>
        </w:tc>
      </w:tr>
      <w:tr w:rsidR="00677DE6" w:rsidRPr="00DB5AB5">
        <w:tc>
          <w:tcPr>
            <w:tcW w:w="7111" w:type="dxa"/>
            <w:vAlign w:val="center"/>
          </w:tcPr>
          <w:p w:rsidR="00677DE6" w:rsidRDefault="00DB5AB5">
            <w:pPr>
              <w:pStyle w:val="Akapitzlist"/>
              <w:keepNext/>
              <w:keepLines/>
              <w:numPr>
                <w:ilvl w:val="0"/>
                <w:numId w:val="2"/>
              </w:numPr>
              <w:tabs>
                <w:tab w:val="left" w:pos="4744"/>
              </w:tabs>
              <w:rPr>
                <w:noProof/>
                <w:sz w:val="20"/>
              </w:rPr>
            </w:pPr>
            <w:r>
              <w:rPr>
                <w:noProof/>
                <w:sz w:val="20"/>
              </w:rPr>
              <w:t>Ulepszyć i usprawnić sieć monitorowania jakości powietrza oraz zapewnić terminowe zgłaszanie danych na temat jakości powietrza.</w:t>
            </w:r>
          </w:p>
        </w:tc>
        <w:tc>
          <w:tcPr>
            <w:tcW w:w="2357" w:type="dxa"/>
            <w:shd w:val="clear" w:color="auto" w:fill="auto"/>
            <w:vAlign w:val="center"/>
          </w:tcPr>
          <w:p w:rsidR="00677DE6" w:rsidRDefault="00DB5AB5">
            <w:pPr>
              <w:keepNext/>
              <w:keepLines/>
              <w:spacing w:after="120"/>
              <w:jc w:val="both"/>
              <w:rPr>
                <w:noProof/>
                <w:lang w:val="en-GB"/>
              </w:rPr>
            </w:pPr>
            <w:r>
              <w:rPr>
                <w:noProof/>
                <w:lang w:val="en-GB"/>
              </w:rPr>
              <w:t>BE, BG, EL, IT, LU, RO, SI, SK</w:t>
            </w:r>
          </w:p>
        </w:tc>
      </w:tr>
      <w:tr w:rsidR="00677DE6">
        <w:tc>
          <w:tcPr>
            <w:tcW w:w="9468" w:type="dxa"/>
            <w:gridSpan w:val="2"/>
            <w:shd w:val="clear" w:color="auto" w:fill="C6D9F1" w:themeFill="text2" w:themeFillTint="33"/>
            <w:vAlign w:val="center"/>
          </w:tcPr>
          <w:p w:rsidR="00677DE6" w:rsidRDefault="00DB5AB5">
            <w:pPr>
              <w:pStyle w:val="Text1"/>
              <w:keepLines/>
              <w:spacing w:after="0"/>
              <w:ind w:left="0"/>
              <w:rPr>
                <w:noProof/>
              </w:rPr>
            </w:pPr>
            <w:r>
              <w:rPr>
                <w:b/>
                <w:noProof/>
                <w:sz w:val="20"/>
              </w:rPr>
              <w:t>Emisje przemysłowe</w:t>
            </w:r>
          </w:p>
        </w:tc>
      </w:tr>
      <w:tr w:rsidR="00677DE6">
        <w:tc>
          <w:tcPr>
            <w:tcW w:w="7111" w:type="dxa"/>
            <w:shd w:val="clear" w:color="auto" w:fill="auto"/>
            <w:vAlign w:val="center"/>
          </w:tcPr>
          <w:p w:rsidR="00677DE6" w:rsidRDefault="00DB5AB5">
            <w:pPr>
              <w:pStyle w:val="Akapitzlist"/>
              <w:keepLines/>
              <w:numPr>
                <w:ilvl w:val="0"/>
                <w:numId w:val="2"/>
              </w:numPr>
              <w:tabs>
                <w:tab w:val="left" w:pos="4744"/>
              </w:tabs>
              <w:rPr>
                <w:noProof/>
                <w:sz w:val="20"/>
              </w:rPr>
            </w:pPr>
            <w:r>
              <w:rPr>
                <w:noProof/>
                <w:sz w:val="20"/>
              </w:rPr>
              <w:t xml:space="preserve">Przeprowadzić przegląd zezwoleń i usprawnić procesy kontroli lub egzekwowania przepisów, aby spełnić wymogi określone w niedawno przyjętych konkluzjach dotyczących BAT. </w:t>
            </w:r>
          </w:p>
        </w:tc>
        <w:tc>
          <w:tcPr>
            <w:tcW w:w="2357" w:type="dxa"/>
            <w:shd w:val="clear" w:color="auto" w:fill="auto"/>
            <w:vAlign w:val="center"/>
          </w:tcPr>
          <w:p w:rsidR="00677DE6" w:rsidRDefault="00DB5AB5">
            <w:pPr>
              <w:keepLines/>
              <w:spacing w:after="120"/>
              <w:jc w:val="both"/>
              <w:rPr>
                <w:noProof/>
              </w:rPr>
            </w:pPr>
            <w:r>
              <w:rPr>
                <w:noProof/>
              </w:rPr>
              <w:t>Wszystkie państwa członkowskie</w:t>
            </w:r>
          </w:p>
        </w:tc>
      </w:tr>
      <w:tr w:rsidR="00677DE6" w:rsidRPr="00DB5AB5">
        <w:trPr>
          <w:trHeight w:val="902"/>
        </w:trPr>
        <w:tc>
          <w:tcPr>
            <w:tcW w:w="7111" w:type="dxa"/>
            <w:shd w:val="clear" w:color="auto" w:fill="auto"/>
            <w:vAlign w:val="center"/>
          </w:tcPr>
          <w:p w:rsidR="00677DE6" w:rsidRDefault="00DB5AB5">
            <w:pPr>
              <w:pStyle w:val="Akapitzlist"/>
              <w:keepLines/>
              <w:numPr>
                <w:ilvl w:val="0"/>
                <w:numId w:val="2"/>
              </w:numPr>
              <w:tabs>
                <w:tab w:val="left" w:pos="4744"/>
              </w:tabs>
              <w:rPr>
                <w:noProof/>
                <w:sz w:val="20"/>
              </w:rPr>
            </w:pPr>
            <w:r>
              <w:rPr>
                <w:noProof/>
                <w:sz w:val="20"/>
              </w:rPr>
              <w:t>Wdrożyć środki na rzecz ograniczenia zanieczyszczenia powietrza lub wody, które ma związek z emisjami z instalacji w co najmniej jednym z następujących sektorów: energetyka, intensywny chów drobiu i świń, działalność w zakresie unieszkodliwiania odpadów, huty żelaza i stali.</w:t>
            </w:r>
          </w:p>
        </w:tc>
        <w:tc>
          <w:tcPr>
            <w:tcW w:w="2357" w:type="dxa"/>
            <w:shd w:val="clear" w:color="auto" w:fill="auto"/>
            <w:vAlign w:val="center"/>
          </w:tcPr>
          <w:p w:rsidR="00677DE6" w:rsidRDefault="00DB5AB5">
            <w:pPr>
              <w:keepLines/>
              <w:spacing w:after="120"/>
              <w:jc w:val="both"/>
              <w:rPr>
                <w:noProof/>
                <w:lang w:val="es-ES"/>
              </w:rPr>
            </w:pPr>
            <w:r>
              <w:rPr>
                <w:noProof/>
                <w:lang w:val="es-ES"/>
              </w:rPr>
              <w:t>BG, CY, CZ, DE, EE, EL, ES, FI, HR, HU, IE, IT, LU, LV, NL, PT, RO, SK, UK</w:t>
            </w:r>
          </w:p>
        </w:tc>
      </w:tr>
      <w:tr w:rsidR="00677DE6">
        <w:trPr>
          <w:cantSplit/>
        </w:trPr>
        <w:tc>
          <w:tcPr>
            <w:tcW w:w="9468" w:type="dxa"/>
            <w:gridSpan w:val="2"/>
            <w:shd w:val="clear" w:color="auto" w:fill="C6D9F1" w:themeFill="text2" w:themeFillTint="33"/>
            <w:vAlign w:val="center"/>
          </w:tcPr>
          <w:p w:rsidR="00677DE6" w:rsidRDefault="00DB5AB5">
            <w:pPr>
              <w:pStyle w:val="Text1"/>
              <w:spacing w:after="0"/>
              <w:ind w:left="0"/>
              <w:rPr>
                <w:noProof/>
                <w:sz w:val="20"/>
              </w:rPr>
            </w:pPr>
            <w:r>
              <w:rPr>
                <w:b/>
                <w:noProof/>
                <w:sz w:val="20"/>
              </w:rPr>
              <w:t>Hałas</w:t>
            </w:r>
          </w:p>
        </w:tc>
      </w:tr>
      <w:tr w:rsidR="00677DE6" w:rsidRPr="00DB5AB5">
        <w:trPr>
          <w:cantSplit/>
          <w:trHeight w:val="402"/>
        </w:trPr>
        <w:tc>
          <w:tcPr>
            <w:tcW w:w="7111" w:type="dxa"/>
            <w:vAlign w:val="center"/>
          </w:tcPr>
          <w:p w:rsidR="00677DE6" w:rsidRDefault="00DB5AB5">
            <w:pPr>
              <w:pStyle w:val="Text1"/>
              <w:numPr>
                <w:ilvl w:val="0"/>
                <w:numId w:val="2"/>
              </w:numPr>
              <w:rPr>
                <w:noProof/>
                <w:sz w:val="20"/>
              </w:rPr>
            </w:pPr>
            <w:r>
              <w:rPr>
                <w:noProof/>
                <w:sz w:val="20"/>
              </w:rPr>
              <w:t>Opracować brakujące plany działania w sprawie hałasu.</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BE, CY, CZ, DE, EL, ES, FR, IT, PL, PT, RO, SE, SK</w:t>
            </w:r>
          </w:p>
        </w:tc>
      </w:tr>
      <w:tr w:rsidR="00677DE6">
        <w:trPr>
          <w:cantSplit/>
          <w:trHeight w:val="287"/>
        </w:trPr>
        <w:tc>
          <w:tcPr>
            <w:tcW w:w="7111" w:type="dxa"/>
            <w:vAlign w:val="center"/>
          </w:tcPr>
          <w:p w:rsidR="00677DE6" w:rsidRDefault="00DB5AB5">
            <w:pPr>
              <w:pStyle w:val="Text1"/>
              <w:numPr>
                <w:ilvl w:val="0"/>
                <w:numId w:val="2"/>
              </w:numPr>
              <w:rPr>
                <w:noProof/>
                <w:sz w:val="20"/>
              </w:rPr>
            </w:pPr>
            <w:r>
              <w:rPr>
                <w:noProof/>
                <w:sz w:val="20"/>
              </w:rPr>
              <w:t>Opracować brakujące mapy hałasu.</w:t>
            </w:r>
          </w:p>
        </w:tc>
        <w:tc>
          <w:tcPr>
            <w:tcW w:w="2357" w:type="dxa"/>
            <w:shd w:val="clear" w:color="auto" w:fill="auto"/>
            <w:vAlign w:val="center"/>
          </w:tcPr>
          <w:p w:rsidR="00677DE6" w:rsidRDefault="00DB5AB5">
            <w:pPr>
              <w:pStyle w:val="Text1"/>
              <w:ind w:left="0"/>
              <w:rPr>
                <w:noProof/>
                <w:sz w:val="20"/>
              </w:rPr>
            </w:pPr>
            <w:r>
              <w:rPr>
                <w:noProof/>
                <w:sz w:val="20"/>
              </w:rPr>
              <w:t>BE, EL, ES, IT, PT, RO, SK</w:t>
            </w:r>
          </w:p>
        </w:tc>
      </w:tr>
      <w:tr w:rsidR="00677DE6">
        <w:tc>
          <w:tcPr>
            <w:tcW w:w="9468" w:type="dxa"/>
            <w:gridSpan w:val="2"/>
            <w:shd w:val="clear" w:color="auto" w:fill="C6D9F1" w:themeFill="text2" w:themeFillTint="33"/>
            <w:vAlign w:val="center"/>
          </w:tcPr>
          <w:p w:rsidR="00677DE6" w:rsidRDefault="00DB5AB5">
            <w:pPr>
              <w:pStyle w:val="Text1"/>
              <w:spacing w:after="0"/>
              <w:ind w:left="0"/>
              <w:rPr>
                <w:b/>
                <w:noProof/>
                <w:sz w:val="20"/>
              </w:rPr>
            </w:pPr>
            <w:r>
              <w:rPr>
                <w:b/>
                <w:noProof/>
                <w:sz w:val="20"/>
              </w:rPr>
              <w:t xml:space="preserve">Jakość wody i gospodarka wodna </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Usprawnić monitorowanie i ocenę wszystkich istotnych elementów jakości we wszystkich kategoriach wód zgodnie z ramową dyrektywą wodną. </w:t>
            </w:r>
          </w:p>
        </w:tc>
        <w:tc>
          <w:tcPr>
            <w:tcW w:w="2357" w:type="dxa"/>
            <w:shd w:val="clear" w:color="auto" w:fill="auto"/>
            <w:vAlign w:val="center"/>
          </w:tcPr>
          <w:p w:rsidR="00677DE6" w:rsidRDefault="00DB5AB5">
            <w:pPr>
              <w:pStyle w:val="Text1"/>
              <w:ind w:left="0"/>
              <w:rPr>
                <w:noProof/>
                <w:sz w:val="20"/>
              </w:rPr>
            </w:pPr>
            <w:r>
              <w:rPr>
                <w:noProof/>
                <w:sz w:val="20"/>
              </w:rPr>
              <w:t>BG, CY, CZ, DE, DK, EE, FI, HR, HU, LV, MT, PL, PT, RO, SE, SI, UK</w:t>
            </w:r>
          </w:p>
        </w:tc>
      </w:tr>
      <w:tr w:rsidR="00677DE6" w:rsidRPr="00DB5AB5">
        <w:tc>
          <w:tcPr>
            <w:tcW w:w="7111" w:type="dxa"/>
            <w:vAlign w:val="center"/>
          </w:tcPr>
          <w:p w:rsidR="00677DE6" w:rsidRDefault="00DB5AB5">
            <w:pPr>
              <w:pStyle w:val="Text1"/>
              <w:numPr>
                <w:ilvl w:val="0"/>
                <w:numId w:val="2"/>
              </w:numPr>
              <w:rPr>
                <w:noProof/>
                <w:sz w:val="20"/>
              </w:rPr>
            </w:pPr>
            <w:r>
              <w:rPr>
                <w:noProof/>
                <w:sz w:val="20"/>
              </w:rPr>
              <w:t>Zapewnić terminowe przyjęcie planów gospodarowania wodami w dorzeczu lub terminowe składanie sprawozdań w tym zakresie zgodnie z ramową dyrektywą wodną.</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AT, ES, EL, IE, LT</w:t>
            </w:r>
          </w:p>
        </w:tc>
      </w:tr>
      <w:tr w:rsidR="00677DE6">
        <w:tc>
          <w:tcPr>
            <w:tcW w:w="7111" w:type="dxa"/>
            <w:vAlign w:val="center"/>
          </w:tcPr>
          <w:p w:rsidR="00677DE6" w:rsidRDefault="00DB5AB5">
            <w:pPr>
              <w:pStyle w:val="Text1"/>
              <w:numPr>
                <w:ilvl w:val="0"/>
                <w:numId w:val="2"/>
              </w:numPr>
              <w:rPr>
                <w:noProof/>
                <w:sz w:val="20"/>
              </w:rPr>
            </w:pPr>
            <w:r>
              <w:rPr>
                <w:noProof/>
                <w:sz w:val="20"/>
              </w:rPr>
              <w:t>Zapewnić terminowe przyjęcie planów zarządzania ryzykiem powodziowym zgodnie z dyrektywą powodziową.</w:t>
            </w:r>
          </w:p>
        </w:tc>
        <w:tc>
          <w:tcPr>
            <w:tcW w:w="2357" w:type="dxa"/>
            <w:shd w:val="clear" w:color="auto" w:fill="auto"/>
            <w:vAlign w:val="center"/>
          </w:tcPr>
          <w:p w:rsidR="00677DE6" w:rsidRDefault="00DB5AB5">
            <w:pPr>
              <w:pStyle w:val="Text1"/>
              <w:ind w:left="0"/>
              <w:rPr>
                <w:noProof/>
                <w:sz w:val="20"/>
              </w:rPr>
            </w:pPr>
            <w:r>
              <w:rPr>
                <w:noProof/>
                <w:sz w:val="20"/>
              </w:rPr>
              <w:t>ES, EL, IE</w:t>
            </w:r>
          </w:p>
        </w:tc>
      </w:tr>
      <w:tr w:rsidR="00677DE6">
        <w:tc>
          <w:tcPr>
            <w:tcW w:w="7111" w:type="dxa"/>
            <w:vAlign w:val="center"/>
          </w:tcPr>
          <w:p w:rsidR="00677DE6" w:rsidRDefault="00DB5AB5">
            <w:pPr>
              <w:pStyle w:val="Text1"/>
              <w:numPr>
                <w:ilvl w:val="0"/>
                <w:numId w:val="2"/>
              </w:numPr>
              <w:rPr>
                <w:noProof/>
                <w:sz w:val="20"/>
              </w:rPr>
            </w:pPr>
            <w:r>
              <w:rPr>
                <w:noProof/>
                <w:sz w:val="20"/>
              </w:rPr>
              <w:t xml:space="preserve">Zapewnić, aby skutecznie zajęto się kwestią zanieczyszczenia wody spowodowanego m.in. przez rolnictwo zgodnie z dyrektywą azotanową lub z ramową dyrektywą wodną. </w:t>
            </w:r>
          </w:p>
        </w:tc>
        <w:tc>
          <w:tcPr>
            <w:tcW w:w="2357" w:type="dxa"/>
            <w:shd w:val="clear" w:color="auto" w:fill="auto"/>
            <w:vAlign w:val="center"/>
          </w:tcPr>
          <w:p w:rsidR="00677DE6" w:rsidRDefault="00DB5AB5">
            <w:pPr>
              <w:pStyle w:val="Text1"/>
              <w:ind w:left="0"/>
              <w:rPr>
                <w:noProof/>
                <w:sz w:val="20"/>
              </w:rPr>
            </w:pPr>
            <w:r>
              <w:rPr>
                <w:noProof/>
                <w:sz w:val="20"/>
              </w:rPr>
              <w:t xml:space="preserve">AT, BE, CY, CZ, DE, DK, EE, EL, ES, FI, FR, IT, LT, MT, NL, PL, PT, </w:t>
            </w:r>
            <w:r>
              <w:rPr>
                <w:noProof/>
                <w:sz w:val="20"/>
              </w:rPr>
              <w:lastRenderedPageBreak/>
              <w:t xml:space="preserve">SE, SI, SK, UK </w:t>
            </w:r>
          </w:p>
        </w:tc>
      </w:tr>
      <w:tr w:rsidR="00677DE6">
        <w:tc>
          <w:tcPr>
            <w:tcW w:w="7111" w:type="dxa"/>
            <w:vAlign w:val="center"/>
          </w:tcPr>
          <w:p w:rsidR="00677DE6" w:rsidRDefault="00DB5AB5">
            <w:pPr>
              <w:pStyle w:val="Text1"/>
              <w:numPr>
                <w:ilvl w:val="0"/>
                <w:numId w:val="2"/>
              </w:numPr>
              <w:rPr>
                <w:noProof/>
                <w:sz w:val="20"/>
              </w:rPr>
            </w:pPr>
            <w:r>
              <w:rPr>
                <w:noProof/>
                <w:sz w:val="20"/>
              </w:rPr>
              <w:lastRenderedPageBreak/>
              <w:t>Wdrożyć dalsze środki w zakresie zanieczyszczenia chemicznego (opracowanie zróżnicowanego podejścia do poszczególnych substancji / zapewnienie, by programy działań opierały się na wiarygodnej ocenie presji).</w:t>
            </w:r>
          </w:p>
        </w:tc>
        <w:tc>
          <w:tcPr>
            <w:tcW w:w="2357" w:type="dxa"/>
            <w:shd w:val="clear" w:color="auto" w:fill="auto"/>
            <w:vAlign w:val="center"/>
          </w:tcPr>
          <w:p w:rsidR="00677DE6" w:rsidRDefault="00DB5AB5">
            <w:pPr>
              <w:pStyle w:val="Text1"/>
              <w:ind w:left="0"/>
              <w:rPr>
                <w:noProof/>
                <w:sz w:val="20"/>
              </w:rPr>
            </w:pPr>
            <w:r>
              <w:rPr>
                <w:noProof/>
                <w:sz w:val="20"/>
              </w:rPr>
              <w:t>BE, NL</w:t>
            </w:r>
          </w:p>
        </w:tc>
      </w:tr>
      <w:tr w:rsidR="00677DE6" w:rsidRPr="00DB5AB5">
        <w:trPr>
          <w:trHeight w:val="761"/>
        </w:trPr>
        <w:tc>
          <w:tcPr>
            <w:tcW w:w="7111" w:type="dxa"/>
            <w:shd w:val="clear" w:color="auto" w:fill="auto"/>
            <w:vAlign w:val="center"/>
          </w:tcPr>
          <w:p w:rsidR="00677DE6" w:rsidRDefault="00DB5AB5">
            <w:pPr>
              <w:pStyle w:val="Text1"/>
              <w:numPr>
                <w:ilvl w:val="0"/>
                <w:numId w:val="2"/>
              </w:numPr>
              <w:rPr>
                <w:noProof/>
                <w:sz w:val="20"/>
              </w:rPr>
            </w:pPr>
            <w:r>
              <w:rPr>
                <w:noProof/>
                <w:sz w:val="20"/>
              </w:rPr>
              <w:t>Wdrożyć dalsze środki, aby zapewnić dobry stan ilościowy / przepływy hydrobiologiczne zgodnie z ramową dyrektywą wodną (m.in. poprzez zapewnienie, by pobory wody podlegały skutecznym zezwoleniom, pomiarom i kontrolom).</w:t>
            </w:r>
          </w:p>
        </w:tc>
        <w:tc>
          <w:tcPr>
            <w:tcW w:w="2357" w:type="dxa"/>
            <w:shd w:val="clear" w:color="auto" w:fill="auto"/>
            <w:vAlign w:val="center"/>
          </w:tcPr>
          <w:p w:rsidR="00677DE6" w:rsidRDefault="00DB5AB5">
            <w:pPr>
              <w:pStyle w:val="Text1"/>
              <w:ind w:left="0"/>
              <w:rPr>
                <w:noProof/>
                <w:sz w:val="20"/>
                <w:lang w:val="en-GB"/>
              </w:rPr>
            </w:pPr>
            <w:r>
              <w:rPr>
                <w:noProof/>
                <w:sz w:val="20"/>
                <w:lang w:val="en-GB"/>
              </w:rPr>
              <w:t xml:space="preserve">CY, ES, HU, IT, MT, PL, PT </w:t>
            </w:r>
          </w:p>
        </w:tc>
      </w:tr>
      <w:tr w:rsidR="00677DE6">
        <w:trPr>
          <w:trHeight w:val="360"/>
        </w:trPr>
        <w:tc>
          <w:tcPr>
            <w:tcW w:w="7111" w:type="dxa"/>
            <w:shd w:val="clear" w:color="auto" w:fill="auto"/>
            <w:vAlign w:val="center"/>
          </w:tcPr>
          <w:p w:rsidR="00677DE6" w:rsidRDefault="00DB5AB5">
            <w:pPr>
              <w:pStyle w:val="Text1"/>
              <w:numPr>
                <w:ilvl w:val="0"/>
                <w:numId w:val="2"/>
              </w:numPr>
              <w:rPr>
                <w:noProof/>
                <w:sz w:val="20"/>
              </w:rPr>
            </w:pPr>
            <w:r>
              <w:rPr>
                <w:noProof/>
                <w:sz w:val="20"/>
              </w:rPr>
              <w:t>Podjąć działania w celu zapewnienia wdrożenia środków, które służą przeciwdziałaniu presjom hydromorfologicznym.</w:t>
            </w:r>
          </w:p>
        </w:tc>
        <w:tc>
          <w:tcPr>
            <w:tcW w:w="2357" w:type="dxa"/>
            <w:shd w:val="clear" w:color="auto" w:fill="auto"/>
            <w:vAlign w:val="center"/>
          </w:tcPr>
          <w:p w:rsidR="00677DE6" w:rsidRDefault="00DB5AB5">
            <w:pPr>
              <w:pStyle w:val="Text1"/>
              <w:ind w:left="0"/>
              <w:rPr>
                <w:noProof/>
                <w:sz w:val="20"/>
              </w:rPr>
            </w:pPr>
            <w:r>
              <w:rPr>
                <w:noProof/>
                <w:sz w:val="20"/>
              </w:rPr>
              <w:t>SI</w:t>
            </w:r>
          </w:p>
        </w:tc>
      </w:tr>
      <w:tr w:rsidR="00677DE6">
        <w:trPr>
          <w:trHeight w:val="180"/>
        </w:trPr>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Podjąć działania w celu ujednolicenia różnych podejść regionalnych, w szczególności do określania znaczenia presji w związku z ramową dyrektywą wodną. </w:t>
            </w:r>
          </w:p>
        </w:tc>
        <w:tc>
          <w:tcPr>
            <w:tcW w:w="2357" w:type="dxa"/>
            <w:shd w:val="clear" w:color="auto" w:fill="auto"/>
            <w:vAlign w:val="center"/>
          </w:tcPr>
          <w:p w:rsidR="00677DE6" w:rsidRDefault="00DB5AB5">
            <w:pPr>
              <w:pStyle w:val="Text1"/>
              <w:ind w:left="0"/>
              <w:rPr>
                <w:noProof/>
                <w:sz w:val="20"/>
              </w:rPr>
            </w:pPr>
            <w:r>
              <w:rPr>
                <w:noProof/>
                <w:sz w:val="20"/>
              </w:rPr>
              <w:t>IT</w:t>
            </w:r>
          </w:p>
        </w:tc>
      </w:tr>
      <w:tr w:rsidR="00677DE6">
        <w:trPr>
          <w:trHeight w:val="662"/>
        </w:trPr>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Zapewnić, by projekty, które mogą wpłynąć na stan jednolitych części wód, zostały poddane dokładnej ocenie i uzasadnione zgodnie z wymogami ramowej dyrektywy wodnej (art. 4 ust. 7). </w:t>
            </w:r>
          </w:p>
        </w:tc>
        <w:tc>
          <w:tcPr>
            <w:tcW w:w="2357" w:type="dxa"/>
            <w:shd w:val="clear" w:color="auto" w:fill="auto"/>
            <w:vAlign w:val="center"/>
          </w:tcPr>
          <w:p w:rsidR="00677DE6" w:rsidRDefault="00DB5AB5">
            <w:pPr>
              <w:pStyle w:val="Text1"/>
              <w:ind w:left="0"/>
              <w:rPr>
                <w:noProof/>
                <w:sz w:val="20"/>
              </w:rPr>
            </w:pPr>
            <w:r>
              <w:rPr>
                <w:noProof/>
                <w:sz w:val="20"/>
              </w:rPr>
              <w:t>BG, LU, PL, PT, RO, SE, SK</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Podjąć kroki, aby zwiększyć udział społeczeństwa w działaniach i czynne zaangażowanie zainteresowanych stron (plany gospodarowania wodami w dorzeczu / plany zarządzania ryzykiem powodziowym).</w:t>
            </w:r>
          </w:p>
        </w:tc>
        <w:tc>
          <w:tcPr>
            <w:tcW w:w="2357" w:type="dxa"/>
            <w:shd w:val="clear" w:color="auto" w:fill="auto"/>
            <w:vAlign w:val="center"/>
          </w:tcPr>
          <w:p w:rsidR="00677DE6" w:rsidRDefault="00DB5AB5">
            <w:pPr>
              <w:pStyle w:val="Text1"/>
              <w:ind w:left="0"/>
              <w:rPr>
                <w:noProof/>
                <w:sz w:val="20"/>
              </w:rPr>
            </w:pPr>
            <w:r>
              <w:rPr>
                <w:noProof/>
                <w:sz w:val="20"/>
              </w:rPr>
              <w:t>NL, SI, SK, UK</w:t>
            </w:r>
          </w:p>
        </w:tc>
      </w:tr>
      <w:tr w:rsidR="00677DE6" w:rsidRPr="00DB5AB5">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Podjąć działania, aby wyjaśnić metodę ustalania priorytetów w odniesieniu do środków, w tym sposób wykorzystania oceny kosztów i korzyści względem planów zarządzania ryzykiem powodziowym. </w:t>
            </w:r>
          </w:p>
        </w:tc>
        <w:tc>
          <w:tcPr>
            <w:tcW w:w="2357" w:type="dxa"/>
            <w:shd w:val="clear" w:color="auto" w:fill="auto"/>
            <w:vAlign w:val="center"/>
          </w:tcPr>
          <w:p w:rsidR="00677DE6" w:rsidRDefault="00DB5AB5">
            <w:pPr>
              <w:pStyle w:val="Text1"/>
              <w:ind w:left="0"/>
              <w:rPr>
                <w:noProof/>
                <w:sz w:val="20"/>
                <w:lang w:val="es-ES"/>
              </w:rPr>
            </w:pPr>
            <w:r>
              <w:rPr>
                <w:noProof/>
                <w:sz w:val="20"/>
                <w:lang w:val="es-ES"/>
              </w:rPr>
              <w:t>AT, BE, BG, CZ, DE, EE, ES, HR, HU, LU, LV, MT</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Podjąć działania, aby systemowo uwzględniać możliwość wdrażania rozwiązań opartych na zasobach przyrody w celu zmniejszenia ryzyka powodziowego. </w:t>
            </w:r>
          </w:p>
        </w:tc>
        <w:tc>
          <w:tcPr>
            <w:tcW w:w="2357" w:type="dxa"/>
            <w:shd w:val="clear" w:color="auto" w:fill="auto"/>
            <w:vAlign w:val="center"/>
          </w:tcPr>
          <w:p w:rsidR="00677DE6" w:rsidRDefault="00DB5AB5">
            <w:pPr>
              <w:pStyle w:val="Text1"/>
              <w:ind w:left="0"/>
              <w:rPr>
                <w:noProof/>
                <w:sz w:val="20"/>
              </w:rPr>
            </w:pPr>
            <w:r>
              <w:rPr>
                <w:noProof/>
                <w:sz w:val="20"/>
              </w:rPr>
              <w:t>CY</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Podjąć działania, aby zwiększyć znaczenie aspektów dotyczących zmiany klimatu w planach zarządzania ryzykiem powodziowym, w tym ich koordynację z krajową strategią przystosowania się do zmiany klimatu. </w:t>
            </w:r>
            <w:r>
              <w:rPr>
                <w:noProof/>
              </w:rPr>
              <w:t xml:space="preserve"> </w:t>
            </w:r>
          </w:p>
        </w:tc>
        <w:tc>
          <w:tcPr>
            <w:tcW w:w="2357" w:type="dxa"/>
            <w:shd w:val="clear" w:color="auto" w:fill="auto"/>
            <w:vAlign w:val="center"/>
          </w:tcPr>
          <w:p w:rsidR="00677DE6" w:rsidRDefault="00DB5AB5">
            <w:pPr>
              <w:pStyle w:val="Text1"/>
              <w:ind w:left="0"/>
              <w:rPr>
                <w:noProof/>
                <w:sz w:val="20"/>
              </w:rPr>
            </w:pPr>
            <w:r>
              <w:rPr>
                <w:noProof/>
                <w:sz w:val="20"/>
              </w:rPr>
              <w:t xml:space="preserve">FI, IT, LV </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Podjąć działania, aby usprawnić proces włączania kolejnych etapów cyklu zarządzania ryzykiem powodziowym do planu zarządzania ryzykiem powodziowym.</w:t>
            </w:r>
          </w:p>
        </w:tc>
        <w:tc>
          <w:tcPr>
            <w:tcW w:w="2357" w:type="dxa"/>
            <w:shd w:val="clear" w:color="auto" w:fill="auto"/>
            <w:vAlign w:val="center"/>
          </w:tcPr>
          <w:p w:rsidR="00677DE6" w:rsidRDefault="00DB5AB5">
            <w:pPr>
              <w:pStyle w:val="Text1"/>
              <w:ind w:left="0"/>
              <w:rPr>
                <w:noProof/>
                <w:sz w:val="20"/>
              </w:rPr>
            </w:pPr>
            <w:r>
              <w:rPr>
                <w:noProof/>
                <w:sz w:val="20"/>
              </w:rPr>
              <w:t>DK, FR, PL, PT, RO</w:t>
            </w:r>
          </w:p>
        </w:tc>
      </w:tr>
      <w:tr w:rsidR="00677DE6">
        <w:tc>
          <w:tcPr>
            <w:tcW w:w="7111" w:type="dxa"/>
            <w:shd w:val="clear" w:color="auto" w:fill="auto"/>
            <w:vAlign w:val="center"/>
          </w:tcPr>
          <w:p w:rsidR="00677DE6" w:rsidRDefault="00DB5AB5">
            <w:pPr>
              <w:pStyle w:val="Text1"/>
              <w:numPr>
                <w:ilvl w:val="0"/>
                <w:numId w:val="2"/>
              </w:numPr>
              <w:rPr>
                <w:noProof/>
                <w:sz w:val="20"/>
              </w:rPr>
            </w:pPr>
            <w:r>
              <w:rPr>
                <w:noProof/>
                <w:sz w:val="20"/>
              </w:rPr>
              <w:t xml:space="preserve">Podjąć kroki w celu zwiększenia koordynacji planów zarządzania ryzykiem powodziowym z planami gospodarowania wodami w dorzeczu. </w:t>
            </w:r>
          </w:p>
        </w:tc>
        <w:tc>
          <w:tcPr>
            <w:tcW w:w="2357" w:type="dxa"/>
            <w:shd w:val="clear" w:color="auto" w:fill="auto"/>
            <w:vAlign w:val="center"/>
          </w:tcPr>
          <w:p w:rsidR="00677DE6" w:rsidRDefault="00DB5AB5">
            <w:pPr>
              <w:pStyle w:val="Text1"/>
              <w:ind w:left="0"/>
              <w:rPr>
                <w:noProof/>
                <w:sz w:val="20"/>
              </w:rPr>
            </w:pPr>
            <w:r>
              <w:rPr>
                <w:noProof/>
                <w:sz w:val="20"/>
              </w:rPr>
              <w:t>SE</w:t>
            </w:r>
          </w:p>
        </w:tc>
      </w:tr>
      <w:tr w:rsidR="00677DE6">
        <w:trPr>
          <w:trHeight w:val="180"/>
        </w:trPr>
        <w:tc>
          <w:tcPr>
            <w:tcW w:w="7111" w:type="dxa"/>
            <w:shd w:val="clear" w:color="auto" w:fill="auto"/>
            <w:vAlign w:val="center"/>
          </w:tcPr>
          <w:p w:rsidR="00677DE6" w:rsidRDefault="00DB5AB5">
            <w:pPr>
              <w:pStyle w:val="Text1"/>
              <w:numPr>
                <w:ilvl w:val="0"/>
                <w:numId w:val="2"/>
              </w:numPr>
              <w:rPr>
                <w:noProof/>
                <w:sz w:val="20"/>
              </w:rPr>
            </w:pPr>
            <w:r>
              <w:rPr>
                <w:noProof/>
                <w:sz w:val="20"/>
              </w:rPr>
              <w:t>Podjąć kroki, aby wyjaśnić status prawny planu zarządzania ryzykiem powodziowym.</w:t>
            </w:r>
          </w:p>
        </w:tc>
        <w:tc>
          <w:tcPr>
            <w:tcW w:w="2357" w:type="dxa"/>
            <w:shd w:val="clear" w:color="auto" w:fill="auto"/>
            <w:vAlign w:val="center"/>
          </w:tcPr>
          <w:p w:rsidR="00677DE6" w:rsidRDefault="00DB5AB5">
            <w:pPr>
              <w:pStyle w:val="Text1"/>
              <w:ind w:left="0"/>
              <w:rPr>
                <w:noProof/>
                <w:sz w:val="20"/>
              </w:rPr>
            </w:pPr>
            <w:r>
              <w:rPr>
                <w:noProof/>
                <w:sz w:val="20"/>
              </w:rPr>
              <w:t>LT</w:t>
            </w:r>
          </w:p>
        </w:tc>
      </w:tr>
      <w:tr w:rsidR="00677DE6">
        <w:trPr>
          <w:trHeight w:val="180"/>
        </w:trPr>
        <w:tc>
          <w:tcPr>
            <w:tcW w:w="7111" w:type="dxa"/>
            <w:shd w:val="clear" w:color="auto" w:fill="auto"/>
            <w:vAlign w:val="center"/>
          </w:tcPr>
          <w:p w:rsidR="00677DE6" w:rsidRDefault="00DB5AB5">
            <w:pPr>
              <w:pStyle w:val="Text1"/>
              <w:numPr>
                <w:ilvl w:val="0"/>
                <w:numId w:val="2"/>
              </w:numPr>
              <w:rPr>
                <w:noProof/>
                <w:sz w:val="20"/>
              </w:rPr>
            </w:pPr>
            <w:r>
              <w:rPr>
                <w:noProof/>
                <w:sz w:val="20"/>
              </w:rPr>
              <w:t>Niezwłocznie ukończyć wdrażanie dyrektywy dotyczącej oczyszczania ścieków komunalnych w odniesieniu do wszystkich aglomeracji. Priorytetowo traktować inwestycje w oczyszczalnie ścieków komunalnych, w tym dzięki skutecznemu wykorzystywaniu finansowania UE, jeżeli jest ono dostępne.</w:t>
            </w:r>
          </w:p>
        </w:tc>
        <w:tc>
          <w:tcPr>
            <w:tcW w:w="2357" w:type="dxa"/>
            <w:shd w:val="clear" w:color="auto" w:fill="auto"/>
            <w:vAlign w:val="center"/>
          </w:tcPr>
          <w:p w:rsidR="00677DE6" w:rsidRDefault="00DB5AB5">
            <w:pPr>
              <w:pStyle w:val="Text1"/>
              <w:ind w:left="0"/>
              <w:rPr>
                <w:noProof/>
                <w:sz w:val="20"/>
              </w:rPr>
            </w:pPr>
            <w:r>
              <w:rPr>
                <w:noProof/>
                <w:sz w:val="20"/>
              </w:rPr>
              <w:t>BG, CY, EL, ES, FR, HR, HU, IE, IT, LT, LU, LV, MT, PL, PT, RO, SI, SK</w:t>
            </w:r>
          </w:p>
        </w:tc>
      </w:tr>
      <w:tr w:rsidR="00677DE6">
        <w:trPr>
          <w:cantSplit/>
        </w:trPr>
        <w:tc>
          <w:tcPr>
            <w:tcW w:w="9468" w:type="dxa"/>
            <w:gridSpan w:val="2"/>
            <w:shd w:val="clear" w:color="auto" w:fill="C6D9F1" w:themeFill="text2" w:themeFillTint="33"/>
            <w:vAlign w:val="center"/>
          </w:tcPr>
          <w:p w:rsidR="00677DE6" w:rsidRDefault="00DB5AB5">
            <w:pPr>
              <w:pStyle w:val="Text1"/>
              <w:keepLines/>
              <w:spacing w:after="0"/>
              <w:ind w:left="0"/>
              <w:rPr>
                <w:b/>
                <w:noProof/>
                <w:sz w:val="20"/>
              </w:rPr>
            </w:pPr>
            <w:r>
              <w:rPr>
                <w:b/>
                <w:noProof/>
                <w:sz w:val="20"/>
              </w:rPr>
              <w:t>Finansowanie i inwestycje w obszarze ochrony środowiska</w:t>
            </w:r>
          </w:p>
        </w:tc>
      </w:tr>
      <w:tr w:rsidR="00677DE6" w:rsidRPr="00DB5AB5">
        <w:trPr>
          <w:cantSplit/>
        </w:trPr>
        <w:tc>
          <w:tcPr>
            <w:tcW w:w="7111" w:type="dxa"/>
            <w:vAlign w:val="center"/>
          </w:tcPr>
          <w:p w:rsidR="00677DE6" w:rsidRDefault="00DB5AB5">
            <w:pPr>
              <w:pStyle w:val="Text1"/>
              <w:keepLines/>
              <w:numPr>
                <w:ilvl w:val="0"/>
                <w:numId w:val="2"/>
              </w:numPr>
              <w:rPr>
                <w:noProof/>
                <w:sz w:val="20"/>
              </w:rPr>
            </w:pPr>
            <w:r>
              <w:rPr>
                <w:noProof/>
                <w:sz w:val="20"/>
              </w:rPr>
              <w:t xml:space="preserve">Zapewnić odpowiednie finansowanie, w tym poprzez uruchamianie inwestycji i wykorzystywanie funduszy UE, aby zmierzyć się z głównymi wyzwaniami w zakresie ochrony środowiska, przed jakimi stoją poszczególne państwa. </w:t>
            </w:r>
          </w:p>
        </w:tc>
        <w:tc>
          <w:tcPr>
            <w:tcW w:w="2357" w:type="dxa"/>
            <w:vAlign w:val="center"/>
          </w:tcPr>
          <w:p w:rsidR="00677DE6" w:rsidRDefault="00DB5AB5">
            <w:pPr>
              <w:pStyle w:val="Text1"/>
              <w:ind w:left="0"/>
              <w:rPr>
                <w:noProof/>
                <w:sz w:val="20"/>
                <w:lang w:val="es-ES"/>
              </w:rPr>
            </w:pPr>
            <w:r>
              <w:rPr>
                <w:noProof/>
                <w:sz w:val="20"/>
                <w:lang w:val="es-ES"/>
              </w:rPr>
              <w:t>AT, BG, DE, EL, ES, FI, FR, HU, IT, LU, NL, PT, RO, SE, SI, UK</w:t>
            </w:r>
          </w:p>
        </w:tc>
      </w:tr>
      <w:tr w:rsidR="00677DE6" w:rsidRPr="00DB5AB5">
        <w:trPr>
          <w:cantSplit/>
        </w:trPr>
        <w:tc>
          <w:tcPr>
            <w:tcW w:w="7111" w:type="dxa"/>
            <w:vAlign w:val="center"/>
          </w:tcPr>
          <w:p w:rsidR="00677DE6" w:rsidRDefault="00DB5AB5">
            <w:pPr>
              <w:pStyle w:val="Text1"/>
              <w:keepLines/>
              <w:numPr>
                <w:ilvl w:val="0"/>
                <w:numId w:val="2"/>
              </w:numPr>
              <w:rPr>
                <w:noProof/>
                <w:sz w:val="20"/>
              </w:rPr>
            </w:pPr>
            <w:r>
              <w:rPr>
                <w:noProof/>
                <w:sz w:val="20"/>
              </w:rPr>
              <w:t>Poprawić zdolność do skutecznego wykorzystywania funduszy UE na rzecz środowiska, w tym do przygotowania się na następny okres finansowania przypadający na lata 2021–2027.</w:t>
            </w:r>
          </w:p>
        </w:tc>
        <w:tc>
          <w:tcPr>
            <w:tcW w:w="2357" w:type="dxa"/>
            <w:vAlign w:val="center"/>
          </w:tcPr>
          <w:p w:rsidR="00677DE6" w:rsidRDefault="00DB5AB5">
            <w:pPr>
              <w:pStyle w:val="Text1"/>
              <w:ind w:left="0"/>
              <w:rPr>
                <w:noProof/>
                <w:sz w:val="20"/>
                <w:lang w:val="es-ES"/>
              </w:rPr>
            </w:pPr>
            <w:r>
              <w:rPr>
                <w:noProof/>
                <w:sz w:val="20"/>
                <w:lang w:val="es-ES"/>
              </w:rPr>
              <w:t>CZ, EE, EL, HR, LT, LV, PL, RO, SK</w:t>
            </w:r>
          </w:p>
        </w:tc>
      </w:tr>
      <w:tr w:rsidR="00677DE6">
        <w:tc>
          <w:tcPr>
            <w:tcW w:w="9468" w:type="dxa"/>
            <w:gridSpan w:val="2"/>
            <w:shd w:val="clear" w:color="auto" w:fill="C6D9F1" w:themeFill="text2" w:themeFillTint="33"/>
            <w:vAlign w:val="center"/>
          </w:tcPr>
          <w:p w:rsidR="00677DE6" w:rsidRDefault="00DB5AB5">
            <w:pPr>
              <w:pStyle w:val="Text1"/>
              <w:spacing w:after="0"/>
              <w:ind w:left="0"/>
              <w:rPr>
                <w:noProof/>
                <w:sz w:val="20"/>
              </w:rPr>
            </w:pPr>
            <w:r>
              <w:rPr>
                <w:b/>
                <w:noProof/>
                <w:sz w:val="20"/>
              </w:rPr>
              <w:t>Informacje, udział społeczeństwa i dostęp do wymiaru sprawiedliwości</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 xml:space="preserve">Poprawić dostęp do danych przestrzennych i związanych z nimi usług poprzez stworzenie silniejszych powiązań między portalami INSPIRE poszczególnych państw, a także określić i udokumentować wszystkie zbiory danych przestrzennych potrzebnych do wdrożenia prawa ochrony środowiska oraz udostępnić innym organom publicznym i społeczeństwu dane i dokumenty co najmniej w formie nieostatecznej za pośrednictwem usług cyfrowych </w:t>
            </w:r>
            <w:r>
              <w:rPr>
                <w:noProof/>
                <w:sz w:val="20"/>
              </w:rPr>
              <w:lastRenderedPageBreak/>
              <w:t>przewidzianych w dyrektywie w sprawie INSPIRE.</w:t>
            </w:r>
          </w:p>
        </w:tc>
        <w:tc>
          <w:tcPr>
            <w:tcW w:w="2357" w:type="dxa"/>
            <w:shd w:val="clear" w:color="auto" w:fill="auto"/>
            <w:vAlign w:val="center"/>
          </w:tcPr>
          <w:p w:rsidR="00677DE6" w:rsidRDefault="00DB5AB5">
            <w:pPr>
              <w:spacing w:after="120"/>
              <w:jc w:val="both"/>
              <w:rPr>
                <w:noProof/>
              </w:rPr>
            </w:pPr>
            <w:r>
              <w:rPr>
                <w:noProof/>
              </w:rPr>
              <w:lastRenderedPageBreak/>
              <w:t>Wszystkie państwa członkowskie</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Ułatwić udział społeczeństwa we wdrażaniu prawodawstwa UE w zakresie ochrony środowiska.</w:t>
            </w:r>
          </w:p>
        </w:tc>
        <w:tc>
          <w:tcPr>
            <w:tcW w:w="2357" w:type="dxa"/>
            <w:shd w:val="clear" w:color="auto" w:fill="auto"/>
            <w:vAlign w:val="center"/>
          </w:tcPr>
          <w:p w:rsidR="00677DE6" w:rsidRDefault="00DB5AB5">
            <w:pPr>
              <w:spacing w:after="120"/>
              <w:jc w:val="both"/>
              <w:rPr>
                <w:noProof/>
              </w:rPr>
            </w:pPr>
            <w:r>
              <w:rPr>
                <w:noProof/>
              </w:rPr>
              <w:t>BE, CZ, HU, LT, PL, RO, SI</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 xml:space="preserve">Zapewnić organizacjom pozarządowym legitymację procesową do wnoszenia – w stosownych przypadkach – skarg w sprawach związanych ze środowiskiem bez konieczności ponoszenia wygórowanych kosztów. </w:t>
            </w:r>
          </w:p>
        </w:tc>
        <w:tc>
          <w:tcPr>
            <w:tcW w:w="2357" w:type="dxa"/>
            <w:shd w:val="clear" w:color="auto" w:fill="auto"/>
            <w:vAlign w:val="center"/>
          </w:tcPr>
          <w:p w:rsidR="00677DE6" w:rsidRDefault="00DB5AB5">
            <w:pPr>
              <w:spacing w:after="120"/>
              <w:jc w:val="both"/>
              <w:rPr>
                <w:noProof/>
              </w:rPr>
            </w:pPr>
            <w:r>
              <w:rPr>
                <w:noProof/>
              </w:rPr>
              <w:t>BG, CY, FI, HR, HU, IE, LT, LU, MT, PL, RO</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Skuteczniej informować obywateli o prawie do dostępu do wymiaru sprawiedliwości.</w:t>
            </w:r>
          </w:p>
        </w:tc>
        <w:tc>
          <w:tcPr>
            <w:tcW w:w="2357" w:type="dxa"/>
            <w:shd w:val="clear" w:color="auto" w:fill="auto"/>
            <w:vAlign w:val="center"/>
          </w:tcPr>
          <w:p w:rsidR="00677DE6" w:rsidRDefault="00DB5AB5">
            <w:pPr>
              <w:spacing w:after="120"/>
              <w:jc w:val="both"/>
              <w:rPr>
                <w:noProof/>
              </w:rPr>
            </w:pPr>
            <w:r>
              <w:rPr>
                <w:noProof/>
              </w:rPr>
              <w:t>AT, BE, CY, EE, EL, ES, FI, FR, HR, IE, IT, LU, LV, MT, NL, PT, RO, SE, SK, UK</w:t>
            </w:r>
          </w:p>
        </w:tc>
      </w:tr>
      <w:tr w:rsidR="00677DE6">
        <w:tc>
          <w:tcPr>
            <w:tcW w:w="9468" w:type="dxa"/>
            <w:gridSpan w:val="2"/>
            <w:shd w:val="clear" w:color="auto" w:fill="C6D9F1" w:themeFill="text2" w:themeFillTint="33"/>
            <w:vAlign w:val="center"/>
          </w:tcPr>
          <w:p w:rsidR="00677DE6" w:rsidRDefault="00DB5AB5">
            <w:pPr>
              <w:pStyle w:val="Text1"/>
              <w:spacing w:after="0"/>
              <w:ind w:left="0"/>
              <w:rPr>
                <w:noProof/>
                <w:sz w:val="20"/>
              </w:rPr>
            </w:pPr>
            <w:r>
              <w:rPr>
                <w:b/>
                <w:noProof/>
                <w:sz w:val="20"/>
              </w:rPr>
              <w:t>Zapewnienie zgodności</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Skuteczniej informować społeczeństwo o propagowaniu, monitorowaniu i egzekwowaniu zgodności z wymogami.</w:t>
            </w:r>
          </w:p>
        </w:tc>
        <w:tc>
          <w:tcPr>
            <w:tcW w:w="2357" w:type="dxa"/>
            <w:shd w:val="clear" w:color="auto" w:fill="auto"/>
            <w:vAlign w:val="center"/>
          </w:tcPr>
          <w:p w:rsidR="00677DE6" w:rsidRDefault="00DB5AB5">
            <w:pPr>
              <w:spacing w:after="120"/>
              <w:jc w:val="both"/>
              <w:rPr>
                <w:noProof/>
              </w:rPr>
            </w:pPr>
            <w:r>
              <w:rPr>
                <w:noProof/>
              </w:rPr>
              <w:t>Wszystkie państwa członkowskie</w:t>
            </w:r>
          </w:p>
        </w:tc>
      </w:tr>
      <w:tr w:rsidR="00677DE6">
        <w:tc>
          <w:tcPr>
            <w:tcW w:w="7111" w:type="dxa"/>
            <w:vAlign w:val="center"/>
          </w:tcPr>
          <w:p w:rsidR="00677DE6" w:rsidRDefault="00DB5AB5">
            <w:pPr>
              <w:pStyle w:val="Akapitzlist"/>
              <w:widowControl w:val="0"/>
              <w:numPr>
                <w:ilvl w:val="0"/>
                <w:numId w:val="2"/>
              </w:numPr>
              <w:rPr>
                <w:noProof/>
                <w:sz w:val="20"/>
              </w:rPr>
            </w:pPr>
            <w:r>
              <w:rPr>
                <w:noProof/>
                <w:sz w:val="20"/>
              </w:rPr>
              <w:t>Przekazywać więcej informacji na temat współpracy osób, które zajmują się przestępstwami przeciwko środowisku.</w:t>
            </w:r>
          </w:p>
        </w:tc>
        <w:tc>
          <w:tcPr>
            <w:tcW w:w="2357" w:type="dxa"/>
            <w:vAlign w:val="center"/>
          </w:tcPr>
          <w:p w:rsidR="00677DE6" w:rsidRDefault="00DB5AB5">
            <w:pPr>
              <w:spacing w:after="120"/>
              <w:jc w:val="both"/>
              <w:rPr>
                <w:noProof/>
              </w:rPr>
            </w:pPr>
            <w:r>
              <w:rPr>
                <w:noProof/>
              </w:rPr>
              <w:t>AT, BE, BG, DK, EL, HR, HU, IE, LT, LU, LV, MT, NL, PL, SE, SI, SK, UK</w:t>
            </w:r>
          </w:p>
        </w:tc>
      </w:tr>
      <w:tr w:rsidR="00677DE6">
        <w:tc>
          <w:tcPr>
            <w:tcW w:w="7111" w:type="dxa"/>
            <w:vAlign w:val="center"/>
          </w:tcPr>
          <w:p w:rsidR="00677DE6" w:rsidRDefault="00DB5AB5">
            <w:pPr>
              <w:pStyle w:val="Akapitzlist"/>
              <w:numPr>
                <w:ilvl w:val="0"/>
                <w:numId w:val="2"/>
              </w:numPr>
              <w:rPr>
                <w:noProof/>
                <w:sz w:val="20"/>
              </w:rPr>
            </w:pPr>
            <w:r>
              <w:rPr>
                <w:noProof/>
                <w:sz w:val="20"/>
              </w:rPr>
              <w:t xml:space="preserve">Poprawić zabezpieczenie finansowe do celów zobowiązań, o których mowa w dyrektywie w sprawie odpowiedzialności za środowisko (ELD), a także poprawić jakość wytycznych związanych z ELD oraz gromadzenie i publikowanie informacji na temat szkód w środowisku naturalnym. </w:t>
            </w:r>
          </w:p>
        </w:tc>
        <w:tc>
          <w:tcPr>
            <w:tcW w:w="2357" w:type="dxa"/>
            <w:shd w:val="clear" w:color="auto" w:fill="auto"/>
            <w:vAlign w:val="center"/>
          </w:tcPr>
          <w:p w:rsidR="00677DE6" w:rsidRDefault="00DB5AB5">
            <w:pPr>
              <w:spacing w:after="120"/>
              <w:jc w:val="both"/>
              <w:rPr>
                <w:noProof/>
              </w:rPr>
            </w:pPr>
            <w:r>
              <w:rPr>
                <w:noProof/>
              </w:rPr>
              <w:t>AT, BE, BG, CY, CZ, DE, DK, EE, EL, FI, FR, HR, HU, IE, IT, LT, LU, LV, MT, NL, PL, RO, SE, SI, SK, UK</w:t>
            </w:r>
          </w:p>
        </w:tc>
      </w:tr>
      <w:tr w:rsidR="00677DE6">
        <w:trPr>
          <w:trHeight w:val="1115"/>
        </w:trPr>
        <w:tc>
          <w:tcPr>
            <w:tcW w:w="7111" w:type="dxa"/>
            <w:shd w:val="clear" w:color="auto" w:fill="auto"/>
            <w:vAlign w:val="center"/>
          </w:tcPr>
          <w:p w:rsidR="00677DE6" w:rsidRDefault="00DB5AB5">
            <w:pPr>
              <w:pStyle w:val="Akapitzlist"/>
              <w:numPr>
                <w:ilvl w:val="0"/>
                <w:numId w:val="2"/>
              </w:numPr>
              <w:rPr>
                <w:noProof/>
                <w:sz w:val="20"/>
              </w:rPr>
            </w:pPr>
            <w:r>
              <w:rPr>
                <w:noProof/>
                <w:sz w:val="20"/>
              </w:rPr>
              <w:t>Publikować informacje na temat wyników działań podejmowanych w celu egzekwowania przepisów i działań następczych, podejmowanych w celu wykrycia naruszeń zasady wzajemnej zgodności w odniesieniu do azotanów i ochrony przyrody.</w:t>
            </w:r>
          </w:p>
        </w:tc>
        <w:tc>
          <w:tcPr>
            <w:tcW w:w="2357" w:type="dxa"/>
            <w:shd w:val="clear" w:color="auto" w:fill="auto"/>
            <w:vAlign w:val="center"/>
          </w:tcPr>
          <w:p w:rsidR="00677DE6" w:rsidRDefault="00DB5AB5">
            <w:pPr>
              <w:pStyle w:val="Text1"/>
              <w:ind w:left="0"/>
              <w:rPr>
                <w:noProof/>
                <w:sz w:val="20"/>
              </w:rPr>
            </w:pPr>
            <w:r>
              <w:rPr>
                <w:noProof/>
                <w:sz w:val="20"/>
              </w:rPr>
              <w:t>AT, BE, BG, CY, DE, DK, EE, EL, ES, FI, FR, HR, IE, IT, LT, LU, LV, MT, NL, PL, PT, RO, SE, SK, SI, UK</w:t>
            </w:r>
          </w:p>
        </w:tc>
      </w:tr>
      <w:tr w:rsidR="00677DE6">
        <w:tc>
          <w:tcPr>
            <w:tcW w:w="9468" w:type="dxa"/>
            <w:gridSpan w:val="2"/>
            <w:shd w:val="clear" w:color="auto" w:fill="C6D9F1" w:themeFill="text2" w:themeFillTint="33"/>
            <w:vAlign w:val="center"/>
          </w:tcPr>
          <w:p w:rsidR="00677DE6" w:rsidRDefault="00DB5AB5">
            <w:pPr>
              <w:pStyle w:val="Text1"/>
              <w:spacing w:after="0"/>
              <w:ind w:left="0"/>
              <w:rPr>
                <w:b/>
                <w:noProof/>
                <w:sz w:val="20"/>
              </w:rPr>
            </w:pPr>
            <w:r>
              <w:rPr>
                <w:b/>
                <w:noProof/>
                <w:sz w:val="20"/>
              </w:rPr>
              <w:t>Skuteczność organów administracji ds. ochrony środowiska</w:t>
            </w:r>
          </w:p>
        </w:tc>
      </w:tr>
      <w:tr w:rsidR="00677DE6">
        <w:tc>
          <w:tcPr>
            <w:tcW w:w="7111" w:type="dxa"/>
            <w:vAlign w:val="center"/>
          </w:tcPr>
          <w:p w:rsidR="00677DE6" w:rsidRDefault="00DB5AB5">
            <w:pPr>
              <w:pStyle w:val="Akapitzlist"/>
              <w:numPr>
                <w:ilvl w:val="0"/>
                <w:numId w:val="2"/>
              </w:numPr>
              <w:rPr>
                <w:noProof/>
                <w:sz w:val="20"/>
              </w:rPr>
            </w:pPr>
            <w:r>
              <w:rPr>
                <w:noProof/>
                <w:sz w:val="20"/>
              </w:rPr>
              <w:t>Kontynuować działania na rzecz poprawy ogólnego zarządzania środowiskiem (w tym przejrzystości, udziału obywateli, zgodności z przepisami i egzekwowania przepisów oraz zdolności administracyjnych i koordynacji).</w:t>
            </w:r>
          </w:p>
        </w:tc>
        <w:tc>
          <w:tcPr>
            <w:tcW w:w="2357" w:type="dxa"/>
            <w:shd w:val="clear" w:color="auto" w:fill="auto"/>
            <w:vAlign w:val="center"/>
          </w:tcPr>
          <w:p w:rsidR="00677DE6" w:rsidRDefault="00DB5AB5">
            <w:pPr>
              <w:pStyle w:val="Text1"/>
              <w:ind w:left="0"/>
              <w:rPr>
                <w:noProof/>
                <w:sz w:val="20"/>
              </w:rPr>
            </w:pPr>
            <w:r>
              <w:rPr>
                <w:noProof/>
                <w:sz w:val="20"/>
              </w:rPr>
              <w:t>Wszystkie państwa członkowskie</w:t>
            </w:r>
          </w:p>
        </w:tc>
      </w:tr>
      <w:tr w:rsidR="00677DE6">
        <w:tc>
          <w:tcPr>
            <w:tcW w:w="7111" w:type="dxa"/>
            <w:vAlign w:val="center"/>
          </w:tcPr>
          <w:p w:rsidR="00677DE6" w:rsidRDefault="00DB5AB5">
            <w:pPr>
              <w:pStyle w:val="Akapitzlist"/>
              <w:numPr>
                <w:ilvl w:val="0"/>
                <w:numId w:val="2"/>
              </w:numPr>
              <w:rPr>
                <w:noProof/>
                <w:sz w:val="20"/>
              </w:rPr>
            </w:pPr>
            <w:r>
              <w:rPr>
                <w:noProof/>
                <w:sz w:val="20"/>
              </w:rPr>
              <w:t>Ukończyć transpozycję zmienionej dyrektywy w sprawie oceny oddziaływania na środowisko (OOŚ).</w:t>
            </w:r>
          </w:p>
        </w:tc>
        <w:tc>
          <w:tcPr>
            <w:tcW w:w="2357" w:type="dxa"/>
            <w:shd w:val="clear" w:color="auto" w:fill="auto"/>
            <w:vAlign w:val="center"/>
          </w:tcPr>
          <w:p w:rsidR="00677DE6" w:rsidRDefault="00DB5AB5">
            <w:pPr>
              <w:pStyle w:val="Text1"/>
              <w:ind w:left="0"/>
              <w:rPr>
                <w:noProof/>
                <w:sz w:val="20"/>
              </w:rPr>
            </w:pPr>
            <w:r>
              <w:rPr>
                <w:noProof/>
                <w:sz w:val="20"/>
              </w:rPr>
              <w:t>DE, LT</w:t>
            </w:r>
          </w:p>
        </w:tc>
      </w:tr>
      <w:tr w:rsidR="00677DE6">
        <w:tc>
          <w:tcPr>
            <w:tcW w:w="7111" w:type="dxa"/>
            <w:vAlign w:val="center"/>
          </w:tcPr>
          <w:p w:rsidR="00677DE6" w:rsidRDefault="00DB5AB5">
            <w:pPr>
              <w:pStyle w:val="Akapitzlist"/>
              <w:numPr>
                <w:ilvl w:val="0"/>
                <w:numId w:val="2"/>
              </w:numPr>
              <w:rPr>
                <w:noProof/>
                <w:sz w:val="20"/>
              </w:rPr>
            </w:pPr>
            <w:r>
              <w:rPr>
                <w:noProof/>
                <w:sz w:val="20"/>
              </w:rPr>
              <w:t xml:space="preserve">Rozwiązać problem fragmentacji na poziomie regionalnym i lokalnym poprzez opracowanie lepszych mechanizmów koordynacji w dziedzinie środowiska. </w:t>
            </w:r>
          </w:p>
        </w:tc>
        <w:tc>
          <w:tcPr>
            <w:tcW w:w="2357" w:type="dxa"/>
            <w:shd w:val="clear" w:color="auto" w:fill="auto"/>
            <w:vAlign w:val="center"/>
          </w:tcPr>
          <w:p w:rsidR="00677DE6" w:rsidRDefault="00DB5AB5">
            <w:pPr>
              <w:pStyle w:val="Text1"/>
              <w:ind w:left="0"/>
              <w:rPr>
                <w:noProof/>
                <w:sz w:val="20"/>
              </w:rPr>
            </w:pPr>
            <w:r>
              <w:rPr>
                <w:noProof/>
                <w:sz w:val="20"/>
              </w:rPr>
              <w:t>EL, ES, IT</w:t>
            </w:r>
          </w:p>
        </w:tc>
      </w:tr>
      <w:tr w:rsidR="00677DE6">
        <w:tc>
          <w:tcPr>
            <w:tcW w:w="7111" w:type="dxa"/>
            <w:vAlign w:val="center"/>
          </w:tcPr>
          <w:p w:rsidR="00677DE6" w:rsidRDefault="00DB5AB5">
            <w:pPr>
              <w:pStyle w:val="Akapitzlist"/>
              <w:numPr>
                <w:ilvl w:val="0"/>
                <w:numId w:val="2"/>
              </w:numPr>
              <w:rPr>
                <w:noProof/>
                <w:sz w:val="20"/>
              </w:rPr>
            </w:pPr>
            <w:r>
              <w:rPr>
                <w:noProof/>
                <w:sz w:val="20"/>
              </w:rPr>
              <w:t xml:space="preserve">Kontynuować działania w celu usprawnienia procedur oceny oddziaływania na środowisko. </w:t>
            </w:r>
          </w:p>
        </w:tc>
        <w:tc>
          <w:tcPr>
            <w:tcW w:w="2357" w:type="dxa"/>
            <w:shd w:val="clear" w:color="auto" w:fill="auto"/>
            <w:vAlign w:val="center"/>
          </w:tcPr>
          <w:p w:rsidR="00677DE6" w:rsidRDefault="00DB5AB5">
            <w:pPr>
              <w:pStyle w:val="Text1"/>
              <w:ind w:left="0"/>
              <w:rPr>
                <w:noProof/>
                <w:sz w:val="20"/>
              </w:rPr>
            </w:pPr>
            <w:r>
              <w:rPr>
                <w:noProof/>
                <w:sz w:val="20"/>
              </w:rPr>
              <w:t>BE, CZ, HR</w:t>
            </w:r>
          </w:p>
        </w:tc>
      </w:tr>
      <w:tr w:rsidR="00677DE6">
        <w:tc>
          <w:tcPr>
            <w:tcW w:w="9468" w:type="dxa"/>
            <w:gridSpan w:val="2"/>
            <w:shd w:val="clear" w:color="auto" w:fill="C6D9F1" w:themeFill="text2" w:themeFillTint="33"/>
            <w:vAlign w:val="center"/>
          </w:tcPr>
          <w:p w:rsidR="00677DE6" w:rsidRDefault="00DB5AB5">
            <w:pPr>
              <w:pStyle w:val="Text1"/>
              <w:spacing w:after="0"/>
              <w:ind w:left="0"/>
              <w:rPr>
                <w:b/>
                <w:noProof/>
                <w:sz w:val="20"/>
              </w:rPr>
            </w:pPr>
            <w:r>
              <w:rPr>
                <w:b/>
                <w:noProof/>
                <w:sz w:val="20"/>
              </w:rPr>
              <w:t>Umowy międzynarodowe</w:t>
            </w:r>
          </w:p>
        </w:tc>
      </w:tr>
      <w:tr w:rsidR="00677DE6">
        <w:tc>
          <w:tcPr>
            <w:tcW w:w="7111" w:type="dxa"/>
            <w:vAlign w:val="center"/>
          </w:tcPr>
          <w:p w:rsidR="00677DE6" w:rsidRDefault="00DB5AB5">
            <w:pPr>
              <w:pStyle w:val="Text1"/>
              <w:numPr>
                <w:ilvl w:val="0"/>
                <w:numId w:val="2"/>
              </w:numPr>
              <w:rPr>
                <w:noProof/>
                <w:sz w:val="20"/>
              </w:rPr>
            </w:pPr>
            <w:r>
              <w:rPr>
                <w:noProof/>
                <w:sz w:val="20"/>
              </w:rPr>
              <w:t>Przystąpić do stosownych wielostronnych umów środowiskowych poprzez podpisanie i ratyfikowanie pozostałych umów tego rodzaju.</w:t>
            </w:r>
          </w:p>
        </w:tc>
        <w:tc>
          <w:tcPr>
            <w:tcW w:w="2357" w:type="dxa"/>
            <w:vAlign w:val="center"/>
          </w:tcPr>
          <w:p w:rsidR="00677DE6" w:rsidRDefault="00DB5AB5">
            <w:pPr>
              <w:pStyle w:val="Text1"/>
              <w:ind w:left="0"/>
              <w:rPr>
                <w:noProof/>
                <w:sz w:val="20"/>
              </w:rPr>
            </w:pPr>
            <w:r>
              <w:rPr>
                <w:noProof/>
                <w:sz w:val="20"/>
              </w:rPr>
              <w:t>AT, BE, CY, CZ, EL, ES, FR, IE, IT, LT, LV, MT, PL, PT, RO, SI, SK</w:t>
            </w:r>
          </w:p>
        </w:tc>
      </w:tr>
    </w:tbl>
    <w:p w:rsidR="00677DE6" w:rsidRDefault="00677DE6">
      <w:pPr>
        <w:jc w:val="both"/>
        <w:rPr>
          <w:noProof/>
        </w:rPr>
      </w:pPr>
    </w:p>
    <w:sectPr w:rsidR="00677DE6">
      <w:headerReference w:type="even" r:id="rId24"/>
      <w:headerReference w:type="default" r:id="rId25"/>
      <w:footerReference w:type="even" r:id="rId26"/>
      <w:footerReference w:type="default" r:id="rId27"/>
      <w:headerReference w:type="first" r:id="rId28"/>
      <w:footerReference w:type="first" r:id="rId29"/>
      <w:pgSz w:w="11906" w:h="16838"/>
      <w:pgMar w:top="1134" w:right="1417" w:bottom="851"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DE6" w:rsidRDefault="00DB5AB5">
      <w:pPr>
        <w:spacing w:after="0" w:line="240" w:lineRule="auto"/>
      </w:pPr>
      <w:r>
        <w:separator/>
      </w:r>
    </w:p>
  </w:endnote>
  <w:endnote w:type="continuationSeparator" w:id="0">
    <w:p w:rsidR="00677DE6" w:rsidRDefault="00DB5AB5">
      <w:pPr>
        <w:spacing w:after="0" w:line="240" w:lineRule="auto"/>
      </w:pPr>
      <w:r>
        <w:continuationSeparator/>
      </w:r>
    </w:p>
  </w:endnote>
  <w:endnote w:type="continuationNotice" w:id="1">
    <w:p w:rsidR="00677DE6" w:rsidRDefault="00677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B5" w:rsidRPr="00DB5AB5" w:rsidRDefault="00DB5AB5" w:rsidP="00DB5A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B5" w:rsidRPr="00DB5AB5" w:rsidRDefault="00DB5AB5" w:rsidP="00DB5AB5">
    <w:pPr>
      <w:pStyle w:val="FooterCoverPage"/>
      <w:rPr>
        <w:rFonts w:ascii="Arial" w:hAnsi="Arial" w:cs="Arial"/>
        <w:b/>
        <w:sz w:val="48"/>
      </w:rPr>
    </w:pPr>
    <w:r w:rsidRPr="00DB5AB5">
      <w:rPr>
        <w:rFonts w:ascii="Arial" w:hAnsi="Arial" w:cs="Arial"/>
        <w:b/>
        <w:sz w:val="48"/>
      </w:rPr>
      <w:t>PL</w:t>
    </w:r>
    <w:r w:rsidRPr="00DB5AB5">
      <w:rPr>
        <w:rFonts w:ascii="Arial" w:hAnsi="Arial" w:cs="Arial"/>
        <w:b/>
        <w:sz w:val="48"/>
      </w:rPr>
      <w:tab/>
    </w:r>
    <w:r w:rsidRPr="00DB5AB5">
      <w:rPr>
        <w:rFonts w:ascii="Arial" w:hAnsi="Arial" w:cs="Arial"/>
        <w:b/>
        <w:sz w:val="48"/>
      </w:rPr>
      <w:tab/>
    </w:r>
    <w:r w:rsidRPr="00DB5AB5">
      <w:tab/>
    </w:r>
    <w:r w:rsidRPr="00DB5AB5">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B5" w:rsidRPr="00DB5AB5" w:rsidRDefault="00DB5AB5" w:rsidP="00DB5AB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874408"/>
      <w:docPartObj>
        <w:docPartGallery w:val="Page Numbers (Bottom of Page)"/>
        <w:docPartUnique/>
      </w:docPartObj>
    </w:sdtPr>
    <w:sdtEndPr>
      <w:rPr>
        <w:noProof/>
      </w:rPr>
    </w:sdtEndPr>
    <w:sdtContent>
      <w:p w:rsidR="00677DE6" w:rsidRDefault="00DB5AB5">
        <w:pPr>
          <w:pStyle w:val="Stopk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112966"/>
      <w:docPartObj>
        <w:docPartGallery w:val="Page Numbers (Bottom of Page)"/>
        <w:docPartUnique/>
      </w:docPartObj>
    </w:sdtPr>
    <w:sdtEndPr>
      <w:rPr>
        <w:noProof/>
      </w:rPr>
    </w:sdtEndPr>
    <w:sdtContent>
      <w:p w:rsidR="00677DE6" w:rsidRDefault="00DB5AB5">
        <w:pPr>
          <w:pStyle w:val="Stopka"/>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749879"/>
      <w:docPartObj>
        <w:docPartGallery w:val="Page Numbers (Bottom of Page)"/>
        <w:docPartUnique/>
      </w:docPartObj>
    </w:sdtPr>
    <w:sdtEndPr>
      <w:rPr>
        <w:noProof/>
      </w:rPr>
    </w:sdtEndPr>
    <w:sdtContent>
      <w:p w:rsidR="00677DE6" w:rsidRDefault="00DB5AB5">
        <w:pPr>
          <w:pStyle w:val="Stopka"/>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78988"/>
      <w:docPartObj>
        <w:docPartGallery w:val="Page Numbers (Bottom of Page)"/>
        <w:docPartUnique/>
      </w:docPartObj>
    </w:sdtPr>
    <w:sdtEndPr>
      <w:rPr>
        <w:noProof/>
      </w:rPr>
    </w:sdtEndPr>
    <w:sdtContent>
      <w:p w:rsidR="00677DE6" w:rsidRDefault="00DB5AB5">
        <w:pPr>
          <w:pStyle w:val="Stopka"/>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DE6" w:rsidRDefault="00DB5AB5">
      <w:pPr>
        <w:spacing w:after="0" w:line="240" w:lineRule="auto"/>
      </w:pPr>
      <w:r>
        <w:separator/>
      </w:r>
    </w:p>
  </w:footnote>
  <w:footnote w:type="continuationSeparator" w:id="0">
    <w:p w:rsidR="00677DE6" w:rsidRDefault="00DB5AB5">
      <w:pPr>
        <w:spacing w:after="0" w:line="240" w:lineRule="auto"/>
      </w:pPr>
      <w:r>
        <w:continuationSeparator/>
      </w:r>
    </w:p>
  </w:footnote>
  <w:footnote w:type="continuationNotice" w:id="1">
    <w:p w:rsidR="00677DE6" w:rsidRDefault="00677DE6">
      <w:pPr>
        <w:spacing w:after="0" w:line="240" w:lineRule="auto"/>
      </w:pPr>
    </w:p>
  </w:footnote>
  <w:footnote w:id="2">
    <w:p w:rsidR="00677DE6" w:rsidRDefault="00DB5AB5">
      <w:pPr>
        <w:pStyle w:val="Tekstprzypisudolnego"/>
        <w:tabs>
          <w:tab w:val="left" w:pos="2552"/>
        </w:tabs>
        <w:jc w:val="left"/>
        <w:rPr>
          <w:sz w:val="16"/>
          <w:szCs w:val="16"/>
          <w:lang w:eastAsia="en-GB"/>
        </w:rPr>
      </w:pPr>
      <w:r>
        <w:footnoteRef/>
      </w:r>
      <w:r>
        <w:t xml:space="preserve"> </w:t>
      </w:r>
      <w:r>
        <w:tab/>
      </w:r>
      <w:r>
        <w:rPr>
          <w:sz w:val="16"/>
        </w:rPr>
        <w:t xml:space="preserve">W każdym sprawozdaniu krajowym działania priorytetowe przedstawiono zgodnie z informacjami, którymi dysponuje Komisja Europejska, aby zapewnić równie traktowanie wszystkich państw członkowskich. Aby zapewnić porównywalność, w niniejszym załączniku przedstawiono wszystkie działania priorytetowe w podziale na grupy państw członkowskich, które otrzymały zbliżone zalecenia. W związku z tym sformułowania zawarte w załączniku mogą być mniej szczegółowe niż sprawozdania krajowe. </w:t>
      </w:r>
    </w:p>
  </w:footnote>
  <w:footnote w:id="3">
    <w:p w:rsidR="00677DE6" w:rsidRDefault="00DB5AB5">
      <w:pPr>
        <w:pStyle w:val="Tekstprzypisudolnego"/>
        <w:jc w:val="left"/>
      </w:pPr>
      <w:r>
        <w:rPr>
          <w:sz w:val="16"/>
        </w:rPr>
        <w:footnoteRef/>
      </w:r>
      <w:r>
        <w:rPr>
          <w:sz w:val="16"/>
        </w:rPr>
        <w:t xml:space="preserve"> </w:t>
      </w:r>
      <w:r>
        <w:tab/>
      </w:r>
      <w:r>
        <w:rPr>
          <w:sz w:val="16"/>
        </w:rPr>
        <w:t xml:space="preserve">Kilka państw członkowskich z opóźnieniem zgłosiło środki na rzecz zapewnienia zgodności z przepisami dyrektywy ramowej w sprawie strategii morskiej. W przypadku tych państw zastosowanie mają tylko pierwsze działania priorytetowe, ponieważ brakuje wystarczających danych, aby ocenić postępy od 2017 r. i określić nowe wyzwania.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B5" w:rsidRPr="00DB5AB5" w:rsidRDefault="00DB5AB5" w:rsidP="00DB5A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B5" w:rsidRPr="00DB5AB5" w:rsidRDefault="00DB5AB5" w:rsidP="00DB5AB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B5" w:rsidRPr="00DB5AB5" w:rsidRDefault="00DB5AB5" w:rsidP="00DB5AB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E6" w:rsidRDefault="00677D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in;height:810.15pt;visibility:visible;mso-wrap-style:square" o:bullet="t">
        <v:imagedata r:id="rId1" o:title="" croptop="42983f" cropbottom="21645f" cropleft="54648f" cropright="10334f"/>
      </v:shape>
    </w:pict>
  </w:numPicBullet>
  <w:abstractNum w:abstractNumId="0" w15:restartNumberingAfterBreak="0">
    <w:nsid w:val="02E6737D"/>
    <w:multiLevelType w:val="hybridMultilevel"/>
    <w:tmpl w:val="349E1EDA"/>
    <w:lvl w:ilvl="0" w:tplc="E8BADAE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2A5D"/>
    <w:multiLevelType w:val="hybridMultilevel"/>
    <w:tmpl w:val="EA9AB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893E2D"/>
    <w:multiLevelType w:val="hybridMultilevel"/>
    <w:tmpl w:val="2D72C25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3" w15:restartNumberingAfterBreak="0">
    <w:nsid w:val="04E20BC9"/>
    <w:multiLevelType w:val="hybridMultilevel"/>
    <w:tmpl w:val="19345C86"/>
    <w:lvl w:ilvl="0" w:tplc="0EBCA6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909C5"/>
    <w:multiLevelType w:val="hybridMultilevel"/>
    <w:tmpl w:val="956A9F1E"/>
    <w:lvl w:ilvl="0" w:tplc="D8BE8D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0C77D0"/>
    <w:multiLevelType w:val="hybridMultilevel"/>
    <w:tmpl w:val="F4A88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261607"/>
    <w:multiLevelType w:val="hybridMultilevel"/>
    <w:tmpl w:val="34EA3B38"/>
    <w:lvl w:ilvl="0" w:tplc="52A4E736">
      <w:start w:val="1"/>
      <w:numFmt w:val="bullet"/>
      <w:pStyle w:val="SuggAction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0660"/>
    <w:multiLevelType w:val="hybridMultilevel"/>
    <w:tmpl w:val="5E462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F92763"/>
    <w:multiLevelType w:val="hybridMultilevel"/>
    <w:tmpl w:val="8752D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84FFD"/>
    <w:multiLevelType w:val="hybridMultilevel"/>
    <w:tmpl w:val="D29A1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734306"/>
    <w:multiLevelType w:val="multilevel"/>
    <w:tmpl w:val="C53E7C98"/>
    <w:lvl w:ilvl="0">
      <w:start w:val="1"/>
      <w:numFmt w:val="decimal"/>
      <w:pStyle w:val="Nagwek1"/>
      <w:lvlText w:val="%1."/>
      <w:lvlJc w:val="left"/>
      <w:pPr>
        <w:tabs>
          <w:tab w:val="num" w:pos="480"/>
        </w:tabs>
        <w:ind w:left="480" w:hanging="480"/>
      </w:pPr>
      <w:rPr>
        <w:b/>
      </w:r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4A3347"/>
    <w:multiLevelType w:val="hybridMultilevel"/>
    <w:tmpl w:val="AAEEFE7E"/>
    <w:lvl w:ilvl="0" w:tplc="AEBE3B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3047D"/>
    <w:multiLevelType w:val="hybridMultilevel"/>
    <w:tmpl w:val="86D03B10"/>
    <w:lvl w:ilvl="0" w:tplc="2ABA73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B0E92"/>
    <w:multiLevelType w:val="hybridMultilevel"/>
    <w:tmpl w:val="6E18F87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88E4C1A"/>
    <w:multiLevelType w:val="hybridMultilevel"/>
    <w:tmpl w:val="7898E29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15:restartNumberingAfterBreak="0">
    <w:nsid w:val="43461292"/>
    <w:multiLevelType w:val="hybridMultilevel"/>
    <w:tmpl w:val="AFE0C6AA"/>
    <w:lvl w:ilvl="0" w:tplc="EAD0B41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AE14F91"/>
    <w:multiLevelType w:val="hybridMultilevel"/>
    <w:tmpl w:val="5EAEC9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AF43FC2"/>
    <w:multiLevelType w:val="hybridMultilevel"/>
    <w:tmpl w:val="5F8CE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4C31F5"/>
    <w:multiLevelType w:val="hybridMultilevel"/>
    <w:tmpl w:val="2A046A92"/>
    <w:lvl w:ilvl="0" w:tplc="DFA6A5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B7D40"/>
    <w:multiLevelType w:val="hybridMultilevel"/>
    <w:tmpl w:val="E35E4F5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3A486770">
      <w:numFmt w:val="bullet"/>
      <w:lvlText w:val="•"/>
      <w:lvlJc w:val="left"/>
      <w:pPr>
        <w:ind w:left="1800" w:hanging="360"/>
      </w:pPr>
      <w:rPr>
        <w:rFonts w:ascii="Times New Roman" w:eastAsiaTheme="minorHAnsi"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A1692A"/>
    <w:multiLevelType w:val="hybridMultilevel"/>
    <w:tmpl w:val="E522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5D7940"/>
    <w:multiLevelType w:val="hybridMultilevel"/>
    <w:tmpl w:val="A28C8044"/>
    <w:lvl w:ilvl="0" w:tplc="CF3A71A8">
      <w:start w:val="1"/>
      <w:numFmt w:val="bullet"/>
      <w:pStyle w:val="Bezodstpw"/>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C2864"/>
    <w:multiLevelType w:val="hybridMultilevel"/>
    <w:tmpl w:val="7D5CAB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342455"/>
    <w:multiLevelType w:val="hybridMultilevel"/>
    <w:tmpl w:val="289E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318C0"/>
    <w:multiLevelType w:val="hybridMultilevel"/>
    <w:tmpl w:val="526C4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246BB3"/>
    <w:multiLevelType w:val="hybridMultilevel"/>
    <w:tmpl w:val="F6523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5"/>
  </w:num>
  <w:num w:numId="4">
    <w:abstractNumId w:val="10"/>
  </w:num>
  <w:num w:numId="5">
    <w:abstractNumId w:val="1"/>
  </w:num>
  <w:num w:numId="6">
    <w:abstractNumId w:val="21"/>
  </w:num>
  <w:num w:numId="7">
    <w:abstractNumId w:val="6"/>
  </w:num>
  <w:num w:numId="8">
    <w:abstractNumId w:val="6"/>
  </w:num>
  <w:num w:numId="9">
    <w:abstractNumId w:val="16"/>
  </w:num>
  <w:num w:numId="10">
    <w:abstractNumId w:val="6"/>
  </w:num>
  <w:num w:numId="11">
    <w:abstractNumId w:val="22"/>
  </w:num>
  <w:num w:numId="12">
    <w:abstractNumId w:val="3"/>
  </w:num>
  <w:num w:numId="13">
    <w:abstractNumId w:val="6"/>
  </w:num>
  <w:num w:numId="14">
    <w:abstractNumId w:val="13"/>
  </w:num>
  <w:num w:numId="15">
    <w:abstractNumId w:val="17"/>
  </w:num>
  <w:num w:numId="16">
    <w:abstractNumId w:val="9"/>
  </w:num>
  <w:num w:numId="17">
    <w:abstractNumId w:val="18"/>
  </w:num>
  <w:num w:numId="18">
    <w:abstractNumId w:val="7"/>
  </w:num>
  <w:num w:numId="19">
    <w:abstractNumId w:val="19"/>
  </w:num>
  <w:num w:numId="20">
    <w:abstractNumId w:val="4"/>
  </w:num>
  <w:num w:numId="21">
    <w:abstractNumId w:val="0"/>
  </w:num>
  <w:num w:numId="22">
    <w:abstractNumId w:val="8"/>
  </w:num>
  <w:num w:numId="23">
    <w:abstractNumId w:val="11"/>
  </w:num>
  <w:num w:numId="24">
    <w:abstractNumId w:val="15"/>
  </w:num>
  <w:num w:numId="25">
    <w:abstractNumId w:val="14"/>
  </w:num>
  <w:num w:numId="26">
    <w:abstractNumId w:val="12"/>
  </w:num>
  <w:num w:numId="27">
    <w:abstractNumId w:val="24"/>
  </w:num>
  <w:num w:numId="28">
    <w:abstractNumId w:val="2"/>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nb-NO" w:vendorID="64" w:dllVersion="6" w:nlCheck="1" w:checkStyle="0"/>
  <w:activeWritingStyle w:appName="MSWord" w:lang="it-IT" w:vendorID="64" w:dllVersion="6" w:nlCheck="1" w:checkStyle="0"/>
  <w:activeWritingStyle w:appName="MSWord" w:lang="en-IE" w:vendorID="64" w:dllVersion="6" w:nlCheck="1" w:checkStyle="1"/>
  <w:activeWritingStyle w:appName="MSWord" w:lang="da-DK" w:vendorID="64" w:dllVersion="6" w:nlCheck="1" w:checkStyle="0"/>
  <w:activeWritingStyle w:appName="MSWord" w:lang="en-US" w:vendorID="64" w:dllVersion="6" w:nlCheck="1" w:checkStyle="1"/>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do"/>
    <w:docVar w:name="LW_ANNEX_NBR_FIRST" w:val="1"/>
    <w:docVar w:name="LW_ANNEX_NBR_LAST" w:val="1"/>
    <w:docVar w:name="LW_ANNEX_UNIQUE" w:val="1"/>
    <w:docVar w:name="LW_CORRIGENDUM" w:val="&lt;UNUSED&gt;"/>
    <w:docVar w:name="LW_COVERPAGE_EXISTS" w:val="True"/>
    <w:docVar w:name="LW_COVERPAGE_GUID" w:val="1D6E4285-3849-4B71-B287-49C6456B01FD"/>
    <w:docVar w:name="LW_COVERPAGE_TYPE" w:val="1"/>
    <w:docVar w:name="LW_CROSSREFERENCE" w:val="{SWD(2019) 111 final} - {SWD(2019) 112 final} - {SWD(2019) 113 final} - {SWD(2019) 114 final} - {SWD(2019) 115 final} - {SWD(2019) 116 final} - {SWD(2019) 117 final} - {SWD(2019) 118 final} - {SWD(2019) 119 final} - {SWD(2019) 120 final} - {SWD(2019) 121 final} - {SWD(2019) 122 final} - {SWD(2019) 123 final} - {SWD(2019) 124 final} - {SWD(2019) 125 final} - {SWD(2019) 126 final} - {SWD(2019) 127 final} - {SWD(2019) 128 final} - {SWD(2019) 129 final} - {SWD(2019) 130 final} - {SWD(2019) 131 final} - {SWD(2019) 132 final} - {SWD(2019) 133 final} - {SWD(2019) 134 final} - {SWD(2019) 135 final} - {SWD(2019) 136 final} - {SWD(2019) 137 final} - {SWD(2019) 138 final} - {SWD(2019) 139 final}"/>
    <w:docVar w:name="LW_DocType" w:val="NORMAL"/>
    <w:docVar w:name="LW_EMISSION" w:val="4.4.2019"/>
    <w:docVar w:name="LW_EMISSION_ISODATE" w:val="2019-04-04"/>
    <w:docVar w:name="LW_EMISSION_LOCATION" w:val="BRX"/>
    <w:docVar w:name="LW_EMISSION_PREFIX" w:val="Bruksela, dnia "/>
    <w:docVar w:name="LW_EMISSION_SUFFIX" w:val=" r."/>
    <w:docVar w:name="LW_ID_DOCTYPE_NONLW" w:val="CP-039"/>
    <w:docVar w:name="LW_LANGUE" w:val="PL"/>
    <w:docVar w:name="LW_LEVEL_OF_SENSITIVITY" w:val="Standard treatment"/>
    <w:docVar w:name="LW_NOM.INST" w:val="KOMISJA EUROPEJSKA"/>
    <w:docVar w:name="LW_NOM.INST_JOINTDOC" w:val="&lt;EMPTY&gt;"/>
    <w:docVar w:name="LW_OBJETACTEPRINCIPAL.CP" w:val="Przegl\u261?d wdra\u380?ania polityki ochrony \u347?rodowiska 2019: Europa, która chroni swoich obywateli i podnosi jako\u347?\u263? ich \u380?ycia_x000b_"/>
    <w:docVar w:name="LW_PART_NBR" w:val="1"/>
    <w:docVar w:name="LW_PART_NBR_TOTAL" w:val="1"/>
    <w:docVar w:name="LW_REF.INST.NEW" w:val="COM"/>
    <w:docVar w:name="LW_REF.INST.NEW_ADOPTED" w:val="final"/>
    <w:docVar w:name="LW_REF.INST.NEW_TEXT" w:val="(2019)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ZA\u321?\u260?CZNIK_x000b_"/>
    <w:docVar w:name="LW_TYPEACTEPRINCIPAL.CP" w:val="KOMUNIKATU KOMISJI DO PARLAMENTU EUROPEJSKIEGO, RADY,  EUROPEJSKIEGO KOMITETU EKONOMICZNO-SPO\u321?ECZNEGO I KOMITETU REGIONÓW_x000b_"/>
  </w:docVars>
  <w:rsids>
    <w:rsidRoot w:val="00677DE6"/>
    <w:rsid w:val="00677DE6"/>
    <w:rsid w:val="00DB5AB5"/>
    <w:rsid w:val="00F869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505E51-811F-44F1-B678-D45DF916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pPr>
      <w:keepNext/>
      <w:numPr>
        <w:numId w:val="1"/>
      </w:numPr>
      <w:suppressAutoHyphens/>
      <w:autoSpaceDN w:val="0"/>
      <w:spacing w:before="240" w:line="240" w:lineRule="auto"/>
      <w:jc w:val="both"/>
      <w:textAlignment w:val="baseline"/>
      <w:outlineLvl w:val="0"/>
    </w:pPr>
    <w:rPr>
      <w:rFonts w:ascii="Times New Roman" w:eastAsia="Calibri" w:hAnsi="Times New Roman" w:cs="Times New Roman"/>
      <w:b/>
      <w:bCs/>
      <w:smallCaps/>
      <w:sz w:val="24"/>
      <w:szCs w:val="24"/>
    </w:rPr>
  </w:style>
  <w:style w:type="paragraph" w:styleId="Nagwek2">
    <w:name w:val="heading 2"/>
    <w:basedOn w:val="Normalny"/>
    <w:next w:val="Normalny"/>
    <w:link w:val="Nagwek2Znak"/>
    <w:qFormat/>
    <w:pPr>
      <w:keepNext/>
      <w:numPr>
        <w:ilvl w:val="1"/>
        <w:numId w:val="1"/>
      </w:numPr>
      <w:suppressAutoHyphens/>
      <w:autoSpaceDN w:val="0"/>
      <w:spacing w:after="120" w:line="240" w:lineRule="auto"/>
      <w:jc w:val="both"/>
      <w:textAlignment w:val="baseline"/>
      <w:outlineLvl w:val="1"/>
    </w:pPr>
    <w:rPr>
      <w:rFonts w:ascii="Times New Roman" w:eastAsia="Calibri" w:hAnsi="Times New Roman" w:cs="Times New Roman"/>
      <w:b/>
      <w:sz w:val="24"/>
    </w:rPr>
  </w:style>
  <w:style w:type="paragraph" w:styleId="Nagwek3">
    <w:name w:val="heading 3"/>
    <w:basedOn w:val="Normalny"/>
    <w:next w:val="Normalny"/>
    <w:link w:val="Nagwek3Znak"/>
    <w:qFormat/>
    <w:pPr>
      <w:keepNext/>
      <w:numPr>
        <w:ilvl w:val="2"/>
        <w:numId w:val="1"/>
      </w:numPr>
      <w:suppressAutoHyphens/>
      <w:autoSpaceDN w:val="0"/>
      <w:spacing w:after="120" w:line="240" w:lineRule="auto"/>
      <w:jc w:val="both"/>
      <w:textAlignment w:val="baseline"/>
      <w:outlineLvl w:val="2"/>
    </w:pPr>
    <w:rPr>
      <w:rFonts w:ascii="Times New Roman" w:eastAsia="Calibri" w:hAnsi="Times New Roman" w:cs="Times New Roman"/>
      <w:b/>
      <w:sz w:val="24"/>
    </w:rPr>
  </w:style>
  <w:style w:type="paragraph" w:styleId="Nagwek4">
    <w:name w:val="heading 4"/>
    <w:basedOn w:val="Normalny"/>
    <w:next w:val="Normalny"/>
    <w:link w:val="Nagwek4Znak"/>
    <w:qFormat/>
    <w:pPr>
      <w:keepNext/>
      <w:numPr>
        <w:ilvl w:val="3"/>
        <w:numId w:val="1"/>
      </w:numPr>
      <w:suppressAutoHyphens/>
      <w:autoSpaceDN w:val="0"/>
      <w:spacing w:after="120" w:line="240" w:lineRule="auto"/>
      <w:jc w:val="both"/>
      <w:textAlignment w:val="baseline"/>
      <w:outlineLvl w:val="3"/>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Pr>
      <w:color w:val="0000FF"/>
      <w:shd w:val="clear" w:color="auto" w:fill="auto"/>
    </w:rPr>
  </w:style>
  <w:style w:type="paragraph" w:customStyle="1" w:styleId="Pagedecouverture">
    <w:name w:val="Page de couverture"/>
    <w:basedOn w:val="Normalny"/>
    <w:next w:val="Normalny"/>
    <w:pPr>
      <w:spacing w:after="0" w:line="240" w:lineRule="auto"/>
      <w:jc w:val="both"/>
    </w:pPr>
    <w:rPr>
      <w:rFonts w:ascii="Times New Roman" w:hAnsi="Times New Roman" w:cs="Times New Roman"/>
      <w:sz w:val="24"/>
    </w:rPr>
  </w:style>
  <w:style w:type="paragraph" w:styleId="Nagwek">
    <w:name w:val="header"/>
    <w:basedOn w:val="Normalny"/>
    <w:link w:val="NagwekZnak"/>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NagwekZnak">
    <w:name w:val="Nagłówek Znak"/>
    <w:basedOn w:val="Domylnaczcionkaakapitu"/>
    <w:link w:val="Nagwek"/>
    <w:uiPriority w:val="99"/>
    <w:rPr>
      <w:rFonts w:ascii="Times New Roman" w:hAnsi="Times New Roman" w:cs="Times New Roman"/>
      <w:sz w:val="24"/>
    </w:rPr>
  </w:style>
  <w:style w:type="paragraph" w:styleId="Stopka">
    <w:name w:val="footer"/>
    <w:basedOn w:val="Normalny"/>
    <w:link w:val="StopkaZnak"/>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StopkaZnak">
    <w:name w:val="Stopka Znak"/>
    <w:basedOn w:val="Domylnaczcionkaakapitu"/>
    <w:link w:val="Stopka"/>
    <w:uiPriority w:val="99"/>
    <w:rPr>
      <w:rFonts w:ascii="Times New Roman" w:hAnsi="Times New Roman" w:cs="Times New Roman"/>
      <w:sz w:val="24"/>
    </w:rPr>
  </w:style>
  <w:style w:type="paragraph" w:customStyle="1" w:styleId="FooterCoverPage">
    <w:name w:val="Footer Cover Page"/>
    <w:basedOn w:val="Normalny"/>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Pr>
      <w:rFonts w:ascii="Times New Roman" w:hAnsi="Times New Roman" w:cs="Times New Roman"/>
      <w:sz w:val="24"/>
    </w:rPr>
  </w:style>
  <w:style w:type="paragraph" w:customStyle="1" w:styleId="HeaderCoverPage">
    <w:name w:val="Header Cover Page"/>
    <w:basedOn w:val="Normalny"/>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Pr>
      <w:rFonts w:ascii="Times New Roman" w:hAnsi="Times New Roman" w:cs="Times New Roman"/>
      <w:sz w:val="24"/>
    </w:rPr>
  </w:style>
  <w:style w:type="character" w:customStyle="1" w:styleId="Nagwek1Znak">
    <w:name w:val="Nagłówek 1 Znak"/>
    <w:basedOn w:val="Domylnaczcionkaakapitu"/>
    <w:link w:val="Nagwek1"/>
    <w:rPr>
      <w:rFonts w:ascii="Times New Roman" w:eastAsia="Calibri" w:hAnsi="Times New Roman" w:cs="Times New Roman"/>
      <w:b/>
      <w:bCs/>
      <w:smallCaps/>
      <w:sz w:val="24"/>
      <w:szCs w:val="24"/>
    </w:rPr>
  </w:style>
  <w:style w:type="character" w:customStyle="1" w:styleId="Nagwek2Znak">
    <w:name w:val="Nagłówek 2 Znak"/>
    <w:basedOn w:val="Domylnaczcionkaakapitu"/>
    <w:link w:val="Nagwek2"/>
    <w:rPr>
      <w:rFonts w:ascii="Times New Roman" w:eastAsia="Calibri" w:hAnsi="Times New Roman" w:cs="Times New Roman"/>
      <w:b/>
      <w:sz w:val="24"/>
    </w:rPr>
  </w:style>
  <w:style w:type="character" w:customStyle="1" w:styleId="Nagwek3Znak">
    <w:name w:val="Nagłówek 3 Znak"/>
    <w:basedOn w:val="Domylnaczcionkaakapitu"/>
    <w:link w:val="Nagwek3"/>
    <w:rPr>
      <w:rFonts w:ascii="Times New Roman" w:eastAsia="Calibri" w:hAnsi="Times New Roman" w:cs="Times New Roman"/>
      <w:b/>
      <w:sz w:val="24"/>
    </w:rPr>
  </w:style>
  <w:style w:type="character" w:customStyle="1" w:styleId="Nagwek4Znak">
    <w:name w:val="Nagłówek 4 Znak"/>
    <w:basedOn w:val="Domylnaczcionkaakapitu"/>
    <w:link w:val="Nagwek4"/>
    <w:rPr>
      <w:rFonts w:ascii="Times New Roman" w:eastAsia="Calibri" w:hAnsi="Times New Roman" w:cs="Times New Roman"/>
      <w:sz w:val="24"/>
    </w:rPr>
  </w:style>
  <w:style w:type="paragraph" w:customStyle="1" w:styleId="Text1">
    <w:name w:val="Text 1"/>
    <w:basedOn w:val="Normalny"/>
    <w:pPr>
      <w:suppressAutoHyphens/>
      <w:autoSpaceDN w:val="0"/>
      <w:spacing w:after="120" w:line="240" w:lineRule="auto"/>
      <w:ind w:left="482"/>
      <w:jc w:val="both"/>
      <w:textAlignment w:val="baseline"/>
    </w:pPr>
    <w:rPr>
      <w:rFonts w:ascii="Times New Roman" w:eastAsia="Calibri" w:hAnsi="Times New Roman" w:cs="Times New Roman"/>
      <w:sz w:val="24"/>
    </w:rPr>
  </w:style>
  <w:style w:type="paragraph" w:styleId="Tekstprzypisudolnego">
    <w:name w:val="footnote text"/>
    <w:aliases w:val="Footnote Text Char Char,Footnote Text Char Char Char Char,Footnote Text1 Char,Footnote Text1,Footnote Text Char Char Char,Footnote Text1 Char Char Char,Footnote Text1 Char Char Char Char Char Char Char Char,Char Char Char"/>
    <w:basedOn w:val="Normalny"/>
    <w:link w:val="TekstprzypisudolnegoZnak"/>
    <w:uiPriority w:val="99"/>
    <w:qFormat/>
    <w:pPr>
      <w:suppressAutoHyphens/>
      <w:autoSpaceDN w:val="0"/>
      <w:spacing w:after="60" w:line="240" w:lineRule="auto"/>
      <w:ind w:left="357" w:hanging="357"/>
      <w:jc w:val="both"/>
      <w:textAlignment w:val="baseline"/>
    </w:pPr>
    <w:rPr>
      <w:rFonts w:ascii="Times New Roman" w:eastAsia="Calibri" w:hAnsi="Times New Roman" w:cs="Times New Roman"/>
      <w:sz w:val="18"/>
    </w:rPr>
  </w:style>
  <w:style w:type="character" w:customStyle="1" w:styleId="TekstprzypisudolnegoZnak">
    <w:name w:val="Tekst przypisu dolnego Znak"/>
    <w:aliases w:val="Footnote Text Char Char Znak,Footnote Text Char Char Char Char Znak,Footnote Text1 Char Znak,Footnote Text1 Znak,Footnote Text Char Char Char Znak,Footnote Text1 Char Char Char Znak,Char Char Char Znak"/>
    <w:basedOn w:val="Domylnaczcionkaakapitu"/>
    <w:link w:val="Tekstprzypisudolnego"/>
    <w:uiPriority w:val="99"/>
    <w:rPr>
      <w:rFonts w:ascii="Times New Roman" w:eastAsia="Calibri" w:hAnsi="Times New Roman" w:cs="Times New Roman"/>
      <w:sz w:val="18"/>
    </w:rPr>
  </w:style>
  <w:style w:type="paragraph" w:styleId="Akapitzlist">
    <w:name w:val="List Paragraph"/>
    <w:aliases w:val="Heading 2_sj,List Paragraph1,Bullet List Paragraph"/>
    <w:basedOn w:val="Normalny"/>
    <w:link w:val="AkapitzlistZnak"/>
    <w:uiPriority w:val="34"/>
    <w:qFormat/>
    <w:pPr>
      <w:suppressAutoHyphens/>
      <w:autoSpaceDN w:val="0"/>
      <w:spacing w:after="120" w:line="240" w:lineRule="auto"/>
      <w:ind w:left="720"/>
      <w:jc w:val="both"/>
      <w:textAlignment w:val="baseline"/>
    </w:pPr>
    <w:rPr>
      <w:rFonts w:ascii="Times New Roman" w:eastAsia="Calibri" w:hAnsi="Times New Roman" w:cs="Times New Roman"/>
      <w:sz w:val="24"/>
    </w:rPr>
  </w:style>
  <w:style w:type="table" w:styleId="Tabela-Siatka">
    <w:name w:val="Table Grid"/>
    <w:basedOn w:val="Standardowy"/>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Poprawka">
    <w:name w:val="Revision"/>
    <w:hidden/>
    <w:uiPriority w:val="99"/>
    <w:semiHidden/>
    <w:pPr>
      <w:spacing w:after="0" w:line="240" w:lineRule="auto"/>
    </w:pPr>
  </w:style>
  <w:style w:type="table" w:customStyle="1" w:styleId="TableGrid1">
    <w:name w:val="Table Grid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A"/>
    <w:uiPriority w:val="1"/>
    <w:qFormat/>
    <w:pPr>
      <w:numPr>
        <w:numId w:val="6"/>
      </w:numPr>
      <w:spacing w:after="0" w:line="240" w:lineRule="auto"/>
      <w:ind w:left="170" w:hanging="170"/>
      <w:jc w:val="both"/>
    </w:pPr>
    <w:rPr>
      <w:rFonts w:ascii="Calibri" w:eastAsia="Calibri" w:hAnsi="Calibri" w:cs="Times New Roman"/>
      <w:sz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ggActions">
    <w:name w:val="SuggActions"/>
    <w:basedOn w:val="Akapitzlist"/>
    <w:link w:val="SuggActionsChar"/>
    <w:autoRedefine/>
    <w:qFormat/>
    <w:pPr>
      <w:widowControl w:val="0"/>
      <w:numPr>
        <w:numId w:val="7"/>
      </w:numPr>
      <w:suppressAutoHyphens w:val="0"/>
      <w:autoSpaceDN/>
      <w:spacing w:after="0"/>
      <w:textAlignment w:val="auto"/>
    </w:pPr>
    <w:rPr>
      <w:rFonts w:asciiTheme="minorHAnsi" w:hAnsiTheme="minorHAnsi" w:cstheme="minorBidi"/>
      <w:noProof/>
      <w:sz w:val="20"/>
      <w:szCs w:val="20"/>
    </w:rPr>
  </w:style>
  <w:style w:type="character" w:customStyle="1" w:styleId="SuggActionsChar">
    <w:name w:val="SuggActions Char"/>
    <w:basedOn w:val="Domylnaczcionkaakapitu"/>
    <w:link w:val="SuggActions"/>
    <w:rPr>
      <w:rFonts w:eastAsia="Calibri"/>
      <w:noProof/>
      <w:sz w:val="20"/>
      <w:szCs w:val="20"/>
      <w:lang w:eastAsia="pl-PL"/>
    </w:rPr>
  </w:style>
  <w:style w:type="character" w:customStyle="1" w:styleId="AkapitzlistZnak">
    <w:name w:val="Akapit z listą Znak"/>
    <w:aliases w:val="Heading 2_sj Znak,List Paragraph1 Znak,Bullet List Paragraph Znak"/>
    <w:link w:val="Akapitzlist"/>
    <w:uiPriority w:val="34"/>
    <w:locked/>
    <w:rPr>
      <w:rFonts w:ascii="Times New Roman" w:eastAsia="Calibri" w:hAnsi="Times New Roman" w:cs="Times New Roman"/>
      <w:sz w:val="24"/>
    </w:rPr>
  </w:style>
  <w:style w:type="paragraph" w:customStyle="1" w:styleId="Declassification">
    <w:name w:val="Declassification"/>
    <w:basedOn w:val="Normalny"/>
    <w:next w:val="Normalny"/>
    <w:pPr>
      <w:spacing w:after="0" w:line="240" w:lineRule="auto"/>
      <w:jc w:val="both"/>
    </w:pPr>
    <w:rPr>
      <w:rFonts w:ascii="Times New Roman" w:hAnsi="Times New Roman" w:cs="Times New Roman"/>
      <w:sz w:val="24"/>
    </w:rPr>
  </w:style>
  <w:style w:type="paragraph" w:customStyle="1" w:styleId="HeaderLandscape">
    <w:name w:val="HeaderLandscape"/>
    <w:basedOn w:val="Normalny"/>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ny"/>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06784">
      <w:bodyDiv w:val="1"/>
      <w:marLeft w:val="0"/>
      <w:marRight w:val="0"/>
      <w:marTop w:val="0"/>
      <w:marBottom w:val="0"/>
      <w:divBdr>
        <w:top w:val="none" w:sz="0" w:space="0" w:color="auto"/>
        <w:left w:val="none" w:sz="0" w:space="0" w:color="auto"/>
        <w:bottom w:val="none" w:sz="0" w:space="0" w:color="auto"/>
        <w:right w:val="none" w:sz="0" w:space="0" w:color="auto"/>
      </w:divBdr>
    </w:div>
    <w:div w:id="940458629">
      <w:bodyDiv w:val="1"/>
      <w:marLeft w:val="0"/>
      <w:marRight w:val="0"/>
      <w:marTop w:val="0"/>
      <w:marBottom w:val="0"/>
      <w:divBdr>
        <w:top w:val="none" w:sz="0" w:space="0" w:color="auto"/>
        <w:left w:val="none" w:sz="0" w:space="0" w:color="auto"/>
        <w:bottom w:val="none" w:sz="0" w:space="0" w:color="auto"/>
        <w:right w:val="none" w:sz="0" w:space="0" w:color="auto"/>
      </w:divBdr>
    </w:div>
    <w:div w:id="1553341951">
      <w:bodyDiv w:val="1"/>
      <w:marLeft w:val="0"/>
      <w:marRight w:val="0"/>
      <w:marTop w:val="0"/>
      <w:marBottom w:val="0"/>
      <w:divBdr>
        <w:top w:val="none" w:sz="0" w:space="0" w:color="auto"/>
        <w:left w:val="none" w:sz="0" w:space="0" w:color="auto"/>
        <w:bottom w:val="none" w:sz="0" w:space="0" w:color="auto"/>
        <w:right w:val="none" w:sz="0" w:space="0" w:color="auto"/>
      </w:divBdr>
    </w:div>
    <w:div w:id="1795060304">
      <w:bodyDiv w:val="1"/>
      <w:marLeft w:val="0"/>
      <w:marRight w:val="0"/>
      <w:marTop w:val="0"/>
      <w:marBottom w:val="0"/>
      <w:divBdr>
        <w:top w:val="none" w:sz="0" w:space="0" w:color="auto"/>
        <w:left w:val="none" w:sz="0" w:space="0" w:color="auto"/>
        <w:bottom w:val="none" w:sz="0" w:space="0" w:color="auto"/>
        <w:right w:val="none" w:sz="0" w:space="0" w:color="auto"/>
      </w:divBdr>
    </w:div>
    <w:div w:id="1984307438">
      <w:bodyDiv w:val="1"/>
      <w:marLeft w:val="0"/>
      <w:marRight w:val="0"/>
      <w:marTop w:val="0"/>
      <w:marBottom w:val="0"/>
      <w:divBdr>
        <w:top w:val="none" w:sz="0" w:space="0" w:color="auto"/>
        <w:left w:val="none" w:sz="0" w:space="0" w:color="auto"/>
        <w:bottom w:val="none" w:sz="0" w:space="0" w:color="auto"/>
        <w:right w:val="none" w:sz="0" w:space="0" w:color="auto"/>
      </w:divBdr>
    </w:div>
    <w:div w:id="2103793265">
      <w:bodyDiv w:val="1"/>
      <w:marLeft w:val="0"/>
      <w:marRight w:val="0"/>
      <w:marTop w:val="0"/>
      <w:marBottom w:val="0"/>
      <w:divBdr>
        <w:top w:val="none" w:sz="0" w:space="0" w:color="auto"/>
        <w:left w:val="none" w:sz="0" w:space="0" w:color="auto"/>
        <w:bottom w:val="none" w:sz="0" w:space="0" w:color="auto"/>
        <w:right w:val="none" w:sz="0" w:space="0" w:color="auto"/>
      </w:divBdr>
      <w:divsChild>
        <w:div w:id="1170949558">
          <w:marLeft w:val="0"/>
          <w:marRight w:val="0"/>
          <w:marTop w:val="0"/>
          <w:marBottom w:val="0"/>
          <w:divBdr>
            <w:top w:val="none" w:sz="0" w:space="0" w:color="auto"/>
            <w:left w:val="none" w:sz="0" w:space="0" w:color="auto"/>
            <w:bottom w:val="none" w:sz="0" w:space="0" w:color="auto"/>
            <w:right w:val="none" w:sz="0" w:space="0" w:color="auto"/>
          </w:divBdr>
        </w:div>
        <w:div w:id="25837807">
          <w:marLeft w:val="0"/>
          <w:marRight w:val="0"/>
          <w:marTop w:val="0"/>
          <w:marBottom w:val="0"/>
          <w:divBdr>
            <w:top w:val="none" w:sz="0" w:space="0" w:color="auto"/>
            <w:left w:val="none" w:sz="0" w:space="0" w:color="auto"/>
            <w:bottom w:val="none" w:sz="0" w:space="0" w:color="auto"/>
            <w:right w:val="none" w:sz="0" w:space="0" w:color="auto"/>
          </w:divBdr>
        </w:div>
        <w:div w:id="65077605">
          <w:marLeft w:val="0"/>
          <w:marRight w:val="0"/>
          <w:marTop w:val="0"/>
          <w:marBottom w:val="0"/>
          <w:divBdr>
            <w:top w:val="none" w:sz="0" w:space="0" w:color="auto"/>
            <w:left w:val="none" w:sz="0" w:space="0" w:color="auto"/>
            <w:bottom w:val="none" w:sz="0" w:space="0" w:color="auto"/>
            <w:right w:val="none" w:sz="0" w:space="0" w:color="auto"/>
          </w:divBdr>
          <w:divsChild>
            <w:div w:id="650988474">
              <w:marLeft w:val="0"/>
              <w:marRight w:val="0"/>
              <w:marTop w:val="0"/>
              <w:marBottom w:val="0"/>
              <w:divBdr>
                <w:top w:val="none" w:sz="0" w:space="0" w:color="auto"/>
                <w:left w:val="none" w:sz="0" w:space="0" w:color="auto"/>
                <w:bottom w:val="none" w:sz="0" w:space="0" w:color="auto"/>
                <w:right w:val="none" w:sz="0" w:space="0" w:color="auto"/>
              </w:divBdr>
            </w:div>
            <w:div w:id="855267574">
              <w:marLeft w:val="0"/>
              <w:marRight w:val="0"/>
              <w:marTop w:val="0"/>
              <w:marBottom w:val="0"/>
              <w:divBdr>
                <w:top w:val="none" w:sz="0" w:space="0" w:color="auto"/>
                <w:left w:val="none" w:sz="0" w:space="0" w:color="auto"/>
                <w:bottom w:val="none" w:sz="0" w:space="0" w:color="auto"/>
                <w:right w:val="none" w:sz="0" w:space="0" w:color="auto"/>
              </w:divBdr>
            </w:div>
            <w:div w:id="2109351880">
              <w:marLeft w:val="0"/>
              <w:marRight w:val="0"/>
              <w:marTop w:val="0"/>
              <w:marBottom w:val="0"/>
              <w:divBdr>
                <w:top w:val="none" w:sz="0" w:space="0" w:color="auto"/>
                <w:left w:val="none" w:sz="0" w:space="0" w:color="auto"/>
                <w:bottom w:val="none" w:sz="0" w:space="0" w:color="auto"/>
                <w:right w:val="none" w:sz="0" w:space="0" w:color="auto"/>
              </w:divBdr>
            </w:div>
            <w:div w:id="1023242132">
              <w:marLeft w:val="0"/>
              <w:marRight w:val="0"/>
              <w:marTop w:val="0"/>
              <w:marBottom w:val="0"/>
              <w:divBdr>
                <w:top w:val="none" w:sz="0" w:space="0" w:color="auto"/>
                <w:left w:val="none" w:sz="0" w:space="0" w:color="auto"/>
                <w:bottom w:val="none" w:sz="0" w:space="0" w:color="auto"/>
                <w:right w:val="none" w:sz="0" w:space="0" w:color="auto"/>
              </w:divBdr>
            </w:div>
            <w:div w:id="5781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97EA221F96E4B9233A8505060E8B9" ma:contentTypeVersion="0" ma:contentTypeDescription="Create a new document." ma:contentTypeScope="" ma:versionID="dbda434071fed551bc7965c9517226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8ED5-D2FD-4BE5-9E09-6AC5D854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659AAF-45E9-48C6-AAFF-51F5B367CD34}">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8B671F-52B5-4A57-8188-E23ED74EA8B4}">
  <ds:schemaRefs>
    <ds:schemaRef ds:uri="http://schemas.microsoft.com/sharepoint/v3/contenttype/forms"/>
  </ds:schemaRefs>
</ds:datastoreItem>
</file>

<file path=customXml/itemProps4.xml><?xml version="1.0" encoding="utf-8"?>
<ds:datastoreItem xmlns:ds="http://schemas.openxmlformats.org/officeDocument/2006/customXml" ds:itemID="{2621A636-A185-4377-B8A0-90CE44F8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14050</Characters>
  <Application>Microsoft Office Word</Application>
  <DocSecurity>4</DocSecurity>
  <Lines>117</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CODESCU Ion (ENV)</dc:creator>
  <cp:lastModifiedBy>LIGOCKA Ilona</cp:lastModifiedBy>
  <cp:revision>2</cp:revision>
  <cp:lastPrinted>2019-01-23T10:05:00Z</cp:lastPrinted>
  <dcterms:created xsi:type="dcterms:W3CDTF">2019-05-13T08:26:00Z</dcterms:created>
  <dcterms:modified xsi:type="dcterms:W3CDTF">2019-05-13T08:26:00Z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ontentTypeId">
    <vt:lpwstr>0x01010078E97EA221F96E4B9233A8505060E8B9</vt:lpwstr>
  </property>
  <property fmtid="{D5CDD505-2E9C-101B-9397-08002B2CF9AE}" pid="8" name="Offisync_UpdateToken">
    <vt:lpwstr>13</vt:lpwstr>
  </property>
  <property fmtid="{D5CDD505-2E9C-101B-9397-08002B2CF9AE}" pid="9" name="Offisync_UniqueId">
    <vt:lpwstr>181497</vt:lpwstr>
  </property>
  <property fmtid="{D5CDD505-2E9C-101B-9397-08002B2CF9AE}" pid="10" name="Jive_VersionGuid">
    <vt:lpwstr>f1562e83-4210-4c4a-b4c2-f5df04ff6de0</vt:lpwstr>
  </property>
  <property fmtid="{D5CDD505-2E9C-101B-9397-08002B2CF9AE}" pid="11" name="Offisync_ProviderInitializationData">
    <vt:lpwstr>https://connected.cnect.cec.eu.int</vt:lpwstr>
  </property>
  <property fmtid="{D5CDD505-2E9C-101B-9397-08002B2CF9AE}" pid="12" name="Jive_LatestUserAccountName">
    <vt:lpwstr>dalgaka</vt:lpwstr>
  </property>
  <property fmtid="{D5CDD505-2E9C-101B-9397-08002B2CF9AE}" pid="13" name="Offisync_ServerID">
    <vt:lpwstr>0d3b22a6-6203-4efc-8e8e-b5279256493b</vt:lpwstr>
  </property>
  <property fmtid="{D5CDD505-2E9C-101B-9397-08002B2CF9AE}" pid="14" name="Level of sensitivity">
    <vt:lpwstr>Standard treatment</vt:lpwstr>
  </property>
  <property fmtid="{D5CDD505-2E9C-101B-9397-08002B2CF9AE}" pid="15" name="Last edited using">
    <vt:lpwstr>LW 6.0.1, Build 20180503</vt:lpwstr>
  </property>
  <property fmtid="{D5CDD505-2E9C-101B-9397-08002B2CF9AE}" pid="16" name="Unique annex">
    <vt:lpwstr>1</vt:lpwstr>
  </property>
  <property fmtid="{D5CDD505-2E9C-101B-9397-08002B2CF9AE}" pid="17" name="Created using">
    <vt:lpwstr>LW 6.0.1, Build 20180503</vt:lpwstr>
  </property>
</Properties>
</file>