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13E6" w14:textId="77777777" w:rsidR="00AC7E66" w:rsidRDefault="00AC7E66" w:rsidP="00A44583">
      <w:pPr>
        <w:tabs>
          <w:tab w:val="left" w:pos="5103"/>
        </w:tabs>
        <w:spacing w:before="0" w:after="0" w:line="240" w:lineRule="auto"/>
      </w:pPr>
    </w:p>
    <w:p w14:paraId="66766491" w14:textId="4F33070B" w:rsidR="00A44583" w:rsidRPr="00567263" w:rsidRDefault="00A44583" w:rsidP="00A44583">
      <w:pPr>
        <w:tabs>
          <w:tab w:val="left" w:pos="5103"/>
        </w:tabs>
        <w:spacing w:before="0" w:after="0" w:line="240" w:lineRule="auto"/>
        <w:rPr>
          <w:rFonts w:ascii="Lato" w:eastAsiaTheme="minorHAnsi" w:hAnsi="Lato" w:cs="Arial"/>
          <w:sz w:val="20"/>
          <w:szCs w:val="20"/>
          <w:lang w:eastAsia="ar-SA"/>
        </w:rPr>
      </w:pPr>
      <w:r w:rsidRPr="00567263">
        <w:t>Opis technicznych i organizacyjnych środków ochrony danych osobowych wprowadzonych przez Wykonawcę</w:t>
      </w:r>
    </w:p>
    <w:p w14:paraId="66FCF001" w14:textId="2BE255C4" w:rsidR="00A44583" w:rsidRDefault="00A44583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p w14:paraId="250119BF" w14:textId="36456A30" w:rsidR="00AC7E66" w:rsidRDefault="00AC7E66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p w14:paraId="200776F3" w14:textId="596B1501" w:rsidR="00AC7E66" w:rsidRDefault="00AC7E66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p w14:paraId="7C11A133" w14:textId="4B621990" w:rsidR="00AC7E66" w:rsidRDefault="00AC7E66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p w14:paraId="0D7B82DB" w14:textId="77777777" w:rsidR="00AC7E66" w:rsidRPr="00567263" w:rsidRDefault="00AC7E66" w:rsidP="00A44583">
      <w:pPr>
        <w:spacing w:before="0" w:after="0" w:line="240" w:lineRule="auto"/>
        <w:ind w:left="709" w:firstLine="709"/>
        <w:jc w:val="right"/>
        <w:rPr>
          <w:rFonts w:ascii="Lato" w:eastAsiaTheme="minorHAnsi" w:hAnsi="Lato" w:cs="Arial"/>
          <w:sz w:val="20"/>
          <w:szCs w:val="20"/>
          <w:lang w:eastAsia="ar-SA"/>
        </w:rPr>
      </w:pPr>
    </w:p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A44583" w:rsidRPr="00567263" w14:paraId="45EA49D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54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L.p.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D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TAK/NIE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3A7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 przypadku braku zabezpieczenia należy uzasadnić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5F5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Wdrożone środki bezpieczeństwa</w:t>
            </w:r>
          </w:p>
        </w:tc>
      </w:tr>
      <w:tr w:rsidR="00A44583" w:rsidRPr="00567263" w14:paraId="68321CAB" w14:textId="77777777" w:rsidTr="00627D8C">
        <w:trPr>
          <w:gridAfter w:val="1"/>
          <w:wAfter w:w="11" w:type="dxa"/>
        </w:trPr>
        <w:tc>
          <w:tcPr>
            <w:tcW w:w="10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C9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108F888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I.  Środki ochrony fizycznej</w:t>
            </w:r>
          </w:p>
          <w:p w14:paraId="6D76233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3061DFF3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9B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DE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C2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5EF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na terytorium Europejskiego Obszaru Gospodarczego.</w:t>
            </w:r>
          </w:p>
        </w:tc>
      </w:tr>
      <w:tr w:rsidR="00A44583" w:rsidRPr="00567263" w14:paraId="2C304B4E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10C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60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8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AE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A44583" w:rsidRPr="00567263" w14:paraId="35AE2BF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85B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DA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E1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18A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Służba ochrony prowadzi całodobową, fizyczną ochronę budynku.</w:t>
            </w:r>
          </w:p>
        </w:tc>
      </w:tr>
      <w:tr w:rsidR="00A44583" w:rsidRPr="00567263" w14:paraId="35D65F2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662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D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554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A4E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Hol główny i teren wokół budynku jest objęty monitoringiem wizyjnym (CCTV).</w:t>
            </w:r>
          </w:p>
        </w:tc>
      </w:tr>
      <w:tr w:rsidR="00A44583" w:rsidRPr="00567263" w14:paraId="37DF710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D1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E1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3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83D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zwykłymi (nie wzmacnianymi, nie przeciwpożarowymi).</w:t>
            </w:r>
          </w:p>
        </w:tc>
      </w:tr>
      <w:tr w:rsidR="00A44583" w:rsidRPr="00567263" w14:paraId="023D9C7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045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4D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F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5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ogniowej.</w:t>
            </w:r>
          </w:p>
        </w:tc>
      </w:tr>
      <w:tr w:rsidR="00A44583" w:rsidRPr="00567263" w14:paraId="25F0238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114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04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81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C12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Dane osobowe Zamawiającego są przechowywane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pomieszczeniu zabezpieczonym drzwiami o podwyższonej odporności na włamanie.</w:t>
            </w:r>
          </w:p>
        </w:tc>
      </w:tr>
      <w:tr w:rsidR="00A44583" w:rsidRPr="00567263" w14:paraId="705CEBA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59E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88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03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C16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A44583" w:rsidRPr="00567263" w14:paraId="71D1753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D86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60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D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F7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wyposażone są w system alarmowy przeciwwłamaniowy (SSWiN).</w:t>
            </w:r>
          </w:p>
        </w:tc>
      </w:tr>
      <w:tr w:rsidR="00A44583" w:rsidRPr="00567263" w14:paraId="226FB60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1C6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6E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15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9B3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objęty jest systemem kontroli dostępu (SKD).</w:t>
            </w:r>
          </w:p>
        </w:tc>
      </w:tr>
      <w:tr w:rsidR="00A44583" w:rsidRPr="00567263" w14:paraId="30F69D8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F44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8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40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FB2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objęty jest zasadami zarządzania dostępem do kluczy do pomieszczeń (np. system zarzadzania kluczami, depozytory - SZK)</w:t>
            </w:r>
          </w:p>
        </w:tc>
      </w:tr>
      <w:tr w:rsidR="00A44583" w:rsidRPr="00567263" w14:paraId="42AC2CD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605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5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EC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896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kontrolowany jest przez system monitoringu z zastosowaniem kamer przemysłowych (CCTV).</w:t>
            </w:r>
          </w:p>
        </w:tc>
      </w:tr>
      <w:tr w:rsidR="00A44583" w:rsidRPr="00567263" w14:paraId="75F550E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0BC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17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AD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3AD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 w czasie nieobecności zatrudnionych tam pracowników nadzorowany przez służbę ochrony.</w:t>
            </w:r>
          </w:p>
        </w:tc>
      </w:tr>
      <w:tr w:rsidR="00A44583" w:rsidRPr="00567263" w14:paraId="31CFAB3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F10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E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2B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4E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Pomieszczenia są zabezpieczone przed skutkami pożaru za pomocą systemu przeciwpożarowego i / lub wolnostojącej gaśnicy.</w:t>
            </w:r>
          </w:p>
        </w:tc>
      </w:tr>
      <w:tr w:rsidR="00A44583" w:rsidRPr="00567263" w14:paraId="57B88D5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759D" w14:textId="77777777" w:rsidR="00A44583" w:rsidRPr="00567263" w:rsidRDefault="00A44583" w:rsidP="00627D8C">
            <w:pPr>
              <w:numPr>
                <w:ilvl w:val="0"/>
                <w:numId w:val="1"/>
              </w:numPr>
              <w:spacing w:before="0" w:after="0" w:line="240" w:lineRule="auto"/>
              <w:ind w:left="1440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B9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22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79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Kopie zapasowe przechowywane są w różnych lokalizacjach, na różnych nośnikach.</w:t>
            </w:r>
          </w:p>
        </w:tc>
      </w:tr>
      <w:tr w:rsidR="00A44583" w:rsidRPr="00567263" w14:paraId="7170A913" w14:textId="77777777" w:rsidTr="00627D8C">
        <w:trPr>
          <w:trHeight w:val="219"/>
        </w:trPr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10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E1204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II. Środki sprzętowe infrastruktury informatycznej i telekomunikacyjnej</w:t>
            </w:r>
          </w:p>
          <w:p w14:paraId="5437883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73078A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F9D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81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5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07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A44583" w:rsidRPr="00567263" w14:paraId="0EC0DD4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8F3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3E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F1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1B0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Każdy pracownik otrzymuje imienny identyfikator do systemów informatycznych.</w:t>
            </w:r>
          </w:p>
        </w:tc>
      </w:tr>
      <w:tr w:rsidR="00A44583" w:rsidRPr="00567263" w14:paraId="4A1CEE4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39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30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73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DD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A44583" w:rsidRPr="00567263" w14:paraId="55B4B34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0C4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5C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6A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46E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wymuszenie na użytkowniku okresową zmianę hasła.</w:t>
            </w:r>
          </w:p>
        </w:tc>
      </w:tr>
      <w:tr w:rsidR="00A44583" w:rsidRPr="00567263" w14:paraId="71B9343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26A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D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CD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1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System informatyczny zapewnia zmianę hasła w razie zaistniałej potrzeby.</w:t>
            </w:r>
          </w:p>
        </w:tc>
      </w:tr>
      <w:tr w:rsidR="00A44583" w:rsidRPr="00567263" w14:paraId="219C012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625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8B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22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9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uniemożliwiające wykonywanie nieautoryzowanych kopii  przy użyciu systemów informatycznych.</w:t>
            </w:r>
          </w:p>
        </w:tc>
      </w:tr>
      <w:tr w:rsidR="00A44583" w:rsidRPr="00567263" w14:paraId="66A6B7E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CC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C4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63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D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 rejestracji dostępu do systemu.</w:t>
            </w:r>
          </w:p>
        </w:tc>
      </w:tr>
      <w:tr w:rsidR="00A44583" w:rsidRPr="00567263" w14:paraId="0AE3722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676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DE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A3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682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kryptograficznej ochrony danych przekazywanych drogą teletransmisji.</w:t>
            </w:r>
          </w:p>
        </w:tc>
      </w:tr>
      <w:tr w:rsidR="00A44583" w:rsidRPr="00567263" w14:paraId="5CFDFAF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412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85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D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0E7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środków teletransmisji zabezpieczono za pomocą mechanizmów uwierzytelnienia.</w:t>
            </w:r>
          </w:p>
        </w:tc>
      </w:tr>
      <w:tr w:rsidR="00A44583" w:rsidRPr="00567263" w14:paraId="54D6BFF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920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EE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21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E3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ochrony przed szkodliwym oprogramowaniem, takim jak np. robaki, wirusy, konie trojańskie, rootkity. (oprogramowanie antywirusowe).</w:t>
            </w:r>
          </w:p>
        </w:tc>
      </w:tr>
      <w:tr w:rsidR="00A44583" w:rsidRPr="00567263" w14:paraId="3AED83A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66F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04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F00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104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Oprogramowanie posiada licencje i jest na bieżąco aktualizowane.</w:t>
            </w:r>
          </w:p>
        </w:tc>
      </w:tr>
      <w:tr w:rsidR="00A44583" w:rsidRPr="00567263" w14:paraId="7E311B6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448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63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1F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6F1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Firewall do ochrony dostępu do sieci komputerowej.</w:t>
            </w:r>
          </w:p>
        </w:tc>
      </w:tr>
      <w:tr w:rsidR="00A44583" w:rsidRPr="00567263" w14:paraId="14D7A62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652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F8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2C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FC5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Użyto system IDS/IPS do ochrony dostępu do sieci komputerowej.</w:t>
            </w:r>
          </w:p>
        </w:tc>
      </w:tr>
      <w:tr w:rsidR="00A44583" w:rsidRPr="00567263" w14:paraId="03BCA34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BAE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B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CD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4C2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Zapewniono zdolność do szybkiego przywrócenia dostępności informacji i dostępu do nich w razie incydentu fizycznego i technicznego.</w:t>
            </w:r>
          </w:p>
        </w:tc>
      </w:tr>
      <w:tr w:rsidR="00A44583" w:rsidRPr="00567263" w14:paraId="3671D8DC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7B21" w14:textId="77777777" w:rsidR="00A44583" w:rsidRPr="00567263" w:rsidRDefault="00A44583" w:rsidP="00627D8C">
            <w:pPr>
              <w:numPr>
                <w:ilvl w:val="0"/>
                <w:numId w:val="2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A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3A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22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danych osobowych Zamawiającego zabezpieczony został przed nieautoryzowanym uruchomieniem za pomocą hasła BIOS.</w:t>
            </w:r>
          </w:p>
        </w:tc>
      </w:tr>
      <w:tr w:rsidR="00A44583" w:rsidRPr="00567263" w14:paraId="71E4CC80" w14:textId="77777777" w:rsidTr="00627D8C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6D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3B3F748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III. Środki ochrony w ramach narzędzi programowych i baz danych</w:t>
            </w:r>
          </w:p>
          <w:p w14:paraId="0C674C3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69917D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C81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12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65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EF4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Wykorzystano środki pozwalające na rejestrację zmian wykonywanych na poszczególnych elementach danych.</w:t>
            </w:r>
          </w:p>
        </w:tc>
      </w:tr>
      <w:tr w:rsidR="00A44583" w:rsidRPr="00567263" w14:paraId="01D477E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4A8E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CF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51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9F4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środki umożliwiające określenie praw dostępu do wskazanego zakresu danych w ramach przetwarzanych informacji.</w:t>
            </w:r>
          </w:p>
        </w:tc>
      </w:tr>
      <w:tr w:rsidR="00A44583" w:rsidRPr="00567263" w14:paraId="53A6950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92FD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4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68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B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 wymaga uwierzytelnienia z wykorzystaniem identyfikatora użytkownika oraz hasła.</w:t>
            </w:r>
          </w:p>
        </w:tc>
      </w:tr>
      <w:tr w:rsidR="00A44583" w:rsidRPr="00567263" w14:paraId="0118836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886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1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A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B5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przy użyciu karty procesorowej oraz kodu PIN lub tokena.</w:t>
            </w:r>
          </w:p>
        </w:tc>
      </w:tr>
      <w:tr w:rsidR="00A44583" w:rsidRPr="00567263" w14:paraId="1718814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B7B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A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E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556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Dostęp do zasobów Zamawiającego wymaga logowania/uwierzytelnienia poprzez uwierzytelnianie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lastRenderedPageBreak/>
              <w:t>wielopoziomowe, np. 2FA (uwierzytelnianie dwuskładnikowe).</w:t>
            </w:r>
          </w:p>
        </w:tc>
      </w:tr>
      <w:tr w:rsidR="00A44583" w:rsidRPr="00567263" w14:paraId="770BDD2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7AC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40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90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40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zasobów Zamawiającego wymaga uwierzytelnienia z wykorzystaniem technologii biometrycznej.</w:t>
            </w:r>
          </w:p>
        </w:tc>
      </w:tr>
      <w:tr w:rsidR="00A44583" w:rsidRPr="00567263" w14:paraId="4976E81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EC7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CE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D1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5F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A44583" w:rsidRPr="00567263" w14:paraId="1A6EF5F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6A0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B0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2C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8F9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mechanizm wymuszający okresową zmianę haseł dostępu do zasobów Zamawiającego.</w:t>
            </w:r>
          </w:p>
        </w:tc>
      </w:tr>
      <w:tr w:rsidR="00A44583" w:rsidRPr="00567263" w14:paraId="045A6DA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613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3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5F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6B9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Zastosowano kryptograficzne środki ochrony danych.</w:t>
            </w:r>
          </w:p>
        </w:tc>
      </w:tr>
      <w:tr w:rsidR="00A44583" w:rsidRPr="00567263" w14:paraId="3D5FB9C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1B8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85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9C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E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Zainstalowano wygaszacze ekranów na stanowiskach,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na których przetwarzane są  dane osobowe Zamawiającego.</w:t>
            </w:r>
          </w:p>
        </w:tc>
      </w:tr>
      <w:tr w:rsidR="00A44583" w:rsidRPr="00567263" w14:paraId="02B40F7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05E" w14:textId="77777777" w:rsidR="00A44583" w:rsidRPr="00567263" w:rsidRDefault="00A44583" w:rsidP="00627D8C">
            <w:pPr>
              <w:numPr>
                <w:ilvl w:val="0"/>
                <w:numId w:val="3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2A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59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62F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Zastosowano mechanizm automatycznej blokady dostępu do systemu informatycznego służącego do przetwarzania informacji Zamawiającego ( w tym danych osobowych)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przypadku dłuższej nieaktywności pracy użytkownika.</w:t>
            </w:r>
          </w:p>
        </w:tc>
      </w:tr>
      <w:tr w:rsidR="00A44583" w:rsidRPr="00567263" w14:paraId="74306C24" w14:textId="77777777" w:rsidTr="00627D8C">
        <w:tc>
          <w:tcPr>
            <w:tcW w:w="10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79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  <w:p w14:paraId="2B7AA8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IV. Środki organizacyjne</w:t>
            </w:r>
          </w:p>
          <w:p w14:paraId="1BADC37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sz w:val="20"/>
                <w:szCs w:val="20"/>
              </w:rPr>
            </w:pPr>
          </w:p>
        </w:tc>
      </w:tr>
      <w:tr w:rsidR="00A44583" w:rsidRPr="00567263" w14:paraId="6A7AAA4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EF6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CD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3C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F73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zostały zaznajomione z przepisami dotyczącymi  ochrony danych osobowych.</w:t>
            </w:r>
          </w:p>
        </w:tc>
      </w:tr>
      <w:tr w:rsidR="00A44583" w:rsidRPr="00567263" w14:paraId="0EC4539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3D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28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673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FB8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Przeszkolono osoby zatrudnione przy przetwarzaniu danych osobowych w zakresie zabezpieczeń systemu informatycznego.</w:t>
            </w:r>
          </w:p>
        </w:tc>
      </w:tr>
      <w:tr w:rsidR="00A44583" w:rsidRPr="00567263" w14:paraId="1467A79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B9E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05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99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3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A44583" w:rsidRPr="00567263" w14:paraId="3BE1ABD2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9C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6C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71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65D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Wprowadzono/określono zasady ochrony danych osobowych przetwarzanych w systemach teleinformatycznych.</w:t>
            </w:r>
          </w:p>
        </w:tc>
      </w:tr>
      <w:tr w:rsidR="00A44583" w:rsidRPr="00567263" w14:paraId="4E3B47A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DB7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AE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A6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DB4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Osoby zatrudnione przy przetwarzaniu danych osobowych  zobowiązane zostały do zachowania ich w tajemnicy.</w:t>
            </w:r>
          </w:p>
        </w:tc>
      </w:tr>
      <w:tr w:rsidR="00A44583" w:rsidRPr="00567263" w14:paraId="18703108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4E9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E4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91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E06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A44583" w:rsidRPr="00567263" w14:paraId="3DB5B1A7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05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D9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94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743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A44583" w:rsidRPr="00567263" w14:paraId="3B6808D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76F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06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0E0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2E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Osoby zatrudnione przy przetwarzaniu danych osobowych zobowiązane zostały do zabezpieczania nieużywanych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 xml:space="preserve">w danym momencie systemów poprzez blokadę ekranu lub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w inny równoważny sposób – zgodnie z polityką czystego ekranu.</w:t>
            </w:r>
          </w:p>
        </w:tc>
      </w:tr>
      <w:tr w:rsidR="00A44583" w:rsidRPr="00567263" w14:paraId="370CB79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32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4C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33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1DB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zakres oraz częstotliwość tworzenia kopii zapasowych.</w:t>
            </w:r>
          </w:p>
        </w:tc>
      </w:tr>
      <w:tr w:rsidR="00A44583" w:rsidRPr="00567263" w14:paraId="51934294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1774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E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7EE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DEA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Określono procedury odtwarzania systemu po awarii oraz ich testowania.</w:t>
            </w:r>
          </w:p>
        </w:tc>
      </w:tr>
      <w:tr w:rsidR="00A44583" w:rsidRPr="00567263" w14:paraId="45C9F286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64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C83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91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0D0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Przeprowadzono szacowanie ryzyka dla aktywów w których będą przetwarzane będą dane osobowe Zamawiającego.</w:t>
            </w:r>
          </w:p>
        </w:tc>
      </w:tr>
      <w:tr w:rsidR="00A44583" w:rsidRPr="00567263" w14:paraId="68995D5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EA0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90F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4E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C32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Wdrożenie wymogów dotyczących bezpieczeństwa informacji potwierdzone jest stosownymi certyfikatami.</w:t>
            </w:r>
          </w:p>
        </w:tc>
      </w:tr>
      <w:tr w:rsidR="00A44583" w:rsidRPr="00567263" w14:paraId="549CF0B5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4E3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748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2B11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Wdrażanie nowych rozwiązań odbywa się zgodnie z zasadą „privacy by design”.</w:t>
            </w:r>
          </w:p>
        </w:tc>
      </w:tr>
      <w:tr w:rsidR="00A44583" w:rsidRPr="00567263" w14:paraId="4ADFB610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2D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8A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DB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05F7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Wdrażanie nowych rozwiązań odbywa się zgodnie z zasadą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z zasadą „privacy by default”.”</w:t>
            </w:r>
          </w:p>
        </w:tc>
      </w:tr>
      <w:tr w:rsidR="00A44583" w:rsidRPr="00567263" w14:paraId="73D1ECC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BC8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49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8B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B2C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Prowadzona jest ocena skutków dla ochrony danych.</w:t>
            </w:r>
          </w:p>
        </w:tc>
      </w:tr>
      <w:tr w:rsidR="00A44583" w:rsidRPr="00567263" w14:paraId="3D21A68A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3F3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9C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1E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B66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Gwarantowana jest realizacja praw osób, których dane dotyczą.</w:t>
            </w:r>
          </w:p>
        </w:tc>
      </w:tr>
      <w:tr w:rsidR="00A44583" w:rsidRPr="00567263" w14:paraId="666E0D93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7E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FC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38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6B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Gwarantowane jest przestrzeganie procedury informowania Administratora o naruszeniu ochrony danych osobowych.</w:t>
            </w:r>
          </w:p>
        </w:tc>
      </w:tr>
      <w:tr w:rsidR="00A44583" w:rsidRPr="00567263" w14:paraId="515E6BB1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418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195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1D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C4C4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Prowadzony jest monitoring funkcjonującego systemu ochrony danych osobowych.</w:t>
            </w:r>
          </w:p>
        </w:tc>
      </w:tr>
      <w:tr w:rsidR="00A44583" w:rsidRPr="00567263" w14:paraId="5B2447DF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2FF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77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12A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9D09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 xml:space="preserve">Prowadzona jest ewidencja osób upoważnionych </w:t>
            </w:r>
            <w:r w:rsidRPr="00567263">
              <w:rPr>
                <w:rFonts w:ascii="Lato" w:eastAsiaTheme="minorHAnsi" w:hAnsi="Lato" w:cs="Arial"/>
                <w:sz w:val="20"/>
                <w:szCs w:val="20"/>
              </w:rPr>
              <w:br/>
              <w:t>do przetwarzania danych osobowych.</w:t>
            </w:r>
          </w:p>
        </w:tc>
      </w:tr>
      <w:tr w:rsidR="00A44583" w:rsidRPr="00567263" w14:paraId="37CB333D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B8B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BB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7FB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BA7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Do przetwarzania danych osobowych dopuszczone są jedynie osoby posiadające upoważnienie do przetwarzania danych osobowych.</w:t>
            </w:r>
          </w:p>
        </w:tc>
      </w:tr>
      <w:tr w:rsidR="00A44583" w:rsidRPr="00567263" w14:paraId="62AC1C49" w14:textId="77777777" w:rsidTr="00627D8C">
        <w:trPr>
          <w:gridAfter w:val="1"/>
          <w:wAfter w:w="11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F3C" w14:textId="77777777" w:rsidR="00A44583" w:rsidRPr="00567263" w:rsidRDefault="00A44583" w:rsidP="00627D8C">
            <w:pPr>
              <w:numPr>
                <w:ilvl w:val="0"/>
                <w:numId w:val="4"/>
              </w:numPr>
              <w:spacing w:before="0" w:after="0" w:line="240" w:lineRule="auto"/>
              <w:ind w:left="1440"/>
              <w:jc w:val="both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CA2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04C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B4FD" w14:textId="77777777" w:rsidR="00A44583" w:rsidRPr="00567263" w:rsidRDefault="00A44583" w:rsidP="00627D8C">
            <w:pPr>
              <w:spacing w:before="0" w:after="0" w:line="240" w:lineRule="auto"/>
              <w:rPr>
                <w:rFonts w:ascii="Lato" w:eastAsiaTheme="minorHAnsi" w:hAnsi="Lato" w:cs="Arial"/>
                <w:b/>
                <w:sz w:val="20"/>
                <w:szCs w:val="20"/>
              </w:rPr>
            </w:pPr>
            <w:r w:rsidRPr="00567263">
              <w:rPr>
                <w:rFonts w:ascii="Lato" w:eastAsiaTheme="minorHAnsi" w:hAnsi="Lato" w:cs="Arial"/>
                <w:sz w:val="20"/>
                <w:szCs w:val="20"/>
              </w:rPr>
              <w:t>Wdrożona i stosowana jest polityka określającą zasady ochrony danych osobowych.</w:t>
            </w:r>
          </w:p>
        </w:tc>
      </w:tr>
    </w:tbl>
    <w:p w14:paraId="7FC5F635" w14:textId="77777777" w:rsidR="00A44583" w:rsidRPr="00567263" w:rsidRDefault="00A44583" w:rsidP="00A44583">
      <w:pPr>
        <w:spacing w:after="160" w:line="240" w:lineRule="auto"/>
        <w:rPr>
          <w:rFonts w:ascii="Arial" w:eastAsiaTheme="minorHAnsi" w:hAnsi="Arial" w:cs="Arial"/>
          <w:b/>
          <w:sz w:val="20"/>
          <w:szCs w:val="20"/>
          <w:lang w:eastAsia="ar-SA"/>
        </w:rPr>
      </w:pPr>
    </w:p>
    <w:p w14:paraId="6883395A" w14:textId="77777777" w:rsidR="00FD44D3" w:rsidRDefault="00FD44D3"/>
    <w:sectPr w:rsidR="00FD44D3" w:rsidSect="00AC7E66">
      <w:footerReference w:type="default" r:id="rId7"/>
      <w:pgSz w:w="11906" w:h="16838"/>
      <w:pgMar w:top="1417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AFD6" w14:textId="77777777" w:rsidR="004B083D" w:rsidRDefault="004B083D" w:rsidP="006017B9">
      <w:pPr>
        <w:spacing w:before="0" w:after="0" w:line="240" w:lineRule="auto"/>
      </w:pPr>
      <w:r>
        <w:separator/>
      </w:r>
    </w:p>
  </w:endnote>
  <w:endnote w:type="continuationSeparator" w:id="0">
    <w:p w14:paraId="680A1C98" w14:textId="77777777" w:rsidR="004B083D" w:rsidRDefault="004B083D" w:rsidP="006017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9E96" w14:textId="77777777" w:rsidR="00AC7E66" w:rsidRPr="00AC7E66" w:rsidRDefault="00AC7E66" w:rsidP="00AC7E66">
    <w:pPr>
      <w:tabs>
        <w:tab w:val="center" w:pos="4536"/>
        <w:tab w:val="right" w:pos="9072"/>
        <w:tab w:val="right" w:pos="9720"/>
      </w:tabs>
      <w:jc w:val="center"/>
      <w:rPr>
        <w:rFonts w:cs="Calibri"/>
        <w:noProof/>
        <w:color w:val="474747"/>
        <w:sz w:val="10"/>
        <w:szCs w:val="10"/>
        <w:lang w:eastAsia="pl-PL"/>
      </w:rPr>
    </w:pPr>
  </w:p>
  <w:p w14:paraId="3594D8D4" w14:textId="77777777" w:rsidR="00AC7E66" w:rsidRPr="00AC7E66" w:rsidRDefault="00AC7E66" w:rsidP="00AC7E66">
    <w:pPr>
      <w:tabs>
        <w:tab w:val="center" w:pos="4536"/>
        <w:tab w:val="right" w:pos="9072"/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AC7E66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 wp14:anchorId="2A4F0BEB" wp14:editId="3588F41D">
          <wp:extent cx="4434840" cy="335280"/>
          <wp:effectExtent l="0" t="0" r="0" b="762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3AEB" w14:textId="77777777" w:rsidR="004B083D" w:rsidRDefault="004B083D" w:rsidP="006017B9">
      <w:pPr>
        <w:spacing w:before="0" w:after="0" w:line="240" w:lineRule="auto"/>
      </w:pPr>
      <w:r>
        <w:separator/>
      </w:r>
    </w:p>
  </w:footnote>
  <w:footnote w:type="continuationSeparator" w:id="0">
    <w:p w14:paraId="13C8A671" w14:textId="77777777" w:rsidR="004B083D" w:rsidRDefault="004B083D" w:rsidP="006017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09E"/>
    <w:multiLevelType w:val="hybridMultilevel"/>
    <w:tmpl w:val="5A92FD7A"/>
    <w:lvl w:ilvl="0" w:tplc="77741062">
      <w:start w:val="1"/>
      <w:numFmt w:val="decimal"/>
      <w:lvlText w:val="%1."/>
      <w:lvlJc w:val="left"/>
      <w:pPr>
        <w:ind w:left="720" w:hanging="360"/>
      </w:pPr>
    </w:lvl>
    <w:lvl w:ilvl="1" w:tplc="E0D25B60">
      <w:start w:val="1"/>
      <w:numFmt w:val="lowerLetter"/>
      <w:lvlText w:val="%2."/>
      <w:lvlJc w:val="left"/>
      <w:pPr>
        <w:ind w:left="1440" w:hanging="360"/>
      </w:pPr>
    </w:lvl>
    <w:lvl w:ilvl="2" w:tplc="E0941AB4">
      <w:start w:val="1"/>
      <w:numFmt w:val="lowerRoman"/>
      <w:lvlText w:val="%3."/>
      <w:lvlJc w:val="right"/>
      <w:pPr>
        <w:ind w:left="2160" w:hanging="180"/>
      </w:pPr>
    </w:lvl>
    <w:lvl w:ilvl="3" w:tplc="F3D49DFE">
      <w:start w:val="1"/>
      <w:numFmt w:val="decimal"/>
      <w:lvlText w:val="%4."/>
      <w:lvlJc w:val="left"/>
      <w:pPr>
        <w:ind w:left="2880" w:hanging="360"/>
      </w:pPr>
    </w:lvl>
    <w:lvl w:ilvl="4" w:tplc="B1ACAF04">
      <w:start w:val="1"/>
      <w:numFmt w:val="lowerLetter"/>
      <w:lvlText w:val="%5."/>
      <w:lvlJc w:val="left"/>
      <w:pPr>
        <w:ind w:left="3600" w:hanging="360"/>
      </w:pPr>
    </w:lvl>
    <w:lvl w:ilvl="5" w:tplc="CABC018C">
      <w:start w:val="1"/>
      <w:numFmt w:val="lowerRoman"/>
      <w:lvlText w:val="%6."/>
      <w:lvlJc w:val="right"/>
      <w:pPr>
        <w:ind w:left="4320" w:hanging="180"/>
      </w:pPr>
    </w:lvl>
    <w:lvl w:ilvl="6" w:tplc="A8044D6A">
      <w:start w:val="1"/>
      <w:numFmt w:val="decimal"/>
      <w:lvlText w:val="%7."/>
      <w:lvlJc w:val="left"/>
      <w:pPr>
        <w:ind w:left="5040" w:hanging="360"/>
      </w:pPr>
    </w:lvl>
    <w:lvl w:ilvl="7" w:tplc="4C76AE7C">
      <w:start w:val="1"/>
      <w:numFmt w:val="lowerLetter"/>
      <w:lvlText w:val="%8."/>
      <w:lvlJc w:val="left"/>
      <w:pPr>
        <w:ind w:left="5760" w:hanging="360"/>
      </w:pPr>
    </w:lvl>
    <w:lvl w:ilvl="8" w:tplc="64347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65938"/>
    <w:multiLevelType w:val="hybridMultilevel"/>
    <w:tmpl w:val="02225512"/>
    <w:lvl w:ilvl="0" w:tplc="9E26A40E">
      <w:start w:val="1"/>
      <w:numFmt w:val="decimal"/>
      <w:lvlText w:val="%1."/>
      <w:lvlJc w:val="left"/>
      <w:pPr>
        <w:ind w:left="720" w:hanging="360"/>
      </w:pPr>
    </w:lvl>
    <w:lvl w:ilvl="1" w:tplc="2A96325E">
      <w:start w:val="1"/>
      <w:numFmt w:val="lowerLetter"/>
      <w:lvlText w:val="%2."/>
      <w:lvlJc w:val="left"/>
      <w:pPr>
        <w:ind w:left="1440" w:hanging="360"/>
      </w:pPr>
    </w:lvl>
    <w:lvl w:ilvl="2" w:tplc="B428E8D4">
      <w:start w:val="1"/>
      <w:numFmt w:val="lowerRoman"/>
      <w:lvlText w:val="%3."/>
      <w:lvlJc w:val="right"/>
      <w:pPr>
        <w:ind w:left="2160" w:hanging="180"/>
      </w:pPr>
    </w:lvl>
    <w:lvl w:ilvl="3" w:tplc="A4B072FE">
      <w:start w:val="1"/>
      <w:numFmt w:val="decimal"/>
      <w:lvlText w:val="%4."/>
      <w:lvlJc w:val="left"/>
      <w:pPr>
        <w:ind w:left="2880" w:hanging="360"/>
      </w:pPr>
    </w:lvl>
    <w:lvl w:ilvl="4" w:tplc="FE5A469E">
      <w:start w:val="1"/>
      <w:numFmt w:val="lowerLetter"/>
      <w:lvlText w:val="%5."/>
      <w:lvlJc w:val="left"/>
      <w:pPr>
        <w:ind w:left="3600" w:hanging="360"/>
      </w:pPr>
    </w:lvl>
    <w:lvl w:ilvl="5" w:tplc="9104B988">
      <w:start w:val="1"/>
      <w:numFmt w:val="lowerRoman"/>
      <w:lvlText w:val="%6."/>
      <w:lvlJc w:val="right"/>
      <w:pPr>
        <w:ind w:left="4320" w:hanging="180"/>
      </w:pPr>
    </w:lvl>
    <w:lvl w:ilvl="6" w:tplc="4B0694B0">
      <w:start w:val="1"/>
      <w:numFmt w:val="decimal"/>
      <w:lvlText w:val="%7."/>
      <w:lvlJc w:val="left"/>
      <w:pPr>
        <w:ind w:left="5040" w:hanging="360"/>
      </w:pPr>
    </w:lvl>
    <w:lvl w:ilvl="7" w:tplc="AAD66E14">
      <w:start w:val="1"/>
      <w:numFmt w:val="lowerLetter"/>
      <w:lvlText w:val="%8."/>
      <w:lvlJc w:val="left"/>
      <w:pPr>
        <w:ind w:left="5760" w:hanging="360"/>
      </w:pPr>
    </w:lvl>
    <w:lvl w:ilvl="8" w:tplc="940AA8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D2A8E"/>
    <w:multiLevelType w:val="hybridMultilevel"/>
    <w:tmpl w:val="E252FAC8"/>
    <w:lvl w:ilvl="0" w:tplc="754A01F6">
      <w:start w:val="1"/>
      <w:numFmt w:val="decimal"/>
      <w:lvlText w:val="%1."/>
      <w:lvlJc w:val="left"/>
      <w:pPr>
        <w:ind w:left="720" w:hanging="360"/>
      </w:pPr>
    </w:lvl>
    <w:lvl w:ilvl="1" w:tplc="A830CAA2">
      <w:start w:val="1"/>
      <w:numFmt w:val="lowerLetter"/>
      <w:lvlText w:val="%2."/>
      <w:lvlJc w:val="left"/>
      <w:pPr>
        <w:ind w:left="1440" w:hanging="360"/>
      </w:pPr>
    </w:lvl>
    <w:lvl w:ilvl="2" w:tplc="665A1796">
      <w:start w:val="1"/>
      <w:numFmt w:val="lowerRoman"/>
      <w:lvlText w:val="%3."/>
      <w:lvlJc w:val="right"/>
      <w:pPr>
        <w:ind w:left="2160" w:hanging="180"/>
      </w:pPr>
    </w:lvl>
    <w:lvl w:ilvl="3" w:tplc="5CF6A206">
      <w:start w:val="1"/>
      <w:numFmt w:val="decimal"/>
      <w:lvlText w:val="%4."/>
      <w:lvlJc w:val="left"/>
      <w:pPr>
        <w:ind w:left="2880" w:hanging="360"/>
      </w:pPr>
    </w:lvl>
    <w:lvl w:ilvl="4" w:tplc="40A42582">
      <w:start w:val="1"/>
      <w:numFmt w:val="lowerLetter"/>
      <w:lvlText w:val="%5."/>
      <w:lvlJc w:val="left"/>
      <w:pPr>
        <w:ind w:left="3600" w:hanging="360"/>
      </w:pPr>
    </w:lvl>
    <w:lvl w:ilvl="5" w:tplc="75D27B48">
      <w:start w:val="1"/>
      <w:numFmt w:val="lowerRoman"/>
      <w:lvlText w:val="%6."/>
      <w:lvlJc w:val="right"/>
      <w:pPr>
        <w:ind w:left="4320" w:hanging="180"/>
      </w:pPr>
    </w:lvl>
    <w:lvl w:ilvl="6" w:tplc="013E0026">
      <w:start w:val="1"/>
      <w:numFmt w:val="decimal"/>
      <w:lvlText w:val="%7."/>
      <w:lvlJc w:val="left"/>
      <w:pPr>
        <w:ind w:left="5040" w:hanging="360"/>
      </w:pPr>
    </w:lvl>
    <w:lvl w:ilvl="7" w:tplc="2A5EC386">
      <w:start w:val="1"/>
      <w:numFmt w:val="lowerLetter"/>
      <w:lvlText w:val="%8."/>
      <w:lvlJc w:val="left"/>
      <w:pPr>
        <w:ind w:left="5760" w:hanging="360"/>
      </w:pPr>
    </w:lvl>
    <w:lvl w:ilvl="8" w:tplc="5E8EC3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97D"/>
    <w:multiLevelType w:val="hybridMultilevel"/>
    <w:tmpl w:val="1CE4990C"/>
    <w:lvl w:ilvl="0" w:tplc="2A1E2936">
      <w:start w:val="1"/>
      <w:numFmt w:val="decimal"/>
      <w:lvlText w:val="%1."/>
      <w:lvlJc w:val="left"/>
      <w:pPr>
        <w:ind w:left="720" w:hanging="360"/>
      </w:pPr>
    </w:lvl>
    <w:lvl w:ilvl="1" w:tplc="3FA2846C">
      <w:start w:val="1"/>
      <w:numFmt w:val="lowerLetter"/>
      <w:lvlText w:val="%2."/>
      <w:lvlJc w:val="left"/>
      <w:pPr>
        <w:ind w:left="1440" w:hanging="360"/>
      </w:pPr>
    </w:lvl>
    <w:lvl w:ilvl="2" w:tplc="A3EAC064">
      <w:start w:val="1"/>
      <w:numFmt w:val="lowerRoman"/>
      <w:lvlText w:val="%3."/>
      <w:lvlJc w:val="right"/>
      <w:pPr>
        <w:ind w:left="2160" w:hanging="180"/>
      </w:pPr>
    </w:lvl>
    <w:lvl w:ilvl="3" w:tplc="2D8A687E">
      <w:start w:val="1"/>
      <w:numFmt w:val="decimal"/>
      <w:lvlText w:val="%4."/>
      <w:lvlJc w:val="left"/>
      <w:pPr>
        <w:ind w:left="2880" w:hanging="360"/>
      </w:pPr>
    </w:lvl>
    <w:lvl w:ilvl="4" w:tplc="06F0703C">
      <w:start w:val="1"/>
      <w:numFmt w:val="lowerLetter"/>
      <w:lvlText w:val="%5."/>
      <w:lvlJc w:val="left"/>
      <w:pPr>
        <w:ind w:left="3600" w:hanging="360"/>
      </w:pPr>
    </w:lvl>
    <w:lvl w:ilvl="5" w:tplc="16ECA0EA">
      <w:start w:val="1"/>
      <w:numFmt w:val="lowerRoman"/>
      <w:lvlText w:val="%6."/>
      <w:lvlJc w:val="right"/>
      <w:pPr>
        <w:ind w:left="4320" w:hanging="180"/>
      </w:pPr>
    </w:lvl>
    <w:lvl w:ilvl="6" w:tplc="B784ECBE">
      <w:start w:val="1"/>
      <w:numFmt w:val="decimal"/>
      <w:lvlText w:val="%7."/>
      <w:lvlJc w:val="left"/>
      <w:pPr>
        <w:ind w:left="5040" w:hanging="360"/>
      </w:pPr>
    </w:lvl>
    <w:lvl w:ilvl="7" w:tplc="BCF207E2">
      <w:start w:val="1"/>
      <w:numFmt w:val="lowerLetter"/>
      <w:lvlText w:val="%8."/>
      <w:lvlJc w:val="left"/>
      <w:pPr>
        <w:ind w:left="5760" w:hanging="360"/>
      </w:pPr>
    </w:lvl>
    <w:lvl w:ilvl="8" w:tplc="C80CFD1E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64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376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99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9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83"/>
    <w:rsid w:val="00344D1E"/>
    <w:rsid w:val="00355152"/>
    <w:rsid w:val="00493EE5"/>
    <w:rsid w:val="004B083D"/>
    <w:rsid w:val="004C2E10"/>
    <w:rsid w:val="006017B9"/>
    <w:rsid w:val="008B3AF4"/>
    <w:rsid w:val="009E0157"/>
    <w:rsid w:val="00A44583"/>
    <w:rsid w:val="00AC7E66"/>
    <w:rsid w:val="00AD3B40"/>
    <w:rsid w:val="00D81F62"/>
    <w:rsid w:val="00DC1379"/>
    <w:rsid w:val="00DF6DA7"/>
    <w:rsid w:val="00ED2265"/>
    <w:rsid w:val="00FD44D3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E1C4"/>
  <w15:chartTrackingRefBased/>
  <w15:docId w15:val="{3BCF1F4F-86CA-4128-8987-301858E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83"/>
    <w:pPr>
      <w:spacing w:before="360" w:after="360" w:line="36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4583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17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7B9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17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7B9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Morawski Adam</dc:creator>
  <cp:keywords/>
  <dc:description/>
  <cp:lastModifiedBy>Blaszczak Anna</cp:lastModifiedBy>
  <cp:revision>2</cp:revision>
  <dcterms:created xsi:type="dcterms:W3CDTF">2026-05-15T10:39:00Z</dcterms:created>
  <dcterms:modified xsi:type="dcterms:W3CDTF">2026-05-15T10:39:00Z</dcterms:modified>
</cp:coreProperties>
</file>