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EE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>Prokuratura Okręgowa</w:t>
      </w:r>
    </w:p>
    <w:p w:rsidR="001608E2" w:rsidRPr="00E44CA0" w:rsidRDefault="001608E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Warszawa-Praga</w:t>
      </w:r>
    </w:p>
    <w:p w:rsidR="00E62D1E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 xml:space="preserve">       w Warszawie</w:t>
      </w:r>
    </w:p>
    <w:p w:rsidR="00E62D1E" w:rsidRPr="00E44CA0" w:rsidRDefault="00E62D1E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6D39" w:rsidRPr="000434BA" w:rsidRDefault="006F264A" w:rsidP="000434BA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>2015</w:t>
      </w:r>
      <w:r w:rsidR="008575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3CD7">
        <w:rPr>
          <w:rFonts w:ascii="Times New Roman" w:hAnsi="Times New Roman" w:cs="Times New Roman"/>
          <w:b/>
          <w:sz w:val="26"/>
          <w:szCs w:val="26"/>
        </w:rPr>
        <w:t xml:space="preserve">A </w:t>
      </w:r>
      <w:r w:rsidR="00857582">
        <w:rPr>
          <w:rFonts w:ascii="Times New Roman" w:hAnsi="Times New Roman" w:cs="Times New Roman"/>
          <w:b/>
          <w:sz w:val="26"/>
          <w:szCs w:val="26"/>
        </w:rPr>
        <w:t>rok</w:t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</w:p>
    <w:p w:rsidR="00EA0581" w:rsidRDefault="00EA0581" w:rsidP="00EA0581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karnym, nie popełnia przestępstwa z uwagi na wyłączenie winy, kto działa w celu:</w:t>
      </w:r>
    </w:p>
    <w:p w:rsidR="00EA0581" w:rsidRPr="00553E53" w:rsidRDefault="00EA0581" w:rsidP="009555D0">
      <w:pPr>
        <w:pStyle w:val="Standard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553E53">
        <w:rPr>
          <w:sz w:val="22"/>
          <w:szCs w:val="22"/>
        </w:rPr>
        <w:t>uchylenie bezpośredniego niebezpieczeństwa grożącego jakiemukolwiek dobru chronionemu prawe, jeżeli niebezpieczeństwa wprawdzie można uniknąć, ale dobro poświęcone przedstawia wartość niższą od dobra ratowanego</w:t>
      </w:r>
    </w:p>
    <w:p w:rsidR="00EA0581" w:rsidRPr="00553E53" w:rsidRDefault="00EA0581" w:rsidP="009555D0">
      <w:pPr>
        <w:pStyle w:val="Standard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553E53">
        <w:rPr>
          <w:sz w:val="22"/>
          <w:szCs w:val="22"/>
        </w:rPr>
        <w:t xml:space="preserve">uchylenie bezpośredniego niebezpieczeństwa grożącego jakiemukolwiek dobru chronionemu prawe, jeżeli niebezpieczeństwa nie można inaczej uniknąć, ale dobro poświęcone </w:t>
      </w:r>
      <w:r w:rsidR="00553E53" w:rsidRPr="00553E53">
        <w:rPr>
          <w:sz w:val="22"/>
          <w:szCs w:val="22"/>
        </w:rPr>
        <w:t xml:space="preserve">nie </w:t>
      </w:r>
      <w:r w:rsidRPr="00553E53">
        <w:rPr>
          <w:sz w:val="22"/>
          <w:szCs w:val="22"/>
        </w:rPr>
        <w:t>przedstawia wartość</w:t>
      </w:r>
      <w:r w:rsidR="00553E53" w:rsidRPr="00553E53">
        <w:rPr>
          <w:sz w:val="22"/>
          <w:szCs w:val="22"/>
        </w:rPr>
        <w:t xml:space="preserve"> oczywiście wyższej  </w:t>
      </w:r>
      <w:r w:rsidRPr="00553E53">
        <w:rPr>
          <w:sz w:val="22"/>
          <w:szCs w:val="22"/>
        </w:rPr>
        <w:t>od dobra ratowanego</w:t>
      </w:r>
    </w:p>
    <w:p w:rsidR="00EA0581" w:rsidRPr="00553E53" w:rsidRDefault="00553E53" w:rsidP="009555D0">
      <w:pPr>
        <w:pStyle w:val="Standard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553E53">
        <w:rPr>
          <w:sz w:val="22"/>
          <w:szCs w:val="22"/>
        </w:rPr>
        <w:t>przeprowadzenia eksperymentu technicznego, jeżeli spodziewana korzyść ma istotne znaczenie gospodarcze, a oczekiwanie jej osiągnięcia, celowość oraz sposób przeprowadzenia eksperymentu są zasadne w świetle aktualnego stanu wiedzy</w:t>
      </w:r>
    </w:p>
    <w:p w:rsidR="00EA0581" w:rsidRDefault="00553E53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postepowania karnego, na zarządzenie prokuratora o odnowie udostępnienia akt w postępowaniu przygotowawczym, stronom:</w:t>
      </w:r>
    </w:p>
    <w:p w:rsidR="00553E53" w:rsidRPr="00553E53" w:rsidRDefault="00553E53" w:rsidP="009555D0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553E53">
        <w:rPr>
          <w:sz w:val="22"/>
          <w:szCs w:val="22"/>
        </w:rPr>
        <w:t>nie przysługuje zażalenie</w:t>
      </w:r>
    </w:p>
    <w:p w:rsidR="00553E53" w:rsidRPr="00553E53" w:rsidRDefault="00553E53" w:rsidP="009555D0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553E53">
        <w:rPr>
          <w:sz w:val="22"/>
          <w:szCs w:val="22"/>
        </w:rPr>
        <w:t>przysługuje zażalenie do sądu właściwego do rozpoznania sprawy</w:t>
      </w:r>
    </w:p>
    <w:p w:rsidR="00553E53" w:rsidRPr="00553E53" w:rsidRDefault="00553E53" w:rsidP="009555D0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553E53">
        <w:rPr>
          <w:sz w:val="22"/>
          <w:szCs w:val="22"/>
        </w:rPr>
        <w:t>przysługuje zażalenie do prokuratora bezpośrednio przełożonego</w:t>
      </w:r>
    </w:p>
    <w:p w:rsidR="00553E53" w:rsidRDefault="00553E53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karnym, grzywna orzeczona wobec sprawcy, co do którego sąd stosuje warunkowe zawieszenie wykonania kary pozbawienia wolności, jeżeli jej wymierzenie na innej podstawie nie jest możliwe, nie możne przekroczyć:</w:t>
      </w:r>
    </w:p>
    <w:p w:rsidR="00553E53" w:rsidRPr="0083386A" w:rsidRDefault="0083386A" w:rsidP="009555D0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83386A">
        <w:rPr>
          <w:sz w:val="22"/>
          <w:szCs w:val="22"/>
        </w:rPr>
        <w:t>90 stawek dziennych</w:t>
      </w:r>
    </w:p>
    <w:p w:rsidR="0083386A" w:rsidRPr="0083386A" w:rsidRDefault="0083386A" w:rsidP="009555D0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83386A">
        <w:rPr>
          <w:sz w:val="22"/>
          <w:szCs w:val="22"/>
        </w:rPr>
        <w:t>180 stawek dziennych</w:t>
      </w:r>
    </w:p>
    <w:p w:rsidR="0083386A" w:rsidRPr="0083386A" w:rsidRDefault="0083386A" w:rsidP="009555D0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83386A">
        <w:rPr>
          <w:sz w:val="22"/>
          <w:szCs w:val="22"/>
        </w:rPr>
        <w:t>270 stawek dziennych</w:t>
      </w:r>
    </w:p>
    <w:p w:rsidR="0083386A" w:rsidRDefault="0083386A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karnym, w razie przekroczenia granic obrony koniecznej pod wpływem strachu lub wzburzenia usprawiedliwionych okoliczności zamachu:</w:t>
      </w:r>
    </w:p>
    <w:p w:rsidR="0083386A" w:rsidRPr="0083386A" w:rsidRDefault="0083386A" w:rsidP="009555D0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3386A">
        <w:rPr>
          <w:sz w:val="22"/>
          <w:szCs w:val="22"/>
        </w:rPr>
        <w:t>sprawca nie podlega karze</w:t>
      </w:r>
    </w:p>
    <w:p w:rsidR="0083386A" w:rsidRPr="0083386A" w:rsidRDefault="0083386A" w:rsidP="009555D0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3386A">
        <w:rPr>
          <w:sz w:val="22"/>
          <w:szCs w:val="22"/>
        </w:rPr>
        <w:t>sprawca nie popełnia przestępstwa</w:t>
      </w:r>
    </w:p>
    <w:p w:rsidR="0083386A" w:rsidRDefault="0083386A" w:rsidP="009555D0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3386A">
        <w:rPr>
          <w:sz w:val="22"/>
          <w:szCs w:val="22"/>
        </w:rPr>
        <w:t>sąd stosuje nadzwyczajne złagodzenie kary</w:t>
      </w:r>
    </w:p>
    <w:p w:rsidR="0083386A" w:rsidRDefault="0083386A" w:rsidP="0083386A">
      <w:pPr>
        <w:pStyle w:val="Standard"/>
        <w:spacing w:line="360" w:lineRule="auto"/>
        <w:jc w:val="both"/>
        <w:rPr>
          <w:sz w:val="22"/>
          <w:szCs w:val="22"/>
        </w:rPr>
      </w:pPr>
    </w:p>
    <w:p w:rsidR="0083386A" w:rsidRDefault="0083386A" w:rsidP="0083386A">
      <w:pPr>
        <w:pStyle w:val="Standard"/>
        <w:spacing w:line="360" w:lineRule="auto"/>
        <w:jc w:val="both"/>
        <w:rPr>
          <w:sz w:val="22"/>
          <w:szCs w:val="22"/>
        </w:rPr>
      </w:pPr>
    </w:p>
    <w:p w:rsidR="0083386A" w:rsidRPr="0083386A" w:rsidRDefault="0083386A" w:rsidP="0083386A">
      <w:pPr>
        <w:pStyle w:val="Standard"/>
        <w:spacing w:line="360" w:lineRule="auto"/>
        <w:jc w:val="both"/>
        <w:rPr>
          <w:sz w:val="22"/>
          <w:szCs w:val="22"/>
        </w:rPr>
      </w:pPr>
    </w:p>
    <w:p w:rsidR="00D35F16" w:rsidRDefault="00D35F16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Zgodnie z kodeksem karnym, prawo do odmowy składania zeznań przysługuje:</w:t>
      </w:r>
    </w:p>
    <w:p w:rsidR="00D35F16" w:rsidRPr="00D35F16" w:rsidRDefault="00D35F16" w:rsidP="009555D0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D35F16">
        <w:rPr>
          <w:sz w:val="22"/>
          <w:szCs w:val="22"/>
        </w:rPr>
        <w:t>świadkowi, który w innej toczącej się sprawie jest oskarżony o czyn podobny do objętego postepowaniem</w:t>
      </w:r>
    </w:p>
    <w:p w:rsidR="00D35F16" w:rsidRPr="00D35F16" w:rsidRDefault="00D35F16" w:rsidP="009555D0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D35F16">
        <w:rPr>
          <w:sz w:val="22"/>
          <w:szCs w:val="22"/>
        </w:rPr>
        <w:t xml:space="preserve">świadkowi, który w innej toczącej się sprawie jest oskarżony o współudział w wykroczeniu </w:t>
      </w:r>
    </w:p>
    <w:p w:rsidR="00D35F16" w:rsidRPr="00D35F16" w:rsidRDefault="00D35F16" w:rsidP="009555D0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D35F16">
        <w:rPr>
          <w:sz w:val="22"/>
          <w:szCs w:val="22"/>
        </w:rPr>
        <w:t>świadkowi, który w innej toczącej się sprawie jest oskarżony o współudział w występku objętym postepowaniem</w:t>
      </w:r>
    </w:p>
    <w:p w:rsidR="00D35F16" w:rsidRDefault="00D35F16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postępowania karnego, jeżeli po wniesieniu aktu oskarżenia sąd stwierdzi, że postepowanie przygotowawcze wznowiono mimo braku podstaw, wówczas:</w:t>
      </w:r>
    </w:p>
    <w:p w:rsidR="00D35F16" w:rsidRPr="00D35F16" w:rsidRDefault="00D35F16" w:rsidP="009555D0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D35F16">
        <w:rPr>
          <w:sz w:val="22"/>
          <w:szCs w:val="22"/>
        </w:rPr>
        <w:t>rowadzi postepowanie w dalszym ciągu, ponieważ nie jest to dla niego wiążące i nie stoi na przeszkodzę wydaniu wyroku skazującego</w:t>
      </w:r>
    </w:p>
    <w:p w:rsidR="00D35F16" w:rsidRPr="00D35F16" w:rsidRDefault="00D35F16" w:rsidP="009555D0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D35F16">
        <w:rPr>
          <w:sz w:val="22"/>
          <w:szCs w:val="22"/>
        </w:rPr>
        <w:t>marza postępowanie</w:t>
      </w:r>
    </w:p>
    <w:p w:rsidR="00D35F16" w:rsidRPr="00D35F16" w:rsidRDefault="00D35F16" w:rsidP="009555D0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D35F16">
        <w:rPr>
          <w:sz w:val="22"/>
          <w:szCs w:val="22"/>
        </w:rPr>
        <w:t>wraca sprawę prokuratorowi w celu prawidłowego wznowienia postepowania przygotowawczego</w:t>
      </w:r>
    </w:p>
    <w:p w:rsidR="00D35F16" w:rsidRDefault="00D35F16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postepowania karnego, w sprawach z oskarżenia prywatnego zażalenie na postanowienie prokuratora o odmowie wszczęcia lub o umorzeniu postepowania przygotowawczego, które zapadło z uwagi na brak interesu społecznego w ściganiu z urzędu sprawcy, rozpoznaje:</w:t>
      </w:r>
    </w:p>
    <w:p w:rsidR="00D35F16" w:rsidRPr="00D35F16" w:rsidRDefault="00D35F16" w:rsidP="009555D0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D35F16">
        <w:rPr>
          <w:sz w:val="22"/>
          <w:szCs w:val="22"/>
        </w:rPr>
        <w:t>prokurator nadrzędny</w:t>
      </w:r>
    </w:p>
    <w:p w:rsidR="00D35F16" w:rsidRPr="00D35F16" w:rsidRDefault="00D35F16" w:rsidP="009555D0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D35F16">
        <w:rPr>
          <w:sz w:val="22"/>
          <w:szCs w:val="22"/>
        </w:rPr>
        <w:t>prokurator bezpośrednio przełożony</w:t>
      </w:r>
    </w:p>
    <w:p w:rsidR="00D35F16" w:rsidRPr="00D35F16" w:rsidRDefault="00D35F16" w:rsidP="009555D0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D35F16">
        <w:rPr>
          <w:sz w:val="22"/>
          <w:szCs w:val="22"/>
        </w:rPr>
        <w:t>sąd rejonowy</w:t>
      </w:r>
    </w:p>
    <w:p w:rsidR="00D35F16" w:rsidRDefault="004170D9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Które z poniższych stwierdzeń jest prawdziwe w odniesieniu do przepisów kodeksu postepowania karnego:</w:t>
      </w:r>
    </w:p>
    <w:p w:rsidR="004170D9" w:rsidRPr="004170D9" w:rsidRDefault="004170D9" w:rsidP="009555D0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4170D9">
        <w:rPr>
          <w:sz w:val="22"/>
          <w:szCs w:val="22"/>
        </w:rPr>
        <w:t>sąd odwoławczy nie może uniewinnić oskarżonego, jeżeli został skazany w pierwszej instancji, a oskarżyciel posiłkowy zaskarżył wyrok na jego niekorzyść</w:t>
      </w:r>
    </w:p>
    <w:p w:rsidR="004170D9" w:rsidRPr="004170D9" w:rsidRDefault="004170D9" w:rsidP="009555D0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4170D9">
        <w:rPr>
          <w:sz w:val="22"/>
          <w:szCs w:val="22"/>
        </w:rPr>
        <w:t>sąd odwoławczy nie może skazać oskarżonego, jeżeli został uniewinniony w pierwszej instancji, a wyrok zaskarżył oskarżyciel publiczny</w:t>
      </w:r>
    </w:p>
    <w:p w:rsidR="004170D9" w:rsidRPr="004170D9" w:rsidRDefault="004170D9" w:rsidP="009555D0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4170D9">
        <w:rPr>
          <w:sz w:val="22"/>
          <w:szCs w:val="22"/>
        </w:rPr>
        <w:t>sąd odwoławczy nie może uniewinnić oskarżonego, jeżeli środek odwoławczy wniósł jedynie prokurator w kierunku niekorzystnym dla oskarżonego</w:t>
      </w:r>
    </w:p>
    <w:p w:rsidR="004170D9" w:rsidRDefault="00447EC1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postepowania karnego, prawomocnie umorzone postepowanie przygotowawcze wznawia się przeciwko osobie, która występowała w charakterze podejrzanego, na mocy postanowienia:</w:t>
      </w:r>
    </w:p>
    <w:p w:rsidR="00447EC1" w:rsidRPr="00447EC1" w:rsidRDefault="00447EC1" w:rsidP="009555D0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447EC1">
        <w:rPr>
          <w:sz w:val="22"/>
          <w:szCs w:val="22"/>
        </w:rPr>
        <w:t xml:space="preserve">sądu apelacyjnego </w:t>
      </w:r>
    </w:p>
    <w:p w:rsidR="00447EC1" w:rsidRPr="00447EC1" w:rsidRDefault="00447EC1" w:rsidP="009555D0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447EC1">
        <w:rPr>
          <w:sz w:val="22"/>
          <w:szCs w:val="22"/>
        </w:rPr>
        <w:t>prokuratora nadrzędnego nad tym prokuratorem, który wydał lub zatwierdził postanowienie o umorzeniu postępowania</w:t>
      </w:r>
    </w:p>
    <w:p w:rsidR="00447EC1" w:rsidRDefault="00447EC1" w:rsidP="009555D0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447EC1">
        <w:rPr>
          <w:sz w:val="22"/>
          <w:szCs w:val="22"/>
        </w:rPr>
        <w:t>sądu miejsca prowadzenia postępowania</w:t>
      </w:r>
    </w:p>
    <w:p w:rsidR="00447EC1" w:rsidRDefault="00447EC1" w:rsidP="00447EC1">
      <w:pPr>
        <w:pStyle w:val="Standard"/>
        <w:spacing w:line="360" w:lineRule="auto"/>
        <w:jc w:val="both"/>
        <w:rPr>
          <w:sz w:val="22"/>
          <w:szCs w:val="22"/>
        </w:rPr>
      </w:pPr>
    </w:p>
    <w:p w:rsidR="00447EC1" w:rsidRPr="00447EC1" w:rsidRDefault="00447EC1" w:rsidP="00447EC1">
      <w:pPr>
        <w:pStyle w:val="Standard"/>
        <w:spacing w:line="360" w:lineRule="auto"/>
        <w:jc w:val="both"/>
        <w:rPr>
          <w:sz w:val="22"/>
          <w:szCs w:val="22"/>
        </w:rPr>
      </w:pPr>
    </w:p>
    <w:p w:rsidR="00447EC1" w:rsidRDefault="00447EC1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Które z poniższych stwierdzeń jest prawdziwe w odniesieniu do aktualnych regulacji kodeksu postepowania karnego:</w:t>
      </w:r>
    </w:p>
    <w:p w:rsidR="00447EC1" w:rsidRPr="002916ED" w:rsidRDefault="002916ED" w:rsidP="009555D0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2916ED">
        <w:rPr>
          <w:sz w:val="22"/>
          <w:szCs w:val="22"/>
        </w:rPr>
        <w:t>t</w:t>
      </w:r>
      <w:r w:rsidR="00447EC1" w:rsidRPr="002916ED">
        <w:rPr>
          <w:sz w:val="22"/>
          <w:szCs w:val="22"/>
        </w:rPr>
        <w:t>ymczasowe aresztowanie ,może nastąpić, jeżeli zachodzi uzasadniona obawa, że oskarżony przeprowadzi się do nowo zakupionego na rynku pierwotnym mieszkania, a zwłaszcza, gdy nie może ustalić jego aktualnego miejsca pracy i źródeł dochodu</w:t>
      </w:r>
    </w:p>
    <w:p w:rsidR="00874FCA" w:rsidRPr="002916ED" w:rsidRDefault="002916ED" w:rsidP="009555D0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2916ED">
        <w:rPr>
          <w:sz w:val="22"/>
          <w:szCs w:val="22"/>
        </w:rPr>
        <w:t>j</w:t>
      </w:r>
      <w:r w:rsidR="00874FCA" w:rsidRPr="002916ED">
        <w:rPr>
          <w:sz w:val="22"/>
          <w:szCs w:val="22"/>
        </w:rPr>
        <w:t>e</w:t>
      </w:r>
      <w:r w:rsidRPr="002916ED">
        <w:rPr>
          <w:sz w:val="22"/>
          <w:szCs w:val="22"/>
        </w:rPr>
        <w:t>żeli podejrzanemu zarzucono popełnienie zbrodni to potrzeba zastosowania tymczasowego aresztowania w celu zabezpieczenia prawidłowego toku postepowania może być uzasadniona grożącą podejrzanemu surową karą</w:t>
      </w:r>
    </w:p>
    <w:p w:rsidR="002916ED" w:rsidRPr="002916ED" w:rsidRDefault="002916ED" w:rsidP="009555D0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2916ED">
        <w:rPr>
          <w:sz w:val="22"/>
          <w:szCs w:val="22"/>
        </w:rPr>
        <w:t>tymczasowe aresztowanie może wyjątkowo nastąpić, jeżeli zachodzi obawa, że podejrzany odmówi składania wyjaśnień i oświadczy, że nie przyznaje się do zarzuconego czynu</w:t>
      </w:r>
    </w:p>
    <w:p w:rsidR="002916ED" w:rsidRDefault="00C56AC6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postepowania karnego w toku postepowania przygotowawczego konfrontować można:</w:t>
      </w:r>
    </w:p>
    <w:p w:rsidR="00C56AC6" w:rsidRPr="00C56AC6" w:rsidRDefault="00C56AC6" w:rsidP="009555D0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ś</w:t>
      </w:r>
      <w:r w:rsidRPr="00C56AC6">
        <w:rPr>
          <w:sz w:val="22"/>
          <w:szCs w:val="22"/>
        </w:rPr>
        <w:t>wiadka incognito ze świadkiem incognito</w:t>
      </w:r>
    </w:p>
    <w:p w:rsidR="00C56AC6" w:rsidRPr="00C56AC6" w:rsidRDefault="00C56AC6" w:rsidP="009555D0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ś</w:t>
      </w:r>
      <w:r w:rsidRPr="00C56AC6">
        <w:rPr>
          <w:sz w:val="22"/>
          <w:szCs w:val="22"/>
        </w:rPr>
        <w:t>wiadka incognito z podejrzanym</w:t>
      </w:r>
    </w:p>
    <w:p w:rsidR="00C56AC6" w:rsidRPr="00C56AC6" w:rsidRDefault="00C56AC6" w:rsidP="009555D0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C56AC6">
        <w:rPr>
          <w:sz w:val="22"/>
          <w:szCs w:val="22"/>
        </w:rPr>
        <w:t>odejrzanego z podejrzanym</w:t>
      </w:r>
    </w:p>
    <w:p w:rsidR="00C56AC6" w:rsidRDefault="00C56AC6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Sprawca zastanawia się czy popełnić ponownie umyślne przestępstwo podobne, do tego za które był już skazany, odbył karę 6 miesięcy pozbawienia wolności, bez przerw i przepustek. Postanowił obliczyć kiedy przedawnia mu się recydywa zwykła tj.:</w:t>
      </w:r>
    </w:p>
    <w:p w:rsidR="00C56AC6" w:rsidRPr="009B6C7D" w:rsidRDefault="009B6C7D" w:rsidP="009555D0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9B6C7D">
        <w:rPr>
          <w:sz w:val="22"/>
          <w:szCs w:val="22"/>
        </w:rPr>
        <w:t>z</w:t>
      </w:r>
      <w:r w:rsidR="007B3B76" w:rsidRPr="009B6C7D">
        <w:rPr>
          <w:sz w:val="22"/>
          <w:szCs w:val="22"/>
        </w:rPr>
        <w:t xml:space="preserve"> upływem 5 lat po odbyciu co najmniej 5 miesięcy kary pozbawienia wolności za przestępstwo nieumyślne</w:t>
      </w:r>
    </w:p>
    <w:p w:rsidR="007B3B76" w:rsidRPr="009B6C7D" w:rsidRDefault="009B6C7D" w:rsidP="009555D0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9B6C7D">
        <w:rPr>
          <w:sz w:val="22"/>
          <w:szCs w:val="22"/>
        </w:rPr>
        <w:t>z</w:t>
      </w:r>
      <w:r w:rsidR="007B3B76" w:rsidRPr="009B6C7D">
        <w:rPr>
          <w:sz w:val="22"/>
          <w:szCs w:val="22"/>
        </w:rPr>
        <w:t xml:space="preserve"> upływem 5 lat po odbyciu 6 miesięcy kary pozbawienia wolności</w:t>
      </w:r>
    </w:p>
    <w:p w:rsidR="007B3B76" w:rsidRPr="009B6C7D" w:rsidRDefault="009B6C7D" w:rsidP="009555D0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9B6C7D">
        <w:rPr>
          <w:sz w:val="22"/>
          <w:szCs w:val="22"/>
        </w:rPr>
        <w:t>z</w:t>
      </w:r>
      <w:r w:rsidR="007B3B76" w:rsidRPr="009B6C7D">
        <w:rPr>
          <w:sz w:val="22"/>
          <w:szCs w:val="22"/>
        </w:rPr>
        <w:t xml:space="preserve"> upływem 5 lat po odbyciu 5 miesięcy kary pozbawienia wolności</w:t>
      </w:r>
    </w:p>
    <w:p w:rsidR="009B6C7D" w:rsidRDefault="009B6C7D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karnym, przygotowanie do popełnienia czynu zabronionego jest karalne:</w:t>
      </w:r>
    </w:p>
    <w:p w:rsidR="009B6C7D" w:rsidRPr="009B6C7D" w:rsidRDefault="009B6C7D" w:rsidP="009555D0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9B6C7D">
        <w:rPr>
          <w:sz w:val="22"/>
          <w:szCs w:val="22"/>
        </w:rPr>
        <w:t>ylko wtedy, gdy przeszło w fazę usiłowania</w:t>
      </w:r>
    </w:p>
    <w:p w:rsidR="009B6C7D" w:rsidRPr="009B6C7D" w:rsidRDefault="009B6C7D" w:rsidP="009555D0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9B6C7D">
        <w:rPr>
          <w:sz w:val="22"/>
          <w:szCs w:val="22"/>
        </w:rPr>
        <w:t>ylko wtedy, gdy ustawa tak stanowi</w:t>
      </w:r>
    </w:p>
    <w:p w:rsidR="009B6C7D" w:rsidRPr="009B6C7D" w:rsidRDefault="009B6C7D" w:rsidP="009555D0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9B6C7D">
        <w:rPr>
          <w:sz w:val="22"/>
          <w:szCs w:val="22"/>
        </w:rPr>
        <w:t xml:space="preserve"> przypadku wszystkich występków o charakterze chuligańskim</w:t>
      </w:r>
    </w:p>
    <w:p w:rsidR="009B6C7D" w:rsidRDefault="009B6C7D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karnym, przygotowanie do popełnienia czynu zabronionego jest karalne:</w:t>
      </w:r>
    </w:p>
    <w:p w:rsidR="009B6C7D" w:rsidRPr="009B6C7D" w:rsidRDefault="009B6C7D" w:rsidP="009555D0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9B6C7D">
        <w:rPr>
          <w:sz w:val="22"/>
          <w:szCs w:val="22"/>
        </w:rPr>
        <w:t>środkiem zabezpieczającym</w:t>
      </w:r>
    </w:p>
    <w:p w:rsidR="009B6C7D" w:rsidRPr="009B6C7D" w:rsidRDefault="009B6C7D" w:rsidP="009555D0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9B6C7D">
        <w:rPr>
          <w:sz w:val="22"/>
          <w:szCs w:val="22"/>
        </w:rPr>
        <w:t>środkiem karnym</w:t>
      </w:r>
    </w:p>
    <w:p w:rsidR="009B6C7D" w:rsidRPr="009B6C7D" w:rsidRDefault="009B6C7D" w:rsidP="009555D0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9B6C7D">
        <w:rPr>
          <w:sz w:val="22"/>
          <w:szCs w:val="22"/>
        </w:rPr>
        <w:t>karą</w:t>
      </w:r>
    </w:p>
    <w:p w:rsidR="009B6C7D" w:rsidRDefault="00793B23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9B6C7D">
        <w:rPr>
          <w:b/>
          <w:sz w:val="22"/>
          <w:szCs w:val="22"/>
        </w:rPr>
        <w:t>godnie z kodeksem karnym, zawieszenie wykonania kary następuje na okres próbny, który biegnie od:</w:t>
      </w:r>
    </w:p>
    <w:p w:rsidR="009B6C7D" w:rsidRPr="00F46E4F" w:rsidRDefault="009B6C7D" w:rsidP="009555D0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F46E4F">
        <w:rPr>
          <w:sz w:val="22"/>
          <w:szCs w:val="22"/>
        </w:rPr>
        <w:t>wydania orzeczenia przez sąd pierwszej instancji</w:t>
      </w:r>
    </w:p>
    <w:p w:rsidR="009B6C7D" w:rsidRPr="00F46E4F" w:rsidRDefault="009B6C7D" w:rsidP="009555D0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F46E4F">
        <w:rPr>
          <w:sz w:val="22"/>
          <w:szCs w:val="22"/>
        </w:rPr>
        <w:t>od daty uzgodnienia kary z prokuratorem na etapie postepowania przygotowawczego</w:t>
      </w:r>
    </w:p>
    <w:p w:rsidR="009B6C7D" w:rsidRPr="00F46E4F" w:rsidRDefault="009B6C7D" w:rsidP="009555D0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F46E4F">
        <w:rPr>
          <w:sz w:val="22"/>
          <w:szCs w:val="22"/>
        </w:rPr>
        <w:t>uprawomocnienia się orzeczenia skazującego</w:t>
      </w:r>
    </w:p>
    <w:p w:rsidR="009B6C7D" w:rsidRDefault="009B6C7D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Zgodnie z kodeksem postepowania karnego, terminy do wnoszenia środków zaskarżenia są:</w:t>
      </w:r>
    </w:p>
    <w:p w:rsidR="009B6C7D" w:rsidRPr="00F46E4F" w:rsidRDefault="009B6C7D" w:rsidP="009555D0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F46E4F">
        <w:rPr>
          <w:sz w:val="22"/>
          <w:szCs w:val="22"/>
        </w:rPr>
        <w:t>instrukcyjne dla prokuratora</w:t>
      </w:r>
    </w:p>
    <w:p w:rsidR="009B6C7D" w:rsidRPr="00F46E4F" w:rsidRDefault="009B6C7D" w:rsidP="009555D0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F46E4F">
        <w:rPr>
          <w:sz w:val="22"/>
          <w:szCs w:val="22"/>
        </w:rPr>
        <w:t>zawite dla wszystkich stron</w:t>
      </w:r>
    </w:p>
    <w:p w:rsidR="009B6C7D" w:rsidRPr="00F46E4F" w:rsidRDefault="009B6C7D" w:rsidP="009555D0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F46E4F">
        <w:rPr>
          <w:sz w:val="22"/>
          <w:szCs w:val="22"/>
        </w:rPr>
        <w:t>prekluzyjne dla wszystkich stron</w:t>
      </w:r>
    </w:p>
    <w:p w:rsidR="00F46E4F" w:rsidRDefault="00793B23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postepowania karnego, obrońca może bronić kilku oskarżonych:</w:t>
      </w:r>
    </w:p>
    <w:p w:rsidR="00793B23" w:rsidRPr="00793B23" w:rsidRDefault="00793B23" w:rsidP="009555D0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793B23">
        <w:rPr>
          <w:sz w:val="22"/>
          <w:szCs w:val="22"/>
        </w:rPr>
        <w:t>ylko wtedy, jeżeli interes pokrzywdzonych nie pozostaje z oskarżonymi w sprzeczności</w:t>
      </w:r>
    </w:p>
    <w:p w:rsidR="00793B23" w:rsidRPr="00793B23" w:rsidRDefault="00793B23" w:rsidP="009555D0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793B23">
        <w:rPr>
          <w:sz w:val="22"/>
          <w:szCs w:val="22"/>
        </w:rPr>
        <w:t>ylko wtedy, jeżeli interesy oskarżonych nie pozostają w sprzeczności</w:t>
      </w:r>
    </w:p>
    <w:p w:rsidR="00793B23" w:rsidRPr="00793B23" w:rsidRDefault="00793B23" w:rsidP="009555D0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93B23">
        <w:rPr>
          <w:sz w:val="22"/>
          <w:szCs w:val="22"/>
        </w:rPr>
        <w:t>awet wtedy, gdy interesy oskarżonych pozostają w sprzeczności, jeżeli wyrazi na to zgodę prokurator</w:t>
      </w:r>
    </w:p>
    <w:p w:rsidR="00793B23" w:rsidRDefault="00793B23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postepowania karnego, jeżeli akt oskarżenia wniósł oskarżyciel publiczny, pokrzywdzony może złożyć oświadczenie, że będzie działał w charakterze oskarżyciela posiłkowego, aż do czasu:</w:t>
      </w:r>
    </w:p>
    <w:p w:rsidR="00793B23" w:rsidRPr="00ED2993" w:rsidRDefault="00ED2993" w:rsidP="009555D0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793B23" w:rsidRPr="00ED2993">
        <w:rPr>
          <w:sz w:val="22"/>
          <w:szCs w:val="22"/>
        </w:rPr>
        <w:t>ozpoczęcia przewodu sądowego na rozprawie głównej</w:t>
      </w:r>
    </w:p>
    <w:p w:rsidR="00793B23" w:rsidRPr="00ED2993" w:rsidRDefault="00ED2993" w:rsidP="009555D0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793B23" w:rsidRPr="00ED2993">
        <w:rPr>
          <w:sz w:val="22"/>
          <w:szCs w:val="22"/>
        </w:rPr>
        <w:t>akończenie jego p</w:t>
      </w:r>
      <w:r w:rsidRPr="00ED2993">
        <w:rPr>
          <w:sz w:val="22"/>
          <w:szCs w:val="22"/>
        </w:rPr>
        <w:t>ierwszego przesłuchania na rozprawie głó</w:t>
      </w:r>
      <w:r w:rsidR="00793B23" w:rsidRPr="00ED2993">
        <w:rPr>
          <w:sz w:val="22"/>
          <w:szCs w:val="22"/>
        </w:rPr>
        <w:t>wnej</w:t>
      </w:r>
    </w:p>
    <w:p w:rsidR="00ED2993" w:rsidRPr="00ED2993" w:rsidRDefault="00ED2993" w:rsidP="009555D0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D2993">
        <w:rPr>
          <w:sz w:val="22"/>
          <w:szCs w:val="22"/>
        </w:rPr>
        <w:t>amknięcia przewodu sądowego na rozprawie głównej</w:t>
      </w:r>
    </w:p>
    <w:p w:rsidR="00ED2993" w:rsidRDefault="00ED2993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postepowania karnego, jeżeli sąd odwoławczy utrzymuje zaskarżony wyrok w mocy, uznając apelację za oczywiście bezzasadną, uzasadnienie wyroku sporządza się z urzędu, zawsze gdy:</w:t>
      </w:r>
    </w:p>
    <w:p w:rsidR="00ED2993" w:rsidRPr="00ED2993" w:rsidRDefault="00ED2993" w:rsidP="009555D0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ED2993">
        <w:rPr>
          <w:sz w:val="22"/>
          <w:szCs w:val="22"/>
        </w:rPr>
        <w:t>rozpoznaniu podlegała apelacja prokuratora</w:t>
      </w:r>
    </w:p>
    <w:p w:rsidR="00ED2993" w:rsidRPr="00ED2993" w:rsidRDefault="00ED2993" w:rsidP="009555D0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ED2993">
        <w:rPr>
          <w:sz w:val="22"/>
          <w:szCs w:val="22"/>
        </w:rPr>
        <w:t>zostało zgłoszone zdanie odrębne</w:t>
      </w:r>
    </w:p>
    <w:p w:rsidR="00ED2993" w:rsidRPr="00ED2993" w:rsidRDefault="00ED2993" w:rsidP="009555D0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ED2993">
        <w:rPr>
          <w:sz w:val="22"/>
          <w:szCs w:val="22"/>
        </w:rPr>
        <w:t>w pierwszej instancji orzekał sąd okręgowy</w:t>
      </w:r>
    </w:p>
    <w:p w:rsidR="00ED2993" w:rsidRDefault="00C009F0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karnym, ten kto kieruje wykonaniem czynu zabronionego przez inną osobę lub wykorzystując uzależnienie innej osoby od siebie, poleca jej wykonanie tego czynu, odpowiada za :</w:t>
      </w:r>
    </w:p>
    <w:p w:rsidR="00C009F0" w:rsidRPr="00C009F0" w:rsidRDefault="00C009F0" w:rsidP="009555D0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C009F0">
        <w:rPr>
          <w:sz w:val="22"/>
          <w:szCs w:val="22"/>
        </w:rPr>
        <w:t>pomocnictwo</w:t>
      </w:r>
    </w:p>
    <w:p w:rsidR="00C009F0" w:rsidRPr="00C009F0" w:rsidRDefault="00C009F0" w:rsidP="009555D0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C009F0">
        <w:rPr>
          <w:sz w:val="22"/>
          <w:szCs w:val="22"/>
        </w:rPr>
        <w:t>usiłowanie</w:t>
      </w:r>
    </w:p>
    <w:p w:rsidR="00C009F0" w:rsidRPr="00C009F0" w:rsidRDefault="00C009F0" w:rsidP="009555D0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C009F0">
        <w:rPr>
          <w:sz w:val="22"/>
          <w:szCs w:val="22"/>
        </w:rPr>
        <w:t>sprawstwo</w:t>
      </w:r>
    </w:p>
    <w:p w:rsidR="00C009F0" w:rsidRDefault="00C009F0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karnym, uprzednia karalność sprawcy za przestępstwo umyślne wyłącza możliwość:</w:t>
      </w:r>
    </w:p>
    <w:p w:rsidR="00C009F0" w:rsidRPr="00C009F0" w:rsidRDefault="00C009F0" w:rsidP="009555D0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C009F0">
        <w:rPr>
          <w:sz w:val="22"/>
          <w:szCs w:val="22"/>
        </w:rPr>
        <w:t>umorzenia postepowania karnego z uwagi na znikomą społeczną szkodliwość czynu</w:t>
      </w:r>
    </w:p>
    <w:p w:rsidR="00C009F0" w:rsidRPr="00C009F0" w:rsidRDefault="00C009F0" w:rsidP="009555D0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C009F0">
        <w:rPr>
          <w:sz w:val="22"/>
          <w:szCs w:val="22"/>
        </w:rPr>
        <w:t>nadzwyczajnego złagodzenia kary</w:t>
      </w:r>
    </w:p>
    <w:p w:rsidR="00C009F0" w:rsidRPr="00C009F0" w:rsidRDefault="00C009F0" w:rsidP="009555D0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C009F0">
        <w:rPr>
          <w:sz w:val="22"/>
          <w:szCs w:val="22"/>
        </w:rPr>
        <w:t>warunkowego umorzenia postepowania karnego</w:t>
      </w:r>
    </w:p>
    <w:p w:rsidR="00C009F0" w:rsidRDefault="00C009F0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postepowania karnego, o warunkowym umorzeniu postepowania karnego orzeka:</w:t>
      </w:r>
    </w:p>
    <w:p w:rsidR="00C009F0" w:rsidRPr="00C009F0" w:rsidRDefault="00C009F0" w:rsidP="009555D0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C009F0">
        <w:rPr>
          <w:sz w:val="22"/>
          <w:szCs w:val="22"/>
        </w:rPr>
        <w:t>prokurator</w:t>
      </w:r>
    </w:p>
    <w:p w:rsidR="00C009F0" w:rsidRPr="00C009F0" w:rsidRDefault="00C009F0" w:rsidP="009555D0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C009F0">
        <w:rPr>
          <w:sz w:val="22"/>
          <w:szCs w:val="22"/>
        </w:rPr>
        <w:t>sąd</w:t>
      </w:r>
    </w:p>
    <w:p w:rsidR="00C009F0" w:rsidRPr="00C009F0" w:rsidRDefault="00C009F0" w:rsidP="009555D0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C009F0">
        <w:rPr>
          <w:sz w:val="22"/>
          <w:szCs w:val="22"/>
        </w:rPr>
        <w:lastRenderedPageBreak/>
        <w:t>funkcjonariusz policji prowadzący postępowanie</w:t>
      </w:r>
    </w:p>
    <w:p w:rsidR="00C009F0" w:rsidRDefault="00C009F0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karnym, w wypadku warunkowego zawieszenia wykonania kary pozbawienia wolności wobec sprawcy młodocianego okres próby, wynosi nie mniej niż:</w:t>
      </w:r>
    </w:p>
    <w:p w:rsidR="00C009F0" w:rsidRPr="009E05A7" w:rsidRDefault="009E05A7" w:rsidP="009555D0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9E05A7">
        <w:rPr>
          <w:sz w:val="22"/>
          <w:szCs w:val="22"/>
        </w:rPr>
        <w:t>2 lata</w:t>
      </w:r>
    </w:p>
    <w:p w:rsidR="009E05A7" w:rsidRPr="009E05A7" w:rsidRDefault="009E05A7" w:rsidP="009555D0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9E05A7">
        <w:rPr>
          <w:sz w:val="22"/>
          <w:szCs w:val="22"/>
        </w:rPr>
        <w:t>1 rok</w:t>
      </w:r>
    </w:p>
    <w:p w:rsidR="009E05A7" w:rsidRPr="009E05A7" w:rsidRDefault="009E05A7" w:rsidP="009555D0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9E05A7">
        <w:rPr>
          <w:sz w:val="22"/>
          <w:szCs w:val="22"/>
        </w:rPr>
        <w:t>3 lata</w:t>
      </w:r>
    </w:p>
    <w:p w:rsidR="009E05A7" w:rsidRDefault="009E05A7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karnym, zawieszając wykonanie kary pozbawienia wolności, sąd jest zobowiązany oddać pod dozór:</w:t>
      </w:r>
    </w:p>
    <w:p w:rsidR="009E05A7" w:rsidRPr="009E05A7" w:rsidRDefault="009E05A7" w:rsidP="009555D0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E05A7">
        <w:rPr>
          <w:sz w:val="22"/>
          <w:szCs w:val="22"/>
        </w:rPr>
        <w:t>każdego sprawcę przestępstwa umyślnego</w:t>
      </w:r>
    </w:p>
    <w:p w:rsidR="009E05A7" w:rsidRPr="009E05A7" w:rsidRDefault="009E05A7" w:rsidP="009555D0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E05A7">
        <w:rPr>
          <w:sz w:val="22"/>
          <w:szCs w:val="22"/>
        </w:rPr>
        <w:t>młodocianego sprawcę przestępstwa umyślnego</w:t>
      </w:r>
    </w:p>
    <w:p w:rsidR="009E05A7" w:rsidRPr="009E05A7" w:rsidRDefault="009E05A7" w:rsidP="009555D0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9E05A7">
        <w:rPr>
          <w:sz w:val="22"/>
          <w:szCs w:val="22"/>
        </w:rPr>
        <w:t>młodocianego sprawcę przestępstwa nieumyślnego</w:t>
      </w:r>
    </w:p>
    <w:p w:rsidR="009E05A7" w:rsidRDefault="009E05A7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postepowania karnego, jeżeli podejrzany jest tymczasowo aresztowany, w postepowaniu przygotowawczym prokurator:</w:t>
      </w:r>
    </w:p>
    <w:p w:rsidR="009E05A7" w:rsidRPr="009E05A7" w:rsidRDefault="009E05A7" w:rsidP="009555D0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9E05A7">
        <w:rPr>
          <w:sz w:val="22"/>
          <w:szCs w:val="22"/>
        </w:rPr>
        <w:t>ie może w ogóle zastrzec kontroli korespondencji podejrzanego z obrońcą</w:t>
      </w:r>
    </w:p>
    <w:p w:rsidR="009E05A7" w:rsidRPr="009E05A7" w:rsidRDefault="009E05A7" w:rsidP="009555D0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9E05A7">
        <w:rPr>
          <w:sz w:val="22"/>
          <w:szCs w:val="22"/>
        </w:rPr>
        <w:t>oże zastrzec kontrolę korespondencji podejrzanego z obrońcą, ale tylko przez pierwsze 3 miesiące od dnia tymczasowego aresztowania podejrzanego</w:t>
      </w:r>
    </w:p>
    <w:p w:rsidR="009E05A7" w:rsidRPr="009E05A7" w:rsidRDefault="009E05A7" w:rsidP="009555D0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9E05A7">
        <w:rPr>
          <w:sz w:val="22"/>
          <w:szCs w:val="22"/>
        </w:rPr>
        <w:t>oże zastrzec kontrolę korespondencji podejrzanego z obrońcą, ale nie może tego dokonać po upływie 14 dni od dnia tymczasowego aresztowania podejrzanego</w:t>
      </w:r>
    </w:p>
    <w:p w:rsidR="009E05A7" w:rsidRDefault="009E05A7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postepowania karnego, na postanowienie prokuratora w przedmiocie środka zapobiegawczego zażalenie przysługuje do:</w:t>
      </w:r>
    </w:p>
    <w:p w:rsidR="009E05A7" w:rsidRPr="009E05A7" w:rsidRDefault="009E05A7" w:rsidP="009555D0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9E05A7">
        <w:rPr>
          <w:sz w:val="22"/>
          <w:szCs w:val="22"/>
        </w:rPr>
        <w:t>sądu okręgowego</w:t>
      </w:r>
    </w:p>
    <w:p w:rsidR="009E05A7" w:rsidRPr="009E05A7" w:rsidRDefault="009E05A7" w:rsidP="009555D0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9E05A7">
        <w:rPr>
          <w:sz w:val="22"/>
          <w:szCs w:val="22"/>
        </w:rPr>
        <w:t>prokuratora apelacyjnego</w:t>
      </w:r>
    </w:p>
    <w:p w:rsidR="009E05A7" w:rsidRPr="009E05A7" w:rsidRDefault="009E05A7" w:rsidP="009555D0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9E05A7">
        <w:rPr>
          <w:sz w:val="22"/>
          <w:szCs w:val="22"/>
        </w:rPr>
        <w:t>sądu rejonowego, w którego okręgu prowadzi się postępowanie</w:t>
      </w:r>
    </w:p>
    <w:p w:rsidR="009E05A7" w:rsidRDefault="009E05A7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postepowania karnego, przewód sądowy rozpoczyna się od:</w:t>
      </w:r>
    </w:p>
    <w:p w:rsidR="009E05A7" w:rsidRPr="009E05A7" w:rsidRDefault="009E05A7" w:rsidP="009555D0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9E05A7">
        <w:rPr>
          <w:sz w:val="22"/>
          <w:szCs w:val="22"/>
        </w:rPr>
        <w:t>Wywołania sprawy</w:t>
      </w:r>
    </w:p>
    <w:p w:rsidR="009E05A7" w:rsidRPr="009E05A7" w:rsidRDefault="009E05A7" w:rsidP="009555D0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9E05A7">
        <w:rPr>
          <w:sz w:val="22"/>
          <w:szCs w:val="22"/>
        </w:rPr>
        <w:t>Sprawdzenia stawiennictwa osób wezwanych</w:t>
      </w:r>
    </w:p>
    <w:p w:rsidR="009E05A7" w:rsidRPr="009E05A7" w:rsidRDefault="009E05A7" w:rsidP="009555D0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9E05A7">
        <w:rPr>
          <w:sz w:val="22"/>
          <w:szCs w:val="22"/>
        </w:rPr>
        <w:t>Odczytania aktu oskarżenia</w:t>
      </w:r>
    </w:p>
    <w:p w:rsidR="009E05A7" w:rsidRDefault="00FC431B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postepowania karnego, na postanowienie w przedmiocie zawieszenia postępowania :</w:t>
      </w:r>
    </w:p>
    <w:p w:rsidR="00FC431B" w:rsidRPr="00FC431B" w:rsidRDefault="00FC431B" w:rsidP="009555D0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FC431B">
        <w:rPr>
          <w:sz w:val="22"/>
          <w:szCs w:val="22"/>
        </w:rPr>
        <w:t>nie przysługuje zażalenie</w:t>
      </w:r>
    </w:p>
    <w:p w:rsidR="00FC431B" w:rsidRPr="00FC431B" w:rsidRDefault="00FC431B" w:rsidP="009555D0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FC431B">
        <w:rPr>
          <w:sz w:val="22"/>
          <w:szCs w:val="22"/>
        </w:rPr>
        <w:t>przysługuje zażalenie</w:t>
      </w:r>
    </w:p>
    <w:p w:rsidR="00FC431B" w:rsidRPr="00FC431B" w:rsidRDefault="00FC431B" w:rsidP="009555D0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FC431B">
        <w:rPr>
          <w:sz w:val="22"/>
          <w:szCs w:val="22"/>
        </w:rPr>
        <w:t>przysługuje sprzeciw</w:t>
      </w:r>
    </w:p>
    <w:p w:rsidR="00FC431B" w:rsidRDefault="00FC431B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postepowania karnego, oskarżony, któremu zarzucono występek, może złożyć wniosek o wydaniu wyroku skazującego i wymierzenie kary lub środka karnego bez przeprowadzenia postepowania dowodowego, najpóźniej do chwili:</w:t>
      </w:r>
    </w:p>
    <w:p w:rsidR="00FC431B" w:rsidRPr="00FC431B" w:rsidRDefault="00FC431B" w:rsidP="009555D0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FC431B">
        <w:rPr>
          <w:sz w:val="22"/>
          <w:szCs w:val="22"/>
        </w:rPr>
        <w:t>rozpoczęcia przewodu sądowego</w:t>
      </w:r>
    </w:p>
    <w:p w:rsidR="00FC431B" w:rsidRPr="00FC431B" w:rsidRDefault="00FC431B" w:rsidP="009555D0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FC431B">
        <w:rPr>
          <w:sz w:val="22"/>
          <w:szCs w:val="22"/>
        </w:rPr>
        <w:t>zamknięcia przewodu sądowego</w:t>
      </w:r>
    </w:p>
    <w:p w:rsidR="00FC431B" w:rsidRPr="00FC431B" w:rsidRDefault="00FC431B" w:rsidP="009555D0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FC431B">
        <w:rPr>
          <w:sz w:val="22"/>
          <w:szCs w:val="22"/>
        </w:rPr>
        <w:lastRenderedPageBreak/>
        <w:t>zakończenia pierwszego przesłuchania wszystkich oskarżonych na rozprawie głównej</w:t>
      </w:r>
    </w:p>
    <w:p w:rsidR="00FC431B" w:rsidRDefault="00FC431B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Prokuratura okręgowa prowadzi i nadzoruje postępowania przygotowawcze w sprawach o poważne przestępstwa kryminalne i gospodarcze, w tym:</w:t>
      </w:r>
    </w:p>
    <w:p w:rsidR="00FC431B" w:rsidRPr="00FC431B" w:rsidRDefault="00FC431B" w:rsidP="009555D0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FC431B">
        <w:rPr>
          <w:sz w:val="22"/>
          <w:szCs w:val="22"/>
        </w:rPr>
        <w:t xml:space="preserve"> charakterze terrorystycznym</w:t>
      </w:r>
    </w:p>
    <w:p w:rsidR="00FC431B" w:rsidRPr="00FC431B" w:rsidRDefault="00FC431B" w:rsidP="009555D0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FC431B">
        <w:rPr>
          <w:sz w:val="22"/>
          <w:szCs w:val="22"/>
        </w:rPr>
        <w:t>otyczących zorganizowanej przestępczości mającej na celu popełnianie przestępstw kryminalnych, gospodarczych lub skarbowych</w:t>
      </w:r>
    </w:p>
    <w:p w:rsidR="00FC431B" w:rsidRPr="00FC431B" w:rsidRDefault="00FC431B" w:rsidP="009555D0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FC431B">
        <w:rPr>
          <w:sz w:val="22"/>
          <w:szCs w:val="22"/>
        </w:rPr>
        <w:t>rzestępstwa przeciwko obrotowi gospodarczemu, jeżeli przestępstwa dopuszczono się względem mienia o znacznej wartości</w:t>
      </w:r>
    </w:p>
    <w:p w:rsidR="00FC431B" w:rsidRDefault="00FC431B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Kierownik jednostki i zwierzchnik służbowy prokuratora nie jest uprawniony do :</w:t>
      </w:r>
    </w:p>
    <w:p w:rsidR="00FC431B" w:rsidRPr="00F94896" w:rsidRDefault="00F94896" w:rsidP="009555D0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ż</w:t>
      </w:r>
      <w:r w:rsidRPr="00F94896">
        <w:rPr>
          <w:sz w:val="22"/>
          <w:szCs w:val="22"/>
        </w:rPr>
        <w:t>ądanie pisemnych informacji o przebiegu postepowania</w:t>
      </w:r>
    </w:p>
    <w:p w:rsidR="00F94896" w:rsidRPr="00F94896" w:rsidRDefault="00F94896" w:rsidP="009555D0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F94896">
        <w:rPr>
          <w:sz w:val="22"/>
          <w:szCs w:val="22"/>
        </w:rPr>
        <w:t>apoznawania się z aktami sprawy</w:t>
      </w:r>
    </w:p>
    <w:p w:rsidR="00F94896" w:rsidRPr="00F94896" w:rsidRDefault="00F94896" w:rsidP="009555D0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F94896">
        <w:rPr>
          <w:sz w:val="22"/>
          <w:szCs w:val="22"/>
        </w:rPr>
        <w:t>ontrolowania poziomu merytorycznego wystąpień prokuratorów przed sądem</w:t>
      </w:r>
    </w:p>
    <w:p w:rsidR="00F94896" w:rsidRPr="009E1CF5" w:rsidRDefault="00F94896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jakim terminie od dnia sporządzenia protokołu lub otrzymania pisemnego </w:t>
      </w:r>
      <w:r w:rsidRPr="009E1CF5">
        <w:rPr>
          <w:b/>
          <w:sz w:val="22"/>
          <w:szCs w:val="22"/>
        </w:rPr>
        <w:t>zawiadomienia o przestępstwie prokurator jest obowiązany nadać bieg sprawie:</w:t>
      </w:r>
    </w:p>
    <w:p w:rsidR="00F94896" w:rsidRPr="009E1CF5" w:rsidRDefault="009E1CF5" w:rsidP="009555D0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 w:rsidRPr="009E1CF5">
        <w:rPr>
          <w:sz w:val="22"/>
          <w:szCs w:val="22"/>
        </w:rPr>
        <w:t>2 dni</w:t>
      </w:r>
    </w:p>
    <w:p w:rsidR="009E1CF5" w:rsidRPr="009E1CF5" w:rsidRDefault="009E1CF5" w:rsidP="009555D0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 w:rsidRPr="009E1CF5">
        <w:rPr>
          <w:sz w:val="22"/>
          <w:szCs w:val="22"/>
        </w:rPr>
        <w:t>7 dni</w:t>
      </w:r>
    </w:p>
    <w:p w:rsidR="009E1CF5" w:rsidRPr="009E1CF5" w:rsidRDefault="009E1CF5" w:rsidP="009555D0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 w:rsidRPr="009E1CF5">
        <w:rPr>
          <w:sz w:val="22"/>
          <w:szCs w:val="22"/>
        </w:rPr>
        <w:t>2 miesiące</w:t>
      </w:r>
    </w:p>
    <w:p w:rsidR="005D1B4D" w:rsidRDefault="005D1B4D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Protokół przesłuchania jest podpisywany przez wszystkie osoby biorące udział w czynności:</w:t>
      </w:r>
    </w:p>
    <w:p w:rsidR="005D1B4D" w:rsidRPr="005D1B4D" w:rsidRDefault="00F31474" w:rsidP="009555D0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5D1B4D" w:rsidRPr="005D1B4D">
        <w:rPr>
          <w:sz w:val="22"/>
          <w:szCs w:val="22"/>
        </w:rPr>
        <w:t>a każdej stronie</w:t>
      </w:r>
    </w:p>
    <w:p w:rsidR="005D1B4D" w:rsidRPr="005D1B4D" w:rsidRDefault="00F31474" w:rsidP="009555D0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5D1B4D" w:rsidRPr="005D1B4D">
        <w:rPr>
          <w:sz w:val="22"/>
          <w:szCs w:val="22"/>
        </w:rPr>
        <w:t>a wybranej stronie</w:t>
      </w:r>
    </w:p>
    <w:p w:rsidR="005D1B4D" w:rsidRPr="005D1B4D" w:rsidRDefault="00F31474" w:rsidP="009555D0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5D1B4D" w:rsidRPr="005D1B4D">
        <w:rPr>
          <w:sz w:val="22"/>
          <w:szCs w:val="22"/>
        </w:rPr>
        <w:t>a pierwszej i czasami na ostatniej stronie</w:t>
      </w:r>
    </w:p>
    <w:p w:rsidR="00F31474" w:rsidRDefault="00F31474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Członek zespołu prowadzącego sprawę o obszernym materiale dowodowym:</w:t>
      </w:r>
    </w:p>
    <w:p w:rsidR="00F31474" w:rsidRPr="00F31474" w:rsidRDefault="00F31474" w:rsidP="009555D0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F31474">
        <w:rPr>
          <w:sz w:val="22"/>
          <w:szCs w:val="22"/>
        </w:rPr>
        <w:t>ie wydaje postanowienia o przedstawieniu zarzutów</w:t>
      </w:r>
    </w:p>
    <w:p w:rsidR="00F31474" w:rsidRPr="00F31474" w:rsidRDefault="00F31474" w:rsidP="009555D0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F31474">
        <w:rPr>
          <w:sz w:val="22"/>
          <w:szCs w:val="22"/>
        </w:rPr>
        <w:t>ydaje postanowienie o umorzeniu śledztwa, jeżeli zezwoli na to n jego wniosek prokurator apelacyjny</w:t>
      </w:r>
    </w:p>
    <w:p w:rsidR="00F31474" w:rsidRPr="00F31474" w:rsidRDefault="00F31474" w:rsidP="009555D0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F31474">
        <w:rPr>
          <w:sz w:val="22"/>
          <w:szCs w:val="22"/>
        </w:rPr>
        <w:t>kłada wnioski w przedmiocie zastosowania środków zapobiegawczych, o ile nie sprzeciwi się temu Prokurator Generalny</w:t>
      </w:r>
    </w:p>
    <w:p w:rsidR="00F31474" w:rsidRDefault="00F31474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Umarzając śledztwo albo dochodzenie na podstawie art. 322 kpk. </w:t>
      </w:r>
      <w:r w:rsidR="00C32409"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 xml:space="preserve">ako </w:t>
      </w:r>
      <w:r w:rsidR="00C32409">
        <w:rPr>
          <w:b/>
          <w:sz w:val="22"/>
          <w:szCs w:val="22"/>
        </w:rPr>
        <w:t>przyczynę</w:t>
      </w:r>
      <w:r>
        <w:rPr>
          <w:b/>
          <w:sz w:val="22"/>
          <w:szCs w:val="22"/>
        </w:rPr>
        <w:t xml:space="preserve"> umorzenia można dodatkowo wskazać:</w:t>
      </w:r>
    </w:p>
    <w:p w:rsidR="00F31474" w:rsidRPr="00C32409" w:rsidRDefault="00C32409" w:rsidP="009555D0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C32409">
        <w:rPr>
          <w:sz w:val="22"/>
          <w:szCs w:val="22"/>
        </w:rPr>
        <w:t>koliczność, że podejrzany zmarł</w:t>
      </w:r>
    </w:p>
    <w:p w:rsidR="00C32409" w:rsidRPr="00C32409" w:rsidRDefault="00C32409" w:rsidP="009555D0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C32409">
        <w:rPr>
          <w:sz w:val="22"/>
          <w:szCs w:val="22"/>
        </w:rPr>
        <w:t>koliczność, że podejrzany nie popełnił zarzucanego mu przestępstwa</w:t>
      </w:r>
    </w:p>
    <w:p w:rsidR="00C32409" w:rsidRPr="00C32409" w:rsidRDefault="00C32409" w:rsidP="009555D0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C32409">
        <w:rPr>
          <w:sz w:val="22"/>
          <w:szCs w:val="22"/>
        </w:rPr>
        <w:t>rak skargi uprawnionego oskarżyciela</w:t>
      </w:r>
    </w:p>
    <w:p w:rsidR="00C32409" w:rsidRDefault="00C32409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Powodem odwołania Prokuratora Generalnego przez Prezydenta Rzeczpospolitej Polskiej nie jest:</w:t>
      </w:r>
    </w:p>
    <w:p w:rsidR="00C32409" w:rsidRPr="00C32409" w:rsidRDefault="00C32409" w:rsidP="009555D0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C32409">
        <w:rPr>
          <w:sz w:val="22"/>
          <w:szCs w:val="22"/>
        </w:rPr>
        <w:t>zrzeczenie się stanowiska</w:t>
      </w:r>
    </w:p>
    <w:p w:rsidR="00C32409" w:rsidRPr="00C32409" w:rsidRDefault="00C32409" w:rsidP="009555D0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C32409">
        <w:rPr>
          <w:sz w:val="22"/>
          <w:szCs w:val="22"/>
        </w:rPr>
        <w:t xml:space="preserve">zasowa, krótkoterminowa niezdolność do pełnienia obowiązków Prokuratora Generalnego </w:t>
      </w:r>
      <w:r w:rsidRPr="00C32409">
        <w:rPr>
          <w:sz w:val="22"/>
          <w:szCs w:val="22"/>
        </w:rPr>
        <w:lastRenderedPageBreak/>
        <w:t>na skutek choroby lub utraty sił, stwierdzona orzeczeniem lekarskim</w:t>
      </w:r>
    </w:p>
    <w:p w:rsidR="00C32409" w:rsidRPr="00C32409" w:rsidRDefault="00C32409" w:rsidP="009555D0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C32409">
        <w:rPr>
          <w:sz w:val="22"/>
          <w:szCs w:val="22"/>
        </w:rPr>
        <w:t>kazanie prawomocnym wyrokiem sądu za popełnienie przestępstwa lub przestępstwa skarbowego albo złożenie niezgodne z prawdą oświadczenia lustracyjnego, stwierdzone prawomocnym orzeczeniem sądu</w:t>
      </w:r>
    </w:p>
    <w:p w:rsidR="00C039F6" w:rsidRDefault="00C039F6" w:rsidP="00457249">
      <w:pPr>
        <w:pStyle w:val="Standard"/>
        <w:spacing w:line="360" w:lineRule="auto"/>
        <w:jc w:val="both"/>
        <w:rPr>
          <w:rFonts w:eastAsia="Calibri" w:cs="Calibri"/>
          <w:sz w:val="22"/>
          <w:szCs w:val="22"/>
        </w:rPr>
      </w:pPr>
    </w:p>
    <w:p w:rsidR="00F653BC" w:rsidRPr="00D61543" w:rsidRDefault="00F653BC" w:rsidP="00F653BC">
      <w:pPr>
        <w:spacing w:line="360" w:lineRule="auto"/>
        <w:jc w:val="both"/>
        <w:rPr>
          <w:b/>
        </w:rPr>
      </w:pPr>
      <w:r w:rsidRPr="00D61543">
        <w:rPr>
          <w:b/>
        </w:rPr>
        <w:t>Pytania opisowe:</w:t>
      </w:r>
    </w:p>
    <w:p w:rsidR="00AB70CA" w:rsidRDefault="00F653BC" w:rsidP="00267FB4">
      <w:pPr>
        <w:spacing w:line="360" w:lineRule="auto"/>
        <w:jc w:val="both"/>
        <w:rPr>
          <w:b/>
        </w:rPr>
      </w:pPr>
      <w:r w:rsidRPr="00D61543">
        <w:rPr>
          <w:b/>
        </w:rPr>
        <w:t>1.</w:t>
      </w:r>
      <w:r w:rsidR="00267FB4">
        <w:rPr>
          <w:b/>
        </w:rPr>
        <w:t xml:space="preserve"> </w:t>
      </w:r>
      <w:r w:rsidR="00AB70CA">
        <w:rPr>
          <w:b/>
        </w:rPr>
        <w:t>Mariusz B. jest mechanikiem samochodowym. W dniu 16 czerwca 2014r. naprawił samochód Janowi k. w garażu jego willi w Warszawie przy ul. Biedronki. Gdy przechodził w ogrodzie został zaatakowany przez psa Jana K. i mocno pogryziony, tak że w okolicy łydki lewej nogi miał otwartą ranę o średnicy ok. 2 cm. Andrzej B. chciał natychmiast uda się do szpitala. Jan K. bardzo przepraszał za to co się stało i wyrażał gotowość natychmiastowego odwiezienia Andrzeja B. do szpitala, zapewniając go tym, że pies jest zdrowy i przeszedł wszystkie szczepienia. To uspokoiło Andrzeja B. do tego stopnia, że zrezygnował z pójścia do lekarza. Po tygodniu rany zaczęły ropieć i wówczas Andrzej B. udał się do swojego lekarza rodzinnego Anny C., która na korytarzu przychodni w Wołominie przy ul. Lipińskiej nie oglądając nawet rany ( była zajęta rozmową z koleżanką), poleciła Andrzejowi B. by zgłosił się do specjalisty, nie wypisała przy tym żadnego skierowania. Andrzej B. czul się coraz gorzej i kiedy w trzy dni po wizycie u Anny C. przewieziono go do Szpitala Powiatowego w Wołominie to okazało się, że doszło do tak zaawansowanego zakażenia krwi- sepsy, że życie Andrzeja B. już nie uratowano. Zmarł w drugiej dobie po przyjęciu do szpitala.</w:t>
      </w:r>
    </w:p>
    <w:p w:rsidR="00AB70CA" w:rsidRDefault="00AB70CA" w:rsidP="00267FB4">
      <w:pPr>
        <w:spacing w:line="360" w:lineRule="auto"/>
        <w:jc w:val="both"/>
        <w:rPr>
          <w:b/>
        </w:rPr>
      </w:pPr>
      <w:r>
        <w:rPr>
          <w:b/>
        </w:rPr>
        <w:t>Biegły lekarz prowadzący sekcję zwłok Andrzeja B. stwierdził, że do zakażenia doszło od brudnego ubrania i była to bezpośrednia przyczyna śmierci Andrzeja b. Natomiast biegły lekarz z zakresu chorób wewnętrznych w wydanej opinii stwierdził, że możliwe było zapobieżenie śmieci Andrzeja B., gdyby lekarz Anna C. postawiła prawidłową diagnozę i natychmiast skierowała go do szpitala. Ustalono też, że pies</w:t>
      </w:r>
      <w:r w:rsidR="00215166">
        <w:rPr>
          <w:b/>
        </w:rPr>
        <w:t xml:space="preserve"> Jana K. wbrew jego zapewnieniom, nie był szczepiony.</w:t>
      </w:r>
    </w:p>
    <w:p w:rsidR="00215166" w:rsidRDefault="00215166" w:rsidP="00267FB4">
      <w:pPr>
        <w:spacing w:line="360" w:lineRule="auto"/>
        <w:jc w:val="both"/>
        <w:rPr>
          <w:b/>
        </w:rPr>
      </w:pPr>
      <w:r>
        <w:rPr>
          <w:b/>
        </w:rPr>
        <w:t>Proszę o sporządzenie, po dokonaniu własnej prawnokarnej oceny zachowań Jana k. i Anny C., projektu/projektów postanowienia/postanowień o przedstawieniu zarzutu, które zdaniem Pana/Pani rokują na powodzenie skutecznego oskarżenia w sądzie i krótkie pisemne uzasadnienie takiego stanowiska.</w:t>
      </w:r>
    </w:p>
    <w:p w:rsidR="00215166" w:rsidRDefault="00215166" w:rsidP="00267FB4">
      <w:pPr>
        <w:spacing w:line="360" w:lineRule="auto"/>
        <w:jc w:val="both"/>
        <w:rPr>
          <w:b/>
        </w:rPr>
      </w:pPr>
      <w:r>
        <w:rPr>
          <w:b/>
        </w:rPr>
        <w:t>Przy tworzeniu postanowienia/postanowień o przedstawieniu zarzutu proszę mieć na uwadze niezbędne elementy jakie winno zawierać, tj.: wskazanie podejrzanego, dokładne określenie zarzucanego mu czynu i jego kwalifikację prawną oraz wskazanie prokuratora, który je wydaje. Na potrzeby konkursu przyjmujemy, że sprawa została zarejestrowana w prokuraturze za sygnaturą V Ds., 100/14</w:t>
      </w:r>
    </w:p>
    <w:p w:rsidR="00AB70CA" w:rsidRDefault="00AB70CA" w:rsidP="00267FB4">
      <w:pPr>
        <w:spacing w:line="360" w:lineRule="auto"/>
        <w:jc w:val="both"/>
        <w:rPr>
          <w:b/>
        </w:rPr>
      </w:pPr>
    </w:p>
    <w:p w:rsidR="00AB70CA" w:rsidRDefault="00215166" w:rsidP="00267FB4">
      <w:pPr>
        <w:spacing w:line="360" w:lineRule="auto"/>
        <w:jc w:val="both"/>
        <w:rPr>
          <w:b/>
        </w:rPr>
      </w:pPr>
      <w:r>
        <w:rPr>
          <w:b/>
        </w:rPr>
        <w:t>2. W dniu 15 lipca 2013 r. o godz. 5:45 w Otwocku na parkingu przy ul. Kosynierów Józef B. po uprzednim wybiciu szyby, otworzył drzwi do samochodu Opel astra- należącego do nieznanego mu Bogdana O. – zamierzając zabrać znajdujący się tam radioodtwarzacz samochodowy marki Pionieer. Bogdan O. tydzień wcześniej ubezpieczył pojazd</w:t>
      </w:r>
      <w:r w:rsidR="008F2A88">
        <w:rPr>
          <w:b/>
        </w:rPr>
        <w:t xml:space="preserve"> w TUiR Warta S.A. tytu</w:t>
      </w:r>
      <w:r>
        <w:rPr>
          <w:b/>
        </w:rPr>
        <w:t xml:space="preserve">łem A.C. </w:t>
      </w:r>
      <w:r w:rsidR="008F2A88">
        <w:rPr>
          <w:b/>
        </w:rPr>
        <w:t xml:space="preserve"> na kwotę 55 000 zł. Właściciel zawsze zamykał auto pilotem. Uczynił tak również 14 lipca 2013r. wieczorem parkując ostatni raz swój samochód. Józef B. siedząc już w środku stwierdził, że pojazd mu się podoba, po czym uruchomił auto nie mając do tego kluczyków i odjechał z miejsca parkowania. Po przejechaniu kilku kilometrów zauważył przechodzącego nieopodal Grzegorza D. swego kolegę, który na jego wezwanie wsiadł do samochodu.</w:t>
      </w:r>
    </w:p>
    <w:p w:rsidR="008F2A88" w:rsidRDefault="008F2A88" w:rsidP="00267FB4">
      <w:pPr>
        <w:spacing w:line="360" w:lineRule="auto"/>
        <w:jc w:val="both"/>
        <w:rPr>
          <w:b/>
        </w:rPr>
      </w:pPr>
      <w:r>
        <w:rPr>
          <w:b/>
        </w:rPr>
        <w:t xml:space="preserve">Grzegorz D. wiedział, że Józef B. nie posiada, ani na stałe ani użytkuje żadnego samochodu, gdyż nie miał uprawnień do kierowania pojazdami mechanicznymi. Zauważył, że w stacyjce nie ma kluczyka tylko jest jakaś blaszka. Z kolei Józef B. </w:t>
      </w:r>
      <w:r w:rsidR="003B39D2">
        <w:rPr>
          <w:b/>
        </w:rPr>
        <w:t>dobrze znał Grzegorza D. i wiedział, że ten handluje marihuaną na mieście .</w:t>
      </w:r>
    </w:p>
    <w:p w:rsidR="003B39D2" w:rsidRDefault="000B6B4B" w:rsidP="00267FB4">
      <w:pPr>
        <w:spacing w:line="360" w:lineRule="auto"/>
        <w:jc w:val="both"/>
        <w:rPr>
          <w:b/>
        </w:rPr>
      </w:pPr>
      <w:r>
        <w:rPr>
          <w:b/>
        </w:rPr>
        <w:t>Grzegorz D. poprosił Józefa B., by zajechali na chwilę do jego kolegi w Józefowie, co ten uczynił. Na miejscu Grzegorz D. wyszedł na kilka minut z Opla astra i oddalił się, po czym jak wrócił to na tylna kanapę pojazdu położył czarna materiałową torbę z logo Nike. Józef B. nie pytał co jest w środku. Następnie odjechali i Józef B. stwierdził, że pojadą do Krzyśka, który lubi Opla Astry.</w:t>
      </w:r>
    </w:p>
    <w:p w:rsidR="000B6B4B" w:rsidRDefault="000B6B4B" w:rsidP="00267FB4">
      <w:pPr>
        <w:spacing w:line="360" w:lineRule="auto"/>
        <w:jc w:val="both"/>
        <w:rPr>
          <w:b/>
        </w:rPr>
      </w:pPr>
      <w:r>
        <w:rPr>
          <w:b/>
        </w:rPr>
        <w:t xml:space="preserve"> W pewnej chwili, na widok nadjeżdżającego radiowozu policyjnego, Józef B. spanikował i gwałtownie przyspieszył. W trakcie policyjnego pościgu obaj porzucili pojazd na szosie w miejscowości Koziegłowy powiat otwocki, uprzednio zabierając w pośpiechu i roztargnieniu z wnętrza auta jakieś torby. Pomimo tego zostali natychmiast zatrzymani.</w:t>
      </w:r>
    </w:p>
    <w:p w:rsidR="000B6B4B" w:rsidRDefault="004C5E4B" w:rsidP="00267FB4">
      <w:pPr>
        <w:spacing w:line="360" w:lineRule="auto"/>
        <w:jc w:val="both"/>
        <w:rPr>
          <w:b/>
        </w:rPr>
      </w:pPr>
      <w:r>
        <w:rPr>
          <w:b/>
        </w:rPr>
        <w:t>Przy Józefie B. ujawniono czarną materiałową torbę z logo Nike, a w niej dwa foliowe pakunki z biała sypką substancją – każdy o wadze 1100 gramów. A nadto w tej torbie przedmiot przypominający broń typu pistolet, który owinięty w żółty ręcznik. Biegły określił, że biała substancja w 70 % jest amfetaminą, natomiast przedmiot przypominający broń biegły zidentyfikował jako pistolet typu Beretta produkcji włoskiej kal 9 mm. Była to broń palna sprawna technicznie.</w:t>
      </w:r>
    </w:p>
    <w:p w:rsidR="004C5E4B" w:rsidRDefault="004C5E4B" w:rsidP="00267FB4">
      <w:pPr>
        <w:spacing w:line="360" w:lineRule="auto"/>
        <w:jc w:val="both"/>
        <w:rPr>
          <w:b/>
        </w:rPr>
      </w:pPr>
      <w:r>
        <w:rPr>
          <w:b/>
        </w:rPr>
        <w:t>Na foliowych opakowaniach z amfetaminą odciski daktyloskopijne palców rąk Grzegorza D. Na żółtym ręczniku ujawniono ślady DNA pochodzące od Grzegorza D.</w:t>
      </w:r>
    </w:p>
    <w:p w:rsidR="004C5E4B" w:rsidRDefault="004C5E4B" w:rsidP="00267FB4">
      <w:pPr>
        <w:spacing w:line="360" w:lineRule="auto"/>
        <w:jc w:val="both"/>
        <w:rPr>
          <w:b/>
        </w:rPr>
      </w:pPr>
      <w:r>
        <w:rPr>
          <w:b/>
        </w:rPr>
        <w:t>Z kolei przy Grzegorzu D. ujawniono szarą skóropodobną torbę z zawartością łamaka, urządzenia elektronicznego, elementu podobnego do kluczyka samochodowego oraz innych narzędzi samochodowych. Właściciel auta zaprzeczył, by z tymi rzeczami miał coś wspólnego.</w:t>
      </w:r>
    </w:p>
    <w:p w:rsidR="004C5E4B" w:rsidRDefault="004C5E4B" w:rsidP="00267FB4">
      <w:pPr>
        <w:spacing w:line="360" w:lineRule="auto"/>
        <w:jc w:val="both"/>
        <w:rPr>
          <w:b/>
        </w:rPr>
      </w:pPr>
      <w:r>
        <w:rPr>
          <w:b/>
        </w:rPr>
        <w:lastRenderedPageBreak/>
        <w:t>Innych śladów daktyloskopijnych, czy biologicznych nie ujawniono.</w:t>
      </w:r>
    </w:p>
    <w:p w:rsidR="004C5E4B" w:rsidRDefault="004C5E4B" w:rsidP="00267FB4">
      <w:pPr>
        <w:spacing w:line="360" w:lineRule="auto"/>
        <w:jc w:val="both"/>
        <w:rPr>
          <w:b/>
        </w:rPr>
      </w:pPr>
      <w:r>
        <w:rPr>
          <w:b/>
        </w:rPr>
        <w:t>Proszę o sporządzenie, po dokonaniu własnej prawnokarnej oceny zachowań Józef B. i Grzegorz D., projektu/projektów postanowienia/postanowień o przedstawieniu zarzutu/ów , które zdaniem Pana/Pani rokują na powodzenie skutecznego oskarżenia w sądzie i krótkie pisemne uzasadnienie takiego stanowiska.</w:t>
      </w:r>
    </w:p>
    <w:p w:rsidR="004C5E4B" w:rsidRDefault="00303ACF" w:rsidP="00267FB4">
      <w:pPr>
        <w:spacing w:line="360" w:lineRule="auto"/>
        <w:jc w:val="both"/>
        <w:rPr>
          <w:b/>
        </w:rPr>
      </w:pPr>
      <w:r>
        <w:rPr>
          <w:b/>
        </w:rPr>
        <w:t>Przy tworzeniu</w:t>
      </w:r>
      <w:bookmarkStart w:id="0" w:name="_GoBack"/>
      <w:bookmarkEnd w:id="0"/>
      <w:r w:rsidR="0096549A">
        <w:rPr>
          <w:b/>
        </w:rPr>
        <w:t xml:space="preserve"> postanowienia/ postanowień o przedstawieniu zarzutu/ów proszę mieć na uwadze niezbędne elementy jakie winno zawierać, tj.: wskazanie podejrzanego, dokładne określenie zarzucanego mu czynu i jego kwalifikacje prawną oraz wskazanie prokuratora, który je wydaje. Na potrzeby konkursu przyjmujemy, że sprawa została zarejestrowana w prokuraturze za sygnaturą V Ds. 150/13</w:t>
      </w:r>
    </w:p>
    <w:p w:rsidR="004C5E4B" w:rsidRDefault="004C5E4B" w:rsidP="00267FB4">
      <w:pPr>
        <w:spacing w:line="360" w:lineRule="auto"/>
        <w:jc w:val="both"/>
        <w:rPr>
          <w:b/>
        </w:rPr>
      </w:pPr>
    </w:p>
    <w:p w:rsidR="004C5E4B" w:rsidRDefault="004C5E4B" w:rsidP="00267FB4">
      <w:pPr>
        <w:spacing w:line="360" w:lineRule="auto"/>
        <w:jc w:val="both"/>
        <w:rPr>
          <w:b/>
        </w:rPr>
      </w:pPr>
    </w:p>
    <w:p w:rsidR="000B6B4B" w:rsidRDefault="000B6B4B" w:rsidP="00267FB4">
      <w:pPr>
        <w:spacing w:line="360" w:lineRule="auto"/>
        <w:jc w:val="both"/>
        <w:rPr>
          <w:b/>
        </w:rPr>
      </w:pPr>
    </w:p>
    <w:sectPr w:rsidR="000B6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041" w:rsidRDefault="003E6041" w:rsidP="00E22A4B">
      <w:pPr>
        <w:spacing w:after="0" w:line="240" w:lineRule="auto"/>
      </w:pPr>
      <w:r>
        <w:separator/>
      </w:r>
    </w:p>
  </w:endnote>
  <w:endnote w:type="continuationSeparator" w:id="0">
    <w:p w:rsidR="003E6041" w:rsidRDefault="003E6041" w:rsidP="00E2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041" w:rsidRDefault="003E6041" w:rsidP="00E22A4B">
      <w:pPr>
        <w:spacing w:after="0" w:line="240" w:lineRule="auto"/>
      </w:pPr>
      <w:r>
        <w:separator/>
      </w:r>
    </w:p>
  </w:footnote>
  <w:footnote w:type="continuationSeparator" w:id="0">
    <w:p w:rsidR="003E6041" w:rsidRDefault="003E6041" w:rsidP="00E2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F3A"/>
    <w:multiLevelType w:val="hybridMultilevel"/>
    <w:tmpl w:val="85A6D8B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C0FE3"/>
    <w:multiLevelType w:val="hybridMultilevel"/>
    <w:tmpl w:val="4B0207E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0C194A"/>
    <w:multiLevelType w:val="hybridMultilevel"/>
    <w:tmpl w:val="E64A5D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FC7E0B"/>
    <w:multiLevelType w:val="hybridMultilevel"/>
    <w:tmpl w:val="8B2C974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73F04"/>
    <w:multiLevelType w:val="hybridMultilevel"/>
    <w:tmpl w:val="644ADC0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B30343"/>
    <w:multiLevelType w:val="hybridMultilevel"/>
    <w:tmpl w:val="820699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A673CA"/>
    <w:multiLevelType w:val="hybridMultilevel"/>
    <w:tmpl w:val="CDE8BE16"/>
    <w:lvl w:ilvl="0" w:tplc="992010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6CCF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83C9E"/>
    <w:multiLevelType w:val="multilevel"/>
    <w:tmpl w:val="63146B20"/>
    <w:styleLink w:val="RTF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D574EED"/>
    <w:multiLevelType w:val="hybridMultilevel"/>
    <w:tmpl w:val="591012F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DA3353"/>
    <w:multiLevelType w:val="hybridMultilevel"/>
    <w:tmpl w:val="5040303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5D3BFB"/>
    <w:multiLevelType w:val="hybridMultilevel"/>
    <w:tmpl w:val="BB3433B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4877BE"/>
    <w:multiLevelType w:val="hybridMultilevel"/>
    <w:tmpl w:val="E658757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741BFE"/>
    <w:multiLevelType w:val="hybridMultilevel"/>
    <w:tmpl w:val="478E9D7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0F5541"/>
    <w:multiLevelType w:val="hybridMultilevel"/>
    <w:tmpl w:val="DEEE0C2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556EC5"/>
    <w:multiLevelType w:val="hybridMultilevel"/>
    <w:tmpl w:val="9D0C49B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F64FCC"/>
    <w:multiLevelType w:val="hybridMultilevel"/>
    <w:tmpl w:val="0A3E661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A25B65"/>
    <w:multiLevelType w:val="hybridMultilevel"/>
    <w:tmpl w:val="D0CE2F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7F6754"/>
    <w:multiLevelType w:val="hybridMultilevel"/>
    <w:tmpl w:val="8436781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3574C9"/>
    <w:multiLevelType w:val="hybridMultilevel"/>
    <w:tmpl w:val="20F4820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FD4FAF"/>
    <w:multiLevelType w:val="hybridMultilevel"/>
    <w:tmpl w:val="41E680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324A99"/>
    <w:multiLevelType w:val="hybridMultilevel"/>
    <w:tmpl w:val="2DB26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6D79C5"/>
    <w:multiLevelType w:val="hybridMultilevel"/>
    <w:tmpl w:val="8522E2F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E859C6"/>
    <w:multiLevelType w:val="hybridMultilevel"/>
    <w:tmpl w:val="6F2EC95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B05202"/>
    <w:multiLevelType w:val="hybridMultilevel"/>
    <w:tmpl w:val="E0F814D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E62D09"/>
    <w:multiLevelType w:val="hybridMultilevel"/>
    <w:tmpl w:val="E11EF52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4C0581"/>
    <w:multiLevelType w:val="hybridMultilevel"/>
    <w:tmpl w:val="A06607E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AE2A3D"/>
    <w:multiLevelType w:val="hybridMultilevel"/>
    <w:tmpl w:val="4B7680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33F70F6"/>
    <w:multiLevelType w:val="hybridMultilevel"/>
    <w:tmpl w:val="CA20BC6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DC3955"/>
    <w:multiLevelType w:val="hybridMultilevel"/>
    <w:tmpl w:val="8072F93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C07980"/>
    <w:multiLevelType w:val="hybridMultilevel"/>
    <w:tmpl w:val="DE92116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4A7007"/>
    <w:multiLevelType w:val="hybridMultilevel"/>
    <w:tmpl w:val="0F8270F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970B19"/>
    <w:multiLevelType w:val="hybridMultilevel"/>
    <w:tmpl w:val="C1685D6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5D436D8"/>
    <w:multiLevelType w:val="hybridMultilevel"/>
    <w:tmpl w:val="9C02803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D077AF1"/>
    <w:multiLevelType w:val="hybridMultilevel"/>
    <w:tmpl w:val="99F256B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0C43C1"/>
    <w:multiLevelType w:val="hybridMultilevel"/>
    <w:tmpl w:val="F3B60F7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77430E"/>
    <w:multiLevelType w:val="hybridMultilevel"/>
    <w:tmpl w:val="68645FF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6964A7"/>
    <w:multiLevelType w:val="hybridMultilevel"/>
    <w:tmpl w:val="660401D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EC35FF5"/>
    <w:multiLevelType w:val="hybridMultilevel"/>
    <w:tmpl w:val="ED2AE17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34"/>
  </w:num>
  <w:num w:numId="5">
    <w:abstractNumId w:val="29"/>
  </w:num>
  <w:num w:numId="6">
    <w:abstractNumId w:val="23"/>
  </w:num>
  <w:num w:numId="7">
    <w:abstractNumId w:val="16"/>
  </w:num>
  <w:num w:numId="8">
    <w:abstractNumId w:val="8"/>
  </w:num>
  <w:num w:numId="9">
    <w:abstractNumId w:val="31"/>
  </w:num>
  <w:num w:numId="10">
    <w:abstractNumId w:val="13"/>
  </w:num>
  <w:num w:numId="11">
    <w:abstractNumId w:val="36"/>
  </w:num>
  <w:num w:numId="12">
    <w:abstractNumId w:val="19"/>
  </w:num>
  <w:num w:numId="13">
    <w:abstractNumId w:val="0"/>
  </w:num>
  <w:num w:numId="14">
    <w:abstractNumId w:val="27"/>
  </w:num>
  <w:num w:numId="15">
    <w:abstractNumId w:val="21"/>
  </w:num>
  <w:num w:numId="16">
    <w:abstractNumId w:val="33"/>
  </w:num>
  <w:num w:numId="17">
    <w:abstractNumId w:val="22"/>
  </w:num>
  <w:num w:numId="18">
    <w:abstractNumId w:val="17"/>
  </w:num>
  <w:num w:numId="19">
    <w:abstractNumId w:val="14"/>
  </w:num>
  <w:num w:numId="20">
    <w:abstractNumId w:val="11"/>
  </w:num>
  <w:num w:numId="21">
    <w:abstractNumId w:val="2"/>
  </w:num>
  <w:num w:numId="22">
    <w:abstractNumId w:val="9"/>
  </w:num>
  <w:num w:numId="23">
    <w:abstractNumId w:val="26"/>
  </w:num>
  <w:num w:numId="24">
    <w:abstractNumId w:val="28"/>
  </w:num>
  <w:num w:numId="25">
    <w:abstractNumId w:val="37"/>
  </w:num>
  <w:num w:numId="26">
    <w:abstractNumId w:val="3"/>
  </w:num>
  <w:num w:numId="27">
    <w:abstractNumId w:val="15"/>
  </w:num>
  <w:num w:numId="28">
    <w:abstractNumId w:val="25"/>
  </w:num>
  <w:num w:numId="29">
    <w:abstractNumId w:val="5"/>
  </w:num>
  <w:num w:numId="30">
    <w:abstractNumId w:val="12"/>
  </w:num>
  <w:num w:numId="31">
    <w:abstractNumId w:val="24"/>
  </w:num>
  <w:num w:numId="32">
    <w:abstractNumId w:val="35"/>
  </w:num>
  <w:num w:numId="33">
    <w:abstractNumId w:val="10"/>
  </w:num>
  <w:num w:numId="34">
    <w:abstractNumId w:val="32"/>
  </w:num>
  <w:num w:numId="35">
    <w:abstractNumId w:val="4"/>
  </w:num>
  <w:num w:numId="36">
    <w:abstractNumId w:val="30"/>
  </w:num>
  <w:num w:numId="37">
    <w:abstractNumId w:val="1"/>
  </w:num>
  <w:num w:numId="38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F8"/>
    <w:rsid w:val="00003080"/>
    <w:rsid w:val="00010BBC"/>
    <w:rsid w:val="0002552F"/>
    <w:rsid w:val="00026E07"/>
    <w:rsid w:val="000310B4"/>
    <w:rsid w:val="00031502"/>
    <w:rsid w:val="000331C7"/>
    <w:rsid w:val="000434BA"/>
    <w:rsid w:val="000441D8"/>
    <w:rsid w:val="00050B76"/>
    <w:rsid w:val="0005770F"/>
    <w:rsid w:val="00073D75"/>
    <w:rsid w:val="00080C04"/>
    <w:rsid w:val="000A111D"/>
    <w:rsid w:val="000A6ABC"/>
    <w:rsid w:val="000B0D1F"/>
    <w:rsid w:val="000B1FB0"/>
    <w:rsid w:val="000B2F87"/>
    <w:rsid w:val="000B6B4B"/>
    <w:rsid w:val="000C2C12"/>
    <w:rsid w:val="000D5B22"/>
    <w:rsid w:val="000F3D89"/>
    <w:rsid w:val="000F73B7"/>
    <w:rsid w:val="00100424"/>
    <w:rsid w:val="00105F78"/>
    <w:rsid w:val="0013087B"/>
    <w:rsid w:val="00131BAE"/>
    <w:rsid w:val="001332F9"/>
    <w:rsid w:val="001608E2"/>
    <w:rsid w:val="00177CF5"/>
    <w:rsid w:val="001837D5"/>
    <w:rsid w:val="0019701F"/>
    <w:rsid w:val="00197FFA"/>
    <w:rsid w:val="001A12E0"/>
    <w:rsid w:val="001A16A8"/>
    <w:rsid w:val="001A4C98"/>
    <w:rsid w:val="001B1AF4"/>
    <w:rsid w:val="001C3A43"/>
    <w:rsid w:val="001C665B"/>
    <w:rsid w:val="001D47CB"/>
    <w:rsid w:val="001D5770"/>
    <w:rsid w:val="001D7CFE"/>
    <w:rsid w:val="001E6879"/>
    <w:rsid w:val="00215166"/>
    <w:rsid w:val="0021652B"/>
    <w:rsid w:val="00226C5A"/>
    <w:rsid w:val="00237F73"/>
    <w:rsid w:val="0024182A"/>
    <w:rsid w:val="002429FB"/>
    <w:rsid w:val="00243D17"/>
    <w:rsid w:val="00251A1A"/>
    <w:rsid w:val="00267FB4"/>
    <w:rsid w:val="00276085"/>
    <w:rsid w:val="002778AD"/>
    <w:rsid w:val="002916ED"/>
    <w:rsid w:val="002A3028"/>
    <w:rsid w:val="002C4F89"/>
    <w:rsid w:val="002E1F4A"/>
    <w:rsid w:val="002F1D44"/>
    <w:rsid w:val="00303ACF"/>
    <w:rsid w:val="00312935"/>
    <w:rsid w:val="00313257"/>
    <w:rsid w:val="003169CF"/>
    <w:rsid w:val="00317CB5"/>
    <w:rsid w:val="0032071E"/>
    <w:rsid w:val="00320D41"/>
    <w:rsid w:val="00323071"/>
    <w:rsid w:val="00324A48"/>
    <w:rsid w:val="003337E2"/>
    <w:rsid w:val="0033547E"/>
    <w:rsid w:val="00336097"/>
    <w:rsid w:val="003366D1"/>
    <w:rsid w:val="00336C03"/>
    <w:rsid w:val="00341378"/>
    <w:rsid w:val="00350D78"/>
    <w:rsid w:val="003624F0"/>
    <w:rsid w:val="00374704"/>
    <w:rsid w:val="00385502"/>
    <w:rsid w:val="003A1E91"/>
    <w:rsid w:val="003B1BFF"/>
    <w:rsid w:val="003B39D2"/>
    <w:rsid w:val="003B5231"/>
    <w:rsid w:val="003D4839"/>
    <w:rsid w:val="003E1A0A"/>
    <w:rsid w:val="003E1C68"/>
    <w:rsid w:val="003E3A81"/>
    <w:rsid w:val="003E6041"/>
    <w:rsid w:val="003F1339"/>
    <w:rsid w:val="003F25A5"/>
    <w:rsid w:val="003F4F8E"/>
    <w:rsid w:val="00400F8C"/>
    <w:rsid w:val="00403F59"/>
    <w:rsid w:val="00411E8F"/>
    <w:rsid w:val="004170D9"/>
    <w:rsid w:val="00417F6A"/>
    <w:rsid w:val="00425FB9"/>
    <w:rsid w:val="00426479"/>
    <w:rsid w:val="00433A52"/>
    <w:rsid w:val="00436A02"/>
    <w:rsid w:val="00437934"/>
    <w:rsid w:val="00447EC1"/>
    <w:rsid w:val="00457249"/>
    <w:rsid w:val="00460629"/>
    <w:rsid w:val="00464594"/>
    <w:rsid w:val="004860FA"/>
    <w:rsid w:val="00493941"/>
    <w:rsid w:val="004A07BD"/>
    <w:rsid w:val="004A1C37"/>
    <w:rsid w:val="004A78F1"/>
    <w:rsid w:val="004B465A"/>
    <w:rsid w:val="004C5E4B"/>
    <w:rsid w:val="004D612D"/>
    <w:rsid w:val="004E330B"/>
    <w:rsid w:val="00515E0E"/>
    <w:rsid w:val="005206C9"/>
    <w:rsid w:val="00531194"/>
    <w:rsid w:val="00531A59"/>
    <w:rsid w:val="00553E53"/>
    <w:rsid w:val="0055446D"/>
    <w:rsid w:val="005554B2"/>
    <w:rsid w:val="00555E0C"/>
    <w:rsid w:val="005643B4"/>
    <w:rsid w:val="00566EC8"/>
    <w:rsid w:val="005729F6"/>
    <w:rsid w:val="005824A2"/>
    <w:rsid w:val="005851D0"/>
    <w:rsid w:val="005A357F"/>
    <w:rsid w:val="005B72E9"/>
    <w:rsid w:val="005C3759"/>
    <w:rsid w:val="005C753C"/>
    <w:rsid w:val="005D1862"/>
    <w:rsid w:val="005D1B4D"/>
    <w:rsid w:val="005D4E35"/>
    <w:rsid w:val="005E0A34"/>
    <w:rsid w:val="005E1FDE"/>
    <w:rsid w:val="005E22ED"/>
    <w:rsid w:val="005F1A6F"/>
    <w:rsid w:val="005F6314"/>
    <w:rsid w:val="00600DEA"/>
    <w:rsid w:val="0060408C"/>
    <w:rsid w:val="00610606"/>
    <w:rsid w:val="006113C9"/>
    <w:rsid w:val="00626650"/>
    <w:rsid w:val="00640F88"/>
    <w:rsid w:val="006509AA"/>
    <w:rsid w:val="0066057D"/>
    <w:rsid w:val="006665E5"/>
    <w:rsid w:val="00690F4B"/>
    <w:rsid w:val="006B02F8"/>
    <w:rsid w:val="006B1FCC"/>
    <w:rsid w:val="006B305E"/>
    <w:rsid w:val="006B4468"/>
    <w:rsid w:val="006B6788"/>
    <w:rsid w:val="006B7B6C"/>
    <w:rsid w:val="006C0CA0"/>
    <w:rsid w:val="006C4C73"/>
    <w:rsid w:val="006D21BA"/>
    <w:rsid w:val="006D4C21"/>
    <w:rsid w:val="006D533E"/>
    <w:rsid w:val="006E0CCF"/>
    <w:rsid w:val="006E2952"/>
    <w:rsid w:val="006F264A"/>
    <w:rsid w:val="007010CA"/>
    <w:rsid w:val="00702F96"/>
    <w:rsid w:val="00703107"/>
    <w:rsid w:val="00707362"/>
    <w:rsid w:val="00712189"/>
    <w:rsid w:val="00716F7A"/>
    <w:rsid w:val="007379F2"/>
    <w:rsid w:val="00741570"/>
    <w:rsid w:val="00741E29"/>
    <w:rsid w:val="00742496"/>
    <w:rsid w:val="0074271A"/>
    <w:rsid w:val="007578E5"/>
    <w:rsid w:val="00764E7E"/>
    <w:rsid w:val="00765470"/>
    <w:rsid w:val="00766BFC"/>
    <w:rsid w:val="007677AD"/>
    <w:rsid w:val="00782AF8"/>
    <w:rsid w:val="007848B5"/>
    <w:rsid w:val="0078797C"/>
    <w:rsid w:val="00790FD4"/>
    <w:rsid w:val="00793B23"/>
    <w:rsid w:val="00793F24"/>
    <w:rsid w:val="007A0E0D"/>
    <w:rsid w:val="007A23A1"/>
    <w:rsid w:val="007A379D"/>
    <w:rsid w:val="007A4BEA"/>
    <w:rsid w:val="007B332A"/>
    <w:rsid w:val="007B3B76"/>
    <w:rsid w:val="007C69FB"/>
    <w:rsid w:val="007D5C31"/>
    <w:rsid w:val="007E012D"/>
    <w:rsid w:val="007E7B33"/>
    <w:rsid w:val="007F2280"/>
    <w:rsid w:val="007F7B43"/>
    <w:rsid w:val="00800FC1"/>
    <w:rsid w:val="008019F8"/>
    <w:rsid w:val="00803A85"/>
    <w:rsid w:val="00804B52"/>
    <w:rsid w:val="008114B7"/>
    <w:rsid w:val="0083386A"/>
    <w:rsid w:val="008414E1"/>
    <w:rsid w:val="0084262E"/>
    <w:rsid w:val="008538C8"/>
    <w:rsid w:val="00857582"/>
    <w:rsid w:val="00874FCA"/>
    <w:rsid w:val="00884C4F"/>
    <w:rsid w:val="00893B01"/>
    <w:rsid w:val="008A3F9E"/>
    <w:rsid w:val="008B2876"/>
    <w:rsid w:val="008B6B5D"/>
    <w:rsid w:val="008C7A2D"/>
    <w:rsid w:val="008D3C30"/>
    <w:rsid w:val="008F2A88"/>
    <w:rsid w:val="009042B4"/>
    <w:rsid w:val="00905DEE"/>
    <w:rsid w:val="00913FC3"/>
    <w:rsid w:val="00914DA1"/>
    <w:rsid w:val="0093658D"/>
    <w:rsid w:val="00936D39"/>
    <w:rsid w:val="00936F28"/>
    <w:rsid w:val="0094362C"/>
    <w:rsid w:val="00946579"/>
    <w:rsid w:val="00946655"/>
    <w:rsid w:val="009476FA"/>
    <w:rsid w:val="00951AC8"/>
    <w:rsid w:val="009531B8"/>
    <w:rsid w:val="00954616"/>
    <w:rsid w:val="009555D0"/>
    <w:rsid w:val="00962B70"/>
    <w:rsid w:val="00963E4A"/>
    <w:rsid w:val="0096549A"/>
    <w:rsid w:val="009669C2"/>
    <w:rsid w:val="009715C4"/>
    <w:rsid w:val="00974B9C"/>
    <w:rsid w:val="00980F83"/>
    <w:rsid w:val="00984F0F"/>
    <w:rsid w:val="00994C45"/>
    <w:rsid w:val="009953AE"/>
    <w:rsid w:val="0099765A"/>
    <w:rsid w:val="009A18FC"/>
    <w:rsid w:val="009A7537"/>
    <w:rsid w:val="009B0311"/>
    <w:rsid w:val="009B191D"/>
    <w:rsid w:val="009B6C7D"/>
    <w:rsid w:val="009D29AC"/>
    <w:rsid w:val="009D31CC"/>
    <w:rsid w:val="009E05A7"/>
    <w:rsid w:val="009E1CF5"/>
    <w:rsid w:val="009E319E"/>
    <w:rsid w:val="009F3BF7"/>
    <w:rsid w:val="00A11FE8"/>
    <w:rsid w:val="00A11FF0"/>
    <w:rsid w:val="00A171AC"/>
    <w:rsid w:val="00A3029C"/>
    <w:rsid w:val="00A33AA4"/>
    <w:rsid w:val="00A345B3"/>
    <w:rsid w:val="00A36081"/>
    <w:rsid w:val="00A41803"/>
    <w:rsid w:val="00A51DE1"/>
    <w:rsid w:val="00A53284"/>
    <w:rsid w:val="00A56DFF"/>
    <w:rsid w:val="00A60924"/>
    <w:rsid w:val="00A62FCD"/>
    <w:rsid w:val="00A6412E"/>
    <w:rsid w:val="00A67C26"/>
    <w:rsid w:val="00A70AE3"/>
    <w:rsid w:val="00A854C7"/>
    <w:rsid w:val="00A9069F"/>
    <w:rsid w:val="00A92321"/>
    <w:rsid w:val="00A92529"/>
    <w:rsid w:val="00A9298B"/>
    <w:rsid w:val="00A97E7A"/>
    <w:rsid w:val="00AB25FC"/>
    <w:rsid w:val="00AB70CA"/>
    <w:rsid w:val="00AC14CC"/>
    <w:rsid w:val="00AC794E"/>
    <w:rsid w:val="00AD2793"/>
    <w:rsid w:val="00AD2A0C"/>
    <w:rsid w:val="00AD4357"/>
    <w:rsid w:val="00AD6A8C"/>
    <w:rsid w:val="00AF3CD7"/>
    <w:rsid w:val="00AF72C0"/>
    <w:rsid w:val="00B07DC8"/>
    <w:rsid w:val="00B15E6F"/>
    <w:rsid w:val="00B25B0A"/>
    <w:rsid w:val="00B3147A"/>
    <w:rsid w:val="00B3462B"/>
    <w:rsid w:val="00B34A28"/>
    <w:rsid w:val="00B36A25"/>
    <w:rsid w:val="00B422DF"/>
    <w:rsid w:val="00B455BF"/>
    <w:rsid w:val="00B46811"/>
    <w:rsid w:val="00B46D32"/>
    <w:rsid w:val="00B4785C"/>
    <w:rsid w:val="00B553FE"/>
    <w:rsid w:val="00B61D08"/>
    <w:rsid w:val="00B62D55"/>
    <w:rsid w:val="00B669F1"/>
    <w:rsid w:val="00B67513"/>
    <w:rsid w:val="00B70852"/>
    <w:rsid w:val="00B7100F"/>
    <w:rsid w:val="00B768A9"/>
    <w:rsid w:val="00B966F5"/>
    <w:rsid w:val="00B97379"/>
    <w:rsid w:val="00BA0A4F"/>
    <w:rsid w:val="00BA507B"/>
    <w:rsid w:val="00BA5BA7"/>
    <w:rsid w:val="00BB5460"/>
    <w:rsid w:val="00BB6ADD"/>
    <w:rsid w:val="00BC6163"/>
    <w:rsid w:val="00BC7D7E"/>
    <w:rsid w:val="00BD3E7B"/>
    <w:rsid w:val="00BD5409"/>
    <w:rsid w:val="00BD5A71"/>
    <w:rsid w:val="00BD745D"/>
    <w:rsid w:val="00BF2767"/>
    <w:rsid w:val="00BF2FB8"/>
    <w:rsid w:val="00C009F0"/>
    <w:rsid w:val="00C039F6"/>
    <w:rsid w:val="00C237B9"/>
    <w:rsid w:val="00C23A42"/>
    <w:rsid w:val="00C32409"/>
    <w:rsid w:val="00C43543"/>
    <w:rsid w:val="00C46880"/>
    <w:rsid w:val="00C56A0D"/>
    <w:rsid w:val="00C56AC6"/>
    <w:rsid w:val="00C62BF4"/>
    <w:rsid w:val="00C66968"/>
    <w:rsid w:val="00C749E2"/>
    <w:rsid w:val="00C850A4"/>
    <w:rsid w:val="00C97E6C"/>
    <w:rsid w:val="00CA11C2"/>
    <w:rsid w:val="00CC5C9F"/>
    <w:rsid w:val="00CC7A32"/>
    <w:rsid w:val="00CD1E36"/>
    <w:rsid w:val="00CE0ADE"/>
    <w:rsid w:val="00CF2BAB"/>
    <w:rsid w:val="00CF47E2"/>
    <w:rsid w:val="00D0420A"/>
    <w:rsid w:val="00D053E1"/>
    <w:rsid w:val="00D168BC"/>
    <w:rsid w:val="00D232D9"/>
    <w:rsid w:val="00D25E1B"/>
    <w:rsid w:val="00D35F16"/>
    <w:rsid w:val="00D43553"/>
    <w:rsid w:val="00D43783"/>
    <w:rsid w:val="00D47475"/>
    <w:rsid w:val="00D47BE0"/>
    <w:rsid w:val="00D53494"/>
    <w:rsid w:val="00D5707C"/>
    <w:rsid w:val="00D61543"/>
    <w:rsid w:val="00D62539"/>
    <w:rsid w:val="00D7450A"/>
    <w:rsid w:val="00D770C0"/>
    <w:rsid w:val="00D81181"/>
    <w:rsid w:val="00D847C0"/>
    <w:rsid w:val="00D95F87"/>
    <w:rsid w:val="00D9707B"/>
    <w:rsid w:val="00DA0F37"/>
    <w:rsid w:val="00DA4597"/>
    <w:rsid w:val="00DA4C37"/>
    <w:rsid w:val="00DB4424"/>
    <w:rsid w:val="00DD2559"/>
    <w:rsid w:val="00DD3120"/>
    <w:rsid w:val="00DD7223"/>
    <w:rsid w:val="00DE0842"/>
    <w:rsid w:val="00DE0B76"/>
    <w:rsid w:val="00DE4605"/>
    <w:rsid w:val="00DE4F66"/>
    <w:rsid w:val="00DF5342"/>
    <w:rsid w:val="00DF55A3"/>
    <w:rsid w:val="00E07419"/>
    <w:rsid w:val="00E11EF0"/>
    <w:rsid w:val="00E22A4B"/>
    <w:rsid w:val="00E2510C"/>
    <w:rsid w:val="00E44CA0"/>
    <w:rsid w:val="00E46853"/>
    <w:rsid w:val="00E51F27"/>
    <w:rsid w:val="00E5557D"/>
    <w:rsid w:val="00E55C99"/>
    <w:rsid w:val="00E564F7"/>
    <w:rsid w:val="00E6118B"/>
    <w:rsid w:val="00E62D1E"/>
    <w:rsid w:val="00E65B85"/>
    <w:rsid w:val="00E65C00"/>
    <w:rsid w:val="00E73208"/>
    <w:rsid w:val="00E76C35"/>
    <w:rsid w:val="00E819BC"/>
    <w:rsid w:val="00EA0581"/>
    <w:rsid w:val="00EB4065"/>
    <w:rsid w:val="00EC0621"/>
    <w:rsid w:val="00EC3A3F"/>
    <w:rsid w:val="00ED2878"/>
    <w:rsid w:val="00ED2993"/>
    <w:rsid w:val="00EE034A"/>
    <w:rsid w:val="00EE457D"/>
    <w:rsid w:val="00EF48F1"/>
    <w:rsid w:val="00F239A1"/>
    <w:rsid w:val="00F25676"/>
    <w:rsid w:val="00F31474"/>
    <w:rsid w:val="00F32966"/>
    <w:rsid w:val="00F44826"/>
    <w:rsid w:val="00F46E4F"/>
    <w:rsid w:val="00F53652"/>
    <w:rsid w:val="00F56C14"/>
    <w:rsid w:val="00F64A9C"/>
    <w:rsid w:val="00F653BC"/>
    <w:rsid w:val="00F86198"/>
    <w:rsid w:val="00F9064A"/>
    <w:rsid w:val="00F923A6"/>
    <w:rsid w:val="00F935FF"/>
    <w:rsid w:val="00F94896"/>
    <w:rsid w:val="00F949EE"/>
    <w:rsid w:val="00FA3660"/>
    <w:rsid w:val="00FC431B"/>
    <w:rsid w:val="00FC7269"/>
    <w:rsid w:val="00FD0A9C"/>
    <w:rsid w:val="00FD799A"/>
    <w:rsid w:val="00F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E58C"/>
  <w15:chartTrackingRefBased/>
  <w15:docId w15:val="{4734FC63-47BE-4E21-B80E-CCE5E826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2A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RTFNum2">
    <w:name w:val="RTF_Num 2"/>
    <w:rsid w:val="00782AF8"/>
    <w:pPr>
      <w:numPr>
        <w:numId w:val="1"/>
      </w:numPr>
    </w:pPr>
  </w:style>
  <w:style w:type="character" w:styleId="Uwydatnienie">
    <w:name w:val="Emphasis"/>
    <w:basedOn w:val="Domylnaczcionkaakapitu"/>
    <w:uiPriority w:val="20"/>
    <w:qFormat/>
    <w:rsid w:val="00403F59"/>
    <w:rPr>
      <w:i/>
      <w:iCs/>
    </w:rPr>
  </w:style>
  <w:style w:type="paragraph" w:styleId="Akapitzlist">
    <w:name w:val="List Paragraph"/>
    <w:basedOn w:val="Normalny"/>
    <w:uiPriority w:val="34"/>
    <w:qFormat/>
    <w:rsid w:val="00A3029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A4B"/>
  </w:style>
  <w:style w:type="paragraph" w:styleId="Stopka">
    <w:name w:val="footer"/>
    <w:basedOn w:val="Normalny"/>
    <w:link w:val="Stopka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A4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3B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0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A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A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A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AFB1A-8CB8-47CE-8AF6-2272D148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2472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Magdalena (PR Warszawa-Ursynów)</dc:creator>
  <cp:keywords/>
  <dc:description/>
  <cp:lastModifiedBy>Leks-Plewnicka Ewa (PO Warszawa-Praga)</cp:lastModifiedBy>
  <cp:revision>23</cp:revision>
  <cp:lastPrinted>2025-05-05T09:13:00Z</cp:lastPrinted>
  <dcterms:created xsi:type="dcterms:W3CDTF">2025-06-06T11:16:00Z</dcterms:created>
  <dcterms:modified xsi:type="dcterms:W3CDTF">2025-06-10T11:56:00Z</dcterms:modified>
</cp:coreProperties>
</file>