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75FB2F7C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7A05FE">
        <w:rPr>
          <w:rFonts w:ascii="Arial" w:hAnsi="Arial" w:cs="Arial"/>
          <w:bCs/>
          <w:i/>
          <w:iCs/>
          <w:sz w:val="20"/>
          <w:szCs w:val="20"/>
        </w:rPr>
        <w:t>6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7A05FE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8BB51BF" w14:textId="77777777" w:rsidR="00462731" w:rsidRPr="005D65B3" w:rsidRDefault="00462731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59362890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  <w:r w:rsidR="00144F52">
        <w:rPr>
          <w:rFonts w:ascii="Arial" w:hAnsi="Arial" w:cs="Arial"/>
          <w:b/>
          <w:sz w:val="20"/>
          <w:szCs w:val="20"/>
        </w:rPr>
        <w:t xml:space="preserve"> 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4059ABEC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6426298A" w14:textId="77777777" w:rsidR="005E3515" w:rsidRPr="003A404F" w:rsidRDefault="005E3515" w:rsidP="005E3515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4B254A96" w:rsidR="00CD3B95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501F78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71BADEC8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2A3BE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="002A3BE3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przed pierwszą wypłatą dofinansowania na podstawie Umowy</w:t>
      </w:r>
      <w:r w:rsidR="00BF602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A05FE">
        <w:rPr>
          <w:rFonts w:ascii="Arial" w:hAnsi="Arial" w:cs="Arial"/>
          <w:sz w:val="20"/>
          <w:szCs w:val="20"/>
          <w:lang w:eastAsia="pl-PL"/>
        </w:rPr>
        <w:t>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740C59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za ostatni rok </w:t>
      </w:r>
      <w:r w:rsidR="007A05FE">
        <w:rPr>
          <w:rFonts w:ascii="Arial" w:hAnsi="Arial" w:cs="Arial"/>
          <w:sz w:val="20"/>
          <w:szCs w:val="20"/>
          <w:lang w:eastAsia="pl-PL"/>
        </w:rPr>
        <w:t>obrotowy</w:t>
      </w:r>
      <w:r w:rsidR="0030387F">
        <w:rPr>
          <w:rFonts w:ascii="Arial" w:hAnsi="Arial" w:cs="Arial"/>
          <w:sz w:val="20"/>
          <w:szCs w:val="20"/>
          <w:lang w:eastAsia="pl-PL"/>
        </w:rPr>
        <w:t>,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A63E9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A63E9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</w:t>
      </w:r>
      <w:r w:rsidR="002A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przez Beneficjenta</w:t>
      </w:r>
      <w:r w:rsidR="00EB0B89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C311319" w14:textId="4672D944" w:rsidR="0023737E" w:rsidRPr="00D71CB7" w:rsidRDefault="0023737E" w:rsidP="00D71CB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7A05F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D71CB7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D71CB7">
        <w:rPr>
          <w:rFonts w:ascii="Arial" w:hAnsi="Arial" w:cs="Arial"/>
          <w:sz w:val="20"/>
          <w:szCs w:val="20"/>
          <w:lang w:eastAsia="pl-PL"/>
        </w:rPr>
        <w:t>P</w:t>
      </w:r>
      <w:r w:rsidR="00200DF7" w:rsidRPr="00D71CB7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7A05FE">
        <w:rPr>
          <w:rFonts w:ascii="Arial" w:hAnsi="Arial" w:cs="Arial"/>
          <w:sz w:val="20"/>
          <w:szCs w:val="20"/>
          <w:lang w:eastAsia="pl-PL"/>
        </w:rPr>
        <w:t>.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</w:p>
    <w:p w14:paraId="756966D4" w14:textId="13EAE1BD" w:rsidR="00DC2947" w:rsidRPr="006C1E18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45EE328B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D71CB7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1A17F4A0" w14:textId="7AED71F4" w:rsidR="00DB6112" w:rsidRPr="00D71CB7" w:rsidRDefault="00DB6112" w:rsidP="00D71CB7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35A59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>
        <w:rPr>
          <w:rFonts w:ascii="Arial" w:hAnsi="Arial" w:cs="Arial"/>
          <w:sz w:val="20"/>
          <w:szCs w:val="20"/>
        </w:rPr>
        <w:t>P</w:t>
      </w:r>
      <w:r w:rsidRPr="00235A59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632CD162" w:rsidR="00BD6F21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</w:t>
      </w:r>
      <w:r w:rsidR="003B7D28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381539">
        <w:rPr>
          <w:rFonts w:ascii="Arial" w:eastAsiaTheme="minorEastAsia" w:hAnsi="Arial" w:cs="Arial"/>
          <w:sz w:val="20"/>
          <w:szCs w:val="20"/>
        </w:rPr>
        <w:t>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3DC1196C" w14:textId="52D301A6" w:rsidR="007A05FE" w:rsidRPr="00D71CB7" w:rsidRDefault="007A05FE" w:rsidP="00D71CB7">
      <w:pPr>
        <w:pStyle w:val="Akapitzlist"/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235A59">
        <w:rPr>
          <w:rFonts w:ascii="Arial" w:eastAsiaTheme="minorEastAsia" w:hAnsi="Arial" w:cs="Arial"/>
          <w:sz w:val="20"/>
          <w:szCs w:val="20"/>
        </w:rPr>
        <w:t>1a. Beneficjent zobowiązuje się do wdrożenia wyników prac B+R na terenie Rzeczpospolitej Polskiej  (jeśli dotyczy)</w:t>
      </w:r>
      <w:r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235A59">
        <w:rPr>
          <w:rFonts w:ascii="Arial" w:eastAsiaTheme="minorEastAsia" w:hAnsi="Arial" w:cs="Arial"/>
          <w:sz w:val="20"/>
          <w:szCs w:val="20"/>
        </w:rPr>
        <w:t>.</w:t>
      </w:r>
    </w:p>
    <w:p w14:paraId="465AF4EC" w14:textId="012C2C26" w:rsidR="002116C6" w:rsidRPr="00B30202" w:rsidRDefault="002116C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AC7ADA" w:rsidRPr="00B30202">
        <w:rPr>
          <w:rFonts w:ascii="Arial" w:eastAsiaTheme="minorEastAsia" w:hAnsi="Arial" w:cs="Arial"/>
          <w:sz w:val="20"/>
          <w:szCs w:val="20"/>
        </w:rPr>
        <w:t xml:space="preserve">Europejskiego Obszaru Gospodarczego </w:t>
      </w:r>
      <w:r w:rsidR="00AC7ADA">
        <w:rPr>
          <w:rFonts w:ascii="Arial" w:eastAsiaTheme="minorEastAsia" w:hAnsi="Arial" w:cs="Arial"/>
          <w:sz w:val="20"/>
          <w:szCs w:val="20"/>
        </w:rPr>
        <w:t>(</w:t>
      </w:r>
      <w:r w:rsidRPr="00B30202">
        <w:rPr>
          <w:rFonts w:ascii="Arial" w:eastAsiaTheme="minorEastAsia" w:hAnsi="Arial" w:cs="Arial"/>
          <w:sz w:val="20"/>
          <w:szCs w:val="20"/>
        </w:rPr>
        <w:t>EOG</w:t>
      </w:r>
      <w:r w:rsidR="00AC7ADA">
        <w:rPr>
          <w:rFonts w:ascii="Arial" w:eastAsiaTheme="minorEastAsia" w:hAnsi="Arial" w:cs="Arial"/>
          <w:sz w:val="20"/>
          <w:szCs w:val="20"/>
        </w:rPr>
        <w:t>)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A1224B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B3020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69FF2563" w:rsidR="00BD6F21" w:rsidRPr="006912CE" w:rsidRDefault="00BD6F21" w:rsidP="00164C42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F766C2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</w:t>
      </w:r>
      <w:r w:rsidR="007A05FE">
        <w:rPr>
          <w:rFonts w:ascii="Arial" w:eastAsiaTheme="minorEastAsia" w:hAnsi="Arial" w:cs="Arial"/>
          <w:sz w:val="20"/>
          <w:szCs w:val="20"/>
        </w:rPr>
        <w:t xml:space="preserve"> </w:t>
      </w:r>
      <w:r w:rsidR="007A05FE" w:rsidRPr="00683816">
        <w:rPr>
          <w:rFonts w:ascii="Arial" w:eastAsiaTheme="minorEastAsia" w:hAnsi="Arial" w:cs="Arial"/>
          <w:sz w:val="20"/>
          <w:szCs w:val="20"/>
        </w:rPr>
        <w:t>– zadeklarowanych we wniosku o dofinansowanie</w:t>
      </w:r>
      <w:r w:rsidRPr="006912CE">
        <w:rPr>
          <w:rFonts w:ascii="Arial" w:eastAsiaTheme="minorEastAsia" w:hAnsi="Arial" w:cs="Arial"/>
          <w:sz w:val="20"/>
          <w:szCs w:val="20"/>
        </w:rPr>
        <w:t>:</w:t>
      </w:r>
    </w:p>
    <w:p w14:paraId="620AF830" w14:textId="1CEC3CFC" w:rsidR="00BD6F21" w:rsidRPr="000D228F" w:rsidRDefault="003C3283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lastRenderedPageBreak/>
        <w:t>zastosuje wyniki prac B+R we własnej działalności gospodarczej na terytorium rynku wewnętrznego UE</w:t>
      </w:r>
      <w:r w:rsidR="00765E6C" w:rsidRPr="008B5E2D">
        <w:rPr>
          <w:rFonts w:eastAsiaTheme="minorEastAsia" w:cs="Arial"/>
          <w:vertAlign w:val="superscript"/>
        </w:rPr>
        <w:footnoteReference w:id="21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58E43594" w:rsidR="005D1810" w:rsidRPr="00B30202" w:rsidRDefault="005D1810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</w:t>
      </w:r>
      <w:r w:rsidR="00BF602F">
        <w:rPr>
          <w:rFonts w:ascii="Arial" w:eastAsiaTheme="minorEastAsia" w:hAnsi="Arial" w:cs="Arial"/>
          <w:sz w:val="20"/>
          <w:szCs w:val="20"/>
        </w:rPr>
        <w:t>ż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praw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innego przedsiębior</w:t>
      </w:r>
      <w:r w:rsidR="00215261">
        <w:rPr>
          <w:rFonts w:ascii="Arial" w:eastAsiaTheme="minorEastAsia" w:hAnsi="Arial" w:cs="Arial"/>
          <w:sz w:val="20"/>
          <w:szCs w:val="20"/>
        </w:rPr>
        <w:t>stwa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498562C" w14:textId="75A9036C" w:rsidR="00337850" w:rsidRPr="00381539" w:rsidRDefault="0037747A" w:rsidP="00B30202">
      <w:pPr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824869" w:rsidRPr="00381539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B30202">
        <w:rPr>
          <w:rFonts w:ascii="Arial" w:eastAsiaTheme="minorEastAsia" w:hAnsi="Arial" w:cs="Arial"/>
          <w:sz w:val="20"/>
          <w:szCs w:val="20"/>
        </w:rPr>
        <w:tab/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Jeżeli wprowadzenie </w:t>
      </w:r>
      <w:r w:rsidR="00765413">
        <w:rPr>
          <w:rFonts w:ascii="Arial" w:eastAsiaTheme="minorEastAsia" w:hAnsi="Arial" w:cs="Arial"/>
          <w:sz w:val="20"/>
          <w:szCs w:val="20"/>
        </w:rPr>
        <w:t xml:space="preserve">technologii medycznej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na rynek wymaga przeprowadzenia badań klinicznych, </w:t>
      </w:r>
      <w:r w:rsidR="00AF7A20" w:rsidRPr="00381539">
        <w:rPr>
          <w:rFonts w:ascii="Arial" w:eastAsiaTheme="minorEastAsia" w:hAnsi="Arial" w:cs="Arial"/>
          <w:sz w:val="20"/>
          <w:szCs w:val="20"/>
        </w:rPr>
        <w:t xml:space="preserve">uwzględnienie w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AF7A20" w:rsidRPr="00381539">
        <w:rPr>
          <w:rFonts w:ascii="Arial" w:eastAsiaTheme="minorEastAsia" w:hAnsi="Arial" w:cs="Arial"/>
          <w:sz w:val="20"/>
          <w:szCs w:val="20"/>
        </w:rPr>
        <w:t>rojekcie całości procesu badań klinicznych nie jest obligatoryjne</w:t>
      </w:r>
      <w:r w:rsidR="00B7286B" w:rsidRPr="00381539">
        <w:rPr>
          <w:rFonts w:ascii="Arial" w:eastAsiaTheme="minorEastAsia" w:hAnsi="Arial" w:cs="Arial"/>
          <w:sz w:val="20"/>
          <w:szCs w:val="20"/>
        </w:rPr>
        <w:t xml:space="preserve">, tj.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B7286B" w:rsidRPr="00381539">
        <w:rPr>
          <w:rFonts w:ascii="Arial" w:eastAsiaTheme="minorEastAsia" w:hAnsi="Arial" w:cs="Arial"/>
          <w:sz w:val="20"/>
          <w:szCs w:val="20"/>
        </w:rPr>
        <w:t>rojekt może zostać zakończony po wytworzeniu serii produktu leczniczego do badań klinicznych lub przeprowadzeniu części badań klinicznych (co najmniej jednej pełnej fazy I, II lub III)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9D0352">
        <w:rPr>
          <w:rFonts w:ascii="Arial" w:eastAsiaTheme="minorEastAsia" w:hAnsi="Arial" w:cs="Arial"/>
          <w:sz w:val="20"/>
          <w:szCs w:val="20"/>
        </w:rPr>
        <w:t>W takim przypadku w</w:t>
      </w:r>
      <w:r w:rsidR="00337850" w:rsidRPr="00381539">
        <w:rPr>
          <w:rFonts w:ascii="Arial" w:eastAsiaTheme="minorEastAsia" w:hAnsi="Arial" w:cs="Arial"/>
          <w:sz w:val="20"/>
          <w:szCs w:val="20"/>
        </w:rPr>
        <w:t>ymóg wdrożenia wyników prac B+R jest spełniony w przypadku, gdy badania kliniczne produktu leczniczego</w:t>
      </w:r>
      <w:r w:rsidR="00D946E5">
        <w:rPr>
          <w:rFonts w:ascii="Arial" w:eastAsiaTheme="minorEastAsia" w:hAnsi="Arial" w:cs="Arial"/>
          <w:sz w:val="20"/>
          <w:szCs w:val="20"/>
        </w:rPr>
        <w:t xml:space="preserve"> </w:t>
      </w:r>
      <w:r w:rsidR="00D946E5" w:rsidRPr="00164C42">
        <w:rPr>
          <w:rFonts w:ascii="Arial" w:eastAsiaTheme="minorEastAsia" w:hAnsi="Arial" w:cs="Arial"/>
          <w:sz w:val="20"/>
          <w:szCs w:val="20"/>
        </w:rPr>
        <w:t>zostaną rozpoczęte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będą kontynuowane: </w:t>
      </w:r>
    </w:p>
    <w:p w14:paraId="19CDFD46" w14:textId="189E9D33" w:rsidR="00164C42" w:rsidRDefault="00337850" w:rsidP="002B7D37">
      <w:pPr>
        <w:pStyle w:val="Akapitzlist"/>
        <w:numPr>
          <w:ilvl w:val="0"/>
          <w:numId w:val="118"/>
        </w:numPr>
        <w:spacing w:before="120" w:after="120"/>
        <w:ind w:left="1134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</w:t>
      </w:r>
      <w:r w:rsidR="00E2797F" w:rsidRPr="00164C42">
        <w:rPr>
          <w:rFonts w:ascii="Arial" w:eastAsiaTheme="minorEastAsia" w:hAnsi="Arial" w:cs="Arial"/>
          <w:sz w:val="20"/>
          <w:szCs w:val="20"/>
        </w:rPr>
        <w:t>ramach własnej działalności gospodarczej przez Beneficjenta</w:t>
      </w:r>
      <w:r w:rsidR="006021BA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C7514D" w:rsidRPr="00C7514D">
        <w:rPr>
          <w:rFonts w:ascii="Arial" w:eastAsiaTheme="minorEastAsia" w:hAnsi="Arial" w:cs="Arial"/>
          <w:sz w:val="20"/>
          <w:szCs w:val="20"/>
        </w:rPr>
        <w:t>na terytorium rynku wewnętrznego UE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lub </w:t>
      </w:r>
    </w:p>
    <w:p w14:paraId="04AE456F" w14:textId="4CDCD416" w:rsidR="00164C42" w:rsidRDefault="00985100" w:rsidP="002B7D37">
      <w:pPr>
        <w:pStyle w:val="Akapitzlist"/>
        <w:numPr>
          <w:ilvl w:val="0"/>
          <w:numId w:val="118"/>
        </w:numPr>
        <w:spacing w:before="120" w:after="120"/>
        <w:ind w:left="1134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37850" w:rsidRPr="00164C42">
        <w:rPr>
          <w:rFonts w:ascii="Arial" w:eastAsiaTheme="minorEastAsia" w:hAnsi="Arial" w:cs="Arial"/>
          <w:sz w:val="20"/>
          <w:szCs w:val="20"/>
        </w:rPr>
        <w:t>przez licencjobiorcę, któremu została udzielona licencja (na zasadach rynkowych) na korzystanie z praw do</w:t>
      </w:r>
      <w:r w:rsidR="00361C13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29128D" w:rsidRPr="00164C42">
        <w:rPr>
          <w:rFonts w:ascii="Arial" w:eastAsiaTheme="minorEastAsia" w:hAnsi="Arial" w:cs="Arial"/>
          <w:sz w:val="20"/>
          <w:szCs w:val="20"/>
        </w:rPr>
        <w:t xml:space="preserve">Projektu </w:t>
      </w:r>
      <w:r w:rsidR="00337850" w:rsidRPr="00164C42">
        <w:rPr>
          <w:rFonts w:ascii="Arial" w:eastAsiaTheme="minorEastAsia" w:hAnsi="Arial" w:cs="Arial"/>
          <w:sz w:val="20"/>
          <w:szCs w:val="20"/>
        </w:rPr>
        <w:t>w celu</w:t>
      </w:r>
      <w:r w:rsidR="00953296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 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353D3A" w:rsidRPr="00164C42">
        <w:rPr>
          <w:rFonts w:ascii="Arial" w:eastAsiaTheme="minorEastAsia" w:hAnsi="Arial" w:cs="Arial"/>
          <w:sz w:val="20"/>
          <w:szCs w:val="20"/>
        </w:rPr>
        <w:t>, lub</w:t>
      </w:r>
    </w:p>
    <w:p w14:paraId="5C1709D4" w14:textId="740C801A" w:rsidR="00353D3A" w:rsidRPr="00164C42" w:rsidRDefault="00985100" w:rsidP="002B7D37">
      <w:pPr>
        <w:pStyle w:val="Akapitzlist"/>
        <w:numPr>
          <w:ilvl w:val="0"/>
          <w:numId w:val="118"/>
        </w:numPr>
        <w:spacing w:before="120" w:after="120"/>
        <w:ind w:left="1134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53D3A" w:rsidRPr="00164C42">
        <w:rPr>
          <w:rFonts w:ascii="Arial" w:eastAsiaTheme="minorEastAsia" w:hAnsi="Arial" w:cs="Arial"/>
          <w:sz w:val="20"/>
          <w:szCs w:val="20"/>
        </w:rPr>
        <w:t>przez nabywcę</w:t>
      </w:r>
      <w:r w:rsidR="00F3476C">
        <w:rPr>
          <w:rFonts w:ascii="Arial" w:eastAsiaTheme="minorEastAsia" w:hAnsi="Arial" w:cs="Arial"/>
          <w:sz w:val="20"/>
          <w:szCs w:val="20"/>
        </w:rPr>
        <w:t xml:space="preserve">, </w:t>
      </w:r>
      <w:r w:rsidR="005108A7" w:rsidRPr="00164C42">
        <w:rPr>
          <w:rFonts w:ascii="Arial" w:eastAsiaTheme="minorEastAsia" w:hAnsi="Arial" w:cs="Arial"/>
          <w:sz w:val="20"/>
          <w:szCs w:val="20"/>
        </w:rPr>
        <w:t>któremu zostały sprzedane (na zasadach rynkowych) prawa do</w:t>
      </w:r>
      <w:r w:rsidR="00D77602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574B70" w:rsidRPr="00164C42">
        <w:rPr>
          <w:rFonts w:ascii="Arial" w:eastAsiaTheme="minorEastAsia" w:hAnsi="Arial" w:cs="Arial"/>
          <w:sz w:val="20"/>
          <w:szCs w:val="20"/>
        </w:rPr>
        <w:t>P</w:t>
      </w:r>
      <w:r w:rsidR="005108A7" w:rsidRPr="00164C42">
        <w:rPr>
          <w:rFonts w:ascii="Arial" w:eastAsiaTheme="minorEastAsia" w:hAnsi="Arial" w:cs="Arial"/>
          <w:sz w:val="20"/>
          <w:szCs w:val="20"/>
        </w:rPr>
        <w:t>rojektu w celu</w:t>
      </w:r>
      <w:r w:rsidR="00B3792E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E57477" w:rsidRPr="00164C42">
        <w:rPr>
          <w:rFonts w:ascii="Arial" w:eastAsiaTheme="minorEastAsia" w:hAnsi="Arial" w:cs="Arial"/>
          <w:sz w:val="20"/>
          <w:szCs w:val="20"/>
        </w:rPr>
        <w:t>.</w:t>
      </w:r>
    </w:p>
    <w:p w14:paraId="39B50E0F" w14:textId="1F8241C7" w:rsidR="00337850" w:rsidRPr="00381539" w:rsidRDefault="00B516CE" w:rsidP="00904D61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b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B3792E" w:rsidRPr="00381539">
        <w:rPr>
          <w:rFonts w:ascii="Arial" w:eastAsiaTheme="minorEastAsia" w:hAnsi="Arial" w:cs="Arial"/>
          <w:sz w:val="20"/>
          <w:szCs w:val="20"/>
        </w:rPr>
        <w:t>Rozpoczęcie/</w:t>
      </w:r>
      <w:r w:rsidR="003C5415" w:rsidRPr="00381539">
        <w:rPr>
          <w:rFonts w:ascii="Arial" w:eastAsiaTheme="minorEastAsia" w:hAnsi="Arial" w:cs="Arial"/>
          <w:sz w:val="20"/>
          <w:szCs w:val="20"/>
        </w:rPr>
        <w:t xml:space="preserve"> k</w:t>
      </w:r>
      <w:r w:rsidR="00337850" w:rsidRPr="00381539">
        <w:rPr>
          <w:rFonts w:ascii="Arial" w:eastAsiaTheme="minorEastAsia" w:hAnsi="Arial" w:cs="Arial"/>
          <w:sz w:val="20"/>
          <w:szCs w:val="20"/>
        </w:rPr>
        <w:t>ontynuacja badań klinicznych rozumiana jest jako uzyskanie pozwolenia na prowadzenie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7D2295">
        <w:rPr>
          <w:rFonts w:ascii="Arial" w:eastAsiaTheme="minorEastAsia" w:hAnsi="Arial" w:cs="Arial"/>
          <w:sz w:val="20"/>
          <w:szCs w:val="20"/>
        </w:rPr>
        <w:t>fazy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I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kolejnej fazy badań klinicznych produktu leczniczego przez podmiot, o którym mowa w ust. </w:t>
      </w: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D3062A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odpowiednio w lit. a) lub b)</w:t>
      </w:r>
      <w:r w:rsidR="00192A3B" w:rsidRPr="00381539">
        <w:rPr>
          <w:rFonts w:ascii="Arial" w:eastAsiaTheme="minorEastAsia" w:hAnsi="Arial" w:cs="Arial"/>
          <w:sz w:val="20"/>
          <w:szCs w:val="20"/>
        </w:rPr>
        <w:t xml:space="preserve"> lub c)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2D9F2FB6" w14:textId="3BEB45EF" w:rsidR="009271DA" w:rsidRPr="00164C42" w:rsidRDefault="00B516CE" w:rsidP="005C080C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c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W przypadku gdy, </w:t>
      </w:r>
      <w:r w:rsidR="00563A8A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rojekt obejmuje badanie kliniczne fazy III, poprzez wdrożenie wyników </w:t>
      </w:r>
      <w:r w:rsidR="0085242B" w:rsidRPr="0085242B">
        <w:rPr>
          <w:rFonts w:ascii="Arial" w:eastAsiaTheme="minorEastAsia" w:hAnsi="Arial" w:cs="Arial"/>
          <w:sz w:val="20"/>
          <w:szCs w:val="20"/>
        </w:rPr>
        <w:t xml:space="preserve">prac B+R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należy rozumieć wprowadzenie do obrotu produktu leczniczego będącego przedmiotem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>rojektu, dopuszczonego do obrotu przez właściwe organy regula</w:t>
      </w:r>
      <w:r w:rsidR="00E31590">
        <w:rPr>
          <w:rFonts w:ascii="Arial" w:eastAsiaTheme="minorEastAsia" w:hAnsi="Arial" w:cs="Arial"/>
          <w:sz w:val="20"/>
          <w:szCs w:val="20"/>
        </w:rPr>
        <w:t>cyjne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  <w:r w:rsidR="00337850" w:rsidRPr="00337850">
        <w:rPr>
          <w:rFonts w:ascii="Arial" w:eastAsiaTheme="minorEastAsia" w:hAnsi="Arial" w:cs="Arial"/>
          <w:sz w:val="20"/>
          <w:szCs w:val="20"/>
        </w:rPr>
        <w:t xml:space="preserve">   </w:t>
      </w:r>
    </w:p>
    <w:p w14:paraId="6D1A52D6" w14:textId="46B101E5" w:rsidR="00A47066" w:rsidRPr="00381539" w:rsidRDefault="00A4706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45E845C2" w:rsidR="00164C42" w:rsidRPr="00164C42" w:rsidRDefault="00E335EC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501F78">
        <w:rPr>
          <w:rFonts w:ascii="Arial" w:eastAsiaTheme="minorEastAsia" w:hAnsi="Arial" w:cs="Arial"/>
          <w:sz w:val="20"/>
          <w:szCs w:val="20"/>
        </w:rPr>
        <w:t>;</w:t>
      </w:r>
    </w:p>
    <w:p w14:paraId="1AF8DD7C" w14:textId="6BF8207A" w:rsidR="00164C42" w:rsidRPr="00164C42" w:rsidRDefault="005C080C" w:rsidP="00F87CC2">
      <w:pPr>
        <w:pStyle w:val="Akapitzlist"/>
        <w:numPr>
          <w:ilvl w:val="1"/>
          <w:numId w:val="10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lastRenderedPageBreak/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430BB4">
      <w:pPr>
        <w:pStyle w:val="Akapitzlist"/>
        <w:numPr>
          <w:ilvl w:val="0"/>
          <w:numId w:val="10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2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4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AC8F8E4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B0145BB" w:rsidR="003D1409" w:rsidRDefault="00507D29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501F78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4"/>
    <w:p w14:paraId="4C782205" w14:textId="6A18F050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lub wdrożenie wyników prac B+R są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>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5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5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C61C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3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8D3911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0E2B7BF3" w:rsidR="00B23E8E" w:rsidRPr="005A7CD2" w:rsidRDefault="00B23E8E" w:rsidP="005A7CD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</w:t>
      </w:r>
      <w:bookmarkEnd w:id="6"/>
      <w:r w:rsidR="00215261">
        <w:rPr>
          <w:rFonts w:ascii="Arial" w:hAnsi="Arial" w:cs="Arial"/>
          <w:sz w:val="20"/>
          <w:szCs w:val="20"/>
        </w:rPr>
        <w:t>FENG</w:t>
      </w:r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FEDC9B2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215261">
        <w:rPr>
          <w:rFonts w:ascii="Arial" w:hAnsi="Arial" w:cs="Arial"/>
          <w:sz w:val="20"/>
          <w:szCs w:val="20"/>
        </w:rPr>
        <w:t xml:space="preserve">, </w:t>
      </w:r>
      <w:r w:rsidR="00215261" w:rsidRPr="00381539">
        <w:rPr>
          <w:rFonts w:ascii="Arial" w:hAnsi="Arial" w:cs="Arial"/>
          <w:sz w:val="20"/>
          <w:szCs w:val="20"/>
        </w:rPr>
        <w:t>§</w:t>
      </w:r>
      <w:r w:rsidR="00215261">
        <w:rPr>
          <w:rFonts w:ascii="Arial" w:hAnsi="Arial" w:cs="Arial"/>
          <w:sz w:val="20"/>
          <w:szCs w:val="20"/>
        </w:rPr>
        <w:t xml:space="preserve"> 5b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353ED9B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215261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>finansowania realizacji Projektu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5261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215261">
        <w:rPr>
          <w:rFonts w:ascii="Arial" w:hAnsi="Arial" w:cs="Arial"/>
          <w:sz w:val="20"/>
          <w:szCs w:val="20"/>
          <w:lang w:eastAsia="pl-PL"/>
        </w:rPr>
        <w:t>P</w:t>
      </w:r>
      <w:r w:rsidR="00215261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78152A8" w14:textId="0FE25C7F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zmiany kwoty wydatków kwalifikowalnych </w:t>
      </w:r>
      <w:r w:rsidR="00215261">
        <w:rPr>
          <w:rFonts w:ascii="Arial" w:hAnsi="Arial" w:cs="Arial"/>
          <w:sz w:val="20"/>
          <w:szCs w:val="20"/>
          <w:lang w:eastAsia="pl-PL"/>
        </w:rPr>
        <w:t>na skutek sytuacji, o których mowa w ust. 21</w:t>
      </w:r>
      <w:r w:rsidRPr="00381539">
        <w:rPr>
          <w:rFonts w:ascii="Arial" w:hAnsi="Arial" w:cs="Arial"/>
          <w:sz w:val="20"/>
          <w:szCs w:val="20"/>
          <w:lang w:eastAsia="pl-PL"/>
        </w:rPr>
        <w:t>, kwota przyznanego dofinansowania ulega zmianie po wyrażeniu zgody przez Instytucję, z zachowaniem postanowień ust. 4.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63DE7A54" w14:textId="6C2CACD3" w:rsidR="00B23E8E" w:rsidRPr="00381539" w:rsidRDefault="00B23E8E" w:rsidP="00D71CB7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5261" w:rsidRPr="00C431B8">
        <w:rPr>
          <w:rFonts w:ascii="Arial" w:hAnsi="Arial" w:cs="Arial"/>
          <w:sz w:val="20"/>
          <w:szCs w:val="20"/>
          <w:lang w:eastAsia="pl-PL"/>
        </w:rPr>
        <w:t>dzierżawy gruntów lub kwalifikowania opłat za użytkowanie wieczyste gruntu – oświadczenia właściciela gruntu, że nabycie gruntu nie było współfinansowane ze środków unijnych lub z dotacji krajowych</w:t>
      </w:r>
      <w:r w:rsidR="00215261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6907DB01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2787E183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– tabeli amortyzacyjnej lub wyciągu z tabeli amortyzacyjnej, potwierdzonych przez osobę, której powierzono prowadzenie ksiąg rachunkowych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215261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215261">
        <w:rPr>
          <w:rFonts w:ascii="Arial" w:hAnsi="Arial" w:cs="Arial"/>
          <w:sz w:val="20"/>
          <w:szCs w:val="20"/>
          <w:lang w:eastAsia="pl-PL"/>
        </w:rPr>
        <w:t>ów</w:t>
      </w:r>
      <w:r w:rsidR="00215261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215261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5261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Pr="00381539">
        <w:rPr>
          <w:rFonts w:ascii="Arial" w:hAnsi="Arial" w:cs="Arial"/>
          <w:sz w:val="20"/>
          <w:szCs w:val="20"/>
          <w:lang w:eastAsia="pl-PL"/>
        </w:rPr>
        <w:t>,</w:t>
      </w:r>
    </w:p>
    <w:p w14:paraId="7CBAA9F0" w14:textId="77777777" w:rsidR="00215261" w:rsidRDefault="00215261" w:rsidP="00215261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20164D1B" w14:textId="77777777" w:rsidR="00215261" w:rsidRPr="00381539" w:rsidRDefault="00215261" w:rsidP="00215261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08CC6B5B" w14:textId="570B9F22" w:rsidR="00B23E8E" w:rsidRPr="00381539" w:rsidRDefault="00B23E8E" w:rsidP="00D71CB7">
      <w:pPr>
        <w:pStyle w:val="Akapitzlist"/>
        <w:spacing w:before="120" w:after="120"/>
        <w:ind w:left="1276"/>
        <w:jc w:val="both"/>
        <w:rPr>
          <w:rFonts w:ascii="Arial" w:hAnsi="Arial" w:cs="Arial"/>
          <w:sz w:val="20"/>
          <w:szCs w:val="20"/>
        </w:rPr>
      </w:pPr>
    </w:p>
    <w:p w14:paraId="253F323D" w14:textId="5855891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C02A8EF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5261" w:rsidRPr="000917A2">
        <w:rPr>
          <w:rFonts w:ascii="Arial" w:hAnsi="Arial" w:cs="Arial"/>
          <w:sz w:val="20"/>
          <w:szCs w:val="20"/>
          <w:lang w:eastAsia="pl-PL"/>
        </w:rPr>
        <w:t>W terminie 20 dni roboczych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B23E8E">
      <w:pPr>
        <w:numPr>
          <w:ilvl w:val="0"/>
          <w:numId w:val="84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73E4C200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10</w:t>
      </w:r>
      <w:r w:rsidR="00215261">
        <w:rPr>
          <w:rFonts w:ascii="Arial" w:hAnsi="Arial" w:cs="Arial"/>
          <w:sz w:val="20"/>
          <w:szCs w:val="20"/>
          <w:lang w:eastAsia="pl-PL"/>
        </w:rPr>
        <w:t xml:space="preserve"> i 12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B23E8E">
      <w:pPr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B23E8E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B23E8E">
      <w:pPr>
        <w:pStyle w:val="Tekstpodstawowy2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EB3872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69D0E953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Hlk197690842"/>
      <w:r w:rsidRPr="00381539">
        <w:rPr>
          <w:rFonts w:ascii="Arial" w:hAnsi="Arial" w:cs="Arial"/>
          <w:sz w:val="20"/>
          <w:szCs w:val="20"/>
        </w:rPr>
        <w:lastRenderedPageBreak/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215261">
        <w:rPr>
          <w:rFonts w:ascii="Arial" w:hAnsi="Arial" w:cs="Arial"/>
          <w:sz w:val="20"/>
          <w:szCs w:val="20"/>
        </w:rPr>
        <w:t xml:space="preserve"> </w:t>
      </w:r>
      <w:r w:rsidR="00215261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215261">
        <w:rPr>
          <w:rFonts w:ascii="Arial" w:hAnsi="Arial" w:cs="Arial"/>
          <w:sz w:val="20"/>
          <w:szCs w:val="20"/>
        </w:rPr>
        <w:t>P</w:t>
      </w:r>
      <w:r w:rsidR="00215261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7"/>
    <w:p w14:paraId="60E19C82" w14:textId="69D8E888" w:rsidR="00B23E8E" w:rsidRPr="002B7D37" w:rsidRDefault="00B23E8E" w:rsidP="002B7D37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EB3872">
      <w:pPr>
        <w:pStyle w:val="Akapitzlist"/>
        <w:numPr>
          <w:ilvl w:val="0"/>
          <w:numId w:val="103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44082713" w:rsidR="00706869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DB6112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Pr="00706869">
        <w:rPr>
          <w:rFonts w:ascii="Arial" w:eastAsiaTheme="minorEastAsia" w:hAnsi="Arial" w:cs="Arial"/>
          <w:sz w:val="20"/>
          <w:szCs w:val="20"/>
        </w:rPr>
        <w:t>,</w:t>
      </w:r>
      <w:r w:rsidR="00215261">
        <w:rPr>
          <w:rFonts w:ascii="Arial" w:eastAsiaTheme="minorEastAsia" w:hAnsi="Arial" w:cs="Arial"/>
          <w:sz w:val="20"/>
          <w:szCs w:val="20"/>
        </w:rPr>
        <w:t xml:space="preserve"> albo</w:t>
      </w:r>
      <w:r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C5CF5C0" w14:textId="3580FD06" w:rsidR="00706869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DB6112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215261">
        <w:rPr>
          <w:rFonts w:ascii="Arial" w:eastAsiaTheme="minorEastAsia" w:hAnsi="Arial" w:cs="Arial"/>
          <w:sz w:val="20"/>
          <w:szCs w:val="20"/>
        </w:rPr>
        <w:t>albo</w:t>
      </w:r>
    </w:p>
    <w:p w14:paraId="5A1CE16A" w14:textId="77777777" w:rsidR="00DB6112" w:rsidRDefault="003705D5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DB6112">
        <w:rPr>
          <w:rStyle w:val="Odwoanieprzypisudolnego"/>
          <w:rFonts w:ascii="Arial" w:eastAsiaTheme="minorEastAsia" w:hAnsi="Arial"/>
          <w:sz w:val="20"/>
          <w:szCs w:val="20"/>
        </w:rPr>
        <w:footnoteReference w:id="30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63DAE374" w14:textId="73B3C2C3" w:rsidR="00BD6F21" w:rsidRPr="00D71CB7" w:rsidRDefault="00DB6112" w:rsidP="00D71CB7">
      <w:pPr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  <w:r w:rsidRPr="00D71CB7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kwalifikowalnych, z zastrzeżeniem, że premii wskazanych w lit. a, b i c nie można łączyć.</w:t>
      </w:r>
      <w:r w:rsidR="00BD6F21" w:rsidRPr="00D71CB7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29F3745C" w:rsidR="00BD6F21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DB6112">
        <w:rPr>
          <w:rFonts w:ascii="Arial" w:eastAsiaTheme="minorEastAsia" w:hAnsi="Arial" w:cs="Arial"/>
          <w:sz w:val="20"/>
          <w:szCs w:val="20"/>
        </w:rPr>
        <w:t xml:space="preserve"> </w:t>
      </w:r>
      <w:r w:rsidR="00DB6112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DB6112">
        <w:rPr>
          <w:rFonts w:ascii="Arial" w:eastAsiaTheme="minorEastAsia" w:hAnsi="Arial" w:cs="Arial"/>
          <w:sz w:val="20"/>
          <w:szCs w:val="20"/>
        </w:rPr>
        <w:t>.</w:t>
      </w:r>
      <w:r w:rsidR="00501F78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</w:t>
      </w:r>
      <w:r w:rsidRPr="00381539">
        <w:rPr>
          <w:rFonts w:ascii="Arial" w:eastAsiaTheme="minorEastAsia" w:hAnsi="Arial" w:cs="Arial"/>
          <w:sz w:val="20"/>
          <w:szCs w:val="20"/>
        </w:rPr>
        <w:lastRenderedPageBreak/>
        <w:t xml:space="preserve">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49289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31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1E92801A" w:rsidR="00663595" w:rsidRPr="00381539" w:rsidRDefault="006860B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8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8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06617D31" w:rsidR="00C83EB6" w:rsidRPr="00C83EB6" w:rsidRDefault="007F4F08" w:rsidP="00EB3872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15261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4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3D2F42D4">
      <w:pPr>
        <w:numPr>
          <w:ilvl w:val="0"/>
          <w:numId w:val="19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5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6E722785" w:rsidR="000B1043" w:rsidRPr="00381539" w:rsidRDefault="00804F4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rozporządzeni</w:t>
      </w:r>
      <w:r w:rsidR="00215261">
        <w:rPr>
          <w:rFonts w:ascii="Arial" w:hAnsi="Arial" w:cs="Arial"/>
          <w:sz w:val="20"/>
          <w:szCs w:val="20"/>
          <w:lang w:eastAsia="pl-PL"/>
        </w:rPr>
        <w:t>u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C1F8B61" w:rsidR="00C40FC5" w:rsidRPr="00381539" w:rsidRDefault="008E0B97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rozporządzeni</w:t>
      </w:r>
      <w:r w:rsidR="00215261">
        <w:rPr>
          <w:rFonts w:ascii="Arial" w:hAnsi="Arial" w:cs="Arial"/>
          <w:sz w:val="20"/>
          <w:szCs w:val="20"/>
          <w:lang w:eastAsia="pl-PL"/>
        </w:rPr>
        <w:t>u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2638E18A">
      <w:pPr>
        <w:pStyle w:val="Akapitzlist"/>
        <w:numPr>
          <w:ilvl w:val="0"/>
          <w:numId w:val="2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EB3872">
      <w:pPr>
        <w:pStyle w:val="Akapitzlist"/>
        <w:numPr>
          <w:ilvl w:val="0"/>
          <w:numId w:val="1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6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EB3872">
      <w:pPr>
        <w:pStyle w:val="Akapitzlist"/>
        <w:numPr>
          <w:ilvl w:val="0"/>
          <w:numId w:val="11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0" w:name="_Hlk124326126"/>
      <w:r w:rsidRPr="005D65B3">
        <w:rPr>
          <w:rFonts w:cs="Arial"/>
        </w:rPr>
        <w:t>§ 6</w:t>
      </w:r>
      <w:bookmarkEnd w:id="10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6E9A2548" w:rsidR="00ED0279" w:rsidRPr="00381539" w:rsidRDefault="00ED0279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01F7B3F4" w:rsidR="005F357B" w:rsidRPr="00381539" w:rsidRDefault="005F357B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EB3872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9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</w:t>
      </w:r>
      <w:r w:rsidR="5B9F5320" w:rsidRPr="00381539">
        <w:rPr>
          <w:rFonts w:ascii="Arial" w:hAnsi="Arial" w:cs="Arial"/>
          <w:sz w:val="20"/>
          <w:szCs w:val="20"/>
        </w:rPr>
        <w:lastRenderedPageBreak/>
        <w:t xml:space="preserve">podstawie ustawy </w:t>
      </w:r>
      <w:bookmarkStart w:id="11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1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693C3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0C5D126A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</w:t>
      </w:r>
      <w:r w:rsidR="00215261">
        <w:rPr>
          <w:rFonts w:ascii="Arial" w:hAnsi="Arial" w:cs="Arial"/>
          <w:sz w:val="20"/>
          <w:szCs w:val="20"/>
        </w:rPr>
        <w:t xml:space="preserve"> oficjalnej</w:t>
      </w:r>
      <w:r w:rsidRPr="00381539">
        <w:rPr>
          <w:rFonts w:ascii="Arial" w:hAnsi="Arial" w:cs="Arial"/>
          <w:sz w:val="20"/>
          <w:szCs w:val="20"/>
        </w:rPr>
        <w:t xml:space="preserve">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tytuł projektu lub jego skróconą nazwę, </w:t>
      </w:r>
    </w:p>
    <w:p w14:paraId="33CD93A9" w14:textId="16679A8D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1132ED18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215261">
        <w:rPr>
          <w:rFonts w:ascii="Arial" w:hAnsi="Arial" w:cs="Arial"/>
          <w:sz w:val="20"/>
          <w:szCs w:val="20"/>
        </w:rPr>
        <w:t>całkowity</w:t>
      </w:r>
      <w:r w:rsidR="0021526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E67198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41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69BE7813" w:rsidR="00E620B1" w:rsidRPr="00381539" w:rsidRDefault="002F75B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215261">
        <w:rPr>
          <w:rFonts w:ascii="Arial" w:hAnsi="Arial" w:cs="Arial"/>
          <w:sz w:val="20"/>
          <w:szCs w:val="20"/>
        </w:rPr>
        <w:t>całkowity</w:t>
      </w:r>
      <w:r w:rsidR="0021526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5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2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2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3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3"/>
    <w:p w14:paraId="3DA50AC9" w14:textId="74672186" w:rsidR="00446D17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CF363A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51"/>
      </w:r>
    </w:p>
    <w:p w14:paraId="59ADE1B3" w14:textId="21467C9C" w:rsidR="007C6F27" w:rsidRPr="00381539" w:rsidRDefault="007C6F27" w:rsidP="00CF363A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4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4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1FBC4FB7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215261">
        <w:rPr>
          <w:rFonts w:ascii="Arial" w:hAnsi="Arial" w:cs="Arial"/>
          <w:sz w:val="20"/>
          <w:szCs w:val="20"/>
        </w:rPr>
        <w:t xml:space="preserve">, </w:t>
      </w:r>
      <w:r w:rsidR="00215261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4B11603F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2B7D37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2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CF363A">
      <w:pPr>
        <w:pStyle w:val="Akapitzlist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5" w:name="_Hlk101358772"/>
      <w:r w:rsidRPr="005D65B3">
        <w:rPr>
          <w:rFonts w:ascii="Arial" w:hAnsi="Arial" w:cs="Arial"/>
          <w:sz w:val="20"/>
          <w:szCs w:val="20"/>
        </w:rPr>
        <w:lastRenderedPageBreak/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5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842662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rozpoczął realizację Projektu przed dniem złożenia wniosku o dofinansowanie albo w dniu złożenia </w:t>
      </w:r>
      <w:r w:rsidRPr="005D65B3">
        <w:rPr>
          <w:rFonts w:ascii="Arial" w:hAnsi="Arial" w:cs="Arial"/>
          <w:sz w:val="20"/>
          <w:szCs w:val="20"/>
        </w:rPr>
        <w:lastRenderedPageBreak/>
        <w:t>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C60C2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2B7D37">
      <w:pPr>
        <w:pStyle w:val="Akapitzlist"/>
        <w:numPr>
          <w:ilvl w:val="1"/>
          <w:numId w:val="74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2B7D37">
      <w:pPr>
        <w:pStyle w:val="Akapitzlist"/>
        <w:numPr>
          <w:ilvl w:val="1"/>
          <w:numId w:val="74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2B7D37">
      <w:pPr>
        <w:pStyle w:val="Akapitzlist"/>
        <w:numPr>
          <w:ilvl w:val="1"/>
          <w:numId w:val="74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2B7D37">
      <w:pPr>
        <w:pStyle w:val="Akapitzlist"/>
        <w:numPr>
          <w:ilvl w:val="1"/>
          <w:numId w:val="74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2B7D37">
      <w:pPr>
        <w:pStyle w:val="Akapitzlist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2B7D37">
      <w:pPr>
        <w:pStyle w:val="Akapitzlist"/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2B7D37">
      <w:pPr>
        <w:pStyle w:val="Akapitzlist"/>
        <w:numPr>
          <w:ilvl w:val="1"/>
          <w:numId w:val="74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74A62793" w:rsidR="00C33ACE" w:rsidRPr="00D71CB7" w:rsidRDefault="00C33ACE" w:rsidP="00D71CB7">
      <w:pPr>
        <w:pStyle w:val="Akapitzlist"/>
        <w:numPr>
          <w:ilvl w:val="0"/>
          <w:numId w:val="12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CB7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D71CB7">
        <w:rPr>
          <w:rFonts w:ascii="Arial" w:hAnsi="Arial" w:cs="Arial"/>
          <w:sz w:val="20"/>
          <w:szCs w:val="20"/>
        </w:rPr>
        <w:t xml:space="preserve">wypłatę </w:t>
      </w:r>
      <w:r w:rsidRPr="00D71CB7">
        <w:rPr>
          <w:rFonts w:ascii="Arial" w:hAnsi="Arial" w:cs="Arial"/>
          <w:sz w:val="20"/>
          <w:szCs w:val="20"/>
        </w:rPr>
        <w:t>dofinansowani</w:t>
      </w:r>
      <w:r w:rsidR="00466F3D" w:rsidRPr="00D71CB7">
        <w:rPr>
          <w:rFonts w:ascii="Arial" w:hAnsi="Arial" w:cs="Arial"/>
          <w:sz w:val="20"/>
          <w:szCs w:val="20"/>
        </w:rPr>
        <w:t>a</w:t>
      </w:r>
      <w:r w:rsidRPr="00D71CB7">
        <w:rPr>
          <w:rFonts w:ascii="Arial" w:hAnsi="Arial" w:cs="Arial"/>
          <w:sz w:val="20"/>
          <w:szCs w:val="20"/>
        </w:rPr>
        <w:t xml:space="preserve"> w przypadku</w:t>
      </w:r>
      <w:r w:rsidR="00F87261" w:rsidRPr="00D71CB7">
        <w:rPr>
          <w:rFonts w:ascii="Arial" w:hAnsi="Arial" w:cs="Arial"/>
          <w:sz w:val="20"/>
          <w:szCs w:val="20"/>
        </w:rPr>
        <w:t>,</w:t>
      </w:r>
      <w:r w:rsidRPr="00D71CB7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D71CB7">
        <w:rPr>
          <w:rFonts w:ascii="Arial" w:hAnsi="Arial" w:cs="Arial"/>
          <w:sz w:val="20"/>
          <w:szCs w:val="20"/>
        </w:rPr>
        <w:t xml:space="preserve"> n</w:t>
      </w:r>
      <w:r w:rsidRPr="00D71CB7">
        <w:rPr>
          <w:rFonts w:ascii="Arial" w:hAnsi="Arial" w:cs="Arial"/>
          <w:sz w:val="20"/>
          <w:szCs w:val="20"/>
        </w:rPr>
        <w:t>ieprawidłowościami</w:t>
      </w:r>
      <w:r w:rsidR="007D4843" w:rsidRPr="00D71CB7">
        <w:rPr>
          <w:rFonts w:ascii="Arial" w:hAnsi="Arial" w:cs="Arial"/>
          <w:sz w:val="20"/>
          <w:szCs w:val="20"/>
        </w:rPr>
        <w:t xml:space="preserve"> w Projekcie</w:t>
      </w:r>
      <w:r w:rsidRPr="00D71CB7">
        <w:rPr>
          <w:rFonts w:ascii="Arial" w:hAnsi="Arial" w:cs="Arial"/>
          <w:sz w:val="20"/>
          <w:szCs w:val="20"/>
        </w:rPr>
        <w:t>.</w:t>
      </w:r>
    </w:p>
    <w:p w14:paraId="4F26C0AD" w14:textId="254938AD" w:rsidR="00493E05" w:rsidRPr="00D71CB7" w:rsidRDefault="00493E05" w:rsidP="00D71CB7">
      <w:pPr>
        <w:pStyle w:val="Akapitzlist"/>
        <w:numPr>
          <w:ilvl w:val="0"/>
          <w:numId w:val="126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CB7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D71CB7">
        <w:rPr>
          <w:rFonts w:ascii="Arial" w:hAnsi="Arial" w:cs="Arial"/>
          <w:sz w:val="20"/>
          <w:szCs w:val="20"/>
        </w:rPr>
        <w:t>stosunków</w:t>
      </w:r>
      <w:r w:rsidR="00D9483A" w:rsidRPr="00D71CB7">
        <w:rPr>
          <w:rFonts w:ascii="Arial" w:hAnsi="Arial" w:cs="Arial"/>
          <w:sz w:val="20"/>
          <w:szCs w:val="20"/>
        </w:rPr>
        <w:t xml:space="preserve"> społeczno-gospodarczych</w:t>
      </w:r>
      <w:r w:rsidRPr="00D71CB7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D71CB7">
        <w:rPr>
          <w:rFonts w:ascii="Arial" w:hAnsi="Arial" w:cs="Arial"/>
          <w:sz w:val="20"/>
          <w:szCs w:val="20"/>
        </w:rPr>
        <w:t>Poprzednie zdanie stosuje się również do</w:t>
      </w:r>
      <w:r w:rsidR="006A26C1" w:rsidRPr="00D71CB7">
        <w:rPr>
          <w:rFonts w:ascii="Arial" w:hAnsi="Arial" w:cs="Arial"/>
          <w:sz w:val="20"/>
          <w:szCs w:val="20"/>
        </w:rPr>
        <w:t xml:space="preserve"> znaczącej i niemożliwej do przewidzenia</w:t>
      </w:r>
      <w:r w:rsidR="00251E0F" w:rsidRPr="00D71CB7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05100B82" w:rsidR="00880581" w:rsidRPr="00D71CB7" w:rsidRDefault="00B1478D" w:rsidP="00D71CB7">
      <w:pPr>
        <w:pStyle w:val="Akapitzlist"/>
        <w:numPr>
          <w:ilvl w:val="0"/>
          <w:numId w:val="128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71CB7">
        <w:rPr>
          <w:rFonts w:ascii="Arial" w:hAnsi="Arial" w:cs="Arial"/>
          <w:sz w:val="20"/>
          <w:szCs w:val="20"/>
        </w:rPr>
        <w:t>Instytucja nie ponosi odpowiedzialnośc</w:t>
      </w:r>
      <w:r w:rsidR="0088344B" w:rsidRPr="00D71CB7">
        <w:rPr>
          <w:rFonts w:ascii="Arial" w:hAnsi="Arial" w:cs="Arial"/>
          <w:sz w:val="20"/>
          <w:szCs w:val="20"/>
        </w:rPr>
        <w:t>i za szkody powstałe w związku</w:t>
      </w:r>
      <w:r w:rsidRPr="00D71CB7">
        <w:rPr>
          <w:rFonts w:ascii="Arial" w:hAnsi="Arial" w:cs="Arial"/>
          <w:sz w:val="20"/>
          <w:szCs w:val="20"/>
        </w:rPr>
        <w:t xml:space="preserve"> </w:t>
      </w:r>
      <w:r w:rsidR="00D61920" w:rsidRPr="00D71CB7">
        <w:rPr>
          <w:rFonts w:ascii="Arial" w:hAnsi="Arial" w:cs="Arial"/>
          <w:sz w:val="20"/>
          <w:szCs w:val="20"/>
        </w:rPr>
        <w:t xml:space="preserve">z </w:t>
      </w:r>
      <w:r w:rsidRPr="00D71CB7">
        <w:rPr>
          <w:rFonts w:ascii="Arial" w:hAnsi="Arial" w:cs="Arial"/>
          <w:sz w:val="20"/>
          <w:szCs w:val="20"/>
        </w:rPr>
        <w:t xml:space="preserve">rozwiązaniem </w:t>
      </w:r>
      <w:r w:rsidR="0088344B" w:rsidRPr="00D71CB7">
        <w:rPr>
          <w:rFonts w:ascii="Arial" w:hAnsi="Arial" w:cs="Arial"/>
          <w:sz w:val="20"/>
          <w:szCs w:val="20"/>
        </w:rPr>
        <w:t xml:space="preserve">Umowy </w:t>
      </w:r>
      <w:r w:rsidRPr="00D71CB7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D71CB7">
        <w:rPr>
          <w:rFonts w:ascii="Arial" w:hAnsi="Arial" w:cs="Arial"/>
          <w:sz w:val="20"/>
          <w:szCs w:val="20"/>
        </w:rPr>
        <w:t xml:space="preserve"> </w:t>
      </w:r>
      <w:r w:rsidRPr="00D71CB7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EB3872">
      <w:pPr>
        <w:pStyle w:val="Akapitzlist"/>
        <w:numPr>
          <w:ilvl w:val="1"/>
          <w:numId w:val="9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204213">
      <w:pPr>
        <w:pStyle w:val="Akapitzlist"/>
        <w:numPr>
          <w:ilvl w:val="1"/>
          <w:numId w:val="9"/>
        </w:numPr>
        <w:tabs>
          <w:tab w:val="clear" w:pos="1440"/>
          <w:tab w:val="num" w:pos="1418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tytułu zwrotu;</w:t>
      </w:r>
    </w:p>
    <w:p w14:paraId="4BA357BF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4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539638B7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15261">
        <w:rPr>
          <w:rFonts w:ascii="Arial" w:hAnsi="Arial" w:cs="Arial"/>
          <w:sz w:val="20"/>
          <w:szCs w:val="20"/>
        </w:rPr>
        <w:t xml:space="preserve"> obowiązujące</w:t>
      </w:r>
      <w:r w:rsidR="002F60C2" w:rsidRPr="005D65B3">
        <w:rPr>
          <w:rFonts w:ascii="Arial" w:hAnsi="Arial" w:cs="Arial"/>
          <w:sz w:val="20"/>
          <w:szCs w:val="20"/>
        </w:rPr>
        <w:t xml:space="preserve"> do końca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CF363A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4BFECDEC" w:rsidR="00720018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rozporządzeni</w:t>
      </w:r>
      <w:r w:rsidR="00215261">
        <w:rPr>
          <w:rFonts w:ascii="Arial" w:hAnsi="Arial" w:cs="Arial"/>
          <w:sz w:val="20"/>
          <w:szCs w:val="20"/>
        </w:rPr>
        <w:t>u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501F78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Pr="005D65B3">
        <w:rPr>
          <w:rFonts w:ascii="Arial" w:hAnsi="Arial" w:cs="Arial"/>
          <w:sz w:val="20"/>
          <w:szCs w:val="20"/>
        </w:rPr>
        <w:lastRenderedPageBreak/>
        <w:t xml:space="preserve">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555CC4DE" w:rsidR="007A5D71" w:rsidRPr="005D65B3" w:rsidRDefault="1127C306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6" w:name="_Hlk114733887"/>
      <w:r w:rsidRPr="005D65B3">
        <w:rPr>
          <w:rFonts w:cs="Arial"/>
        </w:rPr>
        <w:t>§</w:t>
      </w:r>
      <w:bookmarkEnd w:id="16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2F956E8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</w:t>
      </w:r>
      <w:r w:rsidR="00215261">
        <w:rPr>
          <w:rFonts w:ascii="Arial" w:hAnsi="Arial" w:cs="Arial"/>
          <w:sz w:val="20"/>
          <w:szCs w:val="20"/>
        </w:rPr>
        <w:t>6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594436A1" w:rsidR="0053467F" w:rsidRPr="005D65B3" w:rsidRDefault="00872BC5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215261">
        <w:rPr>
          <w:rFonts w:ascii="Arial" w:hAnsi="Arial" w:cs="Arial"/>
          <w:sz w:val="20"/>
          <w:szCs w:val="20"/>
        </w:rPr>
        <w:t xml:space="preserve"> </w:t>
      </w:r>
      <w:r w:rsidR="00215261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5261">
        <w:rPr>
          <w:rFonts w:ascii="Arial" w:hAnsi="Arial" w:cs="Arial"/>
          <w:sz w:val="20"/>
          <w:szCs w:val="20"/>
        </w:rPr>
        <w:t>6,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931BE9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CF363A">
      <w:pPr>
        <w:numPr>
          <w:ilvl w:val="0"/>
          <w:numId w:val="7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650BCA" w:rsidR="00603818" w:rsidRPr="005D65B3" w:rsidRDefault="00251E0F" w:rsidP="00CF363A">
      <w:pPr>
        <w:pStyle w:val="Akapitzlist"/>
        <w:numPr>
          <w:ilvl w:val="0"/>
          <w:numId w:val="7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="00501F78">
        <w:rPr>
          <w:rFonts w:ascii="Arial" w:hAnsi="Arial" w:cs="Arial"/>
          <w:sz w:val="20"/>
          <w:szCs w:val="20"/>
        </w:rPr>
        <w:t>,</w:t>
      </w:r>
      <w:r w:rsidR="00215261">
        <w:rPr>
          <w:rFonts w:ascii="Arial" w:hAnsi="Arial" w:cs="Arial"/>
          <w:sz w:val="20"/>
          <w:szCs w:val="20"/>
        </w:rPr>
        <w:t xml:space="preserve"> </w:t>
      </w:r>
      <w:r w:rsidR="00215261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215261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91AFC02" w:rsidR="00772B3A" w:rsidRPr="005D65B3" w:rsidRDefault="00670964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3DD3A4DB" w:rsidR="00772B3A" w:rsidRPr="005D65B3" w:rsidRDefault="00215261" w:rsidP="40FB12A0">
      <w:pPr>
        <w:pStyle w:val="Akapitzlist"/>
        <w:numPr>
          <w:ilvl w:val="0"/>
          <w:numId w:val="4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>pomiędzy</w:t>
      </w:r>
      <w:r w:rsidR="006064DD"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5F3B17B9" w:rsidR="00012D75" w:rsidRDefault="00215261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dokonywanie przesunięć </w:t>
      </w:r>
      <w:r w:rsidR="006064DD"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252018B5" w:rsidR="00AE6E04" w:rsidRPr="00AB782E" w:rsidRDefault="00215261" w:rsidP="00C26FEC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0C45BB">
        <w:rPr>
          <w:rFonts w:ascii="Arial" w:hAnsi="Arial" w:cs="Arial"/>
          <w:sz w:val="20"/>
          <w:szCs w:val="20"/>
        </w:rPr>
        <w:t xml:space="preserve">rozszerzenie zakresu rzeczowego </w:t>
      </w:r>
      <w:r>
        <w:rPr>
          <w:rFonts w:ascii="Arial" w:hAnsi="Arial" w:cs="Arial"/>
          <w:sz w:val="20"/>
          <w:szCs w:val="20"/>
        </w:rPr>
        <w:t>P</w:t>
      </w:r>
      <w:r w:rsidRPr="000C45BB">
        <w:rPr>
          <w:rFonts w:ascii="Arial" w:hAnsi="Arial" w:cs="Arial"/>
          <w:sz w:val="20"/>
          <w:szCs w:val="20"/>
        </w:rPr>
        <w:t>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7" w:name="_Hlk125727899"/>
      <w:r w:rsidRPr="005D65B3">
        <w:rPr>
          <w:rFonts w:cs="Arial"/>
        </w:rPr>
        <w:t>§ 13</w:t>
      </w:r>
      <w:bookmarkEnd w:id="17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60"/>
      </w:r>
    </w:p>
    <w:p w14:paraId="2B53C952" w14:textId="77942999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281183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251E0F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2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18" w:name="_Hlk124429433"/>
      <w:r w:rsidRPr="005D65B3">
        <w:rPr>
          <w:rFonts w:cs="Arial"/>
        </w:rPr>
        <w:t>§ 14</w:t>
      </w:r>
      <w:bookmarkEnd w:id="18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2638E18A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4390C255" w14:textId="1BDEAD9B" w:rsidR="00533AD1" w:rsidRPr="005D65B3" w:rsidRDefault="12585183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5B60939F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215261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</w:t>
      </w:r>
      <w:r w:rsidRPr="005D65B3">
        <w:rPr>
          <w:rFonts w:ascii="Arial" w:hAnsi="Arial" w:cs="Arial"/>
          <w:sz w:val="20"/>
          <w:szCs w:val="20"/>
        </w:rPr>
        <w:lastRenderedPageBreak/>
        <w:t>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E1C12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230C199F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501F78">
        <w:rPr>
          <w:rFonts w:ascii="Arial" w:hAnsi="Arial" w:cs="Arial"/>
          <w:sz w:val="20"/>
          <w:szCs w:val="20"/>
        </w:rPr>
        <w:t xml:space="preserve"> 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6332948" w14:textId="3D0CB914" w:rsidR="00215261" w:rsidRPr="00235A59" w:rsidRDefault="00215261" w:rsidP="00215261">
      <w:pPr>
        <w:pStyle w:val="Akapitzlist"/>
        <w:numPr>
          <w:ilvl w:val="0"/>
          <w:numId w:val="83"/>
        </w:numPr>
        <w:ind w:left="709"/>
        <w:rPr>
          <w:rFonts w:ascii="Arial" w:hAnsi="Arial" w:cs="Arial"/>
          <w:sz w:val="20"/>
          <w:szCs w:val="20"/>
        </w:rPr>
      </w:pPr>
      <w:r w:rsidRPr="006E6FDD">
        <w:rPr>
          <w:rFonts w:ascii="Arial" w:hAnsi="Arial" w:cs="Arial"/>
          <w:b/>
          <w:sz w:val="20"/>
          <w:szCs w:val="20"/>
        </w:rPr>
        <w:t>środkach prywatnych</w:t>
      </w:r>
      <w:r w:rsidRPr="00C83739">
        <w:rPr>
          <w:rFonts w:ascii="Arial" w:hAnsi="Arial" w:cs="Arial"/>
          <w:sz w:val="20"/>
          <w:szCs w:val="20"/>
        </w:rPr>
        <w:t xml:space="preserve"> - należy przez to rozumieć wkład własny oraz środki finansowe, które będą zapewnione przez Beneficjenta na pokrycie wydatków niekwalifikowalnych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410C3108" w:rsidR="000D6975" w:rsidRPr="00BA4980" w:rsidRDefault="000D6975" w:rsidP="00BA4980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15261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15261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  <w:r w:rsidR="00BA4980">
        <w:rPr>
          <w:rFonts w:ascii="Arial" w:hAnsi="Arial" w:cs="Arial"/>
          <w:sz w:val="20"/>
          <w:szCs w:val="20"/>
        </w:rPr>
        <w:t xml:space="preserve"> </w:t>
      </w:r>
      <w:r w:rsidR="00BA4980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BA4980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0E489322" w:rsidR="00BF1612" w:rsidRPr="005D65B3" w:rsidRDefault="00BF1612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BA4980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</w:t>
      </w:r>
      <w:r w:rsidRPr="005D65B3">
        <w:rPr>
          <w:rFonts w:ascii="Arial" w:hAnsi="Arial" w:cs="Arial"/>
          <w:sz w:val="20"/>
          <w:szCs w:val="20"/>
        </w:rPr>
        <w:lastRenderedPageBreak/>
        <w:t>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9"/>
    </w:p>
    <w:p w14:paraId="48F30AB5" w14:textId="0C2020C8" w:rsidR="00BF1612" w:rsidRPr="005D65B3" w:rsidRDefault="002479C4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5728189"/>
      <w:r w:rsidRPr="005D65B3">
        <w:rPr>
          <w:rFonts w:cs="Arial"/>
        </w:rPr>
        <w:t>§ 15</w:t>
      </w:r>
      <w:bookmarkEnd w:id="20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2538D82B" w:rsidR="007F70D6" w:rsidRPr="005D65B3" w:rsidRDefault="00BA4980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7F70D6" w:rsidRPr="005D65B3">
        <w:rPr>
          <w:rFonts w:ascii="Arial" w:hAnsi="Arial"/>
          <w:b/>
          <w:bCs/>
          <w:sz w:val="20"/>
          <w:szCs w:val="20"/>
        </w:rPr>
        <w:t>rozporządzenia</w:t>
      </w:r>
      <w:r>
        <w:rPr>
          <w:rFonts w:ascii="Arial" w:hAnsi="Arial"/>
          <w:b/>
          <w:bCs/>
          <w:sz w:val="20"/>
          <w:szCs w:val="20"/>
        </w:rPr>
        <w:t xml:space="preserve"> FENG” </w:t>
      </w:r>
      <w:r w:rsidRPr="00D71CB7">
        <w:rPr>
          <w:rFonts w:ascii="Arial" w:hAnsi="Arial"/>
          <w:sz w:val="20"/>
          <w:szCs w:val="20"/>
        </w:rPr>
        <w:t>- rozporządzenia</w:t>
      </w:r>
      <w:r w:rsidR="007F70D6" w:rsidRPr="00D71CB7">
        <w:rPr>
          <w:rFonts w:ascii="Arial" w:hAnsi="Arial"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10C99E26" w:rsidR="000A5E41" w:rsidRPr="00D458A6" w:rsidRDefault="000B59EC" w:rsidP="00A5543C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</w:t>
      </w:r>
      <w:r w:rsidR="00BA498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CF363A">
      <w:pPr>
        <w:pStyle w:val="Akapitzlist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lastRenderedPageBreak/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1" w:name="_Hlk199934392"/>
      <w:bookmarkStart w:id="22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1"/>
      <w:r>
        <w:rPr>
          <w:rFonts w:ascii="Arial" w:hAnsi="Arial" w:cs="Arial"/>
          <w:sz w:val="20"/>
          <w:szCs w:val="20"/>
        </w:rPr>
        <w:t xml:space="preserve"> ustawy </w:t>
      </w:r>
      <w:bookmarkEnd w:id="22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179D24FA" w:rsidR="00E251C1" w:rsidRDefault="007B7E6B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501F78">
        <w:rPr>
          <w:rFonts w:ascii="Arial" w:hAnsi="Arial" w:cs="Arial"/>
          <w:b/>
          <w:bCs/>
          <w:sz w:val="20"/>
          <w:szCs w:val="20"/>
        </w:rPr>
        <w:t>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BA4980">
        <w:rPr>
          <w:rFonts w:ascii="Arial" w:hAnsi="Arial" w:cs="Arial"/>
          <w:b/>
          <w:bCs/>
          <w:sz w:val="20"/>
          <w:szCs w:val="20"/>
        </w:rPr>
        <w:t xml:space="preserve"> </w:t>
      </w:r>
      <w:r w:rsidR="00BA4980" w:rsidRPr="00B566F0">
        <w:rPr>
          <w:rFonts w:ascii="Arial" w:hAnsi="Arial" w:cs="Arial"/>
          <w:b/>
          <w:bCs/>
          <w:sz w:val="20"/>
          <w:szCs w:val="20"/>
        </w:rPr>
        <w:t>(</w:t>
      </w:r>
      <w:r w:rsidR="00BA4980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BA4980" w:rsidRPr="00E610C1">
        <w:rPr>
          <w:rFonts w:ascii="Arial" w:hAnsi="Arial" w:cs="Arial"/>
          <w:sz w:val="20"/>
          <w:szCs w:val="20"/>
        </w:rPr>
        <w:t>z dnia 13 maja 2024 r.</w:t>
      </w:r>
      <w:r w:rsidR="00BA4980">
        <w:rPr>
          <w:rFonts w:ascii="Arial" w:hAnsi="Arial" w:cs="Arial"/>
          <w:sz w:val="20"/>
          <w:szCs w:val="20"/>
        </w:rPr>
        <w:t xml:space="preserve">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BA4980">
        <w:rPr>
          <w:rFonts w:ascii="Arial" w:hAnsi="Arial" w:cs="Arial"/>
          <w:sz w:val="20"/>
          <w:szCs w:val="20"/>
        </w:rPr>
        <w:t>;</w:t>
      </w:r>
    </w:p>
    <w:p w14:paraId="253AAB71" w14:textId="558E620A" w:rsidR="00BA4980" w:rsidRPr="00D71CB7" w:rsidRDefault="00BA4980" w:rsidP="00BA4980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>„</w:t>
      </w:r>
      <w:r w:rsidR="00501F78">
        <w:rPr>
          <w:rFonts w:ascii="Arial" w:hAnsi="Arial" w:cs="Arial"/>
          <w:b/>
          <w:bCs/>
          <w:sz w:val="20"/>
          <w:szCs w:val="20"/>
        </w:rPr>
        <w:t>W</w:t>
      </w:r>
      <w:r w:rsidRPr="00E5606F">
        <w:rPr>
          <w:rFonts w:ascii="Arial" w:hAnsi="Arial" w:cs="Arial"/>
          <w:b/>
          <w:bCs/>
          <w:sz w:val="20"/>
          <w:szCs w:val="20"/>
        </w:rPr>
        <w:t xml:space="preserve">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CF363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7E6E48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27AC3247" w:rsidR="008F6FE1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BA4980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02A037EE" w:rsidR="00321393" w:rsidRDefault="004754E4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5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EE2FD12" w:rsidR="005E5DC8" w:rsidRPr="005E5DC8" w:rsidDel="00A172C4" w:rsidRDefault="00523339" w:rsidP="005E5DC8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6D2849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6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46BE" w14:textId="77777777" w:rsidR="008D37A3" w:rsidRDefault="008D37A3" w:rsidP="001F6437">
      <w:pPr>
        <w:spacing w:after="0" w:line="240" w:lineRule="auto"/>
      </w:pPr>
      <w:r>
        <w:separator/>
      </w:r>
    </w:p>
  </w:endnote>
  <w:endnote w:type="continuationSeparator" w:id="0">
    <w:p w14:paraId="76033EE6" w14:textId="77777777" w:rsidR="008D37A3" w:rsidRDefault="008D37A3" w:rsidP="001F6437">
      <w:pPr>
        <w:spacing w:after="0" w:line="240" w:lineRule="auto"/>
      </w:pPr>
      <w:r>
        <w:continuationSeparator/>
      </w:r>
    </w:p>
  </w:endnote>
  <w:endnote w:type="continuationNotice" w:id="1">
    <w:p w14:paraId="564A0564" w14:textId="77777777" w:rsidR="008D37A3" w:rsidRDefault="008D37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1E68" w14:textId="77777777" w:rsidR="008D37A3" w:rsidRDefault="008D37A3" w:rsidP="001F6437">
      <w:pPr>
        <w:spacing w:after="0" w:line="240" w:lineRule="auto"/>
      </w:pPr>
      <w:r>
        <w:separator/>
      </w:r>
    </w:p>
  </w:footnote>
  <w:footnote w:type="continuationSeparator" w:id="0">
    <w:p w14:paraId="4949CDE1" w14:textId="77777777" w:rsidR="008D37A3" w:rsidRDefault="008D37A3" w:rsidP="001F6437">
      <w:pPr>
        <w:spacing w:after="0" w:line="240" w:lineRule="auto"/>
      </w:pPr>
      <w:r>
        <w:continuationSeparator/>
      </w:r>
    </w:p>
  </w:footnote>
  <w:footnote w:type="continuationNotice" w:id="1">
    <w:p w14:paraId="5D7191DC" w14:textId="77777777" w:rsidR="008D37A3" w:rsidRDefault="008D37A3">
      <w:pPr>
        <w:spacing w:after="0" w:line="240" w:lineRule="auto"/>
      </w:pPr>
    </w:p>
  </w:footnote>
  <w:footnote w:id="2">
    <w:p w14:paraId="07EEF5F9" w14:textId="73D01DE5" w:rsidR="00F7340C" w:rsidRPr="005E3515" w:rsidRDefault="00F501E7" w:rsidP="0041233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DB708B" w:rsidRPr="005E3515">
        <w:rPr>
          <w:rFonts w:ascii="Arial" w:hAnsi="Arial" w:cs="Arial"/>
          <w:sz w:val="18"/>
          <w:szCs w:val="18"/>
          <w:lang w:eastAsia="x-none"/>
        </w:rPr>
        <w:t>Stronę należy określić zgodnie z Instrukcją oznaczania stron Umowy.</w:t>
      </w:r>
      <w:r w:rsidR="005E6A35" w:rsidRPr="005E3515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06B680EA" w14:textId="182F6B62" w:rsidR="006E7960" w:rsidRPr="005E3515" w:rsidRDefault="006E7960" w:rsidP="00D21D1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Kwota może ulec zmianie zgodnie z zasadami określonymi  w § 5 ust. 21</w:t>
      </w:r>
      <w:r w:rsidR="00F5291E"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</w:rPr>
        <w:t>Umowy</w:t>
      </w:r>
      <w:r w:rsidR="00F5291E" w:rsidRPr="005E3515">
        <w:rPr>
          <w:rFonts w:ascii="Arial" w:hAnsi="Arial" w:cs="Arial"/>
          <w:sz w:val="18"/>
          <w:szCs w:val="18"/>
        </w:rPr>
        <w:t>.</w:t>
      </w:r>
    </w:p>
  </w:footnote>
  <w:footnote w:id="4">
    <w:p w14:paraId="6ABE6D00" w14:textId="38AE2D7C" w:rsidR="00C83EB6" w:rsidRPr="005E3515" w:rsidRDefault="00C83EB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eastAsiaTheme="minorHAnsi" w:hAnsi="Arial" w:cs="Arial"/>
          <w:sz w:val="18"/>
          <w:szCs w:val="18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Pr="005E3515" w:rsidRDefault="00DB708B" w:rsidP="00B021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 przypadku regulaminów pracy konieczne jest uwzględnienie przesłanek </w:t>
      </w:r>
      <w:r w:rsidR="000F620F" w:rsidRPr="005E3515">
        <w:rPr>
          <w:rFonts w:ascii="Arial" w:hAnsi="Arial" w:cs="Arial"/>
          <w:sz w:val="18"/>
          <w:szCs w:val="18"/>
        </w:rPr>
        <w:t>w</w:t>
      </w:r>
      <w:r w:rsidRPr="005E3515">
        <w:rPr>
          <w:rFonts w:ascii="Arial" w:hAnsi="Arial" w:cs="Arial"/>
          <w:sz w:val="18"/>
          <w:szCs w:val="18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5E3515" w:rsidRDefault="004023C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</w:t>
      </w:r>
      <w:r w:rsidR="006727F0" w:rsidRPr="005E3515">
        <w:rPr>
          <w:rFonts w:ascii="Arial" w:hAnsi="Arial" w:cs="Arial"/>
          <w:sz w:val="18"/>
          <w:szCs w:val="18"/>
        </w:rPr>
        <w:t>.</w:t>
      </w:r>
    </w:p>
  </w:footnote>
  <w:footnote w:id="7">
    <w:p w14:paraId="1AF3DEEB" w14:textId="77777777" w:rsidR="002A3BE3" w:rsidRPr="005E3515" w:rsidRDefault="002A3BE3" w:rsidP="002A3BE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8B5E2D">
        <w:rPr>
          <w:rFonts w:ascii="Arial" w:hAnsi="Arial" w:cs="Arial"/>
          <w:sz w:val="18"/>
          <w:szCs w:val="18"/>
          <w:lang w:eastAsia="x-none"/>
        </w:rPr>
        <w:t>Wymóg dotyczy przypadku, kiedy sprawozdanie nie jest publikowane w ogólnodostępnych rejestrach.</w:t>
      </w:r>
    </w:p>
  </w:footnote>
  <w:footnote w:id="8">
    <w:p w14:paraId="68752FB3" w14:textId="60648969" w:rsidR="00B06BBD" w:rsidRPr="005E3515" w:rsidRDefault="00B06BBD" w:rsidP="00E6719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Wybrać właściwe</w:t>
      </w:r>
    </w:p>
  </w:footnote>
  <w:footnote w:id="9">
    <w:p w14:paraId="41E4E309" w14:textId="0C3940A3" w:rsidR="00B06BBD" w:rsidRPr="005E3515" w:rsidRDefault="00B06BB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Jeżeli zezwolenie na inwestycję jest wymagane lub </w:t>
      </w:r>
      <w:r w:rsidR="00D8741D" w:rsidRPr="005E3515">
        <w:rPr>
          <w:rFonts w:ascii="Arial" w:hAnsi="Arial" w:cs="Arial"/>
          <w:sz w:val="18"/>
          <w:szCs w:val="18"/>
          <w:lang w:eastAsia="x-none"/>
        </w:rPr>
        <w:t xml:space="preserve">uzyskano </w:t>
      </w:r>
      <w:r w:rsidRPr="005E3515">
        <w:rPr>
          <w:rFonts w:ascii="Arial" w:hAnsi="Arial" w:cs="Arial"/>
          <w:sz w:val="18"/>
          <w:szCs w:val="18"/>
          <w:lang w:eastAsia="x-none"/>
        </w:rPr>
        <w:t>zgody i pozwolenia na realizację przedsięwzięcia,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9D64D2" w:rsidRPr="005E3515">
        <w:rPr>
          <w:rFonts w:ascii="Arial" w:hAnsi="Arial" w:cs="Arial"/>
          <w:sz w:val="18"/>
          <w:szCs w:val="18"/>
          <w:lang w:eastAsia="x-none"/>
        </w:rPr>
        <w:t xml:space="preserve">Beneficjent </w:t>
      </w:r>
      <w:r w:rsidRPr="005E3515">
        <w:rPr>
          <w:rFonts w:ascii="Arial" w:hAnsi="Arial" w:cs="Arial"/>
          <w:sz w:val="18"/>
          <w:szCs w:val="18"/>
          <w:lang w:eastAsia="x-none"/>
        </w:rPr>
        <w:t>przedstawia aktualizację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2D3B3626" w:rsidR="00B06BBD" w:rsidRPr="005E3515" w:rsidRDefault="00B06BBD" w:rsidP="00B06BBD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Wybrać właściwe</w:t>
      </w:r>
      <w:r w:rsidR="00FA138E" w:rsidRPr="005E3515">
        <w:rPr>
          <w:rFonts w:ascii="Arial" w:hAnsi="Arial" w:cs="Arial"/>
          <w:sz w:val="18"/>
          <w:szCs w:val="18"/>
          <w:lang w:eastAsia="en-US"/>
        </w:rPr>
        <w:t>.</w:t>
      </w:r>
    </w:p>
  </w:footnote>
  <w:footnote w:id="11">
    <w:p w14:paraId="16759BA0" w14:textId="66854391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2">
    <w:p w14:paraId="7BE5CDBA" w14:textId="0D2F93AF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Chodzi tu zarówno o sprzęt komputerowy i system komputerowy, ale również inną aparaturę, maszyny i urządzenia, które</w:t>
      </w:r>
      <w:r w:rsidR="00B11402" w:rsidRPr="005E3515">
        <w:rPr>
          <w:rFonts w:ascii="Arial" w:hAnsi="Arial" w:cs="Arial"/>
          <w:sz w:val="18"/>
          <w:szCs w:val="18"/>
        </w:rPr>
        <w:t xml:space="preserve"> Beneficjent</w:t>
      </w:r>
      <w:r w:rsidRPr="005E3515">
        <w:rPr>
          <w:rFonts w:ascii="Arial" w:hAnsi="Arial" w:cs="Arial"/>
          <w:sz w:val="18"/>
          <w:szCs w:val="18"/>
        </w:rPr>
        <w:t xml:space="preserve"> będzie wykorzystywał w trakcie realizacji </w:t>
      </w:r>
      <w:r w:rsidR="00B11402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>rojektu.</w:t>
      </w:r>
    </w:p>
  </w:footnote>
  <w:footnote w:id="17">
    <w:p w14:paraId="16C78CAA" w14:textId="77777777" w:rsidR="00DB708B" w:rsidRPr="005E3515" w:rsidRDefault="00DB708B" w:rsidP="0056140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8">
    <w:p w14:paraId="2C67DFDD" w14:textId="262BA7BF" w:rsidR="00BC453C" w:rsidRPr="005E3515" w:rsidRDefault="00BC453C" w:rsidP="00232B9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Beneficjent </w:t>
      </w:r>
      <w:r w:rsidR="00810615" w:rsidRPr="005E3515">
        <w:rPr>
          <w:rFonts w:ascii="Arial" w:hAnsi="Arial" w:cs="Arial"/>
          <w:sz w:val="18"/>
          <w:szCs w:val="18"/>
        </w:rPr>
        <w:t>mu</w:t>
      </w:r>
      <w:r w:rsidR="00263092" w:rsidRPr="005E3515">
        <w:rPr>
          <w:rFonts w:ascii="Arial" w:hAnsi="Arial" w:cs="Arial"/>
          <w:sz w:val="18"/>
          <w:szCs w:val="18"/>
        </w:rPr>
        <w:t>s</w:t>
      </w:r>
      <w:r w:rsidR="000D228F" w:rsidRPr="005E3515">
        <w:rPr>
          <w:rFonts w:ascii="Arial" w:hAnsi="Arial" w:cs="Arial"/>
          <w:sz w:val="18"/>
          <w:szCs w:val="18"/>
        </w:rPr>
        <w:t>i</w:t>
      </w:r>
      <w:r w:rsidR="00263092" w:rsidRPr="005E3515">
        <w:rPr>
          <w:rFonts w:ascii="Arial" w:hAnsi="Arial" w:cs="Arial"/>
          <w:sz w:val="18"/>
          <w:szCs w:val="18"/>
        </w:rPr>
        <w:t xml:space="preserve"> być</w:t>
      </w:r>
      <w:r w:rsidR="00EB3872" w:rsidRPr="005E3515">
        <w:rPr>
          <w:rFonts w:ascii="Arial" w:hAnsi="Arial" w:cs="Arial"/>
          <w:sz w:val="18"/>
          <w:szCs w:val="18"/>
        </w:rPr>
        <w:t xml:space="preserve"> kontrolowan</w:t>
      </w:r>
      <w:r w:rsidR="000D228F" w:rsidRPr="005E3515">
        <w:rPr>
          <w:rFonts w:ascii="Arial" w:hAnsi="Arial" w:cs="Arial"/>
          <w:sz w:val="18"/>
          <w:szCs w:val="18"/>
        </w:rPr>
        <w:t>y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3EB6" w:rsidRPr="005E3515">
        <w:rPr>
          <w:rFonts w:ascii="Arial" w:hAnsi="Arial" w:cs="Arial"/>
          <w:sz w:val="18"/>
          <w:szCs w:val="18"/>
        </w:rPr>
        <w:t xml:space="preserve">(musi być sprawowana kontrola) </w:t>
      </w:r>
      <w:r w:rsidR="007563EA" w:rsidRPr="005E3515">
        <w:rPr>
          <w:rFonts w:ascii="Arial" w:hAnsi="Arial" w:cs="Arial"/>
          <w:sz w:val="18"/>
          <w:szCs w:val="18"/>
        </w:rPr>
        <w:t xml:space="preserve">przez państwo lub podmiot z </w:t>
      </w:r>
      <w:r w:rsidR="00EB3872" w:rsidRPr="005E3515">
        <w:rPr>
          <w:rFonts w:ascii="Arial" w:hAnsi="Arial" w:cs="Arial"/>
          <w:sz w:val="18"/>
          <w:szCs w:val="18"/>
        </w:rPr>
        <w:t>państwa</w:t>
      </w:r>
      <w:r w:rsidR="00232B9E" w:rsidRPr="005E3515">
        <w:rPr>
          <w:rFonts w:ascii="Arial" w:hAnsi="Arial" w:cs="Arial"/>
          <w:sz w:val="18"/>
          <w:szCs w:val="18"/>
        </w:rPr>
        <w:t xml:space="preserve"> należącego do</w:t>
      </w:r>
      <w:r w:rsidR="00EB3872" w:rsidRPr="005E3515">
        <w:rPr>
          <w:rFonts w:ascii="Arial" w:hAnsi="Arial" w:cs="Arial"/>
          <w:sz w:val="18"/>
          <w:szCs w:val="18"/>
        </w:rPr>
        <w:t xml:space="preserve"> </w:t>
      </w:r>
      <w:r w:rsidR="007563EA" w:rsidRPr="005E3515">
        <w:rPr>
          <w:rFonts w:ascii="Arial" w:hAnsi="Arial" w:cs="Arial"/>
          <w:sz w:val="18"/>
          <w:szCs w:val="18"/>
        </w:rPr>
        <w:t>Europejskiego Obszaru Gospodarczego (EOG) lub</w:t>
      </w:r>
      <w:r w:rsidR="00232B9E" w:rsidRPr="005E3515">
        <w:rPr>
          <w:rFonts w:ascii="Arial" w:hAnsi="Arial" w:cs="Arial"/>
          <w:sz w:val="18"/>
          <w:szCs w:val="18"/>
        </w:rPr>
        <w:t xml:space="preserve"> ze</w:t>
      </w:r>
      <w:r w:rsidR="007563EA" w:rsidRPr="005E3515">
        <w:rPr>
          <w:rFonts w:ascii="Arial" w:hAnsi="Arial" w:cs="Arial"/>
          <w:sz w:val="18"/>
          <w:szCs w:val="18"/>
        </w:rPr>
        <w:t xml:space="preserve"> Szwajcarii</w:t>
      </w:r>
      <w:r w:rsidR="00F24612" w:rsidRPr="005E3515">
        <w:rPr>
          <w:rFonts w:ascii="Arial" w:hAnsi="Arial" w:cs="Arial"/>
          <w:sz w:val="18"/>
          <w:szCs w:val="18"/>
        </w:rPr>
        <w:t>.</w:t>
      </w:r>
    </w:p>
  </w:footnote>
  <w:footnote w:id="19">
    <w:p w14:paraId="1C017B7A" w14:textId="05E8C928" w:rsidR="002C2622" w:rsidRPr="005E3515" w:rsidRDefault="003B7D2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32A93" w:rsidRPr="005E3515">
        <w:rPr>
          <w:rFonts w:ascii="Arial" w:hAnsi="Arial" w:cs="Arial"/>
          <w:sz w:val="18"/>
          <w:szCs w:val="18"/>
        </w:rPr>
        <w:t>W przypadku projektów, dla których wprowadzenie technologii medycznej na rynek wymaga przeprowadzenia badań klinicznych</w:t>
      </w:r>
      <w:r w:rsidR="00E321A0" w:rsidRPr="005E3515">
        <w:rPr>
          <w:rFonts w:ascii="Arial" w:hAnsi="Arial" w:cs="Arial"/>
          <w:sz w:val="18"/>
          <w:szCs w:val="18"/>
        </w:rPr>
        <w:t xml:space="preserve"> fazy III</w:t>
      </w:r>
      <w:r w:rsidR="000B2D53" w:rsidRPr="005E3515">
        <w:rPr>
          <w:rFonts w:ascii="Arial" w:hAnsi="Arial" w:cs="Arial"/>
          <w:sz w:val="18"/>
          <w:szCs w:val="18"/>
        </w:rPr>
        <w:t>, b</w:t>
      </w:r>
      <w:r w:rsidR="00F24D99" w:rsidRPr="005E3515">
        <w:rPr>
          <w:rFonts w:ascii="Arial" w:hAnsi="Arial" w:cs="Arial"/>
          <w:sz w:val="18"/>
          <w:szCs w:val="18"/>
        </w:rPr>
        <w:t>ieg terminu</w:t>
      </w:r>
      <w:r w:rsidR="00914BDE" w:rsidRPr="005E3515">
        <w:rPr>
          <w:rFonts w:ascii="Arial" w:hAnsi="Arial" w:cs="Arial"/>
          <w:sz w:val="18"/>
          <w:szCs w:val="18"/>
        </w:rPr>
        <w:t xml:space="preserve"> na wdrożenie</w:t>
      </w:r>
      <w:r w:rsidR="00F24D99" w:rsidRPr="005E3515">
        <w:rPr>
          <w:rFonts w:ascii="Arial" w:hAnsi="Arial" w:cs="Arial"/>
          <w:sz w:val="18"/>
          <w:szCs w:val="18"/>
        </w:rPr>
        <w:t xml:space="preserve"> </w:t>
      </w:r>
      <w:r w:rsidR="00846B18" w:rsidRPr="005E3515">
        <w:rPr>
          <w:rFonts w:ascii="Arial" w:hAnsi="Arial" w:cs="Arial"/>
          <w:sz w:val="18"/>
          <w:szCs w:val="18"/>
        </w:rPr>
        <w:t>wyników prac B+R</w:t>
      </w:r>
      <w:r w:rsidR="00F24D99" w:rsidRPr="005E3515">
        <w:rPr>
          <w:rFonts w:ascii="Arial" w:hAnsi="Arial" w:cs="Arial"/>
          <w:sz w:val="18"/>
          <w:szCs w:val="18"/>
        </w:rPr>
        <w:t xml:space="preserve"> ulega zawieszeniu przez okres od momentu złożenia wniosku o rejestrację produktu przed właściwymi organami odpowiedzialnymi za rejestrację produktu do momentu zakończenia postępowania w przedmiocie dopuszczenia do obrotu produktu.</w:t>
      </w:r>
    </w:p>
  </w:footnote>
  <w:footnote w:id="20">
    <w:p w14:paraId="1FAC10C9" w14:textId="77777777" w:rsidR="007A05FE" w:rsidRPr="00066C70" w:rsidRDefault="007A05FE" w:rsidP="007A05FE">
      <w:pPr>
        <w:pStyle w:val="Tekstprzypisudolnego"/>
        <w:rPr>
          <w:rFonts w:ascii="Arial" w:hAnsi="Arial" w:cs="Arial"/>
          <w:sz w:val="16"/>
          <w:szCs w:val="16"/>
        </w:rPr>
      </w:pPr>
      <w:r w:rsidRPr="00D96A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A13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235A59">
        <w:rPr>
          <w:rFonts w:ascii="Arial" w:hAnsi="Arial" w:cs="Arial"/>
          <w:sz w:val="18"/>
          <w:szCs w:val="18"/>
        </w:rPr>
        <w:t>Warunek jest obligatoryjny, jeśli wnioskodawca zadeklarował we wniosku o dofinansowanie miejsce wdrożenia wyników na terytorium RP i otrzymał za to dodatkowe punkty w ocenie.</w:t>
      </w:r>
    </w:p>
  </w:footnote>
  <w:footnote w:id="21">
    <w:p w14:paraId="5F6B9A2C" w14:textId="2448BEBF" w:rsidR="00765E6C" w:rsidRPr="005E3515" w:rsidRDefault="00765E6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Rynek wewnętrzny obejmuje 27 państw UE, EOG (Islandię, Liechtenstein, Norwegię) oraz</w:t>
      </w:r>
      <w:r w:rsidR="00B30202" w:rsidRPr="005E3515">
        <w:rPr>
          <w:rFonts w:ascii="Arial" w:hAnsi="Arial" w:cs="Arial"/>
          <w:sz w:val="18"/>
          <w:szCs w:val="18"/>
        </w:rPr>
        <w:t xml:space="preserve"> dodatkowo</w:t>
      </w:r>
      <w:r w:rsidRPr="005E3515">
        <w:rPr>
          <w:rFonts w:ascii="Arial" w:hAnsi="Arial" w:cs="Arial"/>
          <w:sz w:val="18"/>
          <w:szCs w:val="18"/>
        </w:rPr>
        <w:t xml:space="preserve"> Szwajcarię.</w:t>
      </w:r>
    </w:p>
  </w:footnote>
  <w:footnote w:id="22">
    <w:p w14:paraId="421EF7F3" w14:textId="77777777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Cena może zostać uznana za rynkową, jeśli: </w:t>
      </w:r>
    </w:p>
    <w:p w14:paraId="391AF693" w14:textId="1A1F8819" w:rsidR="00731010" w:rsidRPr="005E3515" w:rsidRDefault="00731010" w:rsidP="00D71CB7">
      <w:pPr>
        <w:pStyle w:val="Tekstprzypisudolnego"/>
        <w:numPr>
          <w:ilvl w:val="0"/>
          <w:numId w:val="122"/>
        </w:numPr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jej wysokość określono w drodze otwartej, przejrzystej i niedyskryminacyjnej konkurencyjnej procedury udzielenia licencji lub</w:t>
      </w:r>
    </w:p>
    <w:p w14:paraId="5A724250" w14:textId="46B4F1C9" w:rsidR="00731010" w:rsidRPr="005E3515" w:rsidRDefault="00731010" w:rsidP="00D71CB7">
      <w:pPr>
        <w:pStyle w:val="Tekstprzypisudolnego"/>
        <w:numPr>
          <w:ilvl w:val="0"/>
          <w:numId w:val="122"/>
        </w:numPr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wycena niezależnego eksperta potwierdza, że cena jest co najmniej równa wartości rynkowej lub</w:t>
      </w:r>
    </w:p>
    <w:p w14:paraId="38D84EA2" w14:textId="644748DA" w:rsidR="00731010" w:rsidRPr="005E3515" w:rsidRDefault="00731010" w:rsidP="00D71CB7">
      <w:pPr>
        <w:pStyle w:val="Tekstprzypisudolnego"/>
        <w:numPr>
          <w:ilvl w:val="0"/>
          <w:numId w:val="122"/>
        </w:numPr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3">
    <w:p w14:paraId="71F7047E" w14:textId="0CE66F2E" w:rsidR="00B32451" w:rsidRPr="005E3515" w:rsidRDefault="00B32451" w:rsidP="003E7E2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3E7E27" w:rsidRPr="005E3515">
        <w:rPr>
          <w:rFonts w:ascii="Arial" w:hAnsi="Arial" w:cs="Arial"/>
          <w:sz w:val="18"/>
          <w:szCs w:val="18"/>
        </w:rPr>
        <w:t xml:space="preserve">Załącznik nr </w:t>
      </w:r>
      <w:r w:rsidR="00F74386" w:rsidRPr="005E3515">
        <w:rPr>
          <w:rFonts w:ascii="Arial" w:hAnsi="Arial" w:cs="Arial"/>
          <w:sz w:val="18"/>
          <w:szCs w:val="18"/>
        </w:rPr>
        <w:t>8</w:t>
      </w:r>
      <w:r w:rsidR="00C83EB6" w:rsidRPr="005E3515">
        <w:rPr>
          <w:rFonts w:ascii="Arial" w:hAnsi="Arial" w:cs="Arial"/>
          <w:sz w:val="18"/>
          <w:szCs w:val="18"/>
        </w:rPr>
        <w:t xml:space="preserve"> do Umowy</w:t>
      </w:r>
      <w:r w:rsidR="003E7E27" w:rsidRPr="005E3515">
        <w:rPr>
          <w:rFonts w:ascii="Arial" w:hAnsi="Arial" w:cs="Arial"/>
          <w:sz w:val="18"/>
          <w:szCs w:val="18"/>
        </w:rPr>
        <w:t xml:space="preserve"> dotyczy wyłącznie sytuacji, w której Beneficjent będzie kwalifikował koszt podatku od towarów i usług.</w:t>
      </w:r>
    </w:p>
  </w:footnote>
  <w:footnote w:id="24">
    <w:p w14:paraId="34E7090C" w14:textId="77777777" w:rsidR="00C64303" w:rsidRPr="005E3515" w:rsidRDefault="00C64303" w:rsidP="00C6430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25">
    <w:p w14:paraId="37510329" w14:textId="783DA548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Pomoc wywołuje efekt zachęty, jeżeli realizacja Projektu nie rozpoczęła się przed dniem lub w dniu złożenia wniosku o dofinansowanie, tj. </w:t>
      </w:r>
      <w:r w:rsidR="00F324AC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 nie rozpoczęli działań w </w:t>
      </w:r>
      <w:r w:rsidR="00EA0058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 xml:space="preserve">rojekcie przed lub w dniu złożenia wniosku. </w:t>
      </w:r>
    </w:p>
  </w:footnote>
  <w:footnote w:id="26">
    <w:p w14:paraId="39F30E2B" w14:textId="77777777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Zwiększenie dofinansowania uregulowane w ust. 21 nie narusza efektu zachęty.</w:t>
      </w:r>
    </w:p>
  </w:footnote>
  <w:footnote w:id="27">
    <w:p w14:paraId="3C734C08" w14:textId="77777777" w:rsidR="00B23E8E" w:rsidRPr="005E3515" w:rsidRDefault="00B23E8E" w:rsidP="00B23E8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stawką ryczałtową.</w:t>
      </w:r>
    </w:p>
  </w:footnote>
  <w:footnote w:id="28">
    <w:p w14:paraId="07CFD2BB" w14:textId="77777777" w:rsidR="00DB6112" w:rsidRDefault="00DB6112" w:rsidP="00DB61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CB7">
        <w:rPr>
          <w:rFonts w:ascii="Arial" w:hAnsi="Arial" w:cs="Arial"/>
          <w:sz w:val="18"/>
          <w:szCs w:val="18"/>
        </w:rPr>
        <w:t>Premia określona w § 14 ust. 1 pkt 3 lit. b) rozporządzenia FENG.</w:t>
      </w:r>
    </w:p>
  </w:footnote>
  <w:footnote w:id="29">
    <w:p w14:paraId="30779A7C" w14:textId="77777777" w:rsidR="00DB6112" w:rsidRPr="00D71CB7" w:rsidRDefault="00DB6112" w:rsidP="00DB61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1CB7">
        <w:rPr>
          <w:rFonts w:ascii="Arial" w:hAnsi="Arial" w:cs="Arial"/>
          <w:sz w:val="18"/>
          <w:szCs w:val="18"/>
        </w:rPr>
        <w:t>Premia określona w § 14 ust. 1 pkt 3 lit. d) rozporządzenia FENG.</w:t>
      </w:r>
    </w:p>
  </w:footnote>
  <w:footnote w:id="30">
    <w:p w14:paraId="3DE76CE4" w14:textId="77777777" w:rsidR="00DB6112" w:rsidRPr="00D71CB7" w:rsidRDefault="00DB6112" w:rsidP="00DB61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1CB7">
        <w:rPr>
          <w:rFonts w:ascii="Arial" w:hAnsi="Arial" w:cs="Arial"/>
          <w:sz w:val="18"/>
          <w:szCs w:val="18"/>
        </w:rPr>
        <w:t>Premia określona w § 14 ust. 1 pkt 4 rozporządzenia FENG.</w:t>
      </w:r>
    </w:p>
  </w:footnote>
  <w:footnote w:id="31">
    <w:p w14:paraId="0FE33A9A" w14:textId="697AECBA" w:rsidR="00E93939" w:rsidRPr="005E3515" w:rsidRDefault="00E9393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przypadku zmiany miejsca realizacji </w:t>
      </w:r>
      <w:r w:rsidR="00F42A36" w:rsidRPr="005E3515">
        <w:rPr>
          <w:rFonts w:ascii="Arial" w:hAnsi="Arial" w:cs="Arial"/>
          <w:sz w:val="18"/>
          <w:szCs w:val="18"/>
        </w:rPr>
        <w:t>prac</w:t>
      </w:r>
      <w:r w:rsidRPr="005E3515">
        <w:rPr>
          <w:rFonts w:ascii="Arial" w:hAnsi="Arial" w:cs="Arial"/>
          <w:sz w:val="18"/>
          <w:szCs w:val="18"/>
        </w:rPr>
        <w:t xml:space="preserve"> B+R z obszaru wskazanego w art. 25 ust. 6 lit. b pkt (iv) na obszar wskazany w </w:t>
      </w:r>
      <w:r w:rsidR="007D5B05" w:rsidRPr="005E3515">
        <w:rPr>
          <w:rFonts w:ascii="Arial" w:hAnsi="Arial" w:cs="Arial"/>
          <w:sz w:val="18"/>
          <w:szCs w:val="18"/>
        </w:rPr>
        <w:t xml:space="preserve">art. 25 ust. 6 </w:t>
      </w:r>
      <w:r w:rsidRPr="005E3515">
        <w:rPr>
          <w:rFonts w:ascii="Arial" w:hAnsi="Arial" w:cs="Arial"/>
          <w:sz w:val="18"/>
          <w:szCs w:val="18"/>
        </w:rPr>
        <w:t xml:space="preserve">lit. c </w:t>
      </w:r>
      <w:r w:rsidR="005719BC" w:rsidRPr="005E3515">
        <w:rPr>
          <w:rFonts w:ascii="Arial" w:hAnsi="Arial" w:cs="Arial"/>
          <w:sz w:val="18"/>
          <w:szCs w:val="18"/>
        </w:rPr>
        <w:t>r</w:t>
      </w:r>
      <w:r w:rsidRPr="005E3515">
        <w:rPr>
          <w:rFonts w:ascii="Arial" w:hAnsi="Arial" w:cs="Arial"/>
          <w:sz w:val="18"/>
          <w:szCs w:val="18"/>
        </w:rPr>
        <w:t>ozporządzenia nr 651/2014, intensywność pomocy obniżana jest o wysokość różnicy pomiędzy premiami przypisanymi do różnych lokalizacji.</w:t>
      </w:r>
    </w:p>
  </w:footnote>
  <w:footnote w:id="32">
    <w:p w14:paraId="650C8270" w14:textId="2BE1B02E" w:rsidR="00215261" w:rsidRPr="00235A59" w:rsidRDefault="00215261" w:rsidP="0021526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35A59">
        <w:rPr>
          <w:rFonts w:ascii="Arial" w:hAnsi="Arial" w:cs="Arial"/>
          <w:sz w:val="18"/>
          <w:szCs w:val="18"/>
        </w:rPr>
        <w:t xml:space="preserve">Beneficjent nie może przeznaczać otrzymanego dofinansowania na cele inne niż związane z Projektem, w szczególności na tymczasowe finansowanie swojej podstawowej, </w:t>
      </w:r>
      <w:proofErr w:type="spellStart"/>
      <w:r w:rsidRPr="00235A59">
        <w:rPr>
          <w:rFonts w:ascii="Arial" w:hAnsi="Arial" w:cs="Arial"/>
          <w:sz w:val="18"/>
          <w:szCs w:val="18"/>
        </w:rPr>
        <w:t>pozaprojektowej</w:t>
      </w:r>
      <w:proofErr w:type="spellEnd"/>
      <w:r w:rsidRPr="00235A59">
        <w:rPr>
          <w:rFonts w:ascii="Arial" w:hAnsi="Arial" w:cs="Arial"/>
          <w:sz w:val="18"/>
          <w:szCs w:val="18"/>
        </w:rPr>
        <w:t xml:space="preserve"> działalności.</w:t>
      </w:r>
    </w:p>
  </w:footnote>
  <w:footnote w:id="33">
    <w:p w14:paraId="737BA692" w14:textId="582DE522" w:rsidR="00873E49" w:rsidRPr="005E3515" w:rsidRDefault="00873E4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Poziom transzy zaliczki  zostanie zmniejszony w przypadku wskazania przez eksperta, na etapie oceny wniosku</w:t>
      </w:r>
      <w:r w:rsidR="005719BC" w:rsidRPr="005E3515">
        <w:rPr>
          <w:rFonts w:ascii="Arial" w:hAnsi="Arial" w:cs="Arial"/>
          <w:sz w:val="18"/>
          <w:szCs w:val="18"/>
        </w:rPr>
        <w:t xml:space="preserve"> o dofinansowanie</w:t>
      </w:r>
      <w:r w:rsidRPr="005E3515">
        <w:rPr>
          <w:rFonts w:ascii="Arial" w:hAnsi="Arial" w:cs="Arial"/>
          <w:sz w:val="18"/>
          <w:szCs w:val="18"/>
        </w:rPr>
        <w:t>, niższego poziomu transzy zaliczki.</w:t>
      </w:r>
    </w:p>
  </w:footnote>
  <w:footnote w:id="34">
    <w:p w14:paraId="3DC99C37" w14:textId="07DEF36B" w:rsidR="00CF2E47" w:rsidRPr="005E3515" w:rsidRDefault="00CF2E4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 zastrzeżeniem </w:t>
      </w:r>
      <w:r w:rsidR="008A6BAA" w:rsidRPr="005E3515">
        <w:rPr>
          <w:rFonts w:ascii="Arial" w:hAnsi="Arial" w:cs="Arial"/>
          <w:sz w:val="18"/>
          <w:szCs w:val="18"/>
        </w:rPr>
        <w:t>postanowień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8A6BAA" w:rsidRPr="005E3515">
        <w:rPr>
          <w:rFonts w:ascii="Arial" w:hAnsi="Arial" w:cs="Arial"/>
          <w:sz w:val="18"/>
          <w:szCs w:val="18"/>
        </w:rPr>
        <w:t>§</w:t>
      </w:r>
      <w:r w:rsidRPr="005E3515">
        <w:rPr>
          <w:rFonts w:ascii="Arial" w:hAnsi="Arial" w:cs="Arial"/>
          <w:sz w:val="18"/>
          <w:szCs w:val="18"/>
        </w:rPr>
        <w:t xml:space="preserve"> 5b ust. 1</w:t>
      </w:r>
      <w:r w:rsidR="008A6BAA" w:rsidRPr="005E3515">
        <w:rPr>
          <w:rFonts w:ascii="Arial" w:hAnsi="Arial" w:cs="Arial"/>
          <w:sz w:val="18"/>
          <w:szCs w:val="18"/>
        </w:rPr>
        <w:t xml:space="preserve"> Umowy</w:t>
      </w:r>
      <w:r w:rsidRPr="005E3515">
        <w:rPr>
          <w:rFonts w:ascii="Arial" w:hAnsi="Arial" w:cs="Arial"/>
          <w:sz w:val="18"/>
          <w:szCs w:val="18"/>
        </w:rPr>
        <w:t>.</w:t>
      </w:r>
    </w:p>
  </w:footnote>
  <w:footnote w:id="35">
    <w:p w14:paraId="1ADCC777" w14:textId="4A82E9B9" w:rsidR="00FE56FB" w:rsidRPr="005E3515" w:rsidRDefault="00FE56F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33906" w:rsidRPr="005E3515">
        <w:rPr>
          <w:rFonts w:ascii="Arial" w:hAnsi="Arial" w:cs="Arial"/>
          <w:sz w:val="18"/>
          <w:szCs w:val="18"/>
        </w:rPr>
        <w:t>Do łącznej kwoty nierozliczonych transz zaliczek należy również dodać zaliczkę zatwierdzoną.</w:t>
      </w:r>
    </w:p>
  </w:footnote>
  <w:footnote w:id="36">
    <w:p w14:paraId="32E731C3" w14:textId="05234014" w:rsidR="002D67F7" w:rsidRPr="005E3515" w:rsidRDefault="002D67F7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 uwzględnieniu </w:t>
      </w:r>
      <w:r w:rsidR="00E34CA4" w:rsidRPr="005E3515">
        <w:rPr>
          <w:rFonts w:ascii="Arial" w:hAnsi="Arial" w:cs="Arial"/>
          <w:sz w:val="18"/>
          <w:szCs w:val="18"/>
        </w:rPr>
        <w:t xml:space="preserve">poziomu </w:t>
      </w:r>
      <w:r w:rsidRPr="005E3515">
        <w:rPr>
          <w:rFonts w:ascii="Arial" w:hAnsi="Arial" w:cs="Arial"/>
          <w:sz w:val="18"/>
          <w:szCs w:val="18"/>
        </w:rPr>
        <w:t>dofinansowania przyznanego Beneficjentowi</w:t>
      </w:r>
      <w:r w:rsidR="002F74BE" w:rsidRPr="005E3515">
        <w:rPr>
          <w:rFonts w:ascii="Arial" w:hAnsi="Arial" w:cs="Arial"/>
          <w:sz w:val="18"/>
          <w:szCs w:val="18"/>
        </w:rPr>
        <w:t>.</w:t>
      </w:r>
    </w:p>
  </w:footnote>
  <w:footnote w:id="37">
    <w:p w14:paraId="0360DC34" w14:textId="6C6635E5" w:rsidR="00AB6B7E" w:rsidRPr="005E3515" w:rsidRDefault="00AB6B7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6D0845" w:rsidRPr="005E3515">
        <w:rPr>
          <w:rFonts w:ascii="Arial" w:hAnsi="Arial" w:cs="Arial"/>
          <w:sz w:val="18"/>
          <w:szCs w:val="18"/>
        </w:rPr>
        <w:t>Okres odpowiadający okresowi trwałości wynosi</w:t>
      </w:r>
      <w:r w:rsidR="00F324AC" w:rsidRPr="005E3515">
        <w:rPr>
          <w:rFonts w:ascii="Arial" w:hAnsi="Arial" w:cs="Arial"/>
          <w:sz w:val="18"/>
          <w:szCs w:val="18"/>
        </w:rPr>
        <w:t xml:space="preserve"> 3 lata od zakończenia realizacji Projektu dla beneficjentów będących MŚP/</w:t>
      </w:r>
      <w:r w:rsidR="006D0845" w:rsidRPr="005E3515">
        <w:rPr>
          <w:rFonts w:ascii="Arial" w:hAnsi="Arial" w:cs="Arial"/>
          <w:sz w:val="18"/>
          <w:szCs w:val="18"/>
        </w:rPr>
        <w:t xml:space="preserve"> 5 lat od zakończenia realizacji Projektu</w:t>
      </w:r>
      <w:r w:rsidR="00F324AC" w:rsidRPr="005E3515">
        <w:rPr>
          <w:rFonts w:ascii="Arial" w:hAnsi="Arial" w:cs="Arial"/>
          <w:sz w:val="18"/>
          <w:szCs w:val="18"/>
        </w:rPr>
        <w:t xml:space="preserve"> dla beneficjentów będących dużym przedsiębiorstwem</w:t>
      </w:r>
      <w:r w:rsidR="006D0845" w:rsidRPr="005E3515">
        <w:rPr>
          <w:rFonts w:ascii="Arial" w:hAnsi="Arial" w:cs="Arial"/>
          <w:sz w:val="18"/>
          <w:szCs w:val="18"/>
        </w:rPr>
        <w:t xml:space="preserve">. </w:t>
      </w:r>
    </w:p>
  </w:footnote>
  <w:footnote w:id="38">
    <w:p w14:paraId="5DE134A2" w14:textId="22DEDCC5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 </w:t>
      </w:r>
    </w:p>
  </w:footnote>
  <w:footnote w:id="39">
    <w:p w14:paraId="23F76E37" w14:textId="5A03DF05" w:rsidR="00490400" w:rsidRPr="005E3515" w:rsidRDefault="0049040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Wzór sprawozdania zostanie udostępniony na stronie internetowej Instytucji.</w:t>
      </w:r>
    </w:p>
  </w:footnote>
  <w:footnote w:id="40">
    <w:p w14:paraId="57577304" w14:textId="77777777" w:rsidR="00C44992" w:rsidRPr="005E3515" w:rsidRDefault="00C44992" w:rsidP="00C44992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Beneficjent nie posiada profilu na mediach społecznościowych, zobowiązany jest do założenia przynajmniej jednego takiego profilu.</w:t>
      </w:r>
    </w:p>
  </w:footnote>
  <w:footnote w:id="41">
    <w:p w14:paraId="42C2034D" w14:textId="3A238ABB" w:rsidR="004B3FA8" w:rsidRPr="005E3515" w:rsidRDefault="004B3FA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publikacji w mediach społecznościowych</w:t>
      </w:r>
      <w:r w:rsidR="0077552F" w:rsidRPr="005E3515">
        <w:rPr>
          <w:rFonts w:ascii="Arial" w:hAnsi="Arial" w:cs="Arial"/>
          <w:sz w:val="18"/>
          <w:szCs w:val="18"/>
        </w:rPr>
        <w:t>.</w:t>
      </w:r>
    </w:p>
  </w:footnote>
  <w:footnote w:id="42">
    <w:p w14:paraId="73DFB15A" w14:textId="52B9D487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Projekt, który wnosi znaczący wkład w osiąganie celów </w:t>
      </w:r>
      <w:r w:rsidR="007546A1" w:rsidRPr="005E3515">
        <w:rPr>
          <w:rFonts w:ascii="Arial" w:hAnsi="Arial" w:cs="Arial"/>
          <w:sz w:val="18"/>
          <w:szCs w:val="18"/>
        </w:rPr>
        <w:t>P</w:t>
      </w:r>
      <w:r w:rsidR="009D514C" w:rsidRPr="005E3515">
        <w:rPr>
          <w:rFonts w:ascii="Arial" w:hAnsi="Arial" w:cs="Arial"/>
          <w:sz w:val="18"/>
          <w:szCs w:val="18"/>
        </w:rPr>
        <w:t>rogramu</w:t>
      </w:r>
      <w:r w:rsidRPr="005E3515">
        <w:rPr>
          <w:rFonts w:ascii="Arial" w:hAnsi="Arial" w:cs="Arial"/>
          <w:sz w:val="18"/>
          <w:szCs w:val="18"/>
        </w:rPr>
        <w:t xml:space="preserve"> i który podlega szczególnym środkom dotyczącym monitorowania i komunikacji</w:t>
      </w:r>
      <w:r w:rsidR="005E0F85" w:rsidRPr="005E3515">
        <w:rPr>
          <w:rFonts w:ascii="Arial" w:hAnsi="Arial" w:cs="Arial"/>
          <w:sz w:val="18"/>
          <w:szCs w:val="18"/>
        </w:rPr>
        <w:t>.</w:t>
      </w:r>
    </w:p>
  </w:footnote>
  <w:footnote w:id="43">
    <w:p w14:paraId="598D0A97" w14:textId="266B11BC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4">
    <w:p w14:paraId="16739C7E" w14:textId="53FE305D" w:rsidR="00DB708B" w:rsidRPr="005E3515" w:rsidRDefault="00DB708B" w:rsidP="000E0C8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Projektów o </w:t>
      </w:r>
      <w:r w:rsidR="00E9432E" w:rsidRPr="005E3515">
        <w:rPr>
          <w:rFonts w:ascii="Arial" w:hAnsi="Arial" w:cs="Arial"/>
          <w:sz w:val="18"/>
          <w:szCs w:val="18"/>
        </w:rPr>
        <w:t xml:space="preserve">całkowitym </w:t>
      </w:r>
      <w:r w:rsidRPr="005E3515">
        <w:rPr>
          <w:rFonts w:ascii="Arial" w:hAnsi="Arial" w:cs="Arial"/>
          <w:sz w:val="18"/>
          <w:szCs w:val="18"/>
        </w:rPr>
        <w:t>koszcie przekraczającym 5 000 000 EUR.</w:t>
      </w:r>
    </w:p>
  </w:footnote>
  <w:footnote w:id="45">
    <w:p w14:paraId="0FDD54C0" w14:textId="169194A2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6">
    <w:p w14:paraId="3908F4AF" w14:textId="62A4F0C7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7">
    <w:p w14:paraId="34BF4DCF" w14:textId="6D3B97D8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8">
    <w:p w14:paraId="573D6F19" w14:textId="1DC3FC4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9">
    <w:p w14:paraId="39138061" w14:textId="7DCDAA81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50">
    <w:p w14:paraId="3C30CE19" w14:textId="42AFC63F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Instytucja informuje Beneficjenta o dniu przyznania ostatniej pomocy. </w:t>
      </w:r>
    </w:p>
  </w:footnote>
  <w:footnote w:id="51">
    <w:p w14:paraId="5ABCEE73" w14:textId="4B3D172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 </w:t>
      </w:r>
    </w:p>
  </w:footnote>
  <w:footnote w:id="52">
    <w:p w14:paraId="6FFDA485" w14:textId="55A65198" w:rsidR="00757C16" w:rsidRPr="005E3515" w:rsidRDefault="00DB708B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 xml:space="preserve">Postanowienie uwzględnia również przypadki, gdy </w:t>
      </w:r>
      <w:r w:rsidR="00626B68" w:rsidRPr="005E3515">
        <w:rPr>
          <w:rFonts w:ascii="Arial" w:hAnsi="Arial" w:cs="Arial"/>
          <w:sz w:val="18"/>
          <w:szCs w:val="18"/>
        </w:rPr>
        <w:t xml:space="preserve">Beneficjentem </w:t>
      </w:r>
      <w:r w:rsidR="00FE407E" w:rsidRPr="005E3515">
        <w:rPr>
          <w:rFonts w:ascii="Arial" w:hAnsi="Arial" w:cs="Arial"/>
          <w:sz w:val="18"/>
          <w:szCs w:val="18"/>
        </w:rPr>
        <w:t>jest</w:t>
      </w:r>
      <w:r w:rsidR="00EC5F03"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>podmiot zależn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lub kontrolowan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</w:t>
      </w:r>
      <w:r w:rsidR="00EC5F03" w:rsidRPr="005E3515">
        <w:rPr>
          <w:rFonts w:ascii="Arial" w:hAnsi="Arial" w:cs="Arial"/>
          <w:sz w:val="18"/>
          <w:szCs w:val="18"/>
        </w:rPr>
        <w:t>przez</w:t>
      </w:r>
      <w:r w:rsidR="00C8280A" w:rsidRPr="005E3515">
        <w:rPr>
          <w:rFonts w:ascii="Arial" w:hAnsi="Arial" w:cs="Arial"/>
          <w:sz w:val="18"/>
          <w:szCs w:val="18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53">
    <w:p w14:paraId="1618828B" w14:textId="4B06502D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Naruszenie procedur, o których mowa w art. 184 </w:t>
      </w:r>
      <w:proofErr w:type="spellStart"/>
      <w:r w:rsidRPr="005E3515">
        <w:rPr>
          <w:rFonts w:ascii="Arial" w:hAnsi="Arial" w:cs="Arial"/>
          <w:sz w:val="18"/>
          <w:szCs w:val="18"/>
          <w:lang w:eastAsia="en-US"/>
        </w:rPr>
        <w:t>ufp</w:t>
      </w:r>
      <w:proofErr w:type="spellEnd"/>
      <w:r w:rsidRPr="005E3515">
        <w:rPr>
          <w:rFonts w:ascii="Arial" w:hAnsi="Arial" w:cs="Arial"/>
          <w:sz w:val="18"/>
          <w:szCs w:val="18"/>
          <w:lang w:eastAsia="en-US"/>
        </w:rPr>
        <w:t xml:space="preserve"> obejmuje również naruszenie Umowy.</w:t>
      </w:r>
    </w:p>
  </w:footnote>
  <w:footnote w:id="54">
    <w:p w14:paraId="328D9238" w14:textId="77777777" w:rsidR="00DB708B" w:rsidRPr="005E3515" w:rsidRDefault="00DB708B" w:rsidP="00E77A93">
      <w:pPr>
        <w:pStyle w:val="Tekstprzypisudolnego"/>
        <w:jc w:val="both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5">
    <w:p w14:paraId="7C2F2EB4" w14:textId="44E6100F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 przypadku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6">
    <w:p w14:paraId="391FB0B8" w14:textId="43B25EF9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Jeżeli weksel jest podpisywany przez pełnomocnika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7">
    <w:p w14:paraId="009EF36A" w14:textId="1C607CB6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Zgodnie z art.78</w:t>
      </w:r>
      <w:r w:rsidR="00D171F3">
        <w:rPr>
          <w:rFonts w:ascii="Arial" w:hAnsi="Arial" w:cs="Arial"/>
          <w:sz w:val="18"/>
          <w:szCs w:val="18"/>
          <w:vertAlign w:val="superscript"/>
          <w:lang w:eastAsia="en-US"/>
        </w:rPr>
        <w:t>1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§  1.</w:t>
      </w:r>
      <w:r w:rsidRPr="005E3515">
        <w:rPr>
          <w:rFonts w:ascii="Arial" w:hAnsi="Arial" w:cs="Arial"/>
          <w:b/>
          <w:bCs/>
          <w:color w:val="333333"/>
          <w:sz w:val="18"/>
          <w:szCs w:val="18"/>
        </w:rPr>
        <w:t> 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Kodeksu Cywilnego. </w:t>
      </w:r>
    </w:p>
  </w:footnote>
  <w:footnote w:id="58">
    <w:p w14:paraId="5BD589CE" w14:textId="49682B1C" w:rsidR="00DB708B" w:rsidRPr="005E3515" w:rsidRDefault="00DB708B" w:rsidP="00DD12F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Granica 25% wartości kwoty danej kategorii kosztów </w:t>
      </w:r>
      <w:r w:rsidR="00E67835" w:rsidRPr="005E3515">
        <w:rPr>
          <w:rFonts w:ascii="Arial" w:hAnsi="Arial" w:cs="Arial"/>
          <w:sz w:val="18"/>
          <w:szCs w:val="18"/>
          <w:lang w:eastAsia="en-US"/>
        </w:rPr>
        <w:t xml:space="preserve">FENG </w:t>
      </w:r>
      <w:r w:rsidRPr="005E3515">
        <w:rPr>
          <w:rFonts w:ascii="Arial" w:hAnsi="Arial" w:cs="Arial"/>
          <w:sz w:val="18"/>
          <w:szCs w:val="18"/>
          <w:lang w:eastAsia="en-US"/>
        </w:rPr>
        <w:t>jest zawsze określana w stosunku do pierwotnego Harmonogramu rzeczowo-finansowego.</w:t>
      </w:r>
    </w:p>
  </w:footnote>
  <w:footnote w:id="59">
    <w:p w14:paraId="2288B795" w14:textId="77777777" w:rsidR="00251E0F" w:rsidRPr="005E3515" w:rsidRDefault="00251E0F" w:rsidP="00251E0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60">
    <w:p w14:paraId="4BDFF050" w14:textId="526FE416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postępowań administracyjnych oraz oświadczeń o rozwiązaniu Umowy</w:t>
      </w:r>
      <w:r w:rsidR="00406724" w:rsidRPr="005E3515">
        <w:rPr>
          <w:rFonts w:ascii="Arial" w:hAnsi="Arial" w:cs="Arial"/>
          <w:sz w:val="18"/>
          <w:szCs w:val="18"/>
        </w:rPr>
        <w:t>.</w:t>
      </w:r>
    </w:p>
  </w:footnote>
  <w:footnote w:id="61">
    <w:p w14:paraId="1D47F065" w14:textId="1DC2B4AE" w:rsidR="00DB708B" w:rsidRPr="005E3515" w:rsidRDefault="00DB708B" w:rsidP="00747D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pl-PL"/>
        </w:rPr>
        <w:t xml:space="preserve">Przez osobę uprawnioną rozumie się osobę </w:t>
      </w:r>
      <w:r w:rsidR="0062797A" w:rsidRPr="005E3515">
        <w:rPr>
          <w:rFonts w:ascii="Arial" w:hAnsi="Arial" w:cs="Arial"/>
          <w:sz w:val="18"/>
          <w:szCs w:val="18"/>
          <w:lang w:eastAsia="pl-PL"/>
        </w:rPr>
        <w:t>zgłoszoną przez Beneficjenta zgodnie z procedurą zgłaszania osoby uprawnionej zarządzającej projektem po stronie Beneficjenta, stanowiącej Załącznik nr 4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5E3515">
        <w:rPr>
          <w:rFonts w:ascii="Arial" w:hAnsi="Arial" w:cs="Arial"/>
          <w:i/>
          <w:sz w:val="18"/>
          <w:szCs w:val="18"/>
          <w:lang w:eastAsia="pl-PL"/>
        </w:rPr>
        <w:t>.</w:t>
      </w:r>
    </w:p>
  </w:footnote>
  <w:footnote w:id="62">
    <w:p w14:paraId="199EC20F" w14:textId="4BF098CA" w:rsidR="006B7AE6" w:rsidRPr="005E3515" w:rsidRDefault="006B7AE6">
      <w:pPr>
        <w:pStyle w:val="Tekstprzypisudolnego"/>
        <w:rPr>
          <w:rFonts w:ascii="Arial" w:eastAsiaTheme="minorHAnsi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84FE6" w:rsidRPr="005E3515">
        <w:rPr>
          <w:rFonts w:ascii="Arial" w:hAnsi="Arial" w:cs="Arial"/>
          <w:sz w:val="18"/>
          <w:szCs w:val="18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5E3515">
        <w:rPr>
          <w:rFonts w:ascii="Arial" w:eastAsiaTheme="minorHAnsi" w:hAnsi="Arial" w:cs="Arial"/>
          <w:sz w:val="18"/>
          <w:szCs w:val="18"/>
        </w:rPr>
        <w:t xml:space="preserve">. </w:t>
      </w:r>
    </w:p>
  </w:footnote>
  <w:footnote w:id="63">
    <w:p w14:paraId="6BDE10BB" w14:textId="40B09BC8" w:rsidR="00DB708B" w:rsidRPr="005E3515" w:rsidRDefault="00DB708B" w:rsidP="00B457E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Dzień uznania rachunku Beneficjenta.</w:t>
      </w:r>
    </w:p>
  </w:footnote>
  <w:footnote w:id="64">
    <w:p w14:paraId="5145D89B" w14:textId="4BF89B0E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Kopia lub wydruk z odpowiedniego systemu.</w:t>
      </w:r>
    </w:p>
  </w:footnote>
  <w:footnote w:id="65">
    <w:p w14:paraId="10106909" w14:textId="0426747C" w:rsidR="00254F0F" w:rsidRPr="005E3515" w:rsidRDefault="00254F0F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Instytucja zastrzega sobie możliwość powierzenia podmiotom zewnętrznym czynności w zakresie zweryfikowania informacji zawartych w oświadczeniu.</w:t>
      </w:r>
    </w:p>
  </w:footnote>
  <w:footnote w:id="66">
    <w:p w14:paraId="6E8C7C5D" w14:textId="3887CCA0" w:rsidR="00FC4D37" w:rsidRPr="005E3515" w:rsidRDefault="00FC4D3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Oświadczenie składa </w:t>
      </w:r>
      <w:r w:rsidR="00F82DB8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, </w:t>
      </w:r>
      <w:r w:rsidR="00F82DB8" w:rsidRPr="005E3515">
        <w:rPr>
          <w:rFonts w:ascii="Arial" w:hAnsi="Arial" w:cs="Arial"/>
          <w:sz w:val="18"/>
          <w:szCs w:val="18"/>
        </w:rPr>
        <w:t xml:space="preserve">o ile </w:t>
      </w:r>
      <w:r w:rsidRPr="005E3515">
        <w:rPr>
          <w:rFonts w:ascii="Arial" w:hAnsi="Arial" w:cs="Arial"/>
          <w:sz w:val="18"/>
          <w:szCs w:val="18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6C243C3E"/>
    <w:lvl w:ilvl="0" w:tplc="810C15C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664CFF"/>
    <w:multiLevelType w:val="hybridMultilevel"/>
    <w:tmpl w:val="3B0E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77D0734"/>
    <w:multiLevelType w:val="hybridMultilevel"/>
    <w:tmpl w:val="2D6C1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A63C6"/>
    <w:multiLevelType w:val="hybridMultilevel"/>
    <w:tmpl w:val="76D69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832135"/>
    <w:multiLevelType w:val="hybridMultilevel"/>
    <w:tmpl w:val="588A2104"/>
    <w:lvl w:ilvl="0" w:tplc="2C36A2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8261E"/>
    <w:multiLevelType w:val="hybridMultilevel"/>
    <w:tmpl w:val="879CCEF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7205CB0"/>
    <w:multiLevelType w:val="hybridMultilevel"/>
    <w:tmpl w:val="21507B62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9" w15:restartNumberingAfterBreak="0">
    <w:nsid w:val="18745328"/>
    <w:multiLevelType w:val="hybridMultilevel"/>
    <w:tmpl w:val="D48C8B6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1B7B7110"/>
    <w:multiLevelType w:val="hybridMultilevel"/>
    <w:tmpl w:val="8C3EB948"/>
    <w:lvl w:ilvl="0" w:tplc="A7E20A5E">
      <w:start w:val="1"/>
      <w:numFmt w:val="decimal"/>
      <w:lvlText w:val="%1)"/>
      <w:lvlJc w:val="left"/>
      <w:pPr>
        <w:ind w:left="720" w:hanging="360"/>
      </w:pPr>
    </w:lvl>
    <w:lvl w:ilvl="1" w:tplc="3A7AE494">
      <w:start w:val="1"/>
      <w:numFmt w:val="decimal"/>
      <w:lvlText w:val="%2)"/>
      <w:lvlJc w:val="left"/>
      <w:pPr>
        <w:ind w:left="720" w:hanging="360"/>
      </w:pPr>
    </w:lvl>
    <w:lvl w:ilvl="2" w:tplc="C298B644">
      <w:start w:val="1"/>
      <w:numFmt w:val="decimal"/>
      <w:lvlText w:val="%3)"/>
      <w:lvlJc w:val="left"/>
      <w:pPr>
        <w:ind w:left="720" w:hanging="360"/>
      </w:pPr>
    </w:lvl>
    <w:lvl w:ilvl="3" w:tplc="D71E1656">
      <w:start w:val="1"/>
      <w:numFmt w:val="decimal"/>
      <w:lvlText w:val="%4)"/>
      <w:lvlJc w:val="left"/>
      <w:pPr>
        <w:ind w:left="720" w:hanging="360"/>
      </w:pPr>
    </w:lvl>
    <w:lvl w:ilvl="4" w:tplc="6958CEC6">
      <w:start w:val="1"/>
      <w:numFmt w:val="decimal"/>
      <w:lvlText w:val="%5)"/>
      <w:lvlJc w:val="left"/>
      <w:pPr>
        <w:ind w:left="720" w:hanging="360"/>
      </w:pPr>
    </w:lvl>
    <w:lvl w:ilvl="5" w:tplc="419420F4">
      <w:start w:val="1"/>
      <w:numFmt w:val="decimal"/>
      <w:lvlText w:val="%6)"/>
      <w:lvlJc w:val="left"/>
      <w:pPr>
        <w:ind w:left="720" w:hanging="360"/>
      </w:pPr>
    </w:lvl>
    <w:lvl w:ilvl="6" w:tplc="8E70EF78">
      <w:start w:val="1"/>
      <w:numFmt w:val="decimal"/>
      <w:lvlText w:val="%7)"/>
      <w:lvlJc w:val="left"/>
      <w:pPr>
        <w:ind w:left="720" w:hanging="360"/>
      </w:pPr>
    </w:lvl>
    <w:lvl w:ilvl="7" w:tplc="54886D26">
      <w:start w:val="1"/>
      <w:numFmt w:val="decimal"/>
      <w:lvlText w:val="%8)"/>
      <w:lvlJc w:val="left"/>
      <w:pPr>
        <w:ind w:left="720" w:hanging="360"/>
      </w:pPr>
    </w:lvl>
    <w:lvl w:ilvl="8" w:tplc="C09CA5B0">
      <w:start w:val="1"/>
      <w:numFmt w:val="decimal"/>
      <w:lvlText w:val="%9)"/>
      <w:lvlJc w:val="left"/>
      <w:pPr>
        <w:ind w:left="720" w:hanging="360"/>
      </w:pPr>
    </w:lvl>
  </w:abstractNum>
  <w:abstractNum w:abstractNumId="31" w15:restartNumberingAfterBreak="0">
    <w:nsid w:val="1C407A60"/>
    <w:multiLevelType w:val="hybridMultilevel"/>
    <w:tmpl w:val="5AB4FF82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2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36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752582"/>
    <w:multiLevelType w:val="hybridMultilevel"/>
    <w:tmpl w:val="568CBF68"/>
    <w:lvl w:ilvl="0" w:tplc="68E6DDE6">
      <w:start w:val="1"/>
      <w:numFmt w:val="decimal"/>
      <w:lvlText w:val="%1)"/>
      <w:lvlJc w:val="left"/>
      <w:pPr>
        <w:ind w:left="720" w:hanging="360"/>
      </w:pPr>
    </w:lvl>
    <w:lvl w:ilvl="1" w:tplc="7EF28A26">
      <w:start w:val="1"/>
      <w:numFmt w:val="decimal"/>
      <w:lvlText w:val="%2)"/>
      <w:lvlJc w:val="left"/>
      <w:pPr>
        <w:ind w:left="720" w:hanging="360"/>
      </w:pPr>
    </w:lvl>
    <w:lvl w:ilvl="2" w:tplc="79B0E19E">
      <w:start w:val="1"/>
      <w:numFmt w:val="decimal"/>
      <w:lvlText w:val="%3)"/>
      <w:lvlJc w:val="left"/>
      <w:pPr>
        <w:ind w:left="720" w:hanging="360"/>
      </w:pPr>
    </w:lvl>
    <w:lvl w:ilvl="3" w:tplc="26B0A654">
      <w:start w:val="1"/>
      <w:numFmt w:val="decimal"/>
      <w:lvlText w:val="%4)"/>
      <w:lvlJc w:val="left"/>
      <w:pPr>
        <w:ind w:left="720" w:hanging="360"/>
      </w:pPr>
    </w:lvl>
    <w:lvl w:ilvl="4" w:tplc="58121348">
      <w:start w:val="1"/>
      <w:numFmt w:val="decimal"/>
      <w:lvlText w:val="%5)"/>
      <w:lvlJc w:val="left"/>
      <w:pPr>
        <w:ind w:left="720" w:hanging="360"/>
      </w:pPr>
    </w:lvl>
    <w:lvl w:ilvl="5" w:tplc="2DCC3DEE">
      <w:start w:val="1"/>
      <w:numFmt w:val="decimal"/>
      <w:lvlText w:val="%6)"/>
      <w:lvlJc w:val="left"/>
      <w:pPr>
        <w:ind w:left="720" w:hanging="360"/>
      </w:pPr>
    </w:lvl>
    <w:lvl w:ilvl="6" w:tplc="493E25F6">
      <w:start w:val="1"/>
      <w:numFmt w:val="decimal"/>
      <w:lvlText w:val="%7)"/>
      <w:lvlJc w:val="left"/>
      <w:pPr>
        <w:ind w:left="720" w:hanging="360"/>
      </w:pPr>
    </w:lvl>
    <w:lvl w:ilvl="7" w:tplc="CB3E82D6">
      <w:start w:val="1"/>
      <w:numFmt w:val="decimal"/>
      <w:lvlText w:val="%8)"/>
      <w:lvlJc w:val="left"/>
      <w:pPr>
        <w:ind w:left="720" w:hanging="360"/>
      </w:pPr>
    </w:lvl>
    <w:lvl w:ilvl="8" w:tplc="B65692F6">
      <w:start w:val="1"/>
      <w:numFmt w:val="decimal"/>
      <w:lvlText w:val="%9)"/>
      <w:lvlJc w:val="left"/>
      <w:pPr>
        <w:ind w:left="720" w:hanging="360"/>
      </w:pPr>
    </w:lvl>
  </w:abstractNum>
  <w:abstractNum w:abstractNumId="4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425D4F"/>
    <w:multiLevelType w:val="hybridMultilevel"/>
    <w:tmpl w:val="9960791C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5" w15:restartNumberingAfterBreak="0">
    <w:nsid w:val="35E02268"/>
    <w:multiLevelType w:val="hybridMultilevel"/>
    <w:tmpl w:val="33FA4E92"/>
    <w:lvl w:ilvl="0" w:tplc="94D643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0B63F4"/>
    <w:multiLevelType w:val="hybridMultilevel"/>
    <w:tmpl w:val="927C03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3B056E95"/>
    <w:multiLevelType w:val="hybridMultilevel"/>
    <w:tmpl w:val="B904780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3CB3553B"/>
    <w:multiLevelType w:val="hybridMultilevel"/>
    <w:tmpl w:val="FD9CFDFC"/>
    <w:lvl w:ilvl="0" w:tplc="F06012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A53ADC"/>
    <w:multiLevelType w:val="hybridMultilevel"/>
    <w:tmpl w:val="CAEE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2E46696"/>
    <w:multiLevelType w:val="hybridMultilevel"/>
    <w:tmpl w:val="69D443D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43438F"/>
    <w:multiLevelType w:val="hybridMultilevel"/>
    <w:tmpl w:val="F800ADF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3" w15:restartNumberingAfterBreak="0">
    <w:nsid w:val="51F26CC2"/>
    <w:multiLevelType w:val="hybridMultilevel"/>
    <w:tmpl w:val="4E5A5D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5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7" w15:restartNumberingAfterBreak="0">
    <w:nsid w:val="54C669B5"/>
    <w:multiLevelType w:val="hybridMultilevel"/>
    <w:tmpl w:val="6C08FC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6176BA7"/>
    <w:multiLevelType w:val="hybridMultilevel"/>
    <w:tmpl w:val="86F27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6242C8"/>
    <w:multiLevelType w:val="hybridMultilevel"/>
    <w:tmpl w:val="6CDA6C4E"/>
    <w:lvl w:ilvl="0" w:tplc="74E60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3E733E"/>
    <w:multiLevelType w:val="hybridMultilevel"/>
    <w:tmpl w:val="C892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9" w15:restartNumberingAfterBreak="0">
    <w:nsid w:val="616A638B"/>
    <w:multiLevelType w:val="hybridMultilevel"/>
    <w:tmpl w:val="0FBCE5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5303559"/>
    <w:multiLevelType w:val="hybridMultilevel"/>
    <w:tmpl w:val="8FFA1582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BFE3FF2"/>
    <w:multiLevelType w:val="hybridMultilevel"/>
    <w:tmpl w:val="B43E344C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60397D"/>
    <w:multiLevelType w:val="multilevel"/>
    <w:tmpl w:val="3D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4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6" w15:restartNumberingAfterBreak="0">
    <w:nsid w:val="7B7C0427"/>
    <w:multiLevelType w:val="hybridMultilevel"/>
    <w:tmpl w:val="0928834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7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3767194">
    <w:abstractNumId w:val="127"/>
  </w:num>
  <w:num w:numId="2" w16cid:durableId="1311132823">
    <w:abstractNumId w:val="100"/>
  </w:num>
  <w:num w:numId="3" w16cid:durableId="1629705189">
    <w:abstractNumId w:val="42"/>
  </w:num>
  <w:num w:numId="4" w16cid:durableId="1326740983">
    <w:abstractNumId w:val="94"/>
  </w:num>
  <w:num w:numId="5" w16cid:durableId="755632018">
    <w:abstractNumId w:val="68"/>
  </w:num>
  <w:num w:numId="6" w16cid:durableId="194736885">
    <w:abstractNumId w:val="63"/>
  </w:num>
  <w:num w:numId="7" w16cid:durableId="2130196539">
    <w:abstractNumId w:val="4"/>
  </w:num>
  <w:num w:numId="8" w16cid:durableId="274950486">
    <w:abstractNumId w:val="113"/>
  </w:num>
  <w:num w:numId="9" w16cid:durableId="1909336751">
    <w:abstractNumId w:val="58"/>
  </w:num>
  <w:num w:numId="10" w16cid:durableId="629215006">
    <w:abstractNumId w:val="77"/>
  </w:num>
  <w:num w:numId="11" w16cid:durableId="105468813">
    <w:abstractNumId w:val="88"/>
  </w:num>
  <w:num w:numId="12" w16cid:durableId="1051154644">
    <w:abstractNumId w:val="72"/>
  </w:num>
  <w:num w:numId="13" w16cid:durableId="1122967064">
    <w:abstractNumId w:val="73"/>
  </w:num>
  <w:num w:numId="14" w16cid:durableId="1189484779">
    <w:abstractNumId w:val="20"/>
  </w:num>
  <w:num w:numId="15" w16cid:durableId="1212766322">
    <w:abstractNumId w:val="23"/>
  </w:num>
  <w:num w:numId="16" w16cid:durableId="243956462">
    <w:abstractNumId w:val="43"/>
  </w:num>
  <w:num w:numId="17" w16cid:durableId="48118316">
    <w:abstractNumId w:val="33"/>
  </w:num>
  <w:num w:numId="18" w16cid:durableId="324095379">
    <w:abstractNumId w:val="117"/>
  </w:num>
  <w:num w:numId="19" w16cid:durableId="153452238">
    <w:abstractNumId w:val="114"/>
  </w:num>
  <w:num w:numId="20" w16cid:durableId="1305744302">
    <w:abstractNumId w:val="119"/>
  </w:num>
  <w:num w:numId="21" w16cid:durableId="40175639">
    <w:abstractNumId w:val="67"/>
  </w:num>
  <w:num w:numId="22" w16cid:durableId="1283851908">
    <w:abstractNumId w:val="8"/>
  </w:num>
  <w:num w:numId="23" w16cid:durableId="2146849147">
    <w:abstractNumId w:val="52"/>
  </w:num>
  <w:num w:numId="24" w16cid:durableId="182007162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749516">
    <w:abstractNumId w:val="80"/>
  </w:num>
  <w:num w:numId="26" w16cid:durableId="1248270049">
    <w:abstractNumId w:val="15"/>
  </w:num>
  <w:num w:numId="27" w16cid:durableId="1659772331">
    <w:abstractNumId w:val="53"/>
  </w:num>
  <w:num w:numId="28" w16cid:durableId="2003314848">
    <w:abstractNumId w:val="38"/>
  </w:num>
  <w:num w:numId="29" w16cid:durableId="1743214221">
    <w:abstractNumId w:val="85"/>
  </w:num>
  <w:num w:numId="30" w16cid:durableId="1625303481">
    <w:abstractNumId w:val="56"/>
  </w:num>
  <w:num w:numId="31" w16cid:durableId="1151947837">
    <w:abstractNumId w:val="18"/>
  </w:num>
  <w:num w:numId="32" w16cid:durableId="364212045">
    <w:abstractNumId w:val="1"/>
  </w:num>
  <w:num w:numId="33" w16cid:durableId="752162798">
    <w:abstractNumId w:val="17"/>
  </w:num>
  <w:num w:numId="34" w16cid:durableId="121272684">
    <w:abstractNumId w:val="9"/>
  </w:num>
  <w:num w:numId="35" w16cid:durableId="1944800127">
    <w:abstractNumId w:val="64"/>
  </w:num>
  <w:num w:numId="36" w16cid:durableId="310794693">
    <w:abstractNumId w:val="105"/>
  </w:num>
  <w:num w:numId="37" w16cid:durableId="386758602">
    <w:abstractNumId w:val="81"/>
  </w:num>
  <w:num w:numId="38" w16cid:durableId="1460300105">
    <w:abstractNumId w:val="34"/>
  </w:num>
  <w:num w:numId="39" w16cid:durableId="1286615619">
    <w:abstractNumId w:val="36"/>
  </w:num>
  <w:num w:numId="40" w16cid:durableId="1726753642">
    <w:abstractNumId w:val="12"/>
  </w:num>
  <w:num w:numId="41" w16cid:durableId="1816949433">
    <w:abstractNumId w:val="121"/>
  </w:num>
  <w:num w:numId="42" w16cid:durableId="2120448624">
    <w:abstractNumId w:val="24"/>
  </w:num>
  <w:num w:numId="43" w16cid:durableId="1005939972">
    <w:abstractNumId w:val="0"/>
  </w:num>
  <w:num w:numId="44" w16cid:durableId="1425102371">
    <w:abstractNumId w:val="106"/>
  </w:num>
  <w:num w:numId="45" w16cid:durableId="746879622">
    <w:abstractNumId w:val="44"/>
  </w:num>
  <w:num w:numId="46" w16cid:durableId="1572153842">
    <w:abstractNumId w:val="78"/>
  </w:num>
  <w:num w:numId="47" w16cid:durableId="65809670">
    <w:abstractNumId w:val="84"/>
  </w:num>
  <w:num w:numId="48" w16cid:durableId="44566995">
    <w:abstractNumId w:val="50"/>
  </w:num>
  <w:num w:numId="49" w16cid:durableId="2145150061">
    <w:abstractNumId w:val="118"/>
  </w:num>
  <w:num w:numId="50" w16cid:durableId="487290781">
    <w:abstractNumId w:val="46"/>
  </w:num>
  <w:num w:numId="51" w16cid:durableId="1174301313">
    <w:abstractNumId w:val="26"/>
  </w:num>
  <w:num w:numId="52" w16cid:durableId="185027165">
    <w:abstractNumId w:val="25"/>
  </w:num>
  <w:num w:numId="53" w16cid:durableId="487281612">
    <w:abstractNumId w:val="112"/>
  </w:num>
  <w:num w:numId="54" w16cid:durableId="858662742">
    <w:abstractNumId w:val="91"/>
  </w:num>
  <w:num w:numId="55" w16cid:durableId="709187070">
    <w:abstractNumId w:val="6"/>
  </w:num>
  <w:num w:numId="56" w16cid:durableId="654529413">
    <w:abstractNumId w:val="14"/>
  </w:num>
  <w:num w:numId="57" w16cid:durableId="1060783117">
    <w:abstractNumId w:val="103"/>
  </w:num>
  <w:num w:numId="58" w16cid:durableId="284846717">
    <w:abstractNumId w:val="45"/>
  </w:num>
  <w:num w:numId="59" w16cid:durableId="1165315984">
    <w:abstractNumId w:val="124"/>
  </w:num>
  <w:num w:numId="60" w16cid:durableId="476385562">
    <w:abstractNumId w:val="86"/>
  </w:num>
  <w:num w:numId="61" w16cid:durableId="1086338880">
    <w:abstractNumId w:val="90"/>
  </w:num>
  <w:num w:numId="62" w16cid:durableId="1583565423">
    <w:abstractNumId w:val="128"/>
  </w:num>
  <w:num w:numId="63" w16cid:durableId="825829131">
    <w:abstractNumId w:val="111"/>
  </w:num>
  <w:num w:numId="64" w16cid:durableId="204026633">
    <w:abstractNumId w:val="79"/>
  </w:num>
  <w:num w:numId="65" w16cid:durableId="280845087">
    <w:abstractNumId w:val="120"/>
  </w:num>
  <w:num w:numId="66" w16cid:durableId="55788088">
    <w:abstractNumId w:val="51"/>
  </w:num>
  <w:num w:numId="67" w16cid:durableId="902906097">
    <w:abstractNumId w:val="109"/>
  </w:num>
  <w:num w:numId="68" w16cid:durableId="1878007333">
    <w:abstractNumId w:val="48"/>
  </w:num>
  <w:num w:numId="69" w16cid:durableId="1641954986">
    <w:abstractNumId w:val="37"/>
  </w:num>
  <w:num w:numId="70" w16cid:durableId="256716396">
    <w:abstractNumId w:val="98"/>
  </w:num>
  <w:num w:numId="71" w16cid:durableId="1354305416">
    <w:abstractNumId w:val="76"/>
  </w:num>
  <w:num w:numId="72" w16cid:durableId="325207797">
    <w:abstractNumId w:val="61"/>
  </w:num>
  <w:num w:numId="73" w16cid:durableId="839660629">
    <w:abstractNumId w:val="108"/>
  </w:num>
  <w:num w:numId="74" w16cid:durableId="919601791">
    <w:abstractNumId w:val="74"/>
  </w:num>
  <w:num w:numId="75" w16cid:durableId="1042679885">
    <w:abstractNumId w:val="122"/>
  </w:num>
  <w:num w:numId="76" w16cid:durableId="1058823460">
    <w:abstractNumId w:val="7"/>
  </w:num>
  <w:num w:numId="77" w16cid:durableId="165023859">
    <w:abstractNumId w:val="102"/>
  </w:num>
  <w:num w:numId="78" w16cid:durableId="2108842351">
    <w:abstractNumId w:val="40"/>
  </w:num>
  <w:num w:numId="79" w16cid:durableId="251201599">
    <w:abstractNumId w:val="21"/>
  </w:num>
  <w:num w:numId="80" w16cid:durableId="464198610">
    <w:abstractNumId w:val="75"/>
  </w:num>
  <w:num w:numId="81" w16cid:durableId="2098084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50404716">
    <w:abstractNumId w:val="60"/>
  </w:num>
  <w:num w:numId="83" w16cid:durableId="789131252">
    <w:abstractNumId w:val="101"/>
  </w:num>
  <w:num w:numId="84" w16cid:durableId="168107326">
    <w:abstractNumId w:val="22"/>
  </w:num>
  <w:num w:numId="85" w16cid:durableId="1244608238">
    <w:abstractNumId w:val="28"/>
  </w:num>
  <w:num w:numId="86" w16cid:durableId="1357923223">
    <w:abstractNumId w:val="96"/>
  </w:num>
  <w:num w:numId="87" w16cid:durableId="587496217">
    <w:abstractNumId w:val="70"/>
  </w:num>
  <w:num w:numId="88" w16cid:durableId="1804273855">
    <w:abstractNumId w:val="35"/>
  </w:num>
  <w:num w:numId="89" w16cid:durableId="176115150">
    <w:abstractNumId w:val="32"/>
  </w:num>
  <w:num w:numId="90" w16cid:durableId="874584313">
    <w:abstractNumId w:val="83"/>
  </w:num>
  <w:num w:numId="91" w16cid:durableId="1555659327">
    <w:abstractNumId w:val="115"/>
  </w:num>
  <w:num w:numId="92" w16cid:durableId="258102877">
    <w:abstractNumId w:val="3"/>
  </w:num>
  <w:num w:numId="93" w16cid:durableId="491139292">
    <w:abstractNumId w:val="11"/>
  </w:num>
  <w:num w:numId="94" w16cid:durableId="1698122811">
    <w:abstractNumId w:val="66"/>
  </w:num>
  <w:num w:numId="95" w16cid:durableId="2125683775">
    <w:abstractNumId w:val="55"/>
  </w:num>
  <w:num w:numId="96" w16cid:durableId="351498819">
    <w:abstractNumId w:val="16"/>
  </w:num>
  <w:num w:numId="97" w16cid:durableId="295643512">
    <w:abstractNumId w:val="57"/>
  </w:num>
  <w:num w:numId="98" w16cid:durableId="1766146030">
    <w:abstractNumId w:val="62"/>
  </w:num>
  <w:num w:numId="99" w16cid:durableId="229538862">
    <w:abstractNumId w:val="19"/>
  </w:num>
  <w:num w:numId="100" w16cid:durableId="955603990">
    <w:abstractNumId w:val="69"/>
  </w:num>
  <w:num w:numId="101" w16cid:durableId="1819413908">
    <w:abstractNumId w:val="71"/>
  </w:num>
  <w:num w:numId="102" w16cid:durableId="522206389">
    <w:abstractNumId w:val="82"/>
  </w:num>
  <w:num w:numId="103" w16cid:durableId="1828083072">
    <w:abstractNumId w:val="59"/>
  </w:num>
  <w:num w:numId="104" w16cid:durableId="536509857">
    <w:abstractNumId w:val="31"/>
  </w:num>
  <w:num w:numId="105" w16cid:durableId="1015617196">
    <w:abstractNumId w:val="29"/>
  </w:num>
  <w:num w:numId="106" w16cid:durableId="2089308637">
    <w:abstractNumId w:val="126"/>
  </w:num>
  <w:num w:numId="107" w16cid:durableId="1951935323">
    <w:abstractNumId w:val="27"/>
  </w:num>
  <w:num w:numId="108" w16cid:durableId="226233526">
    <w:abstractNumId w:val="54"/>
  </w:num>
  <w:num w:numId="109" w16cid:durableId="217009432">
    <w:abstractNumId w:val="49"/>
  </w:num>
  <w:num w:numId="110" w16cid:durableId="1959095610">
    <w:abstractNumId w:val="99"/>
  </w:num>
  <w:num w:numId="111" w16cid:durableId="141972965">
    <w:abstractNumId w:val="110"/>
  </w:num>
  <w:num w:numId="112" w16cid:durableId="1894391220">
    <w:abstractNumId w:val="104"/>
  </w:num>
  <w:num w:numId="113" w16cid:durableId="165755434">
    <w:abstractNumId w:val="87"/>
  </w:num>
  <w:num w:numId="114" w16cid:durableId="1490755709">
    <w:abstractNumId w:val="2"/>
  </w:num>
  <w:num w:numId="115" w16cid:durableId="1626963570">
    <w:abstractNumId w:val="41"/>
  </w:num>
  <w:num w:numId="116" w16cid:durableId="1902907788">
    <w:abstractNumId w:val="30"/>
  </w:num>
  <w:num w:numId="117" w16cid:durableId="706877254">
    <w:abstractNumId w:val="39"/>
  </w:num>
  <w:num w:numId="118" w16cid:durableId="1242107223">
    <w:abstractNumId w:val="107"/>
  </w:num>
  <w:num w:numId="119" w16cid:durableId="553735356">
    <w:abstractNumId w:val="123"/>
  </w:num>
  <w:num w:numId="120" w16cid:durableId="1136869307">
    <w:abstractNumId w:val="47"/>
  </w:num>
  <w:num w:numId="121" w16cid:durableId="1548252827">
    <w:abstractNumId w:val="125"/>
  </w:num>
  <w:num w:numId="122" w16cid:durableId="754741170">
    <w:abstractNumId w:val="89"/>
  </w:num>
  <w:num w:numId="123" w16cid:durableId="563029090">
    <w:abstractNumId w:val="10"/>
  </w:num>
  <w:num w:numId="124" w16cid:durableId="746078220">
    <w:abstractNumId w:val="92"/>
  </w:num>
  <w:num w:numId="125" w16cid:durableId="371273964">
    <w:abstractNumId w:val="5"/>
  </w:num>
  <w:num w:numId="126" w16cid:durableId="1175074150">
    <w:abstractNumId w:val="65"/>
  </w:num>
  <w:num w:numId="127" w16cid:durableId="1907061386">
    <w:abstractNumId w:val="97"/>
  </w:num>
  <w:num w:numId="128" w16cid:durableId="874536602">
    <w:abstractNumId w:val="1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AA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2EF"/>
    <w:rsid w:val="0005288F"/>
    <w:rsid w:val="000528FB"/>
    <w:rsid w:val="0005292F"/>
    <w:rsid w:val="00052A34"/>
    <w:rsid w:val="0005307C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699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C8E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E79"/>
    <w:rsid w:val="00144F52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261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DD5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BE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D37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3D72"/>
    <w:rsid w:val="002F4147"/>
    <w:rsid w:val="002F41ED"/>
    <w:rsid w:val="002F42FD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563"/>
    <w:rsid w:val="00303658"/>
    <w:rsid w:val="0030387F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021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4A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1CF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C2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6E0B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1F78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57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515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13E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ED5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547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136"/>
    <w:rsid w:val="00646492"/>
    <w:rsid w:val="00646891"/>
    <w:rsid w:val="00646ADD"/>
    <w:rsid w:val="00646AF6"/>
    <w:rsid w:val="00646B1A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AE3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418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89C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0A9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2849"/>
    <w:rsid w:val="006D39A9"/>
    <w:rsid w:val="006D3B9E"/>
    <w:rsid w:val="006D3BF4"/>
    <w:rsid w:val="006D41A7"/>
    <w:rsid w:val="006D4506"/>
    <w:rsid w:val="006D4741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2E9"/>
    <w:rsid w:val="006D7458"/>
    <w:rsid w:val="006D7653"/>
    <w:rsid w:val="006D76B6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6C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1E8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4E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C59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5FE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953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2EF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A0D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2D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7A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AC1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00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3E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209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5E7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ADA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2F19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0F09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141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2B50"/>
    <w:rsid w:val="00BA4070"/>
    <w:rsid w:val="00BA419C"/>
    <w:rsid w:val="00BA4629"/>
    <w:rsid w:val="00BA4980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02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14D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3EB6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06D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092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1F3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5D8F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B7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8BB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642C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9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12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4DA6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1A0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080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097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1CC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B89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0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47C65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6C2"/>
    <w:rsid w:val="00F76B42"/>
    <w:rsid w:val="00F76D85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0D338-FE3E-456F-8980-4EDBABEA3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documentManagement/types"/>
    <ds:schemaRef ds:uri="02b634f1-d4b8-44f5-b915-b6b96903ae57"/>
    <ds:schemaRef ds:uri="http://www.w3.org/XML/1998/namespace"/>
    <ds:schemaRef ds:uri="http://purl.org/dc/dcmitype/"/>
    <ds:schemaRef ds:uri="f10ac06e-816e-4d4c-9e18-e30054a259f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12934</Words>
  <Characters>77609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90363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NCBR</cp:lastModifiedBy>
  <cp:revision>7</cp:revision>
  <cp:lastPrinted>2023-11-15T12:27:00Z</cp:lastPrinted>
  <dcterms:created xsi:type="dcterms:W3CDTF">2026-04-30T08:53:00Z</dcterms:created>
  <dcterms:modified xsi:type="dcterms:W3CDTF">2026-05-08T08:56:00Z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