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E529" w14:textId="378499D8" w:rsidR="000A2077" w:rsidRPr="006F67DF" w:rsidRDefault="00F271F0" w:rsidP="008978E2">
      <w:pPr>
        <w:spacing w:before="120" w:after="0"/>
        <w:jc w:val="both"/>
        <w:rPr>
          <w:rFonts w:cstheme="minorHAnsi"/>
          <w:bCs/>
        </w:rPr>
      </w:pPr>
      <w:r w:rsidRPr="006F67DF">
        <w:rPr>
          <w:rFonts w:cstheme="minorHAnsi"/>
          <w:bCs/>
        </w:rPr>
        <w:t>Zgodnie z</w:t>
      </w:r>
      <w:r w:rsidR="006B0B8A" w:rsidRPr="006F67DF">
        <w:rPr>
          <w:rFonts w:cstheme="minorHAnsi"/>
          <w:bCs/>
        </w:rPr>
        <w:t xml:space="preserve"> </w:t>
      </w:r>
      <w:r w:rsidR="005E51DB" w:rsidRPr="006F67DF">
        <w:rPr>
          <w:rFonts w:cstheme="minorHAnsi"/>
        </w:rPr>
        <w:t xml:space="preserve">art. 47 ust. 1 ustawy z dnia 6 marca 2018 r. Prawo przedsiębiorców </w:t>
      </w:r>
      <w:r w:rsidR="00974C65">
        <w:rPr>
          <w:rFonts w:cstheme="minorHAnsi"/>
        </w:rPr>
        <w:t xml:space="preserve">(Dz. U. z 2025 r. poz. 1480, 1826) </w:t>
      </w:r>
      <w:r w:rsidR="005E51DB" w:rsidRPr="006F67DF">
        <w:rPr>
          <w:rFonts w:cstheme="minorHAnsi"/>
        </w:rPr>
        <w:t>k</w:t>
      </w:r>
      <w:r w:rsidR="001E0A81" w:rsidRPr="006F67DF">
        <w:rPr>
          <w:rFonts w:cstheme="minorHAnsi"/>
        </w:rPr>
        <w:t>ontrole planuje się i</w:t>
      </w:r>
      <w:r w:rsidR="00974C65">
        <w:rPr>
          <w:rFonts w:cstheme="minorHAnsi"/>
        </w:rPr>
        <w:t xml:space="preserve"> </w:t>
      </w:r>
      <w:r w:rsidR="001E0A81" w:rsidRPr="006F67DF">
        <w:rPr>
          <w:rFonts w:cstheme="minorHAnsi"/>
        </w:rPr>
        <w:t>przeprowadza po uprzednim dokonaniu analizy prawdopodobieństwa naruszenia prawa w ramach wykonywania działalności gospodarczej. Analiza obejmuje identyfikację obszarów podmiotowych i</w:t>
      </w:r>
      <w:r w:rsidR="00D45619" w:rsidRPr="006F67DF">
        <w:rPr>
          <w:rFonts w:cstheme="minorHAnsi"/>
        </w:rPr>
        <w:t> </w:t>
      </w:r>
      <w:r w:rsidR="001E0A81" w:rsidRPr="006F67DF">
        <w:rPr>
          <w:rFonts w:cstheme="minorHAnsi"/>
        </w:rPr>
        <w:t>przedmiotowych, w których ryzyko naruszenia przepisów jest największe.</w:t>
      </w:r>
    </w:p>
    <w:p w14:paraId="31FB5C82" w14:textId="2DACFF6C" w:rsidR="00206FD1" w:rsidRPr="006F67DF" w:rsidRDefault="00206FD1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</w:rPr>
        <w:t>W oparciu o wyniki</w:t>
      </w:r>
      <w:r w:rsidR="00E41214" w:rsidRPr="006F67DF">
        <w:rPr>
          <w:rFonts w:cstheme="minorHAnsi"/>
        </w:rPr>
        <w:t xml:space="preserve"> </w:t>
      </w:r>
      <w:r w:rsidRPr="006F67DF">
        <w:rPr>
          <w:rFonts w:cstheme="minorHAnsi"/>
        </w:rPr>
        <w:t>analizy określa się zasady umożliwiające przypisanie przedsiębiorców do jednej</w:t>
      </w:r>
      <w:r w:rsidR="00E41214" w:rsidRPr="006F67DF">
        <w:rPr>
          <w:rFonts w:cstheme="minorHAnsi"/>
        </w:rPr>
        <w:t xml:space="preserve"> </w:t>
      </w:r>
      <w:r w:rsidRPr="006F67DF">
        <w:rPr>
          <w:rFonts w:cstheme="minorHAnsi"/>
        </w:rPr>
        <w:t>z</w:t>
      </w:r>
      <w:r w:rsidR="003A7BD8" w:rsidRPr="006F67DF">
        <w:rPr>
          <w:rFonts w:cstheme="minorHAnsi"/>
        </w:rPr>
        <w:t> </w:t>
      </w:r>
      <w:r w:rsidRPr="006F67DF">
        <w:rPr>
          <w:rFonts w:cstheme="minorHAnsi"/>
        </w:rPr>
        <w:t>następujących kategorii ryzyka: niskie, średnie, wysokie.</w:t>
      </w:r>
    </w:p>
    <w:p w14:paraId="0CFD273A" w14:textId="46D71A77" w:rsidR="00E41214" w:rsidRPr="006F67DF" w:rsidRDefault="00E41214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</w:rPr>
        <w:t>Organ kontroli może przeprowadzić</w:t>
      </w:r>
      <w:r w:rsidR="00BE5817">
        <w:rPr>
          <w:rFonts w:cstheme="minorHAnsi"/>
        </w:rPr>
        <w:t xml:space="preserve"> planowaną </w:t>
      </w:r>
      <w:r w:rsidRPr="006F67DF">
        <w:rPr>
          <w:rFonts w:cstheme="minorHAnsi"/>
        </w:rPr>
        <w:t>kontrolę przedsiębiorcy, który został przypisany do jednej z kategorii ryzyka, w przypadku</w:t>
      </w:r>
      <w:r w:rsidR="00BE5817">
        <w:rPr>
          <w:rFonts w:cstheme="minorHAnsi"/>
        </w:rPr>
        <w:t>:</w:t>
      </w:r>
    </w:p>
    <w:p w14:paraId="66D691F1" w14:textId="75B22D69" w:rsidR="00E41214" w:rsidRPr="006F67DF" w:rsidRDefault="00E41214" w:rsidP="008978E2">
      <w:pPr>
        <w:pStyle w:val="Akapitzlist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cstheme="minorHAnsi"/>
        </w:rPr>
      </w:pPr>
      <w:r w:rsidRPr="006F67DF">
        <w:rPr>
          <w:rFonts w:cstheme="minorHAnsi"/>
        </w:rPr>
        <w:t>niskiego ryzyka – nie częściej niż raz w ciągu 5 lat;</w:t>
      </w:r>
    </w:p>
    <w:p w14:paraId="50A9BB64" w14:textId="6F6D7605" w:rsidR="00E41214" w:rsidRPr="006F67DF" w:rsidRDefault="00E41214" w:rsidP="008978E2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F67DF">
        <w:rPr>
          <w:rFonts w:cstheme="minorHAnsi"/>
        </w:rPr>
        <w:t>średniego ryzyka – nie częściej niż raz w ciągu 3 lat;</w:t>
      </w:r>
    </w:p>
    <w:p w14:paraId="4D5A069F" w14:textId="56E99198" w:rsidR="00E41214" w:rsidRPr="006F67DF" w:rsidRDefault="00E41214" w:rsidP="008978E2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F67DF">
        <w:rPr>
          <w:rFonts w:cstheme="minorHAnsi"/>
        </w:rPr>
        <w:t>wysokiego ryzyka – tak często, jak to jest konieczne dla zapewnienia skutecznego stosowania odpowiednich przepisów, z uwzględnieniem wysokiego ryzyka wystąpienia nieprawidłowości oraz środków niezbędnych do jego ograniczania.</w:t>
      </w:r>
    </w:p>
    <w:p w14:paraId="0D4A320C" w14:textId="6343C800" w:rsidR="00494D19" w:rsidRPr="006F67DF" w:rsidRDefault="00494D19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</w:rPr>
        <w:t xml:space="preserve">Biorąc pod uwagę </w:t>
      </w:r>
      <w:r w:rsidRPr="006F67DF">
        <w:rPr>
          <w:rFonts w:cstheme="minorHAnsi"/>
          <w:bCs/>
        </w:rPr>
        <w:t xml:space="preserve">przepisy ogólne dotyczące kontroli urzędowych, </w:t>
      </w:r>
      <w:r w:rsidRPr="006F67DF">
        <w:rPr>
          <w:rFonts w:cstheme="minorHAnsi"/>
          <w:iCs/>
        </w:rPr>
        <w:t xml:space="preserve">o których mowa w </w:t>
      </w:r>
      <w:r w:rsidRPr="006F67DF">
        <w:rPr>
          <w:rFonts w:cstheme="minorHAnsi"/>
        </w:rPr>
        <w:t>art. 9 ust. 1 rozporządzenia 2017/625 ds. urzędowych kontroli, właściwe organy regularnie przeprowadzają kontrole wszystkich podmiotów w oparciu o ocenę ryzyka oraz z właściwą częstotliwością, uwzględniając znane ryzyko związane z towarami i działaniami podmiotów, pozostającymi pod ich kontrolą, jak również z uwzględnieniem ryzyka związanego z</w:t>
      </w:r>
      <w:r w:rsidR="00D45619" w:rsidRPr="006F67DF">
        <w:rPr>
          <w:rFonts w:cstheme="minorHAnsi"/>
        </w:rPr>
        <w:t> </w:t>
      </w:r>
      <w:r w:rsidRPr="006F67DF">
        <w:rPr>
          <w:rFonts w:cstheme="minorHAnsi"/>
        </w:rPr>
        <w:t>miejscem prowadzenia działalności, historią podmiotów oraz wszelkich informacji, które mogą wskazywać na niezgodność z przepisami lub prawdopodobieństwo, że konsumenci mogą zostać wprowadzeni w błąd na skutek stosowania nieuczciwych lub oszukańczych praktyk oraz uwzględniając informacje przekazywane w ramach mechanizmów międzynarodowej pomocy administracyjnej.</w:t>
      </w:r>
    </w:p>
    <w:p w14:paraId="6A304124" w14:textId="77777777" w:rsidR="00B816D9" w:rsidRPr="006F67DF" w:rsidRDefault="00B816D9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</w:rPr>
        <w:t>Zgodnie z art. 47 ust. 2 ustawy Prawo przedsiębiorców powyższe zasady nie mają zastosowania do typowania podmiotów do kontroli w przypadku, gdy organ kontroli poweźmie uzasadnione podejrzenie zagrożenia życia lub zdrowia, popełnienia przestępstwa lub wykroczenia, lub podejrzenia naruszenia prawnego zakazu lub niedopełnienia prawnego obowiązku.</w:t>
      </w:r>
    </w:p>
    <w:p w14:paraId="689296E9" w14:textId="50C91F9E" w:rsidR="001A6B1A" w:rsidRPr="006F67DF" w:rsidRDefault="001A6B1A" w:rsidP="008978E2">
      <w:pPr>
        <w:pStyle w:val="Akapitzlist"/>
        <w:numPr>
          <w:ilvl w:val="0"/>
          <w:numId w:val="10"/>
        </w:numPr>
        <w:spacing w:before="120" w:after="0"/>
        <w:ind w:left="426" w:hanging="426"/>
        <w:contextualSpacing w:val="0"/>
        <w:jc w:val="both"/>
        <w:rPr>
          <w:rFonts w:cstheme="minorHAnsi"/>
          <w:b/>
        </w:rPr>
      </w:pPr>
      <w:r w:rsidRPr="006F67DF">
        <w:rPr>
          <w:rFonts w:cstheme="minorHAnsi"/>
          <w:b/>
        </w:rPr>
        <w:t>Zdrowie roślin</w:t>
      </w:r>
    </w:p>
    <w:p w14:paraId="464D0D73" w14:textId="46A9AB41" w:rsidR="00B26528" w:rsidRPr="006F67DF" w:rsidRDefault="00B816D9" w:rsidP="008978E2">
      <w:pPr>
        <w:spacing w:before="120" w:after="0"/>
        <w:jc w:val="both"/>
        <w:rPr>
          <w:rFonts w:eastAsia="Calibri" w:cstheme="minorHAnsi"/>
          <w:lang w:eastAsia="pl-PL"/>
        </w:rPr>
      </w:pPr>
      <w:r w:rsidRPr="006F67DF">
        <w:rPr>
          <w:rFonts w:eastAsia="Calibri" w:cstheme="minorHAnsi"/>
          <w:lang w:eastAsia="pl-PL"/>
        </w:rPr>
        <w:t>W zakresie spraw zdrowia roślin przedsiębiorcy</w:t>
      </w:r>
      <w:r w:rsidR="00F60B1B" w:rsidRPr="006F67DF">
        <w:rPr>
          <w:rFonts w:eastAsia="Calibri" w:cstheme="minorHAnsi"/>
          <w:lang w:eastAsia="pl-PL"/>
        </w:rPr>
        <w:t>,</w:t>
      </w:r>
      <w:r w:rsidR="00333B47" w:rsidRPr="006F67DF">
        <w:rPr>
          <w:rFonts w:eastAsia="Calibri" w:cstheme="minorHAnsi"/>
          <w:lang w:eastAsia="pl-PL"/>
        </w:rPr>
        <w:t xml:space="preserve"> </w:t>
      </w:r>
      <w:r w:rsidRPr="006F67DF">
        <w:rPr>
          <w:rFonts w:eastAsia="Calibri" w:cstheme="minorHAnsi"/>
          <w:lang w:eastAsia="pl-PL"/>
        </w:rPr>
        <w:t>wykonujący określoną działalność będą podlegały planowanym kontrolom</w:t>
      </w:r>
      <w:r w:rsidR="00D85F12" w:rsidRPr="006F67DF">
        <w:rPr>
          <w:rFonts w:eastAsia="Calibri" w:cstheme="minorHAnsi"/>
          <w:lang w:eastAsia="pl-PL"/>
        </w:rPr>
        <w:t>, mając na uwadze m.in. przepisy określone w art. 22 rozporządzenia 201</w:t>
      </w:r>
      <w:r w:rsidR="00D45464" w:rsidRPr="006F67DF">
        <w:rPr>
          <w:rFonts w:eastAsia="Calibri" w:cstheme="minorHAnsi"/>
          <w:lang w:eastAsia="pl-PL"/>
        </w:rPr>
        <w:t>7</w:t>
      </w:r>
      <w:r w:rsidR="00D85F12" w:rsidRPr="006F67DF">
        <w:rPr>
          <w:rFonts w:eastAsia="Calibri" w:cstheme="minorHAnsi"/>
          <w:lang w:eastAsia="pl-PL"/>
        </w:rPr>
        <w:t xml:space="preserve">/625 ds. urzędowych kontroli. </w:t>
      </w:r>
      <w:r w:rsidR="00D14F31" w:rsidRPr="006F67DF">
        <w:rPr>
          <w:rFonts w:eastAsia="Calibri" w:cstheme="minorHAnsi"/>
          <w:lang w:eastAsia="pl-PL"/>
        </w:rPr>
        <w:t>W celu u</w:t>
      </w:r>
      <w:r w:rsidR="00B26528" w:rsidRPr="006F67DF">
        <w:rPr>
          <w:rFonts w:eastAsia="Calibri" w:cstheme="minorHAnsi"/>
          <w:lang w:eastAsia="pl-PL"/>
        </w:rPr>
        <w:t>stal</w:t>
      </w:r>
      <w:r w:rsidR="00D14F31" w:rsidRPr="006F67DF">
        <w:rPr>
          <w:rFonts w:eastAsia="Calibri" w:cstheme="minorHAnsi"/>
          <w:lang w:eastAsia="pl-PL"/>
        </w:rPr>
        <w:t>eni</w:t>
      </w:r>
      <w:r w:rsidR="00F60B1B" w:rsidRPr="006F67DF">
        <w:rPr>
          <w:rFonts w:eastAsia="Calibri" w:cstheme="minorHAnsi"/>
          <w:lang w:eastAsia="pl-PL"/>
        </w:rPr>
        <w:t>a</w:t>
      </w:r>
      <w:r w:rsidR="00B26528" w:rsidRPr="006F67DF">
        <w:rPr>
          <w:rFonts w:eastAsia="Calibri" w:cstheme="minorHAnsi"/>
          <w:lang w:eastAsia="pl-PL"/>
        </w:rPr>
        <w:t xml:space="preserve"> częstotliwoś</w:t>
      </w:r>
      <w:r w:rsidR="00D14F31" w:rsidRPr="006F67DF">
        <w:rPr>
          <w:rFonts w:eastAsia="Calibri" w:cstheme="minorHAnsi"/>
          <w:lang w:eastAsia="pl-PL"/>
        </w:rPr>
        <w:t>ci</w:t>
      </w:r>
      <w:r w:rsidR="00B26528" w:rsidRPr="006F67DF">
        <w:rPr>
          <w:rFonts w:eastAsia="Calibri" w:cstheme="minorHAnsi"/>
          <w:lang w:eastAsia="pl-PL"/>
        </w:rPr>
        <w:t xml:space="preserve"> </w:t>
      </w:r>
      <w:r w:rsidR="00D14F31" w:rsidRPr="006F67DF">
        <w:rPr>
          <w:rFonts w:eastAsia="Calibri" w:cstheme="minorHAnsi"/>
          <w:lang w:eastAsia="pl-PL"/>
        </w:rPr>
        <w:t xml:space="preserve">kontroli, opierając się na ocenie ryzyka </w:t>
      </w:r>
      <w:r w:rsidR="00974C65">
        <w:rPr>
          <w:rFonts w:eastAsia="Calibri" w:cstheme="minorHAnsi"/>
          <w:lang w:eastAsia="pl-PL"/>
        </w:rPr>
        <w:t xml:space="preserve">należy uwzględnić </w:t>
      </w:r>
      <w:r w:rsidR="00D14F31" w:rsidRPr="006F67DF">
        <w:rPr>
          <w:rFonts w:eastAsia="Calibri" w:cstheme="minorHAnsi"/>
          <w:lang w:eastAsia="pl-PL"/>
        </w:rPr>
        <w:t>m.in.:</w:t>
      </w:r>
    </w:p>
    <w:p w14:paraId="66C8846C" w14:textId="2B31335F" w:rsidR="00F60B1B" w:rsidRPr="006F67DF" w:rsidRDefault="00F60B1B" w:rsidP="008978E2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 xml:space="preserve">zidentyfikowane naruszenie prawa, które może mieć skutki trudne do zlikwidowania, oddziałujące na środowisko, inne podmioty w związku z zagrożeniem ze strony </w:t>
      </w:r>
      <w:proofErr w:type="spellStart"/>
      <w:r w:rsidRPr="006F67DF">
        <w:rPr>
          <w:rFonts w:eastAsia="Aptos" w:cstheme="minorHAnsi"/>
          <w:kern w:val="2"/>
          <w14:ligatures w14:val="standardContextual"/>
        </w:rPr>
        <w:t>agrofagów</w:t>
      </w:r>
      <w:proofErr w:type="spellEnd"/>
      <w:r w:rsidRPr="006F67DF">
        <w:rPr>
          <w:rFonts w:eastAsia="Aptos" w:cstheme="minorHAnsi"/>
          <w:kern w:val="2"/>
          <w14:ligatures w14:val="standardContextual"/>
        </w:rPr>
        <w:t xml:space="preserve"> kwarantannowych,</w:t>
      </w:r>
    </w:p>
    <w:p w14:paraId="6AB1011C" w14:textId="76953617" w:rsidR="00F60B1B" w:rsidRPr="006F67DF" w:rsidRDefault="00F60B1B" w:rsidP="008978E2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Calibri" w:cstheme="minorHAnsi"/>
          <w:lang w:eastAsia="pl-PL"/>
        </w:rPr>
        <w:t>informacje</w:t>
      </w:r>
      <w:r w:rsidRPr="006F67DF">
        <w:rPr>
          <w:rFonts w:eastAsia="Aptos" w:cstheme="minorHAnsi"/>
          <w:kern w:val="2"/>
          <w14:ligatures w14:val="standardContextual"/>
        </w:rPr>
        <w:t xml:space="preserve"> o występujących nieprawidłowościach i niezgodnościach stwierdzane w wyniku kontroli </w:t>
      </w:r>
      <w:r w:rsidR="00B23DC0" w:rsidRPr="006F67DF">
        <w:rPr>
          <w:rFonts w:eastAsia="Aptos" w:cstheme="minorHAnsi"/>
          <w:kern w:val="2"/>
          <w14:ligatures w14:val="standardContextual"/>
        </w:rPr>
        <w:t xml:space="preserve">wykonywanych przez </w:t>
      </w:r>
      <w:proofErr w:type="spellStart"/>
      <w:r w:rsidRPr="006F67DF">
        <w:rPr>
          <w:rFonts w:eastAsia="Aptos" w:cstheme="minorHAnsi"/>
          <w:kern w:val="2"/>
          <w14:ligatures w14:val="standardContextual"/>
        </w:rPr>
        <w:t>PIORiN</w:t>
      </w:r>
      <w:proofErr w:type="spellEnd"/>
      <w:r w:rsidRPr="006F67DF">
        <w:rPr>
          <w:rFonts w:eastAsia="Aptos" w:cstheme="minorHAnsi"/>
          <w:kern w:val="2"/>
          <w14:ligatures w14:val="standardContextual"/>
        </w:rPr>
        <w:t xml:space="preserve"> lub inn</w:t>
      </w:r>
      <w:r w:rsidR="00B23DC0" w:rsidRPr="006F67DF">
        <w:rPr>
          <w:rFonts w:eastAsia="Aptos" w:cstheme="minorHAnsi"/>
          <w:kern w:val="2"/>
          <w14:ligatures w14:val="standardContextual"/>
        </w:rPr>
        <w:t xml:space="preserve">e </w:t>
      </w:r>
      <w:r w:rsidRPr="006F67DF">
        <w:rPr>
          <w:rFonts w:eastAsia="Aptos" w:cstheme="minorHAnsi"/>
          <w:kern w:val="2"/>
          <w14:ligatures w14:val="standardContextual"/>
        </w:rPr>
        <w:t>organ</w:t>
      </w:r>
      <w:r w:rsidR="00B23DC0" w:rsidRPr="006F67DF">
        <w:rPr>
          <w:rFonts w:eastAsia="Aptos" w:cstheme="minorHAnsi"/>
          <w:kern w:val="2"/>
          <w14:ligatures w14:val="standardContextual"/>
        </w:rPr>
        <w:t>y</w:t>
      </w:r>
      <w:r w:rsidRPr="006F67DF">
        <w:rPr>
          <w:rFonts w:eastAsia="Aptos" w:cstheme="minorHAnsi"/>
          <w:kern w:val="2"/>
          <w14:ligatures w14:val="standardContextual"/>
        </w:rPr>
        <w:t xml:space="preserve"> w skali województwa lub kraju,</w:t>
      </w:r>
    </w:p>
    <w:p w14:paraId="170AFD97" w14:textId="7F7CF35B" w:rsidR="00D14F31" w:rsidRPr="006F67DF" w:rsidRDefault="00D14F31" w:rsidP="008978E2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eastAsia="Calibri" w:cstheme="minorHAnsi"/>
          <w:lang w:eastAsia="pl-PL"/>
        </w:rPr>
      </w:pPr>
      <w:r w:rsidRPr="006F67DF">
        <w:rPr>
          <w:rFonts w:eastAsia="Calibri" w:cstheme="minorHAnsi"/>
          <w:lang w:eastAsia="pl-PL"/>
        </w:rPr>
        <w:t>informacje czy kontrolowana działalność jest dedykowana do profesjonalnych odbiorców, czy też do użytkowników ostatecznych</w:t>
      </w:r>
      <w:r w:rsidR="00F60B1B" w:rsidRPr="006F67DF">
        <w:rPr>
          <w:rFonts w:eastAsia="Calibri" w:cstheme="minorHAnsi"/>
          <w:lang w:eastAsia="pl-PL"/>
        </w:rPr>
        <w:t>.</w:t>
      </w:r>
    </w:p>
    <w:p w14:paraId="0BB802EE" w14:textId="10D6F6ED" w:rsidR="00740DB9" w:rsidRPr="006F67DF" w:rsidRDefault="00740DB9" w:rsidP="008978E2">
      <w:pPr>
        <w:spacing w:before="120" w:after="0"/>
        <w:jc w:val="both"/>
        <w:rPr>
          <w:rFonts w:cstheme="minorHAnsi"/>
        </w:rPr>
      </w:pPr>
      <w:r w:rsidRPr="006F67DF">
        <w:rPr>
          <w:rFonts w:eastAsia="Calibri" w:cstheme="minorHAnsi"/>
          <w:lang w:eastAsia="pl-PL"/>
        </w:rPr>
        <w:t xml:space="preserve">Biorąc pod uwagę wymagania </w:t>
      </w:r>
      <w:r w:rsidRPr="006F67DF">
        <w:rPr>
          <w:rFonts w:cstheme="minorHAnsi"/>
          <w:lang w:val="pl"/>
        </w:rPr>
        <w:t xml:space="preserve">przepisów prawa UE i krajowego, </w:t>
      </w:r>
      <w:r w:rsidRPr="006F67DF">
        <w:rPr>
          <w:rFonts w:cstheme="minorHAnsi"/>
        </w:rPr>
        <w:t xml:space="preserve">dokonano analizy </w:t>
      </w:r>
      <w:r w:rsidRPr="006F67DF">
        <w:rPr>
          <w:rFonts w:cstheme="minorHAnsi"/>
          <w:lang w:val="pl"/>
        </w:rPr>
        <w:t xml:space="preserve">zidentyfikowanego w obszarze objętym nadzorem, </w:t>
      </w:r>
      <w:r w:rsidRPr="006F67DF">
        <w:rPr>
          <w:rFonts w:cstheme="minorHAnsi"/>
        </w:rPr>
        <w:t xml:space="preserve">prawdopodobieństwa wystąpienia ryzyka naruszenia prawa, w ramach wykonywania działalności gospodarczej w zakresie przemieszczania (obrotu) materiałami roślinnymi wymagającymi zaopatrzenia w paszport roślin lub oznakowanie na obszarze UE, importu/eksportu do/z państw trzecich oraz w ramach prowadzenia prac badawczych z wykorzystaniem m.in. </w:t>
      </w:r>
      <w:proofErr w:type="spellStart"/>
      <w:r w:rsidRPr="006F67DF">
        <w:rPr>
          <w:rFonts w:cstheme="minorHAnsi"/>
        </w:rPr>
        <w:t>agrofagów</w:t>
      </w:r>
      <w:proofErr w:type="spellEnd"/>
      <w:r w:rsidRPr="006F67DF">
        <w:rPr>
          <w:rFonts w:cstheme="minorHAnsi"/>
        </w:rPr>
        <w:t xml:space="preserve"> </w:t>
      </w:r>
      <w:r w:rsidRPr="006F67DF">
        <w:rPr>
          <w:rFonts w:cstheme="minorHAnsi"/>
        </w:rPr>
        <w:lastRenderedPageBreak/>
        <w:t xml:space="preserve">kwarantannowych, jak również przemysłowego przetwarzania materiału roślinnego porażonego lub podejrzanego o porażenie przez </w:t>
      </w:r>
      <w:proofErr w:type="spellStart"/>
      <w:r w:rsidRPr="006F67DF">
        <w:rPr>
          <w:rFonts w:cstheme="minorHAnsi"/>
        </w:rPr>
        <w:t>agrofaga</w:t>
      </w:r>
      <w:proofErr w:type="spellEnd"/>
      <w:r w:rsidRPr="006F67DF">
        <w:rPr>
          <w:rFonts w:cstheme="minorHAnsi"/>
        </w:rPr>
        <w:t xml:space="preserve"> kwarantannowego lub objętego środkami. </w:t>
      </w:r>
    </w:p>
    <w:p w14:paraId="5B767533" w14:textId="6BAE0D0B" w:rsidR="00B816D9" w:rsidRPr="006F67DF" w:rsidRDefault="00B816D9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</w:rPr>
        <w:t xml:space="preserve">W oparciu o wyniki analizy przypisano przedsiębiorców, podlegających kontroli w obszarze zdrowia roślin, do jednej z następujących kategorii ryzyka: niskie, średnie, wysokie i </w:t>
      </w:r>
      <w:r w:rsidR="00974C65">
        <w:rPr>
          <w:rFonts w:cstheme="minorHAnsi"/>
        </w:rPr>
        <w:t>ustalono</w:t>
      </w:r>
      <w:r w:rsidRPr="006F67DF">
        <w:rPr>
          <w:rFonts w:cstheme="minorHAnsi"/>
        </w:rPr>
        <w:t xml:space="preserve"> częstotliwość </w:t>
      </w:r>
      <w:r w:rsidR="0069613E" w:rsidRPr="006F67DF">
        <w:rPr>
          <w:rFonts w:cstheme="minorHAnsi"/>
        </w:rPr>
        <w:t xml:space="preserve">planowych </w:t>
      </w:r>
      <w:r w:rsidRPr="006F67DF">
        <w:rPr>
          <w:rFonts w:cstheme="minorHAnsi"/>
        </w:rPr>
        <w:t xml:space="preserve">urzędowych kontroli przedsiębiorców w rozumieniu </w:t>
      </w:r>
      <w:r w:rsidR="00974C65">
        <w:rPr>
          <w:rFonts w:cstheme="minorHAnsi"/>
        </w:rPr>
        <w:t xml:space="preserve">ww. </w:t>
      </w:r>
      <w:r w:rsidRPr="006F67DF">
        <w:rPr>
          <w:rFonts w:cstheme="minorHAnsi"/>
        </w:rPr>
        <w:t>ustawy Prawo przedsiębiorców</w:t>
      </w:r>
      <w:r w:rsidR="0069613E" w:rsidRPr="006F67DF">
        <w:rPr>
          <w:rFonts w:cstheme="minorHAnsi"/>
        </w:rPr>
        <w:t>, o</w:t>
      </w:r>
      <w:r w:rsidR="00974C65">
        <w:rPr>
          <w:rFonts w:cstheme="minorHAnsi"/>
        </w:rPr>
        <w:t> </w:t>
      </w:r>
      <w:r w:rsidR="0069613E" w:rsidRPr="006F67DF">
        <w:rPr>
          <w:rFonts w:cstheme="minorHAnsi"/>
        </w:rPr>
        <w:t>ile częstotliwość ta nie została określona w innych przepisach prawa.</w:t>
      </w:r>
    </w:p>
    <w:p w14:paraId="0E6C6AC0" w14:textId="57B6D705" w:rsidR="00B816D9" w:rsidRPr="006F67DF" w:rsidRDefault="00B816D9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  <w:b/>
        </w:rPr>
        <w:t>Tabela:</w:t>
      </w:r>
      <w:r w:rsidRPr="006F67DF">
        <w:rPr>
          <w:rFonts w:cstheme="minorHAnsi"/>
        </w:rPr>
        <w:t xml:space="preserve"> Przypisanie przedsiębiorców prowadzących działalność w obszarze zdrowia roślin dotyczącą roślin, produktów roślinnych lub przedmiotów (zwane dalej materiałem roślinnym) do kategorii ryzyka.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B816D9" w:rsidRPr="006F67DF" w14:paraId="620E3FF3" w14:textId="77777777" w:rsidTr="00B816D9">
        <w:trPr>
          <w:trHeight w:val="1233"/>
        </w:trPr>
        <w:tc>
          <w:tcPr>
            <w:tcW w:w="3256" w:type="dxa"/>
            <w:shd w:val="clear" w:color="auto" w:fill="E7E6E6" w:themeFill="background2"/>
            <w:vAlign w:val="center"/>
          </w:tcPr>
          <w:p w14:paraId="7048088F" w14:textId="77777777" w:rsidR="00B816D9" w:rsidRPr="006F67DF" w:rsidRDefault="00B816D9" w:rsidP="008978E2">
            <w:pPr>
              <w:spacing w:before="120" w:line="259" w:lineRule="auto"/>
              <w:jc w:val="center"/>
              <w:rPr>
                <w:rFonts w:cstheme="minorHAnsi"/>
                <w:b/>
              </w:rPr>
            </w:pPr>
            <w:r w:rsidRPr="006F67DF">
              <w:rPr>
                <w:rFonts w:cstheme="minorHAnsi"/>
                <w:b/>
              </w:rPr>
              <w:t xml:space="preserve">Kategoria ryzyka - prawdopodobieństwo ryzyka naruszenia prawa i </w:t>
            </w:r>
            <w:r w:rsidRPr="006F67DF">
              <w:rPr>
                <w:rFonts w:cstheme="minorHAnsi"/>
                <w:b/>
                <w:bCs/>
              </w:rPr>
              <w:t>skutku jego wystąpienia</w:t>
            </w:r>
          </w:p>
        </w:tc>
        <w:tc>
          <w:tcPr>
            <w:tcW w:w="5953" w:type="dxa"/>
            <w:shd w:val="clear" w:color="auto" w:fill="E7E6E6" w:themeFill="background2"/>
            <w:vAlign w:val="center"/>
          </w:tcPr>
          <w:p w14:paraId="167D5ABA" w14:textId="7D0BE766" w:rsidR="00B816D9" w:rsidRPr="006F67DF" w:rsidRDefault="00B816D9" w:rsidP="008978E2">
            <w:pPr>
              <w:spacing w:before="120" w:line="259" w:lineRule="auto"/>
              <w:jc w:val="center"/>
              <w:rPr>
                <w:rFonts w:cstheme="minorHAnsi"/>
                <w:b/>
              </w:rPr>
            </w:pPr>
            <w:r w:rsidRPr="006F67DF">
              <w:rPr>
                <w:rFonts w:cstheme="minorHAnsi"/>
                <w:b/>
              </w:rPr>
              <w:t>Opis szczegółowy działalności</w:t>
            </w:r>
          </w:p>
        </w:tc>
      </w:tr>
      <w:tr w:rsidR="00B816D9" w:rsidRPr="006F67DF" w14:paraId="150D5BDD" w14:textId="77777777" w:rsidTr="00BD11B9">
        <w:trPr>
          <w:trHeight w:val="1789"/>
        </w:trPr>
        <w:tc>
          <w:tcPr>
            <w:tcW w:w="3256" w:type="dxa"/>
            <w:shd w:val="clear" w:color="auto" w:fill="FFFFFF" w:themeFill="background1"/>
          </w:tcPr>
          <w:p w14:paraId="57B837D3" w14:textId="77777777" w:rsidR="00B816D9" w:rsidRPr="006F67DF" w:rsidRDefault="00B816D9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Niskie – kontrola nie częściej niż raz w ciągu 5 lat</w:t>
            </w:r>
          </w:p>
        </w:tc>
        <w:tc>
          <w:tcPr>
            <w:tcW w:w="5953" w:type="dxa"/>
            <w:shd w:val="clear" w:color="auto" w:fill="FFFFFF" w:themeFill="background1"/>
          </w:tcPr>
          <w:p w14:paraId="51427EBB" w14:textId="77777777" w:rsidR="00B816D9" w:rsidRPr="006F67DF" w:rsidRDefault="00B816D9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Podmiot profesjonalny prowadzi przemieszczanie (obrót):</w:t>
            </w:r>
          </w:p>
          <w:p w14:paraId="7F04A70B" w14:textId="1C63AFF0" w:rsidR="00B816D9" w:rsidRPr="006F67DF" w:rsidRDefault="00B816D9" w:rsidP="00D549B8">
            <w:pPr>
              <w:pStyle w:val="Akapitzlist"/>
              <w:numPr>
                <w:ilvl w:val="0"/>
                <w:numId w:val="8"/>
              </w:numPr>
              <w:spacing w:line="259" w:lineRule="auto"/>
              <w:ind w:left="318" w:hanging="284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z użyciem materiału roślinnego już zaopatrzonego przez inne podmioty w paszporty roślin lub oznakowanie (ziemniaki inne niż sadzeniaki – tzw. towarowe) oraz</w:t>
            </w:r>
          </w:p>
          <w:p w14:paraId="5E44EB8D" w14:textId="14A53152" w:rsidR="00B816D9" w:rsidRPr="006F67DF" w:rsidRDefault="00B816D9" w:rsidP="00D549B8">
            <w:pPr>
              <w:pStyle w:val="Akapitzlist"/>
              <w:numPr>
                <w:ilvl w:val="0"/>
                <w:numId w:val="8"/>
              </w:numPr>
              <w:spacing w:line="259" w:lineRule="auto"/>
              <w:ind w:left="318" w:hanging="284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dedykowany </w:t>
            </w:r>
            <w:r w:rsidR="0069613E" w:rsidRPr="006F67DF">
              <w:rPr>
                <w:rFonts w:cstheme="minorHAnsi"/>
              </w:rPr>
              <w:t xml:space="preserve">wyłącznie </w:t>
            </w:r>
            <w:r w:rsidRPr="006F67DF">
              <w:rPr>
                <w:rFonts w:cstheme="minorHAnsi"/>
              </w:rPr>
              <w:t>użytkownikom ostatecznym na ich własny, niezarobkowy użytek</w:t>
            </w:r>
            <w:r w:rsidR="0069613E" w:rsidRPr="006F67DF">
              <w:rPr>
                <w:rFonts w:cstheme="minorHAnsi"/>
              </w:rPr>
              <w:t>.</w:t>
            </w:r>
          </w:p>
        </w:tc>
      </w:tr>
      <w:tr w:rsidR="00B816D9" w:rsidRPr="006F67DF" w14:paraId="188B769E" w14:textId="77777777" w:rsidTr="006F67DF">
        <w:tc>
          <w:tcPr>
            <w:tcW w:w="3256" w:type="dxa"/>
            <w:shd w:val="clear" w:color="auto" w:fill="FFFFFF" w:themeFill="background1"/>
          </w:tcPr>
          <w:p w14:paraId="3C89E662" w14:textId="77777777" w:rsidR="00B816D9" w:rsidRPr="006F67DF" w:rsidRDefault="00B816D9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Średnie – kontrola nie częściej niż raz w ciągu 3 lat</w:t>
            </w:r>
          </w:p>
        </w:tc>
        <w:tc>
          <w:tcPr>
            <w:tcW w:w="5953" w:type="dxa"/>
            <w:shd w:val="clear" w:color="auto" w:fill="FFFFFF" w:themeFill="background1"/>
          </w:tcPr>
          <w:p w14:paraId="782402C7" w14:textId="7DD0CEF0" w:rsidR="00B816D9" w:rsidRPr="006F67DF" w:rsidRDefault="00B816D9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Podmiot profesjonalny, którego dotyczy obowiązek prowadzenia rejestru identyfikowalności oraz materiał roślinny będzie przedmiotem dalszej dystrybucji (</w:t>
            </w:r>
            <w:r w:rsidRPr="00832536">
              <w:rPr>
                <w:rFonts w:cstheme="minorHAnsi"/>
              </w:rPr>
              <w:t>obrotu/</w:t>
            </w:r>
            <w:r w:rsidR="0069613E" w:rsidRPr="00832536">
              <w:rPr>
                <w:rFonts w:cstheme="minorHAnsi"/>
              </w:rPr>
              <w:t>eksportu</w:t>
            </w:r>
            <w:r w:rsidRPr="006F67DF">
              <w:rPr>
                <w:rFonts w:cstheme="minorHAnsi"/>
              </w:rPr>
              <w:t>) do państw trzecich (tj. spoza UE)</w:t>
            </w:r>
            <w:r w:rsidR="0069613E" w:rsidRPr="006F67DF">
              <w:rPr>
                <w:rFonts w:cstheme="minorHAnsi"/>
              </w:rPr>
              <w:t>.</w:t>
            </w:r>
          </w:p>
        </w:tc>
      </w:tr>
      <w:tr w:rsidR="00B816D9" w:rsidRPr="006F67DF" w14:paraId="39080350" w14:textId="77777777" w:rsidTr="006F67DF">
        <w:tc>
          <w:tcPr>
            <w:tcW w:w="3256" w:type="dxa"/>
            <w:shd w:val="clear" w:color="auto" w:fill="FFFFFF" w:themeFill="background1"/>
          </w:tcPr>
          <w:p w14:paraId="39525BA6" w14:textId="77777777" w:rsidR="00B816D9" w:rsidRPr="006F67DF" w:rsidRDefault="00B816D9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Wysokie – kontrola tak często, jak to jest konieczne</w:t>
            </w:r>
          </w:p>
        </w:tc>
        <w:tc>
          <w:tcPr>
            <w:tcW w:w="5953" w:type="dxa"/>
            <w:shd w:val="clear" w:color="auto" w:fill="FFFFFF" w:themeFill="background1"/>
          </w:tcPr>
          <w:p w14:paraId="2792B763" w14:textId="77777777" w:rsidR="00B816D9" w:rsidRPr="00191D7A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jc w:val="both"/>
              <w:rPr>
                <w:rFonts w:cstheme="minorHAnsi"/>
              </w:rPr>
            </w:pPr>
            <w:r w:rsidRPr="00D549B8">
              <w:rPr>
                <w:rFonts w:cstheme="minorHAnsi"/>
              </w:rPr>
              <w:t xml:space="preserve">Podmiot profesjonalny, prowadzi </w:t>
            </w:r>
            <w:r w:rsidRPr="00191D7A">
              <w:rPr>
                <w:rFonts w:cstheme="minorHAnsi"/>
              </w:rPr>
              <w:t>przemieszczanie (obrót):</w:t>
            </w:r>
          </w:p>
          <w:p w14:paraId="429220C3" w14:textId="77777777" w:rsidR="00B816D9" w:rsidRPr="006F67DF" w:rsidRDefault="00B816D9" w:rsidP="00D549B8">
            <w:pPr>
              <w:pStyle w:val="Akapitzlist"/>
              <w:numPr>
                <w:ilvl w:val="0"/>
                <w:numId w:val="8"/>
              </w:numPr>
              <w:spacing w:line="259" w:lineRule="auto"/>
              <w:ind w:left="318" w:firstLine="0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materiałem roślinnym już zaopatrzonym przez inny podmiot w paszport roślin</w:t>
            </w:r>
          </w:p>
          <w:p w14:paraId="7AFFC3D6" w14:textId="77777777" w:rsidR="00B816D9" w:rsidRPr="006F67DF" w:rsidRDefault="00B816D9" w:rsidP="00D549B8">
            <w:pPr>
              <w:pStyle w:val="Akapitzlist"/>
              <w:spacing w:line="259" w:lineRule="auto"/>
              <w:ind w:left="318"/>
              <w:contextualSpacing w:val="0"/>
              <w:jc w:val="both"/>
              <w:rPr>
                <w:rFonts w:cstheme="minorHAnsi"/>
                <w:i/>
              </w:rPr>
            </w:pPr>
            <w:r w:rsidRPr="006F67DF">
              <w:rPr>
                <w:rFonts w:cstheme="minorHAnsi"/>
                <w:i/>
              </w:rPr>
              <w:t xml:space="preserve">lub </w:t>
            </w:r>
          </w:p>
          <w:p w14:paraId="4108D144" w14:textId="77777777" w:rsidR="00B816D9" w:rsidRPr="006F67DF" w:rsidRDefault="00B816D9" w:rsidP="00D549B8">
            <w:pPr>
              <w:pStyle w:val="Akapitzlist"/>
              <w:numPr>
                <w:ilvl w:val="0"/>
                <w:numId w:val="8"/>
              </w:numPr>
              <w:spacing w:line="259" w:lineRule="auto"/>
              <w:ind w:left="318" w:firstLine="0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ziemniakami innymi niż sadzeniaki (tzw. towarowe) już zaopatrzonymi przez inny podmiot w oznakowanie</w:t>
            </w:r>
          </w:p>
          <w:p w14:paraId="0A510688" w14:textId="3E386B84" w:rsidR="00B816D9" w:rsidRPr="006F67DF" w:rsidRDefault="00B816D9" w:rsidP="008978E2">
            <w:pPr>
              <w:spacing w:before="120" w:line="259" w:lineRule="auto"/>
              <w:ind w:left="34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z innymi podmiotami profesjonalnymi, które prowadzą dalszą sprzedaż/dystrybucję, inną niż dedykowaną użytkownikom ostatecznym na ich własne, niezarobkowe potrzeby</w:t>
            </w:r>
            <w:r w:rsidR="0069613E" w:rsidRPr="006F67DF">
              <w:rPr>
                <w:rFonts w:cstheme="minorHAnsi"/>
              </w:rPr>
              <w:t>.</w:t>
            </w:r>
          </w:p>
          <w:p w14:paraId="44E04225" w14:textId="77777777" w:rsidR="00B816D9" w:rsidRPr="00191D7A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Podmiot profesjonalny, prowadzi </w:t>
            </w:r>
            <w:r w:rsidRPr="00191D7A">
              <w:rPr>
                <w:rFonts w:cstheme="minorHAnsi"/>
              </w:rPr>
              <w:t>przemieszczanie (obrót)</w:t>
            </w:r>
            <w:r w:rsidRPr="006F67DF">
              <w:rPr>
                <w:rFonts w:cstheme="minorHAnsi"/>
              </w:rPr>
              <w:t xml:space="preserve"> materiałem roślinnym już zaopatrzonym przez inny podmiot w paszport roślin, dedykowany innym użytkownikom profesjonalnym (np. producentom) do wykorzystania na potrzeby profesjonalnej, zarobkowej produkcji towarowej (np. do założenia </w:t>
            </w:r>
            <w:r w:rsidRPr="00191D7A">
              <w:rPr>
                <w:rFonts w:cstheme="minorHAnsi"/>
              </w:rPr>
              <w:t>plantacji towarowej – sadu).</w:t>
            </w:r>
          </w:p>
          <w:p w14:paraId="0C8F95FB" w14:textId="77777777" w:rsidR="00B816D9" w:rsidRPr="00191D7A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191D7A">
              <w:rPr>
                <w:rFonts w:cstheme="minorHAnsi"/>
              </w:rPr>
              <w:t>Podmiot profesjonalny, który zaopatruje materiał roślinny w paszport roślin, ale nie posiada upoważnienia do ich samodzielnego wydawania oraz prowadzi przemieszczanie (obrót) tym materiałem z innymi podmiotami profesjonalnymi, które prowadzą dalszą sprzedaż/dystrybucję, inną niż dedykowaną użytkownikom ostatecznym na ich własne, niezarobkowe potrzeby.</w:t>
            </w:r>
          </w:p>
          <w:p w14:paraId="7B7979F9" w14:textId="4CB922A6" w:rsidR="00B816D9" w:rsidRPr="006F67DF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191D7A">
              <w:rPr>
                <w:rFonts w:cstheme="minorHAnsi"/>
              </w:rPr>
              <w:t xml:space="preserve">Podmiot profesjonalny, który zaopatruje materiał roślinny w paszport roślin, ale nie posiada upoważnienia do ich samodzielnego wydawania oraz prowadzi przemieszczanie </w:t>
            </w:r>
            <w:r w:rsidRPr="00191D7A">
              <w:rPr>
                <w:rFonts w:cstheme="minorHAnsi"/>
              </w:rPr>
              <w:lastRenderedPageBreak/>
              <w:t>(obrót) tym materiałem i jest on dedykowany</w:t>
            </w:r>
            <w:r w:rsidRPr="006F67DF">
              <w:rPr>
                <w:rFonts w:cstheme="minorHAnsi"/>
              </w:rPr>
              <w:t xml:space="preserve"> innym użytkownikom profesjonalnym (np. producentom) do wykorzystania na potrzeby profesjonalnej, zarobkowej produkcji towarowej (np. do założenia plantacji towarowej – sadu).</w:t>
            </w:r>
          </w:p>
          <w:p w14:paraId="5BB77981" w14:textId="21FD9707" w:rsidR="00B816D9" w:rsidRPr="006F67DF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Podmiot profesjonalny, który </w:t>
            </w:r>
            <w:r w:rsidRPr="00191D7A">
              <w:rPr>
                <w:rFonts w:cstheme="minorHAnsi"/>
              </w:rPr>
              <w:t>zaopatruje ziemniaki inne niż sadzeniaki – tzw. towarowe w oznakowanie oraz prowadzi przemieszczanie (obrót) tych</w:t>
            </w:r>
            <w:r w:rsidRPr="006F67DF">
              <w:rPr>
                <w:rFonts w:cstheme="minorHAnsi"/>
              </w:rPr>
              <w:t xml:space="preserve"> ziemniaków z innymi podmiotami profesjonalnymi, które prowadzą dalszą sprzedaż/dystrybucję, inną niż dedykowaną użytkownikom ostatecznym na ich własne, niezarobkowe potrzeby.</w:t>
            </w:r>
          </w:p>
          <w:p w14:paraId="07C1EA8B" w14:textId="77777777" w:rsidR="00B816D9" w:rsidRPr="006F67DF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Podmiot prowadzi działalność w zakresie importu spoza UE materiału roślinnego, który w celu dalszej dystrybucji w UE wymaga zaopatrzenia w paszporty roślin, ale nie posiada upoważnienia do ich samodzielnego wydawania.</w:t>
            </w:r>
          </w:p>
          <w:p w14:paraId="354F9BE1" w14:textId="77777777" w:rsidR="00B816D9" w:rsidRPr="006F67DF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Podmiot prowadzi działalność w zakresie importu spoza UE ziemniaków innych niż sadzeniaki/tzw. towarowe, które w celu dalszej dystrybucji w UE wymagają zaopatrzenia w oznakowanie.  </w:t>
            </w:r>
          </w:p>
          <w:p w14:paraId="4A1BE838" w14:textId="38ED7702" w:rsidR="00B816D9" w:rsidRPr="006F67DF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Podmiot rozpoczynający działalność w zakresie </w:t>
            </w:r>
            <w:r w:rsidR="00047F00">
              <w:rPr>
                <w:rFonts w:cstheme="minorHAnsi"/>
              </w:rPr>
              <w:t>przemieszczania (</w:t>
            </w:r>
            <w:r w:rsidRPr="006F67DF">
              <w:rPr>
                <w:rFonts w:cstheme="minorHAnsi"/>
              </w:rPr>
              <w:t>obrotu</w:t>
            </w:r>
            <w:r w:rsidR="00047F00">
              <w:rPr>
                <w:rFonts w:cstheme="minorHAnsi"/>
              </w:rPr>
              <w:t xml:space="preserve">) </w:t>
            </w:r>
            <w:r w:rsidRPr="006F67DF">
              <w:rPr>
                <w:rFonts w:cstheme="minorHAnsi"/>
              </w:rPr>
              <w:t>materiału roślinnego zaopatrzonego w paszporty roślin lub oznakowanie (ziemniaki inne niż sadzeniaki - tzw. towarowe).</w:t>
            </w:r>
          </w:p>
          <w:p w14:paraId="2BA8923F" w14:textId="462172AE" w:rsidR="00B816D9" w:rsidRPr="006F67DF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Podmioty prowadzące prace badawcze</w:t>
            </w:r>
            <w:r w:rsidR="00740DB9" w:rsidRPr="006F67DF">
              <w:rPr>
                <w:rFonts w:cstheme="minorHAnsi"/>
              </w:rPr>
              <w:t xml:space="preserve"> </w:t>
            </w:r>
            <w:r w:rsidR="0041751E" w:rsidRPr="006F67DF">
              <w:rPr>
                <w:rFonts w:eastAsia="Calibri" w:cstheme="minorHAnsi"/>
                <w:lang w:eastAsia="pl-PL"/>
              </w:rPr>
              <w:t xml:space="preserve">z wykorzystaniem m.in. </w:t>
            </w:r>
            <w:proofErr w:type="spellStart"/>
            <w:r w:rsidR="0041751E" w:rsidRPr="006F67DF">
              <w:rPr>
                <w:rFonts w:eastAsia="Calibri" w:cstheme="minorHAnsi"/>
                <w:lang w:eastAsia="pl-PL"/>
              </w:rPr>
              <w:t>agrofagów</w:t>
            </w:r>
            <w:proofErr w:type="spellEnd"/>
            <w:r w:rsidR="0041751E" w:rsidRPr="006F67DF">
              <w:rPr>
                <w:rFonts w:eastAsia="Calibri" w:cstheme="minorHAnsi"/>
                <w:lang w:eastAsia="pl-PL"/>
              </w:rPr>
              <w:t xml:space="preserve"> kwarantannowych oraz podmiot odpowiedzialny za obiekty zapewniające izolację.</w:t>
            </w:r>
          </w:p>
          <w:p w14:paraId="6A90332C" w14:textId="4CF8A7E3" w:rsidR="00B816D9" w:rsidRPr="006F67DF" w:rsidRDefault="00B816D9" w:rsidP="00D549B8">
            <w:pPr>
              <w:pStyle w:val="Akapitzlist"/>
              <w:numPr>
                <w:ilvl w:val="0"/>
                <w:numId w:val="15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Podmioty prowadzące </w:t>
            </w:r>
            <w:r w:rsidRPr="006F67DF">
              <w:rPr>
                <w:rFonts w:eastAsia="Calibri" w:cstheme="minorHAnsi"/>
                <w:lang w:eastAsia="pl-PL"/>
              </w:rPr>
              <w:t>przemysłowe przetwarzanie</w:t>
            </w:r>
            <w:r w:rsidR="0041751E" w:rsidRPr="006F67DF">
              <w:rPr>
                <w:rFonts w:eastAsia="Calibri" w:cstheme="minorHAnsi"/>
                <w:lang w:eastAsia="pl-PL"/>
              </w:rPr>
              <w:t xml:space="preserve"> </w:t>
            </w:r>
            <w:r w:rsidR="00047F00">
              <w:rPr>
                <w:rFonts w:eastAsia="Calibri" w:cstheme="minorHAnsi"/>
                <w:lang w:eastAsia="pl-PL"/>
              </w:rPr>
              <w:t>materiału roślinnego</w:t>
            </w:r>
            <w:r w:rsidR="0041751E" w:rsidRPr="006F67DF">
              <w:rPr>
                <w:rFonts w:eastAsia="Calibri" w:cstheme="minorHAnsi"/>
                <w:lang w:eastAsia="pl-PL"/>
              </w:rPr>
              <w:t xml:space="preserve"> porażonych lub podejrzanych o porażenie m.in. przez </w:t>
            </w:r>
            <w:proofErr w:type="spellStart"/>
            <w:r w:rsidR="0041751E" w:rsidRPr="006F67DF">
              <w:rPr>
                <w:rFonts w:eastAsia="Calibri" w:cstheme="minorHAnsi"/>
                <w:lang w:eastAsia="pl-PL"/>
              </w:rPr>
              <w:t>agrofaga</w:t>
            </w:r>
            <w:proofErr w:type="spellEnd"/>
            <w:r w:rsidR="0041751E" w:rsidRPr="006F67DF">
              <w:rPr>
                <w:rFonts w:eastAsia="Calibri" w:cstheme="minorHAnsi"/>
                <w:lang w:eastAsia="pl-PL"/>
              </w:rPr>
              <w:t xml:space="preserve"> kwarantannowego dla UE lub </w:t>
            </w:r>
            <w:proofErr w:type="spellStart"/>
            <w:r w:rsidR="0041751E" w:rsidRPr="006F67DF">
              <w:rPr>
                <w:rFonts w:eastAsia="Calibri" w:cstheme="minorHAnsi"/>
                <w:lang w:eastAsia="pl-PL"/>
              </w:rPr>
              <w:t>agrofaga</w:t>
            </w:r>
            <w:proofErr w:type="spellEnd"/>
            <w:r w:rsidR="0041751E" w:rsidRPr="006F67DF">
              <w:rPr>
                <w:rFonts w:eastAsia="Calibri" w:cstheme="minorHAnsi"/>
                <w:lang w:eastAsia="pl-PL"/>
              </w:rPr>
              <w:t xml:space="preserve"> objętego środkami</w:t>
            </w:r>
            <w:r w:rsidR="00191D7A">
              <w:rPr>
                <w:rFonts w:eastAsia="Calibri" w:cstheme="minorHAnsi"/>
                <w:lang w:eastAsia="pl-PL"/>
              </w:rPr>
              <w:t>.</w:t>
            </w:r>
          </w:p>
        </w:tc>
      </w:tr>
    </w:tbl>
    <w:p w14:paraId="52E8AE83" w14:textId="6EAEA45B" w:rsidR="00B816D9" w:rsidRPr="006F67DF" w:rsidRDefault="00B816D9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</w:rPr>
        <w:lastRenderedPageBreak/>
        <w:t>Podmioty o niskiej lub średniej kategorii ryzyka, u których w ostatniej kontroli wystąpiły niezgodności, zaliczane są do podmiotów wysokiego ryzyka i typowane są do kontroli tak często jak to konieczne.</w:t>
      </w:r>
    </w:p>
    <w:p w14:paraId="53F08697" w14:textId="77777777" w:rsidR="00191D7A" w:rsidRPr="00191D7A" w:rsidRDefault="00191D7A" w:rsidP="00191D7A">
      <w:pPr>
        <w:spacing w:before="120" w:after="0"/>
        <w:jc w:val="both"/>
        <w:rPr>
          <w:rFonts w:cstheme="minorHAnsi"/>
          <w:bCs/>
        </w:rPr>
      </w:pPr>
    </w:p>
    <w:p w14:paraId="1A9F9614" w14:textId="4DB5D671" w:rsidR="001A6B1A" w:rsidRPr="006F67DF" w:rsidRDefault="001A6B1A" w:rsidP="00191D7A">
      <w:pPr>
        <w:pStyle w:val="Akapitzlist"/>
        <w:numPr>
          <w:ilvl w:val="0"/>
          <w:numId w:val="10"/>
        </w:numPr>
        <w:spacing w:before="120" w:after="0"/>
        <w:ind w:left="426" w:hanging="426"/>
        <w:contextualSpacing w:val="0"/>
        <w:jc w:val="both"/>
        <w:rPr>
          <w:rFonts w:cstheme="minorHAnsi"/>
          <w:b/>
          <w:bCs/>
        </w:rPr>
      </w:pPr>
      <w:r w:rsidRPr="00191D7A">
        <w:rPr>
          <w:rFonts w:cstheme="minorHAnsi"/>
          <w:b/>
        </w:rPr>
        <w:t>Środki</w:t>
      </w:r>
      <w:r w:rsidRPr="006F67DF">
        <w:rPr>
          <w:rFonts w:cstheme="minorHAnsi"/>
          <w:b/>
          <w:bCs/>
        </w:rPr>
        <w:t xml:space="preserve"> </w:t>
      </w:r>
      <w:r w:rsidRPr="006F67DF">
        <w:rPr>
          <w:rFonts w:cstheme="minorHAnsi"/>
          <w:b/>
        </w:rPr>
        <w:t>ochrony</w:t>
      </w:r>
      <w:r w:rsidRPr="006F67DF">
        <w:rPr>
          <w:rFonts w:cstheme="minorHAnsi"/>
          <w:b/>
          <w:bCs/>
        </w:rPr>
        <w:t xml:space="preserve"> roślin i nawozy</w:t>
      </w:r>
    </w:p>
    <w:p w14:paraId="726EA782" w14:textId="11D1BD0F" w:rsidR="00494D19" w:rsidRPr="006F67DF" w:rsidRDefault="00494D19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  <w:bCs/>
        </w:rPr>
        <w:t xml:space="preserve">Mając na uwadze przepisy szczególne </w:t>
      </w:r>
      <w:r w:rsidR="00832536">
        <w:rPr>
          <w:rFonts w:cstheme="minorHAnsi"/>
          <w:bCs/>
        </w:rPr>
        <w:t>(</w:t>
      </w:r>
      <w:r w:rsidR="00832536" w:rsidRPr="006F67DF">
        <w:rPr>
          <w:rFonts w:cstheme="minorHAnsi"/>
          <w:bCs/>
        </w:rPr>
        <w:t>art. 24 rozporządzenia</w:t>
      </w:r>
      <w:r w:rsidR="00832536" w:rsidRPr="006F67DF">
        <w:rPr>
          <w:rFonts w:cstheme="minorHAnsi"/>
          <w:b/>
          <w:bCs/>
        </w:rPr>
        <w:t xml:space="preserve"> </w:t>
      </w:r>
      <w:r w:rsidR="00832536" w:rsidRPr="006F67DF">
        <w:rPr>
          <w:rFonts w:cstheme="minorHAnsi"/>
        </w:rPr>
        <w:t>2017/625</w:t>
      </w:r>
      <w:r w:rsidR="00832536">
        <w:rPr>
          <w:rFonts w:cstheme="minorHAnsi"/>
        </w:rPr>
        <w:t xml:space="preserve">) </w:t>
      </w:r>
      <w:r w:rsidRPr="006F67DF">
        <w:rPr>
          <w:rFonts w:cstheme="minorHAnsi"/>
          <w:bCs/>
        </w:rPr>
        <w:t xml:space="preserve">dotyczące kontroli urzędowych oraz działań podejmowanych przez właściwe organy w związku ze środkami ochrony roślin, </w:t>
      </w:r>
      <w:r w:rsidRPr="006F67DF">
        <w:rPr>
          <w:rFonts w:cstheme="minorHAnsi"/>
        </w:rPr>
        <w:t>w celu ustalenia częstotliwości kontroli urzędowych opierających się na ocenie ryzyka, należy wziąć pod uwagę również:</w:t>
      </w:r>
    </w:p>
    <w:p w14:paraId="1A1D2C6D" w14:textId="77777777" w:rsidR="00494D19" w:rsidRPr="006F67DF" w:rsidRDefault="00494D19" w:rsidP="008978E2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cstheme="minorHAnsi"/>
        </w:rPr>
      </w:pPr>
      <w:r w:rsidRPr="006F67DF">
        <w:rPr>
          <w:rFonts w:cstheme="minorHAnsi"/>
        </w:rPr>
        <w:t>wyniki stosownych działań monitorujących,</w:t>
      </w:r>
    </w:p>
    <w:p w14:paraId="7F69A9B4" w14:textId="13A04858" w:rsidR="00494D19" w:rsidRPr="006F67DF" w:rsidRDefault="00494D19" w:rsidP="008978E2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cstheme="minorHAnsi"/>
        </w:rPr>
      </w:pPr>
      <w:r w:rsidRPr="006F67DF">
        <w:rPr>
          <w:rFonts w:cstheme="minorHAnsi"/>
        </w:rPr>
        <w:t>informacje dotyczące niedopuszczonych do obrotu środków ochrony roślin, w tym nielegalnego handlu środkami ochrony roślin,</w:t>
      </w:r>
    </w:p>
    <w:p w14:paraId="3F44B538" w14:textId="2F420EC2" w:rsidR="00494D19" w:rsidRPr="006F67DF" w:rsidRDefault="00494D19" w:rsidP="008978E2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cstheme="minorHAnsi"/>
          <w:lang w:val="pl"/>
        </w:rPr>
      </w:pPr>
      <w:r w:rsidRPr="006F67DF">
        <w:rPr>
          <w:rFonts w:cstheme="minorHAnsi"/>
        </w:rPr>
        <w:t xml:space="preserve">informacje o zatruciach związanych ze środkami ochrony roślin, w tym wszelkie </w:t>
      </w:r>
      <w:r w:rsidRPr="006F67DF">
        <w:rPr>
          <w:rFonts w:cstheme="minorHAnsi"/>
          <w:bCs/>
        </w:rPr>
        <w:t>informacje dotyczące potencjalnie szkodliwego lub niedopuszczalnego wpływu środków ochrony roślin (o</w:t>
      </w:r>
      <w:r w:rsidR="00D45619" w:rsidRPr="006F67DF">
        <w:rPr>
          <w:rFonts w:cstheme="minorHAnsi"/>
          <w:bCs/>
        </w:rPr>
        <w:t> </w:t>
      </w:r>
      <w:r w:rsidRPr="006F67DF">
        <w:rPr>
          <w:rFonts w:cstheme="minorHAnsi"/>
          <w:bCs/>
        </w:rPr>
        <w:t xml:space="preserve">których mowa w </w:t>
      </w:r>
      <w:r w:rsidRPr="006F67DF">
        <w:rPr>
          <w:rFonts w:cstheme="minorHAnsi"/>
        </w:rPr>
        <w:t>art. 56 rozporządzenia (WE) nr 1107/2009).</w:t>
      </w:r>
    </w:p>
    <w:p w14:paraId="2AC8D081" w14:textId="0204E0D2" w:rsidR="003129CB" w:rsidRPr="006F67DF" w:rsidRDefault="009D10B9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  <w:lang w:val="pl"/>
        </w:rPr>
        <w:t xml:space="preserve">Biorąc pod uwagę wymagania przepisów prawa UE i krajowego, </w:t>
      </w:r>
      <w:r w:rsidRPr="006F67DF">
        <w:rPr>
          <w:rFonts w:cstheme="minorHAnsi"/>
        </w:rPr>
        <w:t xml:space="preserve">dokonano analizy </w:t>
      </w:r>
      <w:r w:rsidRPr="006F67DF">
        <w:rPr>
          <w:rFonts w:cstheme="minorHAnsi"/>
          <w:lang w:val="pl"/>
        </w:rPr>
        <w:t>zidentyfikowanego w obszarze objętym nadzorem</w:t>
      </w:r>
      <w:r w:rsidR="00A44101" w:rsidRPr="006F67DF">
        <w:rPr>
          <w:rFonts w:cstheme="minorHAnsi"/>
          <w:lang w:val="pl"/>
        </w:rPr>
        <w:t>,</w:t>
      </w:r>
      <w:r w:rsidRPr="006F67DF">
        <w:rPr>
          <w:rFonts w:cstheme="minorHAnsi"/>
          <w:lang w:val="pl"/>
        </w:rPr>
        <w:t xml:space="preserve"> </w:t>
      </w:r>
      <w:r w:rsidRPr="006F67DF">
        <w:rPr>
          <w:rFonts w:cstheme="minorHAnsi"/>
        </w:rPr>
        <w:t xml:space="preserve">prawdopodobieństwa wystąpienia ryzyka </w:t>
      </w:r>
      <w:r w:rsidR="00255581" w:rsidRPr="006F67DF">
        <w:rPr>
          <w:rFonts w:cstheme="minorHAnsi"/>
        </w:rPr>
        <w:t>naruszenia prawa</w:t>
      </w:r>
      <w:r w:rsidR="00A44101" w:rsidRPr="006F67DF">
        <w:rPr>
          <w:rFonts w:cstheme="minorHAnsi"/>
        </w:rPr>
        <w:t>,</w:t>
      </w:r>
      <w:r w:rsidR="00255581" w:rsidRPr="006F67DF">
        <w:rPr>
          <w:rFonts w:cstheme="minorHAnsi"/>
        </w:rPr>
        <w:t xml:space="preserve"> w ramach </w:t>
      </w:r>
      <w:r w:rsidR="00255581" w:rsidRPr="006F67DF">
        <w:rPr>
          <w:rFonts w:cstheme="minorHAnsi"/>
        </w:rPr>
        <w:lastRenderedPageBreak/>
        <w:t>wykonywania działalności gospodarczej w zakresie wprowadzania do obrotu środków ochrony ro</w:t>
      </w:r>
      <w:r w:rsidRPr="006F67DF">
        <w:rPr>
          <w:rFonts w:cstheme="minorHAnsi"/>
        </w:rPr>
        <w:t>ś</w:t>
      </w:r>
      <w:r w:rsidR="00255581" w:rsidRPr="006F67DF">
        <w:rPr>
          <w:rFonts w:cstheme="minorHAnsi"/>
        </w:rPr>
        <w:t>lin</w:t>
      </w:r>
      <w:r w:rsidR="00E3189E" w:rsidRPr="006F67DF">
        <w:rPr>
          <w:rFonts w:cstheme="minorHAnsi"/>
        </w:rPr>
        <w:t>,</w:t>
      </w:r>
      <w:r w:rsidR="00A44101" w:rsidRPr="006F67DF">
        <w:rPr>
          <w:rFonts w:cstheme="minorHAnsi"/>
        </w:rPr>
        <w:t xml:space="preserve"> nawozów</w:t>
      </w:r>
      <w:r w:rsidR="009F7B10" w:rsidRPr="006F67DF">
        <w:rPr>
          <w:rFonts w:cstheme="minorHAnsi"/>
        </w:rPr>
        <w:t xml:space="preserve">, </w:t>
      </w:r>
      <w:r w:rsidR="00A44101" w:rsidRPr="006F67DF">
        <w:rPr>
          <w:rFonts w:cstheme="minorHAnsi"/>
        </w:rPr>
        <w:t>środków wspomagających uprawę roślin</w:t>
      </w:r>
      <w:r w:rsidR="009F7B10" w:rsidRPr="006F67DF">
        <w:rPr>
          <w:rFonts w:cstheme="minorHAnsi"/>
        </w:rPr>
        <w:t xml:space="preserve">, produktów pofermentacyjnych oraz udostępniania </w:t>
      </w:r>
      <w:r w:rsidR="00E3189E" w:rsidRPr="006F67DF">
        <w:rPr>
          <w:rFonts w:cstheme="minorHAnsi"/>
        </w:rPr>
        <w:t xml:space="preserve">na rynku </w:t>
      </w:r>
      <w:r w:rsidR="009F7B10" w:rsidRPr="006F67DF">
        <w:rPr>
          <w:rFonts w:cstheme="minorHAnsi"/>
        </w:rPr>
        <w:t>produktów nawozowych U</w:t>
      </w:r>
      <w:r w:rsidR="00181407" w:rsidRPr="006F67DF">
        <w:rPr>
          <w:rFonts w:cstheme="minorHAnsi"/>
        </w:rPr>
        <w:t xml:space="preserve">E, </w:t>
      </w:r>
      <w:r w:rsidR="00025C4B" w:rsidRPr="006F67DF">
        <w:rPr>
          <w:rFonts w:cstheme="minorHAnsi"/>
        </w:rPr>
        <w:t>prowadzenia</w:t>
      </w:r>
      <w:r w:rsidR="00025C4B" w:rsidRPr="006F67DF">
        <w:rPr>
          <w:rFonts w:cstheme="minorHAnsi"/>
          <w:color w:val="EE0000"/>
        </w:rPr>
        <w:t xml:space="preserve"> </w:t>
      </w:r>
      <w:r w:rsidR="00A44101" w:rsidRPr="006F67DF">
        <w:rPr>
          <w:rFonts w:cstheme="minorHAnsi"/>
        </w:rPr>
        <w:t>szkoleń w zakresie środków ochrony roślin, badań sprzętu do stosowania środków ochrony roślin oraz działalności jednostek certyfikujących Integrowaną Produkcję</w:t>
      </w:r>
      <w:r w:rsidR="00255581" w:rsidRPr="006F67DF">
        <w:rPr>
          <w:rFonts w:cstheme="minorHAnsi"/>
        </w:rPr>
        <w:t>. Analiza obejmowała identyfikację obszarów podmiotowych i</w:t>
      </w:r>
      <w:r w:rsidR="00D45619" w:rsidRPr="006F67DF">
        <w:rPr>
          <w:rFonts w:cstheme="minorHAnsi"/>
        </w:rPr>
        <w:t> </w:t>
      </w:r>
      <w:r w:rsidR="00255581" w:rsidRPr="006F67DF">
        <w:rPr>
          <w:rFonts w:cstheme="minorHAnsi"/>
        </w:rPr>
        <w:t>przedmiotowych, w których ryzyko naruszenia przepisów jest największe</w:t>
      </w:r>
      <w:r w:rsidR="003129CB" w:rsidRPr="006F67DF">
        <w:rPr>
          <w:rFonts w:cstheme="minorHAnsi"/>
        </w:rPr>
        <w:t>, a skutki tego naruszenia mogą mieć największą skalę</w:t>
      </w:r>
      <w:r w:rsidR="00255581" w:rsidRPr="006F67DF">
        <w:rPr>
          <w:rFonts w:cstheme="minorHAnsi"/>
        </w:rPr>
        <w:t>.</w:t>
      </w:r>
    </w:p>
    <w:p w14:paraId="1823154D" w14:textId="26663AD7" w:rsidR="00025C4B" w:rsidRPr="006F67DF" w:rsidRDefault="00255581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</w:rPr>
        <w:t>W oparciu o wyniki analizy określa się zasady umożliwiające przypisanie przedsiębiorców do jednej z</w:t>
      </w:r>
      <w:r w:rsidR="00D45619" w:rsidRPr="006F67DF">
        <w:rPr>
          <w:rFonts w:cstheme="minorHAnsi"/>
        </w:rPr>
        <w:t> </w:t>
      </w:r>
      <w:r w:rsidRPr="006F67DF">
        <w:rPr>
          <w:rFonts w:cstheme="minorHAnsi"/>
        </w:rPr>
        <w:t>następujących kategorii ryzyka: niskie, średnie, wysokie</w:t>
      </w:r>
      <w:r w:rsidR="009D10B9" w:rsidRPr="006F67DF">
        <w:rPr>
          <w:rFonts w:cstheme="minorHAnsi"/>
        </w:rPr>
        <w:t xml:space="preserve"> i n</w:t>
      </w:r>
      <w:r w:rsidRPr="006F67DF">
        <w:rPr>
          <w:rFonts w:cstheme="minorHAnsi"/>
        </w:rPr>
        <w:t>a tej podstawie ustal</w:t>
      </w:r>
      <w:r w:rsidR="009D10B9" w:rsidRPr="006F67DF">
        <w:rPr>
          <w:rFonts w:cstheme="minorHAnsi"/>
        </w:rPr>
        <w:t xml:space="preserve">a się </w:t>
      </w:r>
      <w:r w:rsidRPr="006F67DF">
        <w:rPr>
          <w:rFonts w:cstheme="minorHAnsi"/>
        </w:rPr>
        <w:t>częstotliwość urzędowych</w:t>
      </w:r>
      <w:r w:rsidR="00832536">
        <w:rPr>
          <w:rFonts w:cstheme="minorHAnsi"/>
        </w:rPr>
        <w:t xml:space="preserve">, planowanych </w:t>
      </w:r>
      <w:r w:rsidRPr="006F67DF">
        <w:rPr>
          <w:rFonts w:cstheme="minorHAnsi"/>
        </w:rPr>
        <w:t>kontroli przedsiębiorców w rozumieniu ustawy P</w:t>
      </w:r>
      <w:r w:rsidR="009D10B9" w:rsidRPr="006F67DF">
        <w:rPr>
          <w:rFonts w:cstheme="minorHAnsi"/>
        </w:rPr>
        <w:t>rawo przedsiębiorców</w:t>
      </w:r>
      <w:r w:rsidR="00264C58" w:rsidRPr="006F67DF">
        <w:rPr>
          <w:rFonts w:cstheme="minorHAnsi"/>
        </w:rPr>
        <w:t>.</w:t>
      </w:r>
    </w:p>
    <w:p w14:paraId="6DF3C027" w14:textId="38281D26" w:rsidR="00C1101F" w:rsidRPr="006F67DF" w:rsidRDefault="00264C58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  <w:b/>
        </w:rPr>
        <w:t>Tab</w:t>
      </w:r>
      <w:r w:rsidR="00B816D9" w:rsidRPr="006F67DF">
        <w:rPr>
          <w:rFonts w:cstheme="minorHAnsi"/>
          <w:b/>
        </w:rPr>
        <w:t>ela:</w:t>
      </w:r>
      <w:r w:rsidR="00B816D9" w:rsidRPr="006F67DF">
        <w:rPr>
          <w:rFonts w:cstheme="minorHAnsi"/>
        </w:rPr>
        <w:t xml:space="preserve"> Przypisanie </w:t>
      </w:r>
      <w:r w:rsidRPr="006F67DF">
        <w:rPr>
          <w:rFonts w:cstheme="minorHAnsi"/>
        </w:rPr>
        <w:t>przedsiębiorców do kategorii ryzyka w obszarze wprowadzania do obrotu</w:t>
      </w:r>
      <w:r w:rsidR="00674782" w:rsidRPr="006F67DF">
        <w:rPr>
          <w:rFonts w:cstheme="minorHAnsi"/>
        </w:rPr>
        <w:t xml:space="preserve"> i</w:t>
      </w:r>
      <w:r w:rsidR="00B816D9" w:rsidRPr="006F67DF">
        <w:rPr>
          <w:rFonts w:cstheme="minorHAnsi"/>
        </w:rPr>
        <w:t> </w:t>
      </w:r>
      <w:r w:rsidR="00674782" w:rsidRPr="006F67DF">
        <w:rPr>
          <w:rFonts w:cstheme="minorHAnsi"/>
        </w:rPr>
        <w:t>stosowania</w:t>
      </w:r>
      <w:r w:rsidRPr="006F67DF">
        <w:rPr>
          <w:rFonts w:cstheme="minorHAnsi"/>
        </w:rPr>
        <w:t xml:space="preserve"> środków ochrony roślin</w:t>
      </w:r>
      <w:r w:rsidR="00E3189E" w:rsidRPr="006F67DF">
        <w:rPr>
          <w:rFonts w:cstheme="minorHAnsi"/>
        </w:rPr>
        <w:t xml:space="preserve">, </w:t>
      </w:r>
      <w:r w:rsidR="00674782" w:rsidRPr="006F67DF">
        <w:rPr>
          <w:rFonts w:cstheme="minorHAnsi"/>
        </w:rPr>
        <w:t>prowadzenia szkoleń i pozostałej działalności gospodarczej w</w:t>
      </w:r>
      <w:r w:rsidR="00B816D9" w:rsidRPr="006F67DF">
        <w:rPr>
          <w:rFonts w:cstheme="minorHAnsi"/>
        </w:rPr>
        <w:t> </w:t>
      </w:r>
      <w:r w:rsidR="00674782" w:rsidRPr="006F67DF">
        <w:rPr>
          <w:rFonts w:cstheme="minorHAnsi"/>
        </w:rPr>
        <w:t xml:space="preserve">obszarze środków ochrony roślin, wprowadzania do obrotu </w:t>
      </w:r>
      <w:r w:rsidR="00E3189E" w:rsidRPr="006F67DF">
        <w:rPr>
          <w:rFonts w:cstheme="minorHAnsi"/>
        </w:rPr>
        <w:t>produktów nawozowych tj. nawozów, środków wspomagających uprawę roślin, produktów pofermentacyjnych i</w:t>
      </w:r>
      <w:r w:rsidR="00FC3AAF" w:rsidRPr="006F67DF">
        <w:rPr>
          <w:rFonts w:cstheme="minorHAnsi"/>
        </w:rPr>
        <w:t xml:space="preserve"> produktów nawozowych</w:t>
      </w:r>
      <w:r w:rsidR="00E3189E" w:rsidRPr="006F67DF">
        <w:rPr>
          <w:rFonts w:cstheme="minorHAnsi"/>
        </w:rPr>
        <w:t xml:space="preserve"> UE</w:t>
      </w:r>
      <w:r w:rsidRPr="006F67DF">
        <w:rPr>
          <w:rFonts w:cstheme="minorHAnsi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90626D" w:rsidRPr="006F67DF" w14:paraId="27BBA86D" w14:textId="77777777" w:rsidTr="00A13FDF">
        <w:trPr>
          <w:trHeight w:val="1192"/>
        </w:trPr>
        <w:tc>
          <w:tcPr>
            <w:tcW w:w="3256" w:type="dxa"/>
            <w:shd w:val="clear" w:color="auto" w:fill="E7E6E6" w:themeFill="background2"/>
            <w:vAlign w:val="center"/>
          </w:tcPr>
          <w:p w14:paraId="3B1F7754" w14:textId="77777777" w:rsidR="0090626D" w:rsidRPr="006F67DF" w:rsidRDefault="0090626D" w:rsidP="008978E2">
            <w:pPr>
              <w:spacing w:before="120" w:line="259" w:lineRule="auto"/>
              <w:jc w:val="center"/>
              <w:rPr>
                <w:rFonts w:cstheme="minorHAnsi"/>
                <w:b/>
              </w:rPr>
            </w:pPr>
            <w:bookmarkStart w:id="0" w:name="_Hlk218508708"/>
            <w:r w:rsidRPr="006F67DF">
              <w:rPr>
                <w:rFonts w:cstheme="minorHAnsi"/>
                <w:b/>
              </w:rPr>
              <w:t xml:space="preserve">Kategoria ryzyka - prawdopodobieństwo ryzyka naruszenia prawa i </w:t>
            </w:r>
            <w:r w:rsidRPr="006F67DF">
              <w:rPr>
                <w:rFonts w:cstheme="minorHAnsi"/>
                <w:b/>
                <w:bCs/>
              </w:rPr>
              <w:t>skutku jego wystąpienia</w:t>
            </w:r>
          </w:p>
        </w:tc>
        <w:tc>
          <w:tcPr>
            <w:tcW w:w="5811" w:type="dxa"/>
            <w:shd w:val="clear" w:color="auto" w:fill="E7E6E6" w:themeFill="background2"/>
            <w:vAlign w:val="center"/>
          </w:tcPr>
          <w:p w14:paraId="41319F5E" w14:textId="3F92BF65" w:rsidR="0090626D" w:rsidRPr="006F67DF" w:rsidRDefault="0090626D" w:rsidP="008978E2">
            <w:pPr>
              <w:spacing w:before="120" w:line="259" w:lineRule="auto"/>
              <w:jc w:val="center"/>
              <w:rPr>
                <w:rFonts w:cstheme="minorHAnsi"/>
                <w:b/>
              </w:rPr>
            </w:pPr>
            <w:r w:rsidRPr="006F67DF">
              <w:rPr>
                <w:rFonts w:cstheme="minorHAnsi"/>
                <w:b/>
              </w:rPr>
              <w:t>Opis szczegółowy działalności</w:t>
            </w:r>
            <w:r w:rsidR="00674782" w:rsidRPr="006F67DF">
              <w:rPr>
                <w:rFonts w:cstheme="minorHAnsi"/>
                <w:b/>
              </w:rPr>
              <w:t xml:space="preserve"> gospodarczej</w:t>
            </w:r>
          </w:p>
        </w:tc>
      </w:tr>
      <w:tr w:rsidR="0090626D" w:rsidRPr="006F67DF" w14:paraId="051E9B39" w14:textId="77777777" w:rsidTr="006F67DF">
        <w:tc>
          <w:tcPr>
            <w:tcW w:w="3256" w:type="dxa"/>
            <w:shd w:val="clear" w:color="auto" w:fill="FFFFFF" w:themeFill="background1"/>
          </w:tcPr>
          <w:p w14:paraId="653917D1" w14:textId="77777777" w:rsidR="0090626D" w:rsidRPr="006F67DF" w:rsidRDefault="0090626D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Niskie – kontrola nie częściej niż raz w ciągu 5 lat</w:t>
            </w:r>
          </w:p>
        </w:tc>
        <w:tc>
          <w:tcPr>
            <w:tcW w:w="5811" w:type="dxa"/>
            <w:shd w:val="clear" w:color="auto" w:fill="FFFFFF" w:themeFill="background1"/>
          </w:tcPr>
          <w:p w14:paraId="522C35F3" w14:textId="11A32D65" w:rsidR="007F773E" w:rsidRPr="006F67DF" w:rsidRDefault="00B72970" w:rsidP="00D549B8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Przedsiębiorca</w:t>
            </w:r>
            <w:r w:rsidR="00FD1D87" w:rsidRPr="006F67DF">
              <w:rPr>
                <w:rFonts w:cstheme="minorHAnsi"/>
              </w:rPr>
              <w:t xml:space="preserve"> sprzedaje (w tym przez </w:t>
            </w:r>
            <w:r w:rsidR="00BE5817" w:rsidRPr="006F67DF">
              <w:rPr>
                <w:rFonts w:cstheme="minorHAnsi"/>
              </w:rPr>
              <w:t>Internet</w:t>
            </w:r>
            <w:r w:rsidR="00FD1D87" w:rsidRPr="006F67DF">
              <w:rPr>
                <w:rFonts w:cstheme="minorHAnsi"/>
              </w:rPr>
              <w:t xml:space="preserve">) wyłącznie środki ochrony roślin przeznaczone dla użytkowników nieprofesjonalnych, dedykowane odbiorcom ostatecznym na użytek własny (nie do dalszej odsprzedaży), o ile w ostatniej kontroli nie miał stwierdzonych </w:t>
            </w:r>
            <w:r w:rsidR="00D549B8" w:rsidRPr="006F67DF">
              <w:rPr>
                <w:rFonts w:cstheme="minorHAnsi"/>
              </w:rPr>
              <w:t>niezgodności</w:t>
            </w:r>
            <w:r w:rsidR="00D549B8">
              <w:rPr>
                <w:rFonts w:cstheme="minorHAnsi"/>
              </w:rPr>
              <w:t>. *</w:t>
            </w:r>
          </w:p>
        </w:tc>
      </w:tr>
      <w:tr w:rsidR="0090626D" w:rsidRPr="006F67DF" w14:paraId="5D39232C" w14:textId="77777777" w:rsidTr="006F67DF">
        <w:tc>
          <w:tcPr>
            <w:tcW w:w="3256" w:type="dxa"/>
            <w:shd w:val="clear" w:color="auto" w:fill="FFFFFF" w:themeFill="background1"/>
          </w:tcPr>
          <w:p w14:paraId="1BE6D22D" w14:textId="77777777" w:rsidR="0090626D" w:rsidRPr="006F67DF" w:rsidRDefault="0090626D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Wysokie – kontrola tak często, jak to jest konieczne</w:t>
            </w:r>
          </w:p>
        </w:tc>
        <w:tc>
          <w:tcPr>
            <w:tcW w:w="5811" w:type="dxa"/>
            <w:shd w:val="clear" w:color="auto" w:fill="FFFFFF" w:themeFill="background1"/>
          </w:tcPr>
          <w:p w14:paraId="470D4006" w14:textId="35F78DC3" w:rsidR="00BE4298" w:rsidRPr="00626474" w:rsidRDefault="00B72970" w:rsidP="00626474">
            <w:pPr>
              <w:pStyle w:val="Akapitzlist"/>
              <w:numPr>
                <w:ilvl w:val="0"/>
                <w:numId w:val="16"/>
              </w:numPr>
              <w:spacing w:before="120"/>
              <w:ind w:left="318" w:hanging="318"/>
              <w:jc w:val="both"/>
              <w:rPr>
                <w:rFonts w:cstheme="minorHAnsi"/>
              </w:rPr>
            </w:pPr>
            <w:r w:rsidRPr="00626474">
              <w:rPr>
                <w:rFonts w:cstheme="minorHAnsi"/>
              </w:rPr>
              <w:t>Przedsiębiorca</w:t>
            </w:r>
            <w:r w:rsidR="0090626D" w:rsidRPr="00626474">
              <w:rPr>
                <w:rFonts w:cstheme="minorHAnsi"/>
              </w:rPr>
              <w:t xml:space="preserve"> produkuje, wytwarza, konfekcjonuje środki ochrony roślin lub jest posiadaczem pozwolenia </w:t>
            </w:r>
            <w:proofErr w:type="spellStart"/>
            <w:r w:rsidR="0090626D" w:rsidRPr="00626474">
              <w:rPr>
                <w:rFonts w:cstheme="minorHAnsi"/>
              </w:rPr>
              <w:t>MRiRW</w:t>
            </w:r>
            <w:proofErr w:type="spellEnd"/>
            <w:r w:rsidR="0090626D" w:rsidRPr="00626474">
              <w:rPr>
                <w:rFonts w:cstheme="minorHAnsi"/>
              </w:rPr>
              <w:t xml:space="preserve"> na handel równoległy środkiem ochrony roślin</w:t>
            </w:r>
            <w:r w:rsidR="00E03EEA" w:rsidRPr="00626474">
              <w:rPr>
                <w:rFonts w:cstheme="minorHAnsi"/>
              </w:rPr>
              <w:t xml:space="preserve"> lub </w:t>
            </w:r>
            <w:r w:rsidR="00BE4298" w:rsidRPr="00626474">
              <w:rPr>
                <w:rFonts w:cstheme="minorHAnsi"/>
              </w:rPr>
              <w:t xml:space="preserve">zezwolenia </w:t>
            </w:r>
            <w:proofErr w:type="spellStart"/>
            <w:r w:rsidR="00BE4298" w:rsidRPr="00626474">
              <w:rPr>
                <w:rFonts w:cstheme="minorHAnsi"/>
              </w:rPr>
              <w:t>MRiRW</w:t>
            </w:r>
            <w:proofErr w:type="spellEnd"/>
            <w:r w:rsidR="00BE4298" w:rsidRPr="00626474">
              <w:rPr>
                <w:rFonts w:cstheme="minorHAnsi"/>
              </w:rPr>
              <w:t xml:space="preserve"> na wprowadzanie do obrotu środka ochrony roślin</w:t>
            </w:r>
            <w:r w:rsidR="00E03EEA" w:rsidRPr="00626474">
              <w:rPr>
                <w:rFonts w:cstheme="minorHAnsi"/>
              </w:rPr>
              <w:t>.</w:t>
            </w:r>
          </w:p>
          <w:p w14:paraId="306169D6" w14:textId="25883086" w:rsidR="007F773E" w:rsidRPr="006F67DF" w:rsidRDefault="00C53B63" w:rsidP="00626474">
            <w:pPr>
              <w:pStyle w:val="Akapitzlist"/>
              <w:numPr>
                <w:ilvl w:val="0"/>
                <w:numId w:val="16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Przedsiębiorca</w:t>
            </w:r>
            <w:r w:rsidR="0090626D" w:rsidRPr="006F67DF">
              <w:rPr>
                <w:rFonts w:cstheme="minorHAnsi"/>
              </w:rPr>
              <w:t xml:space="preserve"> prowadzi sprzedaż środków ochrony roślin </w:t>
            </w:r>
            <w:r w:rsidR="00E03EEA" w:rsidRPr="006F67DF">
              <w:rPr>
                <w:rFonts w:cstheme="minorHAnsi"/>
              </w:rPr>
              <w:t>przeznaczonych dla użytkowników profesjonalnych</w:t>
            </w:r>
            <w:r w:rsidR="006D6A3C" w:rsidRPr="006F67DF">
              <w:rPr>
                <w:rFonts w:cstheme="minorHAnsi"/>
              </w:rPr>
              <w:t>.</w:t>
            </w:r>
            <w:r w:rsidR="00E03EEA" w:rsidRPr="006F67DF">
              <w:rPr>
                <w:rFonts w:cstheme="minorHAnsi"/>
              </w:rPr>
              <w:t xml:space="preserve"> </w:t>
            </w:r>
          </w:p>
          <w:p w14:paraId="2AA7A175" w14:textId="139FD722" w:rsidR="00494D19" w:rsidRPr="006F67DF" w:rsidRDefault="006D6A3C" w:rsidP="00626474">
            <w:pPr>
              <w:pStyle w:val="Akapitzlist"/>
              <w:numPr>
                <w:ilvl w:val="0"/>
                <w:numId w:val="16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Przedsiębiorca</w:t>
            </w:r>
            <w:r w:rsidR="00494D19" w:rsidRPr="006F67DF">
              <w:rPr>
                <w:rFonts w:cstheme="minorHAnsi"/>
              </w:rPr>
              <w:t xml:space="preserve"> prowadzi </w:t>
            </w:r>
            <w:r w:rsidR="007E23CA" w:rsidRPr="006F67DF">
              <w:rPr>
                <w:rFonts w:cstheme="minorHAnsi"/>
              </w:rPr>
              <w:t xml:space="preserve">działalność </w:t>
            </w:r>
            <w:r w:rsidRPr="006F67DF">
              <w:rPr>
                <w:rFonts w:cstheme="minorHAnsi"/>
              </w:rPr>
              <w:t xml:space="preserve">w zakresie potwierdzania sprawności technicznej sprzętu do stosowania środków ochrony roślin. </w:t>
            </w:r>
          </w:p>
          <w:p w14:paraId="7FE26213" w14:textId="58D66A43" w:rsidR="00025C4B" w:rsidRPr="006F67DF" w:rsidRDefault="006D6A3C" w:rsidP="00626474">
            <w:pPr>
              <w:pStyle w:val="Akapitzlist"/>
              <w:numPr>
                <w:ilvl w:val="0"/>
                <w:numId w:val="16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Przedsiębiorca</w:t>
            </w:r>
            <w:r w:rsidR="00025C4B" w:rsidRPr="006F67DF">
              <w:rPr>
                <w:rFonts w:cstheme="minorHAnsi"/>
              </w:rPr>
              <w:t xml:space="preserve"> prowadzi działalność w zakresie szkoleń z zakresu środków ochrony roślin.</w:t>
            </w:r>
          </w:p>
          <w:p w14:paraId="583D1B23" w14:textId="2D8D628E" w:rsidR="00D905C1" w:rsidRPr="006F67DF" w:rsidRDefault="006D6A3C" w:rsidP="00626474">
            <w:pPr>
              <w:pStyle w:val="Akapitzlist"/>
              <w:numPr>
                <w:ilvl w:val="0"/>
                <w:numId w:val="16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Przedsiębiorca</w:t>
            </w:r>
            <w:r w:rsidR="00025C4B" w:rsidRPr="006F67DF">
              <w:rPr>
                <w:rFonts w:cstheme="minorHAnsi"/>
              </w:rPr>
              <w:t xml:space="preserve"> prowadzi działalność w zakresie certyfikacji Integrowanej Produkcji.</w:t>
            </w:r>
          </w:p>
          <w:p w14:paraId="24260AE4" w14:textId="4C2B51B7" w:rsidR="007F773E" w:rsidRPr="006F67DF" w:rsidRDefault="006D6A3C" w:rsidP="00626474">
            <w:pPr>
              <w:pStyle w:val="Akapitzlist"/>
              <w:numPr>
                <w:ilvl w:val="0"/>
                <w:numId w:val="16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Przedsiębiorca</w:t>
            </w:r>
            <w:r w:rsidR="00D905C1" w:rsidRPr="006F67DF">
              <w:rPr>
                <w:rFonts w:cstheme="minorHAnsi"/>
              </w:rPr>
              <w:t xml:space="preserve"> prowadzi działalność usługow</w:t>
            </w:r>
            <w:r w:rsidR="00FD73B6" w:rsidRPr="006F67DF">
              <w:rPr>
                <w:rFonts w:cstheme="minorHAnsi"/>
              </w:rPr>
              <w:t xml:space="preserve">ą w zakresie </w:t>
            </w:r>
            <w:r w:rsidRPr="006F67DF">
              <w:rPr>
                <w:rFonts w:cstheme="minorHAnsi"/>
              </w:rPr>
              <w:t>wykonywania</w:t>
            </w:r>
            <w:r w:rsidR="00FD73B6" w:rsidRPr="006F67DF">
              <w:rPr>
                <w:rFonts w:cstheme="minorHAnsi"/>
              </w:rPr>
              <w:t xml:space="preserve"> zabiegów środk</w:t>
            </w:r>
            <w:r w:rsidRPr="006F67DF">
              <w:rPr>
                <w:rFonts w:cstheme="minorHAnsi"/>
              </w:rPr>
              <w:t>ami</w:t>
            </w:r>
            <w:r w:rsidR="00FD73B6" w:rsidRPr="006F67DF">
              <w:rPr>
                <w:rFonts w:cstheme="minorHAnsi"/>
              </w:rPr>
              <w:t xml:space="preserve"> ochrony roślin</w:t>
            </w:r>
            <w:r w:rsidR="007E23CA" w:rsidRPr="006F67DF">
              <w:rPr>
                <w:rFonts w:cstheme="minorHAnsi"/>
              </w:rPr>
              <w:t>, w tym zabiegów m</w:t>
            </w:r>
            <w:r w:rsidR="00AE43E3" w:rsidRPr="006F67DF">
              <w:rPr>
                <w:rFonts w:cstheme="minorHAnsi"/>
              </w:rPr>
              <w:t>e</w:t>
            </w:r>
            <w:r w:rsidR="007E23CA" w:rsidRPr="006F67DF">
              <w:rPr>
                <w:rFonts w:cstheme="minorHAnsi"/>
              </w:rPr>
              <w:t>todą fumigacji</w:t>
            </w:r>
            <w:r w:rsidR="00AE43E3" w:rsidRPr="006F67DF">
              <w:rPr>
                <w:rFonts w:cstheme="minorHAnsi"/>
              </w:rPr>
              <w:t xml:space="preserve"> i zaprawiania materiału siewnego.</w:t>
            </w:r>
          </w:p>
          <w:p w14:paraId="16D68758" w14:textId="52E588D8" w:rsidR="00FC3AAF" w:rsidRPr="006F67DF" w:rsidRDefault="006D6A3C" w:rsidP="00626474">
            <w:pPr>
              <w:pStyle w:val="Akapitzlist"/>
              <w:numPr>
                <w:ilvl w:val="0"/>
                <w:numId w:val="16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Przedsiębiorca</w:t>
            </w:r>
            <w:r w:rsidR="008359F6" w:rsidRPr="006F67DF">
              <w:rPr>
                <w:rFonts w:cstheme="minorHAnsi"/>
              </w:rPr>
              <w:t xml:space="preserve"> prowadz</w:t>
            </w:r>
            <w:r w:rsidR="0005189C" w:rsidRPr="006F67DF">
              <w:rPr>
                <w:rFonts w:cstheme="minorHAnsi"/>
              </w:rPr>
              <w:t>i</w:t>
            </w:r>
            <w:r w:rsidR="008359F6" w:rsidRPr="006F67DF">
              <w:rPr>
                <w:rFonts w:cstheme="minorHAnsi"/>
              </w:rPr>
              <w:t xml:space="preserve"> </w:t>
            </w:r>
            <w:r w:rsidR="00E94A7A" w:rsidRPr="006F67DF">
              <w:rPr>
                <w:rFonts w:cstheme="minorHAnsi"/>
              </w:rPr>
              <w:t xml:space="preserve">działalność w zakresie </w:t>
            </w:r>
            <w:r w:rsidR="008359F6" w:rsidRPr="006F67DF">
              <w:rPr>
                <w:rFonts w:cstheme="minorHAnsi"/>
              </w:rPr>
              <w:t>wprowadza</w:t>
            </w:r>
            <w:r w:rsidR="00E94A7A" w:rsidRPr="006F67DF">
              <w:rPr>
                <w:rFonts w:cstheme="minorHAnsi"/>
              </w:rPr>
              <w:t>nia do obrotu i dystrybucji</w:t>
            </w:r>
            <w:r w:rsidR="0005189C" w:rsidRPr="006F67DF">
              <w:rPr>
                <w:rFonts w:cstheme="minorHAnsi"/>
              </w:rPr>
              <w:t xml:space="preserve"> </w:t>
            </w:r>
            <w:r w:rsidR="008359F6" w:rsidRPr="006F67DF">
              <w:rPr>
                <w:rFonts w:cstheme="minorHAnsi"/>
              </w:rPr>
              <w:t>produkt</w:t>
            </w:r>
            <w:r w:rsidR="00E94A7A" w:rsidRPr="006F67DF">
              <w:rPr>
                <w:rFonts w:cstheme="minorHAnsi"/>
              </w:rPr>
              <w:t xml:space="preserve">ów </w:t>
            </w:r>
            <w:r w:rsidR="008359F6" w:rsidRPr="006F67DF">
              <w:rPr>
                <w:rFonts w:cstheme="minorHAnsi"/>
              </w:rPr>
              <w:t>nawozow</w:t>
            </w:r>
            <w:r w:rsidR="00E94A7A" w:rsidRPr="006F67DF">
              <w:rPr>
                <w:rFonts w:cstheme="minorHAnsi"/>
              </w:rPr>
              <w:t>ych.</w:t>
            </w:r>
          </w:p>
          <w:p w14:paraId="627C7FA1" w14:textId="46D8F718" w:rsidR="000A233F" w:rsidRPr="006F67DF" w:rsidRDefault="006D6A3C" w:rsidP="00626474">
            <w:pPr>
              <w:pStyle w:val="Akapitzlist"/>
              <w:numPr>
                <w:ilvl w:val="0"/>
                <w:numId w:val="16"/>
              </w:numPr>
              <w:spacing w:before="120"/>
              <w:ind w:left="318" w:hanging="318"/>
              <w:contextualSpacing w:val="0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Przedsiębiorca prowadzi działalność w zakresie badań skuteczności działania środków ochrony roślin.</w:t>
            </w:r>
          </w:p>
        </w:tc>
      </w:tr>
    </w:tbl>
    <w:bookmarkEnd w:id="0"/>
    <w:p w14:paraId="66FEC85B" w14:textId="34551E2B" w:rsidR="00025C4B" w:rsidRPr="006F67DF" w:rsidRDefault="000318C9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  <w:b/>
        </w:rPr>
        <w:lastRenderedPageBreak/>
        <w:t xml:space="preserve">* </w:t>
      </w:r>
      <w:r w:rsidR="00EF05BF" w:rsidRPr="006F67DF">
        <w:rPr>
          <w:rFonts w:cstheme="minorHAnsi"/>
        </w:rPr>
        <w:t xml:space="preserve">Przedsiębiorcy </w:t>
      </w:r>
      <w:r w:rsidR="00A56803" w:rsidRPr="006F67DF">
        <w:rPr>
          <w:rFonts w:cstheme="minorHAnsi"/>
        </w:rPr>
        <w:t xml:space="preserve">o niskiej kategorii ryzyka, u których </w:t>
      </w:r>
      <w:r w:rsidR="004A09BB" w:rsidRPr="006F67DF">
        <w:rPr>
          <w:rFonts w:cstheme="minorHAnsi"/>
        </w:rPr>
        <w:t xml:space="preserve">w ostatniej kontroli </w:t>
      </w:r>
      <w:r w:rsidR="00A56803" w:rsidRPr="006F67DF">
        <w:rPr>
          <w:rFonts w:cstheme="minorHAnsi"/>
        </w:rPr>
        <w:t>wystąpiły niezgodności</w:t>
      </w:r>
      <w:r w:rsidR="00EF05BF" w:rsidRPr="006F67DF">
        <w:rPr>
          <w:rFonts w:cstheme="minorHAnsi"/>
        </w:rPr>
        <w:t xml:space="preserve"> i przedsiębiorcy rozpoczynający prowadzenie działalności regulowanej w obszarze środków ochrony roślin</w:t>
      </w:r>
      <w:r w:rsidR="004A09BB" w:rsidRPr="006F67DF">
        <w:rPr>
          <w:rFonts w:cstheme="minorHAnsi"/>
        </w:rPr>
        <w:t xml:space="preserve"> </w:t>
      </w:r>
      <w:r w:rsidR="00EF05BF" w:rsidRPr="006F67DF">
        <w:rPr>
          <w:rFonts w:cstheme="minorHAnsi"/>
        </w:rPr>
        <w:t xml:space="preserve">zaliczani </w:t>
      </w:r>
      <w:r w:rsidR="004A09BB" w:rsidRPr="006F67DF">
        <w:rPr>
          <w:rFonts w:cstheme="minorHAnsi"/>
        </w:rPr>
        <w:t>są do podmiotów wysokiego ryzyka i typowane są do kontroli tak często jak to konieczne.</w:t>
      </w:r>
    </w:p>
    <w:p w14:paraId="2FEFED6B" w14:textId="07A324E1" w:rsidR="00B816D9" w:rsidRPr="006F67DF" w:rsidRDefault="00A13FDF" w:rsidP="000B5AB2">
      <w:pPr>
        <w:pStyle w:val="Akapitzlist"/>
        <w:numPr>
          <w:ilvl w:val="0"/>
          <w:numId w:val="10"/>
        </w:numPr>
        <w:spacing w:before="120" w:after="0"/>
        <w:ind w:left="426" w:hanging="426"/>
        <w:contextualSpacing w:val="0"/>
        <w:jc w:val="both"/>
        <w:rPr>
          <w:rFonts w:cstheme="minorHAnsi"/>
          <w:b/>
        </w:rPr>
      </w:pPr>
      <w:r w:rsidRPr="006F67DF">
        <w:rPr>
          <w:rFonts w:cstheme="minorHAnsi"/>
          <w:b/>
        </w:rPr>
        <w:t>Nasiennictwo</w:t>
      </w:r>
    </w:p>
    <w:p w14:paraId="4551AC4F" w14:textId="77777777" w:rsidR="00A13FDF" w:rsidRPr="006F67DF" w:rsidRDefault="00A13FDF" w:rsidP="008978E2">
      <w:pPr>
        <w:spacing w:before="120" w:after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>W celu ustalenia częstotliwości kontroli prowadzonych na podstawie ustawy o nasiennictwie opierając się na ocenie ryzyka, należy:</w:t>
      </w:r>
    </w:p>
    <w:p w14:paraId="694C371A" w14:textId="1326B2F6" w:rsidR="00A13FDF" w:rsidRPr="006F67DF" w:rsidRDefault="00A13FDF" w:rsidP="008978E2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 xml:space="preserve">wziąć </w:t>
      </w:r>
      <w:r w:rsidRPr="006F67DF">
        <w:rPr>
          <w:rFonts w:cstheme="minorHAnsi"/>
        </w:rPr>
        <w:t>pod</w:t>
      </w:r>
      <w:r w:rsidRPr="006F67DF">
        <w:rPr>
          <w:rFonts w:eastAsia="Aptos" w:cstheme="minorHAnsi"/>
          <w:kern w:val="2"/>
          <w14:ligatures w14:val="standardContextual"/>
        </w:rPr>
        <w:t xml:space="preserve"> uwagę, że:</w:t>
      </w:r>
    </w:p>
    <w:p w14:paraId="2BEAC992" w14:textId="77777777" w:rsidR="00A13FDF" w:rsidRPr="006F67DF" w:rsidRDefault="00A13FDF" w:rsidP="008978E2">
      <w:pPr>
        <w:numPr>
          <w:ilvl w:val="0"/>
          <w:numId w:val="13"/>
        </w:numPr>
        <w:spacing w:before="120" w:after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>kontrolowana działalność jest dedykowana odbiorcom profesjonalnym,</w:t>
      </w:r>
    </w:p>
    <w:p w14:paraId="6943B9CF" w14:textId="77777777" w:rsidR="00A13FDF" w:rsidRPr="006F67DF" w:rsidRDefault="00A13FDF" w:rsidP="008978E2">
      <w:pPr>
        <w:numPr>
          <w:ilvl w:val="0"/>
          <w:numId w:val="13"/>
        </w:numPr>
        <w:spacing w:before="120" w:after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>kontrolowana działalność jest realizowana w strefach, które są poddane szczególnemu nadzorowi oraz jest związana z obrotem międzynarodowym,</w:t>
      </w:r>
    </w:p>
    <w:p w14:paraId="663C16E2" w14:textId="77777777" w:rsidR="00A13FDF" w:rsidRPr="006F67DF" w:rsidRDefault="00A13FDF" w:rsidP="008978E2">
      <w:pPr>
        <w:numPr>
          <w:ilvl w:val="0"/>
          <w:numId w:val="13"/>
        </w:numPr>
        <w:spacing w:before="120" w:after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 xml:space="preserve">zidentyfikowane naruszenie prawa może mieć skutki oddziałujące na wiele podmiotów, </w:t>
      </w:r>
    </w:p>
    <w:p w14:paraId="2A46D064" w14:textId="77777777" w:rsidR="00A13FDF" w:rsidRPr="006F67DF" w:rsidRDefault="00A13FDF" w:rsidP="008978E2">
      <w:pPr>
        <w:pStyle w:val="Akapitzlist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cstheme="minorHAnsi"/>
        </w:rPr>
        <w:t>uwzględnić</w:t>
      </w:r>
      <w:r w:rsidRPr="006F67DF">
        <w:rPr>
          <w:rFonts w:eastAsia="Aptos" w:cstheme="minorHAnsi"/>
          <w:kern w:val="2"/>
          <w14:ligatures w14:val="standardContextual"/>
        </w:rPr>
        <w:t>:</w:t>
      </w:r>
    </w:p>
    <w:p w14:paraId="79B56291" w14:textId="6B1EFCF5" w:rsidR="00A13FDF" w:rsidRPr="006F67DF" w:rsidRDefault="00A13FDF" w:rsidP="008978E2">
      <w:pPr>
        <w:numPr>
          <w:ilvl w:val="0"/>
          <w:numId w:val="13"/>
        </w:numPr>
        <w:spacing w:before="120" w:after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 xml:space="preserve">informacje o występujących nieprawidłowościach i niezgodności stwierdzane w wyniku kontroli </w:t>
      </w:r>
      <w:r w:rsidR="00B23DC0" w:rsidRPr="006F67DF">
        <w:rPr>
          <w:rFonts w:eastAsia="Aptos" w:cstheme="minorHAnsi"/>
          <w:kern w:val="2"/>
          <w14:ligatures w14:val="standardContextual"/>
        </w:rPr>
        <w:t xml:space="preserve">wykonywanych przez </w:t>
      </w:r>
      <w:proofErr w:type="spellStart"/>
      <w:r w:rsidR="00B23DC0" w:rsidRPr="006F67DF">
        <w:rPr>
          <w:rFonts w:eastAsia="Aptos" w:cstheme="minorHAnsi"/>
          <w:kern w:val="2"/>
          <w14:ligatures w14:val="standardContextual"/>
        </w:rPr>
        <w:t>PIORiN</w:t>
      </w:r>
      <w:proofErr w:type="spellEnd"/>
      <w:r w:rsidR="00B23DC0" w:rsidRPr="006F67DF">
        <w:rPr>
          <w:rFonts w:eastAsia="Aptos" w:cstheme="minorHAnsi"/>
          <w:kern w:val="2"/>
          <w14:ligatures w14:val="standardContextual"/>
        </w:rPr>
        <w:t xml:space="preserve"> </w:t>
      </w:r>
      <w:r w:rsidRPr="006F67DF">
        <w:rPr>
          <w:rFonts w:eastAsia="Aptos" w:cstheme="minorHAnsi"/>
          <w:kern w:val="2"/>
          <w14:ligatures w14:val="standardContextual"/>
        </w:rPr>
        <w:t>lub inn</w:t>
      </w:r>
      <w:r w:rsidR="00B23DC0" w:rsidRPr="006F67DF">
        <w:rPr>
          <w:rFonts w:eastAsia="Aptos" w:cstheme="minorHAnsi"/>
          <w:kern w:val="2"/>
          <w14:ligatures w14:val="standardContextual"/>
        </w:rPr>
        <w:t>e</w:t>
      </w:r>
      <w:r w:rsidRPr="006F67DF">
        <w:rPr>
          <w:rFonts w:eastAsia="Aptos" w:cstheme="minorHAnsi"/>
          <w:kern w:val="2"/>
          <w14:ligatures w14:val="standardContextual"/>
        </w:rPr>
        <w:t xml:space="preserve"> organ</w:t>
      </w:r>
      <w:r w:rsidR="00B23DC0" w:rsidRPr="006F67DF">
        <w:rPr>
          <w:rFonts w:eastAsia="Aptos" w:cstheme="minorHAnsi"/>
          <w:kern w:val="2"/>
          <w14:ligatures w14:val="standardContextual"/>
        </w:rPr>
        <w:t>y</w:t>
      </w:r>
      <w:r w:rsidRPr="006F67DF">
        <w:rPr>
          <w:rFonts w:eastAsia="Aptos" w:cstheme="minorHAnsi"/>
          <w:kern w:val="2"/>
          <w14:ligatures w14:val="standardContextual"/>
        </w:rPr>
        <w:t xml:space="preserve"> w skali województwa lub kraju,</w:t>
      </w:r>
    </w:p>
    <w:p w14:paraId="3E935780" w14:textId="6DBC630E" w:rsidR="00A13FDF" w:rsidRPr="006F67DF" w:rsidRDefault="00B23DC0" w:rsidP="008978E2">
      <w:pPr>
        <w:numPr>
          <w:ilvl w:val="0"/>
          <w:numId w:val="13"/>
        </w:numPr>
        <w:spacing w:before="120" w:after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 xml:space="preserve">że </w:t>
      </w:r>
      <w:r w:rsidR="00A13FDF" w:rsidRPr="006F67DF">
        <w:rPr>
          <w:rFonts w:eastAsia="Aptos" w:cstheme="minorHAnsi"/>
          <w:kern w:val="2"/>
          <w14:ligatures w14:val="standardContextual"/>
        </w:rPr>
        <w:t>zidentyfikowane naruszenie prawa może mieć skutki trudne do zlikwidowania i obciążające nie tylko podmiot, ale i angażujące administrację państwową lub samorządową.</w:t>
      </w:r>
    </w:p>
    <w:p w14:paraId="46B4ED70" w14:textId="2D942E91" w:rsidR="00A13FDF" w:rsidRPr="006F67DF" w:rsidRDefault="00A13FDF" w:rsidP="008978E2">
      <w:pPr>
        <w:spacing w:before="120" w:after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>Biorąc pod uwagę wymagania dokonano analizy</w:t>
      </w:r>
      <w:r w:rsidR="00ED04CC" w:rsidRPr="006F67DF">
        <w:rPr>
          <w:rFonts w:eastAsia="Aptos" w:cstheme="minorHAnsi"/>
          <w:kern w:val="2"/>
          <w14:ligatures w14:val="standardContextual"/>
        </w:rPr>
        <w:t>,</w:t>
      </w:r>
      <w:r w:rsidRPr="006F67DF">
        <w:rPr>
          <w:rFonts w:eastAsia="Aptos" w:cstheme="minorHAnsi"/>
          <w:kern w:val="2"/>
          <w14:ligatures w14:val="standardContextual"/>
        </w:rPr>
        <w:t xml:space="preserve"> zidentyfikowanego w obszarze objętym nadzorem, prawdopodobieństwa wystąpienia ryzyka naruszenia prawa, w ramach wykonywania działalności gospodarczej w zakresie wytwarzania i prowadzenia obrotu poszczególnymi grupami materiału. Analiza obejmowała identyfikację obszarów podmiotowych i przedmiotowych, w których ryzyko naruszenia przepisów jest największe albo skutki tego naruszenia mogą mieć największą skalę.</w:t>
      </w:r>
    </w:p>
    <w:p w14:paraId="2605B77B" w14:textId="40025575" w:rsidR="00A13FDF" w:rsidRPr="006F67DF" w:rsidRDefault="00A13FDF" w:rsidP="008978E2">
      <w:pPr>
        <w:spacing w:before="120" w:after="0"/>
        <w:jc w:val="both"/>
        <w:rPr>
          <w:rFonts w:eastAsia="Aptos" w:cstheme="minorHAnsi"/>
          <w:kern w:val="2"/>
          <w14:ligatures w14:val="standardContextual"/>
        </w:rPr>
      </w:pPr>
      <w:r w:rsidRPr="006F67DF">
        <w:rPr>
          <w:rFonts w:eastAsia="Aptos" w:cstheme="minorHAnsi"/>
          <w:kern w:val="2"/>
          <w14:ligatures w14:val="standardContextual"/>
        </w:rPr>
        <w:t>Na podstawie analizy określa się zasady umożliwiające przypisanie przedsiębiorców</w:t>
      </w:r>
      <w:r w:rsidR="00B23DC0" w:rsidRPr="006F67DF">
        <w:rPr>
          <w:rFonts w:eastAsia="Aptos" w:cstheme="minorHAnsi"/>
          <w:kern w:val="2"/>
          <w14:ligatures w14:val="standardContextual"/>
        </w:rPr>
        <w:t>, rolników i</w:t>
      </w:r>
      <w:r w:rsidR="007A2833">
        <w:rPr>
          <w:rFonts w:eastAsia="Aptos" w:cstheme="minorHAnsi"/>
          <w:kern w:val="2"/>
          <w14:ligatures w14:val="standardContextual"/>
        </w:rPr>
        <w:t> </w:t>
      </w:r>
      <w:r w:rsidR="00B23DC0" w:rsidRPr="006F67DF">
        <w:rPr>
          <w:rFonts w:eastAsia="Aptos" w:cstheme="minorHAnsi"/>
          <w:kern w:val="2"/>
          <w14:ligatures w14:val="standardContextual"/>
        </w:rPr>
        <w:t xml:space="preserve">dostawców </w:t>
      </w:r>
      <w:r w:rsidRPr="006F67DF">
        <w:rPr>
          <w:rFonts w:eastAsia="Aptos" w:cstheme="minorHAnsi"/>
          <w:kern w:val="2"/>
          <w14:ligatures w14:val="standardContextual"/>
        </w:rPr>
        <w:t>do jednej z następujących kategorii ryzyka: niskie, średnie, wysokie i na tej podstawie ustala się częstotliwość kontroli planowych w rozumieniu ustawy Prawo przedsiębiorców.</w:t>
      </w:r>
    </w:p>
    <w:p w14:paraId="3409FFA5" w14:textId="5ABCCA46" w:rsidR="00F27DB1" w:rsidRPr="006F67DF" w:rsidRDefault="00F27DB1" w:rsidP="008978E2">
      <w:pPr>
        <w:spacing w:before="120" w:after="0"/>
        <w:jc w:val="both"/>
        <w:rPr>
          <w:rFonts w:eastAsia="Aptos" w:cstheme="minorHAnsi"/>
          <w:kern w:val="2"/>
          <w14:ligatures w14:val="standardContextual"/>
        </w:rPr>
      </w:pPr>
      <w:r w:rsidRPr="00D549B8">
        <w:rPr>
          <w:rFonts w:eastAsia="Aptos" w:cstheme="minorHAnsi"/>
          <w:b/>
          <w:kern w:val="2"/>
          <w14:ligatures w14:val="standardContextual"/>
        </w:rPr>
        <w:t>Tabela:</w:t>
      </w:r>
      <w:r w:rsidRPr="006F67DF">
        <w:rPr>
          <w:rFonts w:eastAsia="Aptos" w:cstheme="minorHAnsi"/>
          <w:kern w:val="2"/>
          <w14:ligatures w14:val="standardContextual"/>
        </w:rPr>
        <w:t xml:space="preserve"> </w:t>
      </w:r>
      <w:r w:rsidR="0041751E" w:rsidRPr="006F67DF">
        <w:rPr>
          <w:rFonts w:cstheme="minorHAnsi"/>
        </w:rPr>
        <w:t>Przypisanie przedsiębiorców prowadzących działalność w obszarze nasiennictwa do kategorii ryzyka.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A13FDF" w:rsidRPr="006F67DF" w14:paraId="4012FB81" w14:textId="77777777" w:rsidTr="005F5B09">
        <w:trPr>
          <w:trHeight w:val="1192"/>
        </w:trPr>
        <w:tc>
          <w:tcPr>
            <w:tcW w:w="3256" w:type="dxa"/>
            <w:shd w:val="clear" w:color="auto" w:fill="E7E6E6" w:themeFill="background2"/>
            <w:vAlign w:val="center"/>
          </w:tcPr>
          <w:p w14:paraId="481F85BF" w14:textId="77777777" w:rsidR="00A13FDF" w:rsidRPr="006F67DF" w:rsidRDefault="00A13FDF" w:rsidP="008978E2">
            <w:pPr>
              <w:spacing w:before="120" w:line="259" w:lineRule="auto"/>
              <w:jc w:val="center"/>
              <w:rPr>
                <w:rFonts w:cstheme="minorHAnsi"/>
                <w:b/>
              </w:rPr>
            </w:pPr>
            <w:r w:rsidRPr="006F67DF">
              <w:rPr>
                <w:rFonts w:cstheme="minorHAnsi"/>
                <w:b/>
              </w:rPr>
              <w:t xml:space="preserve">Kategoria ryzyka - prawdopodobieństwo ryzyka naruszenia prawa i </w:t>
            </w:r>
            <w:r w:rsidRPr="006F67DF">
              <w:rPr>
                <w:rFonts w:cstheme="minorHAnsi"/>
                <w:b/>
                <w:bCs/>
              </w:rPr>
              <w:t>skutku jego wystąpienia</w:t>
            </w:r>
          </w:p>
        </w:tc>
        <w:tc>
          <w:tcPr>
            <w:tcW w:w="5811" w:type="dxa"/>
            <w:shd w:val="clear" w:color="auto" w:fill="E7E6E6" w:themeFill="background2"/>
            <w:vAlign w:val="center"/>
          </w:tcPr>
          <w:p w14:paraId="7C5ABD09" w14:textId="77777777" w:rsidR="00A13FDF" w:rsidRPr="006F67DF" w:rsidRDefault="00A13FDF" w:rsidP="008978E2">
            <w:pPr>
              <w:spacing w:before="120" w:line="259" w:lineRule="auto"/>
              <w:jc w:val="center"/>
              <w:rPr>
                <w:rFonts w:cstheme="minorHAnsi"/>
                <w:b/>
              </w:rPr>
            </w:pPr>
            <w:r w:rsidRPr="006F67DF">
              <w:rPr>
                <w:rFonts w:cstheme="minorHAnsi"/>
                <w:b/>
              </w:rPr>
              <w:t>Opis szczegółowy działalności gospodarczej</w:t>
            </w:r>
          </w:p>
        </w:tc>
      </w:tr>
      <w:tr w:rsidR="00A13FDF" w:rsidRPr="006F67DF" w14:paraId="483A66CB" w14:textId="77777777" w:rsidTr="006F67DF">
        <w:trPr>
          <w:trHeight w:val="1268"/>
        </w:trPr>
        <w:tc>
          <w:tcPr>
            <w:tcW w:w="3256" w:type="dxa"/>
            <w:shd w:val="clear" w:color="auto" w:fill="FFFFFF" w:themeFill="background1"/>
          </w:tcPr>
          <w:p w14:paraId="4C1F7B76" w14:textId="77777777" w:rsidR="00A13FDF" w:rsidRPr="006F67DF" w:rsidRDefault="00A13FDF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Średnie – kontrola nie częściej niż raz w ciągu 3 lat</w:t>
            </w:r>
          </w:p>
        </w:tc>
        <w:tc>
          <w:tcPr>
            <w:tcW w:w="5811" w:type="dxa"/>
            <w:shd w:val="clear" w:color="auto" w:fill="FFFFFF" w:themeFill="background1"/>
          </w:tcPr>
          <w:p w14:paraId="2F53FB63" w14:textId="306FE0EE" w:rsidR="00A13FDF" w:rsidRPr="006F67DF" w:rsidRDefault="002C3F87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Przedsiębiorcy i dostawcy prowadzący wyłącznie obrót materiałem siewnym, z wyłączeniem przedsiębiorców zajmujących się konfekcjonowaniem</w:t>
            </w:r>
            <w:r w:rsidR="006D5E15">
              <w:rPr>
                <w:rFonts w:cstheme="minorHAnsi"/>
                <w:vertAlign w:val="superscript"/>
              </w:rPr>
              <w:t>1</w:t>
            </w:r>
            <w:r w:rsidRPr="006F67DF">
              <w:rPr>
                <w:rFonts w:cstheme="minorHAnsi"/>
              </w:rPr>
              <w:t xml:space="preserve"> materiału siewnego.</w:t>
            </w:r>
          </w:p>
          <w:p w14:paraId="3B3EC909" w14:textId="318C893E" w:rsidR="006B0968" w:rsidRPr="006F67DF" w:rsidRDefault="006B0968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Przedsiębiorcy i dostawcy przywożący z państw trzecich</w:t>
            </w:r>
            <w:r w:rsidR="00F27DB1" w:rsidRPr="006F67DF">
              <w:rPr>
                <w:rFonts w:cstheme="minorHAnsi"/>
              </w:rPr>
              <w:t>:</w:t>
            </w:r>
          </w:p>
          <w:p w14:paraId="72B3339C" w14:textId="08E85155" w:rsidR="006B0968" w:rsidRPr="006F67DF" w:rsidRDefault="006B0968" w:rsidP="00D549B8">
            <w:pPr>
              <w:numPr>
                <w:ilvl w:val="0"/>
                <w:numId w:val="11"/>
              </w:numPr>
              <w:spacing w:line="259" w:lineRule="auto"/>
              <w:ind w:left="318" w:hanging="284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materiał </w:t>
            </w:r>
            <w:proofErr w:type="spellStart"/>
            <w:r w:rsidRPr="006F67DF">
              <w:rPr>
                <w:rFonts w:cstheme="minorHAnsi"/>
              </w:rPr>
              <w:t>rozmnożeniowy</w:t>
            </w:r>
            <w:proofErr w:type="spellEnd"/>
            <w:r w:rsidRPr="006F67DF">
              <w:rPr>
                <w:rFonts w:cstheme="minorHAnsi"/>
              </w:rPr>
              <w:t xml:space="preserve"> lub </w:t>
            </w:r>
            <w:proofErr w:type="spellStart"/>
            <w:r w:rsidRPr="006F67DF">
              <w:rPr>
                <w:rFonts w:cstheme="minorHAnsi"/>
              </w:rPr>
              <w:t>nasadzeniowy</w:t>
            </w:r>
            <w:proofErr w:type="spellEnd"/>
            <w:r w:rsidRPr="006F67DF">
              <w:rPr>
                <w:rFonts w:cstheme="minorHAnsi"/>
              </w:rPr>
              <w:t xml:space="preserve"> roślin warzywnych</w:t>
            </w:r>
            <w:r w:rsidR="00C36E07" w:rsidRPr="006F67DF">
              <w:rPr>
                <w:rFonts w:cstheme="minorHAnsi"/>
              </w:rPr>
              <w:t xml:space="preserve">, </w:t>
            </w:r>
          </w:p>
          <w:p w14:paraId="5FCFE39A" w14:textId="2B04306D" w:rsidR="006B0968" w:rsidRPr="006F67DF" w:rsidRDefault="006B0968" w:rsidP="00D549B8">
            <w:pPr>
              <w:numPr>
                <w:ilvl w:val="0"/>
                <w:numId w:val="11"/>
              </w:numPr>
              <w:spacing w:line="259" w:lineRule="auto"/>
              <w:ind w:left="318" w:hanging="284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materiał </w:t>
            </w:r>
            <w:proofErr w:type="spellStart"/>
            <w:r w:rsidRPr="006F67DF">
              <w:rPr>
                <w:rFonts w:cstheme="minorHAnsi"/>
              </w:rPr>
              <w:t>rozmnożeniowy</w:t>
            </w:r>
            <w:proofErr w:type="spellEnd"/>
            <w:r w:rsidRPr="006F67DF">
              <w:rPr>
                <w:rFonts w:cstheme="minorHAnsi"/>
              </w:rPr>
              <w:t xml:space="preserve"> lub </w:t>
            </w:r>
            <w:proofErr w:type="spellStart"/>
            <w:r w:rsidRPr="006F67DF">
              <w:rPr>
                <w:rFonts w:cstheme="minorHAnsi"/>
              </w:rPr>
              <w:t>nasadzeniowy</w:t>
            </w:r>
            <w:proofErr w:type="spellEnd"/>
            <w:r w:rsidRPr="006F67DF">
              <w:rPr>
                <w:rFonts w:cstheme="minorHAnsi"/>
              </w:rPr>
              <w:t xml:space="preserve"> roślin ozdobnych</w:t>
            </w:r>
            <w:r w:rsidR="00C36E07" w:rsidRPr="006F67DF">
              <w:rPr>
                <w:rFonts w:cstheme="minorHAnsi"/>
              </w:rPr>
              <w:t xml:space="preserve">, </w:t>
            </w:r>
          </w:p>
          <w:p w14:paraId="6ED04D82" w14:textId="76D74D93" w:rsidR="006B0968" w:rsidRPr="006F67DF" w:rsidRDefault="006B0968" w:rsidP="00D549B8">
            <w:pPr>
              <w:numPr>
                <w:ilvl w:val="0"/>
                <w:numId w:val="11"/>
              </w:numPr>
              <w:spacing w:line="259" w:lineRule="auto"/>
              <w:ind w:left="318" w:hanging="284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sadzonek winorośli</w:t>
            </w:r>
            <w:r w:rsidR="00F27DB1" w:rsidRPr="006F67DF">
              <w:rPr>
                <w:rFonts w:cstheme="minorHAnsi"/>
              </w:rPr>
              <w:t>.</w:t>
            </w:r>
          </w:p>
        </w:tc>
      </w:tr>
      <w:tr w:rsidR="00A13FDF" w:rsidRPr="006F67DF" w14:paraId="086CD2AF" w14:textId="77777777" w:rsidTr="006F67DF">
        <w:trPr>
          <w:trHeight w:val="1275"/>
        </w:trPr>
        <w:tc>
          <w:tcPr>
            <w:tcW w:w="3256" w:type="dxa"/>
            <w:shd w:val="clear" w:color="auto" w:fill="FFFFFF" w:themeFill="background1"/>
          </w:tcPr>
          <w:p w14:paraId="03864940" w14:textId="77777777" w:rsidR="00A13FDF" w:rsidRPr="006F67DF" w:rsidRDefault="00A13FDF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lastRenderedPageBreak/>
              <w:t>Wysokie – kontrola tak często, jak to jest konieczne</w:t>
            </w:r>
          </w:p>
        </w:tc>
        <w:tc>
          <w:tcPr>
            <w:tcW w:w="5811" w:type="dxa"/>
            <w:shd w:val="clear" w:color="auto" w:fill="FFFFFF" w:themeFill="background1"/>
          </w:tcPr>
          <w:p w14:paraId="6092BB32" w14:textId="77777777" w:rsidR="00A13FDF" w:rsidRPr="006F67DF" w:rsidRDefault="006B0968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Przedsiębiorcy i rolnicy prowadzący działalność w zakresie wytwarzania i obrotu materiałem siewnym roślin rolniczych lub roślin warzywnych.</w:t>
            </w:r>
          </w:p>
          <w:p w14:paraId="389CB69B" w14:textId="3CC800C1" w:rsidR="006B0968" w:rsidRPr="006F67DF" w:rsidRDefault="006B0968" w:rsidP="008978E2">
            <w:pPr>
              <w:spacing w:before="120" w:line="259" w:lineRule="auto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Dostawcy prowadzący działalność w zakresie wytwarzania i obrotu: </w:t>
            </w:r>
          </w:p>
          <w:p w14:paraId="6F162329" w14:textId="3F2F8F94" w:rsidR="006B0968" w:rsidRPr="006F67DF" w:rsidRDefault="006B0968" w:rsidP="00D549B8">
            <w:pPr>
              <w:numPr>
                <w:ilvl w:val="0"/>
                <w:numId w:val="11"/>
              </w:numPr>
              <w:spacing w:line="259" w:lineRule="auto"/>
              <w:ind w:left="318" w:hanging="284"/>
              <w:rPr>
                <w:rFonts w:cstheme="minorHAnsi"/>
              </w:rPr>
            </w:pPr>
            <w:r w:rsidRPr="006F67DF">
              <w:rPr>
                <w:rFonts w:cstheme="minorHAnsi"/>
              </w:rPr>
              <w:t>materiałem szkółkarskim</w:t>
            </w:r>
            <w:r w:rsidR="00C36E07" w:rsidRPr="006F67DF">
              <w:rPr>
                <w:rFonts w:cstheme="minorHAnsi"/>
              </w:rPr>
              <w:t xml:space="preserve">, </w:t>
            </w:r>
          </w:p>
          <w:p w14:paraId="3F4FC758" w14:textId="2542B6B4" w:rsidR="006B0968" w:rsidRPr="006F67DF" w:rsidRDefault="006B0968" w:rsidP="00D549B8">
            <w:pPr>
              <w:numPr>
                <w:ilvl w:val="0"/>
                <w:numId w:val="11"/>
              </w:numPr>
              <w:spacing w:line="259" w:lineRule="auto"/>
              <w:ind w:left="318" w:hanging="284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materiałem </w:t>
            </w:r>
            <w:proofErr w:type="spellStart"/>
            <w:r w:rsidRPr="006F67DF">
              <w:rPr>
                <w:rFonts w:cstheme="minorHAnsi"/>
              </w:rPr>
              <w:t>rozmnożeniowym</w:t>
            </w:r>
            <w:proofErr w:type="spellEnd"/>
            <w:r w:rsidRPr="006F67DF">
              <w:rPr>
                <w:rFonts w:cstheme="minorHAnsi"/>
              </w:rPr>
              <w:t xml:space="preserve"> lub </w:t>
            </w:r>
            <w:proofErr w:type="spellStart"/>
            <w:r w:rsidRPr="006F67DF">
              <w:rPr>
                <w:rFonts w:cstheme="minorHAnsi"/>
              </w:rPr>
              <w:t>nasadzeniowym</w:t>
            </w:r>
            <w:proofErr w:type="spellEnd"/>
            <w:r w:rsidRPr="006F67DF">
              <w:rPr>
                <w:rFonts w:cstheme="minorHAnsi"/>
              </w:rPr>
              <w:t xml:space="preserve"> roślin warzywnych</w:t>
            </w:r>
            <w:r w:rsidR="00F27DB1" w:rsidRPr="006F67DF">
              <w:rPr>
                <w:rFonts w:cstheme="minorHAnsi"/>
              </w:rPr>
              <w:t>,</w:t>
            </w:r>
          </w:p>
          <w:p w14:paraId="729F40B9" w14:textId="088CA4E3" w:rsidR="006B0968" w:rsidRPr="006F67DF" w:rsidRDefault="006B0968" w:rsidP="00D549B8">
            <w:pPr>
              <w:numPr>
                <w:ilvl w:val="0"/>
                <w:numId w:val="11"/>
              </w:numPr>
              <w:spacing w:line="259" w:lineRule="auto"/>
              <w:ind w:left="318" w:hanging="284"/>
              <w:rPr>
                <w:rFonts w:cstheme="minorHAnsi"/>
              </w:rPr>
            </w:pPr>
            <w:r w:rsidRPr="006F67DF">
              <w:rPr>
                <w:rFonts w:cstheme="minorHAnsi"/>
              </w:rPr>
              <w:t xml:space="preserve">i materiałem </w:t>
            </w:r>
            <w:proofErr w:type="spellStart"/>
            <w:r w:rsidRPr="006F67DF">
              <w:rPr>
                <w:rFonts w:cstheme="minorHAnsi"/>
              </w:rPr>
              <w:t>rozmnożeniowym</w:t>
            </w:r>
            <w:proofErr w:type="spellEnd"/>
            <w:r w:rsidRPr="006F67DF">
              <w:rPr>
                <w:rFonts w:cstheme="minorHAnsi"/>
              </w:rPr>
              <w:t xml:space="preserve"> lub </w:t>
            </w:r>
            <w:proofErr w:type="spellStart"/>
            <w:r w:rsidRPr="006F67DF">
              <w:rPr>
                <w:rFonts w:cstheme="minorHAnsi"/>
              </w:rPr>
              <w:t>nasadzeniowym</w:t>
            </w:r>
            <w:proofErr w:type="spellEnd"/>
            <w:r w:rsidRPr="006F67DF">
              <w:rPr>
                <w:rFonts w:cstheme="minorHAnsi"/>
              </w:rPr>
              <w:t xml:space="preserve"> roślin ozdobnyc</w:t>
            </w:r>
            <w:r w:rsidR="00C36E07" w:rsidRPr="006F67DF">
              <w:rPr>
                <w:rFonts w:cstheme="minorHAnsi"/>
              </w:rPr>
              <w:t>h,</w:t>
            </w:r>
          </w:p>
          <w:p w14:paraId="6282FD87" w14:textId="77777777" w:rsidR="006B0968" w:rsidRPr="006F67DF" w:rsidRDefault="006B0968" w:rsidP="00D549B8">
            <w:pPr>
              <w:numPr>
                <w:ilvl w:val="0"/>
                <w:numId w:val="11"/>
              </w:numPr>
              <w:spacing w:line="259" w:lineRule="auto"/>
              <w:ind w:left="318" w:hanging="284"/>
              <w:rPr>
                <w:rFonts w:cstheme="minorHAnsi"/>
              </w:rPr>
            </w:pPr>
            <w:r w:rsidRPr="006F67DF">
              <w:rPr>
                <w:rFonts w:cstheme="minorHAnsi"/>
              </w:rPr>
              <w:t>sadzonek winorośli.</w:t>
            </w:r>
          </w:p>
          <w:p w14:paraId="27DAE874" w14:textId="5411E24E" w:rsidR="006B0968" w:rsidRPr="006F67DF" w:rsidRDefault="006B0968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Uwaga: Dostawcy w zakresie wytwarzania wymienionego powyżej materiału siewnego są objęci kontrolą przynajmniej raz w danym sezonie wegetacyjnym, na podstawie art. 64 ust. 5 i ust. 6 ustawy z dnia 9 listopada 2012 r.</w:t>
            </w:r>
          </w:p>
          <w:p w14:paraId="31512C10" w14:textId="4F14C55B" w:rsidR="006B0968" w:rsidRPr="006F67DF" w:rsidRDefault="006B0968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Przedsiębiorcy</w:t>
            </w:r>
            <w:r w:rsidR="00ED04CC" w:rsidRPr="006F67DF">
              <w:rPr>
                <w:rFonts w:cstheme="minorHAnsi"/>
              </w:rPr>
              <w:t xml:space="preserve"> i dostawcy materiału szkółkarskiego</w:t>
            </w:r>
            <w:r w:rsidRPr="006F67DF">
              <w:rPr>
                <w:rFonts w:cstheme="minorHAnsi"/>
              </w:rPr>
              <w:t xml:space="preserve"> prowadzący obrót, zajmujący się także konfekcjonowaniem</w:t>
            </w:r>
            <w:r w:rsidR="006D5E15">
              <w:rPr>
                <w:rFonts w:cstheme="minorHAnsi"/>
                <w:vertAlign w:val="superscript"/>
              </w:rPr>
              <w:t>1</w:t>
            </w:r>
            <w:r w:rsidRPr="006F67DF">
              <w:rPr>
                <w:rFonts w:cstheme="minorHAnsi"/>
              </w:rPr>
              <w:t xml:space="preserve"> materiału siewnego.</w:t>
            </w:r>
          </w:p>
          <w:p w14:paraId="2CB74D8D" w14:textId="5C763106" w:rsidR="006B0968" w:rsidRPr="006F67DF" w:rsidRDefault="006B0968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Przedsiębiorcy, rolnicy oraz dostawcy upoważnieni przez wojewódzkiego inspektora ochrony roślin i nasiennictwa do wypełniania albo do wydawania urzędowych etykiet dla materiału siewnego.</w:t>
            </w:r>
          </w:p>
          <w:p w14:paraId="166A55DE" w14:textId="2BE79C2D" w:rsidR="006B0968" w:rsidRPr="006F67DF" w:rsidRDefault="006B0968" w:rsidP="008978E2">
            <w:pPr>
              <w:spacing w:before="120" w:line="259" w:lineRule="auto"/>
              <w:jc w:val="both"/>
              <w:rPr>
                <w:rFonts w:cstheme="minorHAnsi"/>
              </w:rPr>
            </w:pPr>
            <w:r w:rsidRPr="006F67DF">
              <w:rPr>
                <w:rFonts w:cstheme="minorHAnsi"/>
              </w:rPr>
              <w:t>Przedsiębiorcy i dostawcy przywożący z państw trzecich materiał siewny roślin rolniczych lub roślin warzywnych lub materiał szkółkarski.</w:t>
            </w:r>
          </w:p>
        </w:tc>
      </w:tr>
    </w:tbl>
    <w:p w14:paraId="699DCD77" w14:textId="1B50DF76" w:rsidR="006B0968" w:rsidRPr="006F67DF" w:rsidRDefault="006B0968" w:rsidP="00D549B8">
      <w:pPr>
        <w:spacing w:after="0"/>
        <w:rPr>
          <w:rFonts w:eastAsia="Aptos" w:cstheme="minorHAnsi"/>
          <w:kern w:val="2"/>
          <w14:ligatures w14:val="standardContextual"/>
        </w:rPr>
      </w:pPr>
      <w:bookmarkStart w:id="1" w:name="_Hlk217935265"/>
      <w:r w:rsidRPr="006F67DF">
        <w:rPr>
          <w:rFonts w:eastAsia="Aptos" w:cstheme="minorHAnsi"/>
          <w:kern w:val="2"/>
          <w:vertAlign w:val="superscript"/>
          <w14:ligatures w14:val="standardContextual"/>
        </w:rPr>
        <w:t xml:space="preserve">1 </w:t>
      </w:r>
      <w:bookmarkEnd w:id="1"/>
      <w:r w:rsidR="00ED04CC" w:rsidRPr="006F67DF">
        <w:rPr>
          <w:rFonts w:eastAsia="Aptos" w:cstheme="minorHAnsi"/>
          <w:kern w:val="2"/>
          <w14:ligatures w14:val="standardContextual"/>
        </w:rPr>
        <w:t xml:space="preserve">konfekcjonowanie - pakowanie, przepakowanie, etykietowanie, </w:t>
      </w:r>
      <w:proofErr w:type="spellStart"/>
      <w:r w:rsidR="00ED04CC" w:rsidRPr="006F67DF">
        <w:rPr>
          <w:rFonts w:eastAsia="Aptos" w:cstheme="minorHAnsi"/>
          <w:kern w:val="2"/>
          <w14:ligatures w14:val="standardContextual"/>
        </w:rPr>
        <w:t>przeetykietowanie</w:t>
      </w:r>
      <w:proofErr w:type="spellEnd"/>
      <w:r w:rsidR="00ED04CC" w:rsidRPr="006F67DF">
        <w:rPr>
          <w:rFonts w:eastAsia="Aptos" w:cstheme="minorHAnsi"/>
          <w:kern w:val="2"/>
          <w14:ligatures w14:val="standardContextual"/>
        </w:rPr>
        <w:t xml:space="preserve"> materiału siewnego</w:t>
      </w:r>
    </w:p>
    <w:p w14:paraId="3F9E7024" w14:textId="1FDA86CE" w:rsidR="00F27DB1" w:rsidRPr="006F67DF" w:rsidRDefault="00F27DB1" w:rsidP="008978E2">
      <w:pPr>
        <w:spacing w:before="120" w:after="0"/>
        <w:jc w:val="both"/>
        <w:rPr>
          <w:rFonts w:cstheme="minorHAnsi"/>
        </w:rPr>
      </w:pPr>
      <w:r w:rsidRPr="006F67DF">
        <w:rPr>
          <w:rFonts w:cstheme="minorHAnsi"/>
        </w:rPr>
        <w:t>Podmioty o średniej kategorii ryzyka, u których w ostatniej kontroli wystąpiły niezgodności, zaliczane są do podmiotów wysokiego ryzyka i typowane są do kontroli tak często jak to konieczne.</w:t>
      </w:r>
    </w:p>
    <w:sectPr w:rsidR="00F27DB1" w:rsidRPr="006F67DF" w:rsidSect="00BD11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3DC"/>
    <w:multiLevelType w:val="hybridMultilevel"/>
    <w:tmpl w:val="11FC3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71E8"/>
    <w:multiLevelType w:val="hybridMultilevel"/>
    <w:tmpl w:val="80E0A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0F50"/>
    <w:multiLevelType w:val="hybridMultilevel"/>
    <w:tmpl w:val="B652D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1699"/>
    <w:multiLevelType w:val="hybridMultilevel"/>
    <w:tmpl w:val="22160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C38A6"/>
    <w:multiLevelType w:val="hybridMultilevel"/>
    <w:tmpl w:val="207C8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16249"/>
    <w:multiLevelType w:val="hybridMultilevel"/>
    <w:tmpl w:val="C2561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E70BF"/>
    <w:multiLevelType w:val="hybridMultilevel"/>
    <w:tmpl w:val="F9E8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F6479"/>
    <w:multiLevelType w:val="hybridMultilevel"/>
    <w:tmpl w:val="9D263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43B46"/>
    <w:multiLevelType w:val="hybridMultilevel"/>
    <w:tmpl w:val="CCF6A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63A36"/>
    <w:multiLevelType w:val="hybridMultilevel"/>
    <w:tmpl w:val="35265908"/>
    <w:lvl w:ilvl="0" w:tplc="03808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845"/>
    <w:multiLevelType w:val="hybridMultilevel"/>
    <w:tmpl w:val="11FC3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3DF3"/>
    <w:multiLevelType w:val="hybridMultilevel"/>
    <w:tmpl w:val="A6FA2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0572C"/>
    <w:multiLevelType w:val="hybridMultilevel"/>
    <w:tmpl w:val="EFEA9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D1FAF"/>
    <w:multiLevelType w:val="hybridMultilevel"/>
    <w:tmpl w:val="74905CA2"/>
    <w:lvl w:ilvl="0" w:tplc="0415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16BBB"/>
    <w:multiLevelType w:val="hybridMultilevel"/>
    <w:tmpl w:val="C6C88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470EA"/>
    <w:multiLevelType w:val="hybridMultilevel"/>
    <w:tmpl w:val="3E0CB278"/>
    <w:lvl w:ilvl="0" w:tplc="80F4A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388676">
    <w:abstractNumId w:val="2"/>
  </w:num>
  <w:num w:numId="2" w16cid:durableId="1074552769">
    <w:abstractNumId w:val="0"/>
  </w:num>
  <w:num w:numId="3" w16cid:durableId="1430656339">
    <w:abstractNumId w:val="15"/>
  </w:num>
  <w:num w:numId="4" w16cid:durableId="1570768891">
    <w:abstractNumId w:val="9"/>
  </w:num>
  <w:num w:numId="5" w16cid:durableId="1902716081">
    <w:abstractNumId w:val="11"/>
  </w:num>
  <w:num w:numId="6" w16cid:durableId="1113402718">
    <w:abstractNumId w:val="8"/>
  </w:num>
  <w:num w:numId="7" w16cid:durableId="1316909790">
    <w:abstractNumId w:val="10"/>
  </w:num>
  <w:num w:numId="8" w16cid:durableId="1945184367">
    <w:abstractNumId w:val="13"/>
  </w:num>
  <w:num w:numId="9" w16cid:durableId="847132777">
    <w:abstractNumId w:val="5"/>
  </w:num>
  <w:num w:numId="10" w16cid:durableId="959603527">
    <w:abstractNumId w:val="6"/>
  </w:num>
  <w:num w:numId="11" w16cid:durableId="1014843446">
    <w:abstractNumId w:val="12"/>
  </w:num>
  <w:num w:numId="12" w16cid:durableId="958687427">
    <w:abstractNumId w:val="4"/>
  </w:num>
  <w:num w:numId="13" w16cid:durableId="1138955799">
    <w:abstractNumId w:val="14"/>
  </w:num>
  <w:num w:numId="14" w16cid:durableId="775060050">
    <w:abstractNumId w:val="3"/>
  </w:num>
  <w:num w:numId="15" w16cid:durableId="1017737159">
    <w:abstractNumId w:val="7"/>
  </w:num>
  <w:num w:numId="16" w16cid:durableId="156980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18"/>
    <w:rsid w:val="00025C4B"/>
    <w:rsid w:val="000318C9"/>
    <w:rsid w:val="00047F00"/>
    <w:rsid w:val="0005189C"/>
    <w:rsid w:val="00081FDD"/>
    <w:rsid w:val="00086118"/>
    <w:rsid w:val="000A2077"/>
    <w:rsid w:val="000A233F"/>
    <w:rsid w:val="000B5AB2"/>
    <w:rsid w:val="000E6A7F"/>
    <w:rsid w:val="000E793F"/>
    <w:rsid w:val="00125575"/>
    <w:rsid w:val="00133EF7"/>
    <w:rsid w:val="001464FA"/>
    <w:rsid w:val="00181407"/>
    <w:rsid w:val="00191D7A"/>
    <w:rsid w:val="001A6B1A"/>
    <w:rsid w:val="001B1A4A"/>
    <w:rsid w:val="001B7A6B"/>
    <w:rsid w:val="001D7147"/>
    <w:rsid w:val="001E0A81"/>
    <w:rsid w:val="00206FD1"/>
    <w:rsid w:val="00231176"/>
    <w:rsid w:val="00254589"/>
    <w:rsid w:val="00255581"/>
    <w:rsid w:val="00264C58"/>
    <w:rsid w:val="002B3753"/>
    <w:rsid w:val="002C3F87"/>
    <w:rsid w:val="002E4AA3"/>
    <w:rsid w:val="00300C03"/>
    <w:rsid w:val="003129CB"/>
    <w:rsid w:val="00331FE4"/>
    <w:rsid w:val="00333B47"/>
    <w:rsid w:val="003A7BD8"/>
    <w:rsid w:val="0041751E"/>
    <w:rsid w:val="004241D1"/>
    <w:rsid w:val="004333FE"/>
    <w:rsid w:val="0048009F"/>
    <w:rsid w:val="00494D19"/>
    <w:rsid w:val="004A09BB"/>
    <w:rsid w:val="004B03F3"/>
    <w:rsid w:val="004B3596"/>
    <w:rsid w:val="004B3AE2"/>
    <w:rsid w:val="004E5FA9"/>
    <w:rsid w:val="00551DAB"/>
    <w:rsid w:val="005976B6"/>
    <w:rsid w:val="005E51DB"/>
    <w:rsid w:val="00626474"/>
    <w:rsid w:val="00633025"/>
    <w:rsid w:val="00674782"/>
    <w:rsid w:val="00690EEB"/>
    <w:rsid w:val="0069613E"/>
    <w:rsid w:val="006B0968"/>
    <w:rsid w:val="006B0B8A"/>
    <w:rsid w:val="006C7882"/>
    <w:rsid w:val="006D5E15"/>
    <w:rsid w:val="006D6A3C"/>
    <w:rsid w:val="006F67DF"/>
    <w:rsid w:val="00740DB9"/>
    <w:rsid w:val="00753CB6"/>
    <w:rsid w:val="00783C4C"/>
    <w:rsid w:val="007A2833"/>
    <w:rsid w:val="007E23CA"/>
    <w:rsid w:val="007E35BA"/>
    <w:rsid w:val="007F773E"/>
    <w:rsid w:val="00815638"/>
    <w:rsid w:val="00832536"/>
    <w:rsid w:val="008359F6"/>
    <w:rsid w:val="00836D9C"/>
    <w:rsid w:val="008474F7"/>
    <w:rsid w:val="00856AFB"/>
    <w:rsid w:val="00872BB0"/>
    <w:rsid w:val="008978E2"/>
    <w:rsid w:val="008A7D42"/>
    <w:rsid w:val="008F4DC8"/>
    <w:rsid w:val="0090626D"/>
    <w:rsid w:val="00907BBD"/>
    <w:rsid w:val="00907DE0"/>
    <w:rsid w:val="00926DAE"/>
    <w:rsid w:val="00974C65"/>
    <w:rsid w:val="009A37CA"/>
    <w:rsid w:val="009B7DDD"/>
    <w:rsid w:val="009D10B9"/>
    <w:rsid w:val="009D3B85"/>
    <w:rsid w:val="009E5FDC"/>
    <w:rsid w:val="009F7B10"/>
    <w:rsid w:val="00A11EBB"/>
    <w:rsid w:val="00A13FDF"/>
    <w:rsid w:val="00A22FBD"/>
    <w:rsid w:val="00A44101"/>
    <w:rsid w:val="00A47BFB"/>
    <w:rsid w:val="00A56803"/>
    <w:rsid w:val="00A60863"/>
    <w:rsid w:val="00AB4293"/>
    <w:rsid w:val="00AE43E3"/>
    <w:rsid w:val="00AF60A9"/>
    <w:rsid w:val="00B06079"/>
    <w:rsid w:val="00B23DC0"/>
    <w:rsid w:val="00B24250"/>
    <w:rsid w:val="00B247E8"/>
    <w:rsid w:val="00B26528"/>
    <w:rsid w:val="00B464ED"/>
    <w:rsid w:val="00B72970"/>
    <w:rsid w:val="00B816D9"/>
    <w:rsid w:val="00BA181A"/>
    <w:rsid w:val="00BA5324"/>
    <w:rsid w:val="00BB4569"/>
    <w:rsid w:val="00BD11B9"/>
    <w:rsid w:val="00BD6C3C"/>
    <w:rsid w:val="00BE4298"/>
    <w:rsid w:val="00BE5817"/>
    <w:rsid w:val="00BF1177"/>
    <w:rsid w:val="00C1101F"/>
    <w:rsid w:val="00C1312C"/>
    <w:rsid w:val="00C32345"/>
    <w:rsid w:val="00C36E07"/>
    <w:rsid w:val="00C53B63"/>
    <w:rsid w:val="00C85C7D"/>
    <w:rsid w:val="00CB08DC"/>
    <w:rsid w:val="00CF5EA7"/>
    <w:rsid w:val="00D070D1"/>
    <w:rsid w:val="00D14F31"/>
    <w:rsid w:val="00D32C50"/>
    <w:rsid w:val="00D403D7"/>
    <w:rsid w:val="00D42331"/>
    <w:rsid w:val="00D45464"/>
    <w:rsid w:val="00D45619"/>
    <w:rsid w:val="00D549B8"/>
    <w:rsid w:val="00D85F12"/>
    <w:rsid w:val="00D905C1"/>
    <w:rsid w:val="00D964D0"/>
    <w:rsid w:val="00DB2C55"/>
    <w:rsid w:val="00DB6E28"/>
    <w:rsid w:val="00E03EEA"/>
    <w:rsid w:val="00E10A28"/>
    <w:rsid w:val="00E16586"/>
    <w:rsid w:val="00E22B3C"/>
    <w:rsid w:val="00E3189E"/>
    <w:rsid w:val="00E41214"/>
    <w:rsid w:val="00E53497"/>
    <w:rsid w:val="00E77260"/>
    <w:rsid w:val="00E94A7A"/>
    <w:rsid w:val="00EA3587"/>
    <w:rsid w:val="00ED04CC"/>
    <w:rsid w:val="00ED093B"/>
    <w:rsid w:val="00EF05BF"/>
    <w:rsid w:val="00EF5035"/>
    <w:rsid w:val="00F270DB"/>
    <w:rsid w:val="00F271F0"/>
    <w:rsid w:val="00F272D4"/>
    <w:rsid w:val="00F27DB1"/>
    <w:rsid w:val="00F319DE"/>
    <w:rsid w:val="00F53D81"/>
    <w:rsid w:val="00F60B1B"/>
    <w:rsid w:val="00F871FD"/>
    <w:rsid w:val="00F9242C"/>
    <w:rsid w:val="00FC3AAF"/>
    <w:rsid w:val="00FC5C0A"/>
    <w:rsid w:val="00FD1D87"/>
    <w:rsid w:val="00FD73B6"/>
    <w:rsid w:val="00FE1AF1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01C6"/>
  <w15:chartTrackingRefBased/>
  <w15:docId w15:val="{F68513DD-B584-445D-8903-AFCA0679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01F"/>
    <w:pPr>
      <w:ind w:left="720"/>
      <w:contextualSpacing/>
    </w:pPr>
  </w:style>
  <w:style w:type="table" w:styleId="Tabela-Siatka">
    <w:name w:val="Table Grid"/>
    <w:basedOn w:val="Standardowy"/>
    <w:uiPriority w:val="39"/>
    <w:rsid w:val="0090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4D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D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D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D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D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DC8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A13FD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0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A147-0A12-466C-9BF4-B565D04E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2202</Words>
  <Characters>13217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Iwona</dc:creator>
  <cp:keywords/>
  <dc:description/>
  <cp:lastModifiedBy>asumara</cp:lastModifiedBy>
  <cp:revision>2</cp:revision>
  <cp:lastPrinted>2026-01-08T08:19:00Z</cp:lastPrinted>
  <dcterms:created xsi:type="dcterms:W3CDTF">2026-01-30T09:38:00Z</dcterms:created>
  <dcterms:modified xsi:type="dcterms:W3CDTF">2026-01-30T09:38:00Z</dcterms:modified>
</cp:coreProperties>
</file>