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9105" w14:textId="77777777" w:rsidR="009824C2" w:rsidRDefault="009824C2" w:rsidP="00D61726">
      <w:pPr>
        <w:spacing w:after="0" w:line="260" w:lineRule="exact"/>
        <w:rPr>
          <w:rFonts w:ascii="Lato" w:hAnsi="Lato"/>
          <w:spacing w:val="4"/>
        </w:rPr>
      </w:pPr>
    </w:p>
    <w:p w14:paraId="776DAFA9" w14:textId="7D550396" w:rsidR="009276B2" w:rsidRPr="00EB3C6D" w:rsidRDefault="009276B2" w:rsidP="00D61726">
      <w:pPr>
        <w:spacing w:after="0" w:line="260" w:lineRule="exact"/>
        <w:rPr>
          <w:rFonts w:ascii="Lato" w:hAnsi="Lato"/>
          <w:spacing w:val="4"/>
        </w:rPr>
      </w:pPr>
      <w:r w:rsidRPr="00EB3C6D">
        <w:rPr>
          <w:rFonts w:ascii="Lato" w:hAnsi="Lato"/>
          <w:spacing w:val="4"/>
        </w:rPr>
        <w:t xml:space="preserve">Znak </w:t>
      </w:r>
      <w:r w:rsidR="00AA7122" w:rsidRPr="00EB3C6D">
        <w:rPr>
          <w:rFonts w:ascii="Lato" w:hAnsi="Lato"/>
          <w:spacing w:val="4"/>
        </w:rPr>
        <w:t>sprawy</w:t>
      </w:r>
      <w:r w:rsidR="00B36262" w:rsidRPr="00EB3C6D">
        <w:rPr>
          <w:rFonts w:ascii="Lato" w:hAnsi="Lato"/>
          <w:spacing w:val="4"/>
        </w:rPr>
        <w:t>:</w:t>
      </w:r>
      <w:r w:rsidR="002830CF" w:rsidRPr="00EB3C6D">
        <w:rPr>
          <w:rFonts w:ascii="Lato" w:hAnsi="Lato"/>
          <w:spacing w:val="4"/>
        </w:rPr>
        <w:t xml:space="preserve"> </w:t>
      </w:r>
      <w:r w:rsidR="00456D0D" w:rsidRPr="00EB3C6D">
        <w:rPr>
          <w:rFonts w:ascii="Lato" w:hAnsi="Lato"/>
          <w:spacing w:val="4"/>
        </w:rPr>
        <w:t>DLI-I</w:t>
      </w:r>
      <w:r w:rsidR="009E1CCC">
        <w:rPr>
          <w:rFonts w:ascii="Lato" w:hAnsi="Lato"/>
          <w:spacing w:val="4"/>
        </w:rPr>
        <w:t>.762</w:t>
      </w:r>
      <w:r w:rsidR="0006338C">
        <w:rPr>
          <w:rFonts w:ascii="Lato" w:hAnsi="Lato"/>
          <w:spacing w:val="4"/>
        </w:rPr>
        <w:t>0</w:t>
      </w:r>
      <w:r w:rsidR="009E1CCC">
        <w:rPr>
          <w:rFonts w:ascii="Lato" w:hAnsi="Lato"/>
          <w:spacing w:val="4"/>
        </w:rPr>
        <w:t>.</w:t>
      </w:r>
      <w:r w:rsidR="0006338C">
        <w:rPr>
          <w:rFonts w:ascii="Lato" w:hAnsi="Lato"/>
          <w:spacing w:val="4"/>
        </w:rPr>
        <w:t>35</w:t>
      </w:r>
      <w:r w:rsidR="009E1CCC">
        <w:rPr>
          <w:rFonts w:ascii="Lato" w:hAnsi="Lato"/>
          <w:spacing w:val="4"/>
        </w:rPr>
        <w:t>.202</w:t>
      </w:r>
      <w:r w:rsidR="0006338C">
        <w:rPr>
          <w:rFonts w:ascii="Lato" w:hAnsi="Lato"/>
          <w:spacing w:val="4"/>
        </w:rPr>
        <w:t>1</w:t>
      </w:r>
      <w:r w:rsidR="00A5140D" w:rsidRPr="00EB3C6D">
        <w:rPr>
          <w:rFonts w:ascii="Lato" w:hAnsi="Lato"/>
          <w:spacing w:val="4"/>
        </w:rPr>
        <w:t>.</w:t>
      </w:r>
      <w:r w:rsidR="0006338C">
        <w:rPr>
          <w:rFonts w:ascii="Lato" w:hAnsi="Lato"/>
          <w:spacing w:val="4"/>
        </w:rPr>
        <w:t>KT</w:t>
      </w:r>
      <w:r w:rsidR="00EB52A7" w:rsidRPr="00EB3C6D">
        <w:rPr>
          <w:rFonts w:ascii="Lato" w:hAnsi="Lato"/>
          <w:spacing w:val="4"/>
        </w:rPr>
        <w:t>.</w:t>
      </w:r>
      <w:r w:rsidR="0006338C">
        <w:rPr>
          <w:rFonts w:ascii="Lato" w:hAnsi="Lato"/>
          <w:spacing w:val="4"/>
        </w:rPr>
        <w:t>29</w:t>
      </w:r>
    </w:p>
    <w:p w14:paraId="45F8E480" w14:textId="7A42F60D" w:rsidR="009276B2" w:rsidRDefault="00B36262" w:rsidP="00B823CB">
      <w:pPr>
        <w:spacing w:after="720" w:line="240" w:lineRule="exact"/>
        <w:rPr>
          <w:rFonts w:ascii="Lato" w:hAnsi="Lato"/>
          <w:spacing w:val="4"/>
        </w:rPr>
      </w:pPr>
      <w:r w:rsidRPr="00EB3C6D">
        <w:rPr>
          <w:rFonts w:ascii="Lato" w:hAnsi="Lato"/>
          <w:spacing w:val="4"/>
        </w:rPr>
        <w:t>Warszawa</w:t>
      </w:r>
      <w:r w:rsidR="009276B2" w:rsidRPr="00EB3C6D">
        <w:rPr>
          <w:rFonts w:ascii="Lato" w:hAnsi="Lato"/>
          <w:spacing w:val="4"/>
        </w:rPr>
        <w:t>,</w:t>
      </w:r>
      <w:r w:rsidR="00152BA1" w:rsidRPr="00EB3C6D">
        <w:rPr>
          <w:rFonts w:ascii="Lato" w:hAnsi="Lato"/>
          <w:spacing w:val="4"/>
        </w:rPr>
        <w:t xml:space="preserve"> </w:t>
      </w:r>
      <w:r w:rsidR="005569C8">
        <w:rPr>
          <w:rFonts w:ascii="Lato" w:hAnsi="Lato"/>
          <w:spacing w:val="4"/>
        </w:rPr>
        <w:t>24</w:t>
      </w:r>
      <w:r w:rsidR="00FA3ECC" w:rsidRPr="00EB3C6D">
        <w:rPr>
          <w:rFonts w:ascii="Lato" w:hAnsi="Lato"/>
          <w:spacing w:val="4"/>
        </w:rPr>
        <w:t xml:space="preserve"> </w:t>
      </w:r>
      <w:r w:rsidR="004E0A2C">
        <w:rPr>
          <w:rFonts w:ascii="Lato" w:hAnsi="Lato"/>
          <w:spacing w:val="4"/>
        </w:rPr>
        <w:t>listopada</w:t>
      </w:r>
      <w:r w:rsidR="004E0A2C" w:rsidRPr="00EB3C6D">
        <w:rPr>
          <w:rFonts w:ascii="Lato" w:hAnsi="Lato"/>
          <w:spacing w:val="4"/>
        </w:rPr>
        <w:t xml:space="preserve"> </w:t>
      </w:r>
      <w:r w:rsidR="00D15404" w:rsidRPr="00EB3C6D">
        <w:rPr>
          <w:rFonts w:ascii="Lato" w:hAnsi="Lato"/>
          <w:spacing w:val="4"/>
        </w:rPr>
        <w:t>202</w:t>
      </w:r>
      <w:r w:rsidR="00FA3ECC" w:rsidRPr="00EB3C6D">
        <w:rPr>
          <w:rFonts w:ascii="Lato" w:hAnsi="Lato"/>
          <w:spacing w:val="4"/>
        </w:rPr>
        <w:t>5</w:t>
      </w:r>
      <w:r w:rsidR="00EB4EA7" w:rsidRPr="00EB3C6D">
        <w:rPr>
          <w:rFonts w:ascii="Lato" w:hAnsi="Lato"/>
          <w:spacing w:val="4"/>
        </w:rPr>
        <w:t xml:space="preserve"> r.</w:t>
      </w:r>
    </w:p>
    <w:p w14:paraId="2163E78D" w14:textId="77777777" w:rsidR="009824C2" w:rsidRPr="00EB3C6D" w:rsidRDefault="009824C2" w:rsidP="00B823CB">
      <w:pPr>
        <w:spacing w:after="720" w:line="240" w:lineRule="exact"/>
        <w:rPr>
          <w:rFonts w:ascii="Lato" w:hAnsi="Lato"/>
          <w:spacing w:val="4"/>
        </w:rPr>
      </w:pPr>
    </w:p>
    <w:p w14:paraId="16FB7E44" w14:textId="0AF9C103" w:rsidR="00AF4785" w:rsidRPr="00EB3C6D"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EB3C6D">
        <w:rPr>
          <w:rFonts w:ascii="Lato" w:eastAsia="Times New Roman" w:hAnsi="Lato" w:cs="Arial"/>
          <w:b/>
          <w:spacing w:val="4"/>
          <w:lang w:eastAsia="pl-PL"/>
        </w:rPr>
        <w:t>DECYZJA</w:t>
      </w:r>
    </w:p>
    <w:p w14:paraId="51857DED" w14:textId="7231B92A" w:rsidR="009824C2" w:rsidRDefault="0006338C" w:rsidP="00AF4785">
      <w:pPr>
        <w:spacing w:after="240" w:line="240" w:lineRule="exact"/>
        <w:jc w:val="both"/>
        <w:rPr>
          <w:rFonts w:ascii="Lato" w:eastAsia="Calibri" w:hAnsi="Lato" w:cs="Calibri"/>
          <w:bCs/>
          <w:spacing w:val="4"/>
        </w:rPr>
      </w:pPr>
      <w:r w:rsidRPr="0006338C">
        <w:rPr>
          <w:rFonts w:ascii="Lato" w:eastAsia="Calibri" w:hAnsi="Lato" w:cs="Calibri"/>
          <w:bCs/>
          <w:spacing w:val="4"/>
        </w:rPr>
        <w:t xml:space="preserve">Na podstawie art. 138 § 1 pkt 2 ustawy z dnia 14 czerwca 1960 r. - Kodeks postępowania administracyjnego (Dz.U. z 2024 r. poz. 572 z późn. </w:t>
      </w:r>
      <w:proofErr w:type="spellStart"/>
      <w:r w:rsidRPr="0006338C">
        <w:rPr>
          <w:rFonts w:ascii="Lato" w:eastAsia="Calibri" w:hAnsi="Lato" w:cs="Calibri"/>
          <w:bCs/>
          <w:spacing w:val="4"/>
        </w:rPr>
        <w:t>zm</w:t>
      </w:r>
      <w:proofErr w:type="spellEnd"/>
      <w:r w:rsidRPr="0006338C">
        <w:rPr>
          <w:rFonts w:ascii="Lato" w:eastAsia="Calibri" w:hAnsi="Lato" w:cs="Calibri"/>
          <w:bCs/>
          <w:spacing w:val="4"/>
        </w:rPr>
        <w:t>), zwanej dalej</w:t>
      </w:r>
      <w:r w:rsidRPr="0006338C">
        <w:rPr>
          <w:rFonts w:ascii="Lato" w:eastAsia="Calibri" w:hAnsi="Lato" w:cs="Calibri"/>
          <w:bCs/>
          <w:i/>
          <w:iCs/>
          <w:spacing w:val="4"/>
        </w:rPr>
        <w:t xml:space="preserve"> „kpa",</w:t>
      </w:r>
      <w:r w:rsidRPr="0006338C">
        <w:rPr>
          <w:rFonts w:ascii="Lato" w:eastAsia="Calibri" w:hAnsi="Lato" w:cs="Calibri"/>
          <w:bCs/>
          <w:spacing w:val="4"/>
        </w:rPr>
        <w:t xml:space="preserve"> oraz </w:t>
      </w:r>
      <w:r w:rsidR="00DD707C">
        <w:rPr>
          <w:rFonts w:ascii="Lato" w:eastAsia="Calibri" w:hAnsi="Lato" w:cs="Calibri"/>
          <w:bCs/>
          <w:spacing w:val="4"/>
        </w:rPr>
        <w:br/>
      </w:r>
      <w:r w:rsidRPr="0006338C">
        <w:rPr>
          <w:rFonts w:ascii="Lato" w:eastAsia="Calibri" w:hAnsi="Lato" w:cs="Calibri"/>
          <w:bCs/>
          <w:spacing w:val="4"/>
        </w:rPr>
        <w:t xml:space="preserve">art. 5 ust. 3 w zw. z art. 39 ust. 1 ustawy z dnia 24 kwietnia 2009 r. o inwestycjach </w:t>
      </w:r>
      <w:r w:rsidR="00DD707C">
        <w:rPr>
          <w:rFonts w:ascii="Lato" w:eastAsia="Calibri" w:hAnsi="Lato" w:cs="Calibri"/>
          <w:bCs/>
          <w:spacing w:val="4"/>
        </w:rPr>
        <w:br/>
      </w:r>
      <w:r w:rsidRPr="0006338C">
        <w:rPr>
          <w:rFonts w:ascii="Lato" w:eastAsia="Calibri" w:hAnsi="Lato" w:cs="Calibri"/>
          <w:bCs/>
          <w:spacing w:val="4"/>
        </w:rPr>
        <w:t xml:space="preserve">w zakresie terminalu regazyfikacyjnego skroplonego gazu ziemnego w Świnoujściu </w:t>
      </w:r>
      <w:r w:rsidR="00DD707C">
        <w:rPr>
          <w:rFonts w:ascii="Lato" w:eastAsia="Calibri" w:hAnsi="Lato" w:cs="Calibri"/>
          <w:bCs/>
          <w:spacing w:val="4"/>
        </w:rPr>
        <w:br/>
      </w:r>
      <w:r w:rsidRPr="0006338C">
        <w:rPr>
          <w:rFonts w:ascii="Lato" w:eastAsia="Calibri" w:hAnsi="Lato" w:cs="Calibri"/>
          <w:bCs/>
          <w:spacing w:val="4"/>
        </w:rPr>
        <w:t>(</w:t>
      </w:r>
      <w:proofErr w:type="spellStart"/>
      <w:r w:rsidRPr="0006338C">
        <w:rPr>
          <w:rFonts w:ascii="Lato" w:eastAsia="Calibri" w:hAnsi="Lato" w:cs="Calibri"/>
          <w:bCs/>
          <w:spacing w:val="4"/>
        </w:rPr>
        <w:t>t.j</w:t>
      </w:r>
      <w:proofErr w:type="spellEnd"/>
      <w:r w:rsidRPr="0006338C">
        <w:rPr>
          <w:rFonts w:ascii="Lato" w:eastAsia="Calibri" w:hAnsi="Lato" w:cs="Calibri"/>
          <w:bCs/>
          <w:spacing w:val="4"/>
        </w:rPr>
        <w:t>. Dz.U. z 202</w:t>
      </w:r>
      <w:r>
        <w:rPr>
          <w:rFonts w:ascii="Lato" w:eastAsia="Calibri" w:hAnsi="Lato" w:cs="Calibri"/>
          <w:bCs/>
          <w:spacing w:val="4"/>
        </w:rPr>
        <w:t>5</w:t>
      </w:r>
      <w:r w:rsidRPr="0006338C">
        <w:rPr>
          <w:rFonts w:ascii="Lato" w:eastAsia="Calibri" w:hAnsi="Lato" w:cs="Calibri"/>
          <w:bCs/>
          <w:spacing w:val="4"/>
        </w:rPr>
        <w:t xml:space="preserve"> r. poz. 12</w:t>
      </w:r>
      <w:r>
        <w:rPr>
          <w:rFonts w:ascii="Lato" w:eastAsia="Calibri" w:hAnsi="Lato" w:cs="Calibri"/>
          <w:bCs/>
          <w:spacing w:val="4"/>
        </w:rPr>
        <w:t>22</w:t>
      </w:r>
      <w:r w:rsidRPr="0006338C">
        <w:rPr>
          <w:rFonts w:ascii="Lato" w:eastAsia="Calibri" w:hAnsi="Lato" w:cs="Calibri"/>
          <w:bCs/>
          <w:spacing w:val="4"/>
        </w:rPr>
        <w:t>), zwanej dalej</w:t>
      </w:r>
      <w:r w:rsidRPr="0006338C">
        <w:rPr>
          <w:rFonts w:ascii="Lato" w:eastAsia="Calibri" w:hAnsi="Lato" w:cs="Calibri"/>
          <w:bCs/>
          <w:i/>
          <w:iCs/>
          <w:spacing w:val="4"/>
        </w:rPr>
        <w:t xml:space="preserve"> „specustawą </w:t>
      </w:r>
      <w:proofErr w:type="spellStart"/>
      <w:r w:rsidRPr="0006338C">
        <w:rPr>
          <w:rFonts w:ascii="Lato" w:eastAsia="Calibri" w:hAnsi="Lato" w:cs="Calibri"/>
          <w:bCs/>
          <w:i/>
          <w:iCs/>
          <w:spacing w:val="4"/>
        </w:rPr>
        <w:t>gazowq</w:t>
      </w:r>
      <w:proofErr w:type="spellEnd"/>
      <w:r w:rsidRPr="0006338C">
        <w:rPr>
          <w:rFonts w:ascii="Lato" w:eastAsia="Calibri" w:hAnsi="Lato" w:cs="Calibri"/>
          <w:bCs/>
          <w:i/>
          <w:iCs/>
          <w:spacing w:val="4"/>
        </w:rPr>
        <w:t>",</w:t>
      </w:r>
      <w:r w:rsidRPr="0006338C">
        <w:rPr>
          <w:rFonts w:ascii="Lato" w:eastAsia="Calibri" w:hAnsi="Lato" w:cs="Calibri"/>
          <w:bCs/>
          <w:spacing w:val="4"/>
        </w:rPr>
        <w:t xml:space="preserve"> po rozpatrzeniu odwołania Pani M</w:t>
      </w:r>
      <w:r w:rsidR="003D65D3">
        <w:rPr>
          <w:rFonts w:ascii="Lato" w:eastAsia="Calibri" w:hAnsi="Lato" w:cs="Calibri"/>
          <w:bCs/>
          <w:spacing w:val="4"/>
        </w:rPr>
        <w:t>.</w:t>
      </w:r>
      <w:r w:rsidRPr="0006338C">
        <w:rPr>
          <w:rFonts w:ascii="Lato" w:eastAsia="Calibri" w:hAnsi="Lato" w:cs="Calibri"/>
          <w:bCs/>
          <w:spacing w:val="4"/>
        </w:rPr>
        <w:t xml:space="preserve"> O</w:t>
      </w:r>
      <w:r w:rsidR="003D65D3">
        <w:rPr>
          <w:rFonts w:ascii="Lato" w:eastAsia="Calibri" w:hAnsi="Lato" w:cs="Calibri"/>
          <w:bCs/>
          <w:spacing w:val="4"/>
        </w:rPr>
        <w:t>.</w:t>
      </w:r>
      <w:r w:rsidRPr="0006338C">
        <w:rPr>
          <w:rFonts w:ascii="Lato" w:eastAsia="Calibri" w:hAnsi="Lato" w:cs="Calibri"/>
          <w:bCs/>
          <w:spacing w:val="4"/>
        </w:rPr>
        <w:t xml:space="preserve"> od decyzji Wojewody Zachodniopomorskiego Nr 8/2021 z dnia 25 listopada 2021 r., znak: AP-4.747.7-6.2021.PM, o ustaleniu lokalizacji inwestycji w zakresie terminalu dla inwestycji pn.: Budowa gazociągu wysokiego ciśnienia wraz z infrastrukturą towarzyszącą w ramach zadania pn.: „Przebudowa odcinka gazociągu DN250 Stargard - Szczecin",</w:t>
      </w:r>
    </w:p>
    <w:p w14:paraId="37B96688" w14:textId="77777777" w:rsidR="00A61ACC" w:rsidRPr="005E5C2E" w:rsidRDefault="00A61ACC" w:rsidP="00A61ACC">
      <w:pPr>
        <w:widowControl w:val="0"/>
        <w:numPr>
          <w:ilvl w:val="0"/>
          <w:numId w:val="26"/>
        </w:numPr>
        <w:tabs>
          <w:tab w:val="left" w:pos="284"/>
        </w:tabs>
        <w:suppressAutoHyphens/>
        <w:spacing w:after="240" w:line="240" w:lineRule="exact"/>
        <w:jc w:val="both"/>
        <w:textAlignment w:val="baseline"/>
        <w:rPr>
          <w:rFonts w:ascii="Lato" w:eastAsia="Times New Roman" w:hAnsi="Lato" w:cs="Times New Roman"/>
          <w:lang w:eastAsia="pl-PL"/>
        </w:rPr>
      </w:pPr>
      <w:r w:rsidRPr="005E5C2E">
        <w:rPr>
          <w:rFonts w:ascii="Lato" w:eastAsia="Times New Roman" w:hAnsi="Lato" w:cs="Arial"/>
          <w:b/>
          <w:spacing w:val="4"/>
          <w:kern w:val="2"/>
          <w:lang w:eastAsia="pl-PL"/>
        </w:rPr>
        <w:t>Uchylam</w:t>
      </w:r>
      <w:r>
        <w:rPr>
          <w:rFonts w:ascii="Lato" w:eastAsia="Times New Roman" w:hAnsi="Lato" w:cs="Arial"/>
          <w:b/>
          <w:spacing w:val="4"/>
          <w:kern w:val="2"/>
          <w:lang w:eastAsia="pl-PL"/>
        </w:rPr>
        <w:t xml:space="preserve"> w rozstrzygnięciu zaskarżonej decyzji</w:t>
      </w:r>
      <w:r w:rsidRPr="005E5C2E">
        <w:rPr>
          <w:rFonts w:ascii="Lato" w:eastAsia="Times New Roman" w:hAnsi="Lato" w:cs="Times New Roman"/>
          <w:lang w:eastAsia="pl-PL"/>
        </w:rPr>
        <w:t>:</w:t>
      </w:r>
    </w:p>
    <w:p w14:paraId="5E9F426D" w14:textId="39A7EDBF" w:rsidR="00A61ACC" w:rsidRDefault="00A61ACC" w:rsidP="00A61ACC">
      <w:pPr>
        <w:widowControl w:val="0"/>
        <w:numPr>
          <w:ilvl w:val="0"/>
          <w:numId w:val="2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5E5C2E">
        <w:rPr>
          <w:rFonts w:ascii="Lato" w:eastAsia="Times New Roman" w:hAnsi="Lato" w:cs="Arial"/>
          <w:bCs/>
          <w:spacing w:val="4"/>
          <w:kern w:val="2"/>
          <w:lang w:eastAsia="pl-PL"/>
        </w:rPr>
        <w:t>znajdując</w:t>
      </w:r>
      <w:r>
        <w:rPr>
          <w:rFonts w:ascii="Lato" w:eastAsia="Times New Roman" w:hAnsi="Lato" w:cs="Arial"/>
          <w:bCs/>
          <w:spacing w:val="4"/>
          <w:kern w:val="2"/>
          <w:lang w:eastAsia="pl-PL"/>
        </w:rPr>
        <w:t>y</w:t>
      </w:r>
      <w:r w:rsidRPr="005E5C2E">
        <w:rPr>
          <w:rFonts w:ascii="Lato" w:eastAsia="Times New Roman" w:hAnsi="Lato" w:cs="Arial"/>
          <w:bCs/>
          <w:spacing w:val="4"/>
          <w:kern w:val="2"/>
          <w:lang w:eastAsia="pl-PL"/>
        </w:rPr>
        <w:t xml:space="preserve"> się na stronie </w:t>
      </w:r>
      <w:r>
        <w:rPr>
          <w:rFonts w:ascii="Lato" w:eastAsia="Times New Roman" w:hAnsi="Lato" w:cs="Arial"/>
          <w:bCs/>
          <w:spacing w:val="4"/>
          <w:kern w:val="2"/>
          <w:lang w:eastAsia="pl-PL"/>
        </w:rPr>
        <w:t xml:space="preserve">14, pod pozycją 57 tabeli określającej nieruchomości przeznaczone do ograniczonego sposobu korzystania, zapis dotyczący działki </w:t>
      </w:r>
      <w:r w:rsidR="00DD707C">
        <w:rPr>
          <w:rFonts w:ascii="Lato" w:eastAsia="Times New Roman" w:hAnsi="Lato" w:cs="Arial"/>
          <w:bCs/>
          <w:spacing w:val="4"/>
          <w:kern w:val="2"/>
          <w:lang w:eastAsia="pl-PL"/>
        </w:rPr>
        <w:br/>
      </w:r>
      <w:r>
        <w:rPr>
          <w:rFonts w:ascii="Lato" w:eastAsia="Times New Roman" w:hAnsi="Lato" w:cs="Arial"/>
          <w:bCs/>
          <w:spacing w:val="4"/>
          <w:kern w:val="2"/>
          <w:lang w:eastAsia="pl-PL"/>
        </w:rPr>
        <w:t>nr 10/1 z obrębu Dąbie 158,</w:t>
      </w:r>
    </w:p>
    <w:p w14:paraId="531956EC" w14:textId="212638E0" w:rsidR="006A1669" w:rsidRDefault="006A1669" w:rsidP="00172E1C">
      <w:pPr>
        <w:widowControl w:val="0"/>
        <w:numPr>
          <w:ilvl w:val="0"/>
          <w:numId w:val="2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5E5C2E">
        <w:rPr>
          <w:rFonts w:ascii="Lato" w:eastAsia="Times New Roman" w:hAnsi="Lato" w:cs="Arial"/>
          <w:bCs/>
          <w:spacing w:val="4"/>
          <w:kern w:val="2"/>
          <w:lang w:eastAsia="pl-PL"/>
        </w:rPr>
        <w:t>znajdując</w:t>
      </w:r>
      <w:r>
        <w:rPr>
          <w:rFonts w:ascii="Lato" w:eastAsia="Times New Roman" w:hAnsi="Lato" w:cs="Arial"/>
          <w:bCs/>
          <w:spacing w:val="4"/>
          <w:kern w:val="2"/>
          <w:lang w:eastAsia="pl-PL"/>
        </w:rPr>
        <w:t>e</w:t>
      </w:r>
      <w:r w:rsidRPr="005E5C2E">
        <w:rPr>
          <w:rFonts w:ascii="Lato" w:eastAsia="Times New Roman" w:hAnsi="Lato" w:cs="Arial"/>
          <w:bCs/>
          <w:spacing w:val="4"/>
          <w:kern w:val="2"/>
          <w:lang w:eastAsia="pl-PL"/>
        </w:rPr>
        <w:t xml:space="preserve"> się na stronie </w:t>
      </w:r>
      <w:r>
        <w:rPr>
          <w:rFonts w:ascii="Lato" w:eastAsia="Times New Roman" w:hAnsi="Lato" w:cs="Arial"/>
          <w:bCs/>
          <w:spacing w:val="4"/>
          <w:kern w:val="2"/>
          <w:lang w:eastAsia="pl-PL"/>
        </w:rPr>
        <w:t>17, zapisy stanowiące dotychczasową treść pkt 13,</w:t>
      </w:r>
    </w:p>
    <w:p w14:paraId="740DF5B8" w14:textId="5C105F8A" w:rsidR="00051050" w:rsidRPr="00051050" w:rsidRDefault="00051050" w:rsidP="00051050">
      <w:pPr>
        <w:widowControl w:val="0"/>
        <w:numPr>
          <w:ilvl w:val="0"/>
          <w:numId w:val="2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5E5C2E">
        <w:rPr>
          <w:rFonts w:ascii="Lato" w:eastAsia="Times New Roman" w:hAnsi="Lato" w:cs="Arial"/>
          <w:bCs/>
          <w:spacing w:val="4"/>
          <w:kern w:val="2"/>
          <w:lang w:eastAsia="pl-PL"/>
        </w:rPr>
        <w:t>znajdując</w:t>
      </w:r>
      <w:r>
        <w:rPr>
          <w:rFonts w:ascii="Lato" w:eastAsia="Times New Roman" w:hAnsi="Lato" w:cs="Arial"/>
          <w:bCs/>
          <w:spacing w:val="4"/>
          <w:kern w:val="2"/>
          <w:lang w:eastAsia="pl-PL"/>
        </w:rPr>
        <w:t>e</w:t>
      </w:r>
      <w:r w:rsidRPr="005E5C2E">
        <w:rPr>
          <w:rFonts w:ascii="Lato" w:eastAsia="Times New Roman" w:hAnsi="Lato" w:cs="Arial"/>
          <w:bCs/>
          <w:spacing w:val="4"/>
          <w:kern w:val="2"/>
          <w:lang w:eastAsia="pl-PL"/>
        </w:rPr>
        <w:t xml:space="preserve"> się na stronie </w:t>
      </w:r>
      <w:r>
        <w:rPr>
          <w:rFonts w:ascii="Lato" w:eastAsia="Times New Roman" w:hAnsi="Lato" w:cs="Arial"/>
          <w:bCs/>
          <w:spacing w:val="4"/>
          <w:kern w:val="2"/>
          <w:lang w:eastAsia="pl-PL"/>
        </w:rPr>
        <w:t>19, zapisy stanowiące dotychczasową treść pkt 15,</w:t>
      </w:r>
    </w:p>
    <w:p w14:paraId="67F1EE49" w14:textId="77777777" w:rsidR="00A61ACC" w:rsidRPr="005E5C2E" w:rsidRDefault="00A61ACC" w:rsidP="00A61ACC">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5E5C2E">
        <w:rPr>
          <w:rFonts w:ascii="Lato" w:eastAsia="Times New Roman" w:hAnsi="Lato" w:cs="Arial"/>
          <w:b/>
          <w:spacing w:val="4"/>
          <w:kern w:val="2"/>
          <w:lang w:eastAsia="pl-PL"/>
        </w:rPr>
        <w:t xml:space="preserve">i orzekam w tym zakresie </w:t>
      </w:r>
      <w:r w:rsidRPr="005E5C2E">
        <w:rPr>
          <w:rFonts w:ascii="Lato" w:eastAsia="Times New Roman" w:hAnsi="Lato" w:cs="Arial"/>
          <w:spacing w:val="4"/>
          <w:kern w:val="2"/>
          <w:lang w:eastAsia="pl-PL"/>
        </w:rPr>
        <w:t>poprzez:</w:t>
      </w:r>
    </w:p>
    <w:p w14:paraId="474F5F61" w14:textId="5E24FED1" w:rsidR="00A61ACC" w:rsidRPr="005E5C2E" w:rsidRDefault="00A61ACC" w:rsidP="00A61ACC">
      <w:pPr>
        <w:widowControl w:val="0"/>
        <w:numPr>
          <w:ilvl w:val="0"/>
          <w:numId w:val="28"/>
        </w:numPr>
        <w:suppressAutoHyphens/>
        <w:spacing w:after="240" w:line="240" w:lineRule="exact"/>
        <w:ind w:left="567" w:hanging="283"/>
        <w:jc w:val="both"/>
        <w:textAlignment w:val="baseline"/>
        <w:rPr>
          <w:rFonts w:ascii="Lato" w:eastAsia="Times New Roman" w:hAnsi="Lato" w:cs="Times New Roman"/>
          <w:bCs/>
          <w:iCs/>
          <w:lang w:eastAsia="pl-PL"/>
        </w:rPr>
      </w:pPr>
      <w:bookmarkStart w:id="0" w:name="_Hlk214357202"/>
      <w:r w:rsidRPr="005E5C2E">
        <w:rPr>
          <w:rFonts w:ascii="Lato" w:eastAsia="Times New Roman" w:hAnsi="Lato" w:cs="Times New Roman"/>
          <w:bCs/>
          <w:iCs/>
          <w:lang w:eastAsia="pl-PL"/>
        </w:rPr>
        <w:t xml:space="preserve">ustalenie, w rozstrzygnięciu zaskarżonej decyzji, w miejsce uchylenia, </w:t>
      </w:r>
      <w:r w:rsidRPr="005E5C2E">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14</w:t>
      </w:r>
      <w:r w:rsidRPr="005E5C2E">
        <w:rPr>
          <w:rFonts w:ascii="Lato" w:eastAsia="Times New Roman" w:hAnsi="Lato" w:cs="Arial"/>
          <w:bCs/>
          <w:spacing w:val="4"/>
          <w:kern w:val="2"/>
          <w:lang w:eastAsia="pl-PL"/>
        </w:rPr>
        <w:t xml:space="preserve">, </w:t>
      </w:r>
      <w:r w:rsidRPr="005E5C2E">
        <w:rPr>
          <w:rFonts w:ascii="Lato" w:eastAsia="Times New Roman" w:hAnsi="Lato" w:cs="Arial"/>
          <w:bCs/>
          <w:spacing w:val="4"/>
          <w:kern w:val="2"/>
          <w:lang w:eastAsia="pl-PL"/>
        </w:rPr>
        <w:br/>
      </w:r>
      <w:r w:rsidRPr="00174CA0">
        <w:rPr>
          <w:rFonts w:ascii="Lato" w:hAnsi="Lato" w:cs="Arial"/>
          <w:spacing w:val="4"/>
        </w:rPr>
        <w:t xml:space="preserve">pod pozycją </w:t>
      </w:r>
      <w:r>
        <w:rPr>
          <w:rFonts w:ascii="Lato" w:hAnsi="Lato" w:cs="Arial"/>
          <w:spacing w:val="4"/>
        </w:rPr>
        <w:t>57</w:t>
      </w:r>
      <w:r w:rsidRPr="00174CA0">
        <w:rPr>
          <w:rFonts w:ascii="Lato" w:hAnsi="Lato" w:cs="Arial"/>
          <w:spacing w:val="4"/>
        </w:rPr>
        <w:t xml:space="preserve"> </w:t>
      </w:r>
      <w:r w:rsidR="006A1669">
        <w:rPr>
          <w:rFonts w:ascii="Lato" w:hAnsi="Lato" w:cs="Arial"/>
          <w:spacing w:val="4"/>
        </w:rPr>
        <w:t xml:space="preserve">tabeli </w:t>
      </w:r>
      <w:r>
        <w:rPr>
          <w:rFonts w:ascii="Lato" w:eastAsia="Times New Roman" w:hAnsi="Lato" w:cs="Arial"/>
          <w:bCs/>
          <w:spacing w:val="4"/>
          <w:kern w:val="2"/>
          <w:lang w:eastAsia="pl-PL"/>
        </w:rPr>
        <w:t>określającej nieruchomości przeznaczone do ograniczonego sposobu korzystania</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nowego zapisu</w:t>
      </w:r>
      <w:r w:rsidRPr="005E5C2E">
        <w:rPr>
          <w:rFonts w:ascii="Lato" w:eastAsia="Times New Roman" w:hAnsi="Lato" w:cs="Times New Roman"/>
          <w:bCs/>
          <w:iCs/>
          <w:lang w:eastAsia="pl-PL"/>
        </w:rPr>
        <w:t xml:space="preserve">: </w:t>
      </w:r>
    </w:p>
    <w:bookmarkEnd w:id="0"/>
    <w:p w14:paraId="627F80F9" w14:textId="53A0E9FA" w:rsidR="00A61ACC" w:rsidRPr="00283028" w:rsidRDefault="00A61ACC" w:rsidP="006A1669">
      <w:pPr>
        <w:widowControl w:val="0"/>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2A0F55">
        <w:rPr>
          <w:rFonts w:ascii="Lato" w:eastAsia="Times New Roman" w:hAnsi="Lato" w:cs="Times New Roman"/>
          <w:bCs/>
          <w:iCs/>
          <w:lang w:eastAsia="pl-PL"/>
        </w:rPr>
        <w:tab/>
      </w:r>
      <w:r w:rsidR="006A1669">
        <w:rPr>
          <w:rFonts w:ascii="Lato" w:eastAsia="Times New Roman" w:hAnsi="Lato" w:cs="Times New Roman"/>
          <w:bCs/>
          <w:iCs/>
          <w:lang w:eastAsia="pl-PL"/>
        </w:rPr>
        <w:t xml:space="preserve">    </w:t>
      </w: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792"/>
        <w:gridCol w:w="1527"/>
        <w:gridCol w:w="1658"/>
        <w:gridCol w:w="1463"/>
        <w:gridCol w:w="1463"/>
        <w:gridCol w:w="1245"/>
      </w:tblGrid>
      <w:tr w:rsidR="00767C79" w:rsidRPr="001B0F37" w14:paraId="471F3DD7" w14:textId="77777777" w:rsidTr="00767C79">
        <w:trPr>
          <w:trHeight w:val="1698"/>
        </w:trPr>
        <w:tc>
          <w:tcPr>
            <w:tcW w:w="792" w:type="dxa"/>
          </w:tcPr>
          <w:p w14:paraId="5083AF04" w14:textId="0CBE5409" w:rsidR="00767C79" w:rsidRPr="001B0F37" w:rsidRDefault="00767C79" w:rsidP="00BA768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57</w:t>
            </w:r>
            <w:r w:rsidRPr="001B0F37">
              <w:rPr>
                <w:rFonts w:ascii="Lato" w:hAnsi="Lato" w:cs="Arial"/>
                <w:bCs/>
                <w:spacing w:val="4"/>
                <w:kern w:val="2"/>
                <w:sz w:val="22"/>
                <w:szCs w:val="22"/>
              </w:rPr>
              <w:t>.</w:t>
            </w:r>
          </w:p>
        </w:tc>
        <w:tc>
          <w:tcPr>
            <w:tcW w:w="1527" w:type="dxa"/>
          </w:tcPr>
          <w:p w14:paraId="6FF76DA8" w14:textId="77E34B8F" w:rsidR="00767C79" w:rsidRPr="001B0F37" w:rsidRDefault="00767C79" w:rsidP="00BA768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10/1</w:t>
            </w:r>
          </w:p>
        </w:tc>
        <w:tc>
          <w:tcPr>
            <w:tcW w:w="1658" w:type="dxa"/>
          </w:tcPr>
          <w:p w14:paraId="0236ABDD" w14:textId="5E04F3BB" w:rsidR="00767C79" w:rsidRPr="001B0F37" w:rsidRDefault="00767C79" w:rsidP="00BA768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Dąbie 158</w:t>
            </w:r>
          </w:p>
        </w:tc>
        <w:tc>
          <w:tcPr>
            <w:tcW w:w="1463" w:type="dxa"/>
          </w:tcPr>
          <w:p w14:paraId="7525C457" w14:textId="5D002C02" w:rsidR="00767C79" w:rsidRPr="001B0F37" w:rsidRDefault="00767C79" w:rsidP="00BA768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114.62</w:t>
            </w:r>
          </w:p>
        </w:tc>
        <w:tc>
          <w:tcPr>
            <w:tcW w:w="1463" w:type="dxa"/>
          </w:tcPr>
          <w:p w14:paraId="44EA3448" w14:textId="6047EEC4" w:rsidR="00767C79" w:rsidRPr="001B0F37" w:rsidRDefault="00767C79" w:rsidP="00BA768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207.38</w:t>
            </w:r>
          </w:p>
        </w:tc>
        <w:tc>
          <w:tcPr>
            <w:tcW w:w="1245" w:type="dxa"/>
          </w:tcPr>
          <w:p w14:paraId="67E4946E" w14:textId="42ECE276" w:rsidR="00767C79" w:rsidRPr="001B0F37" w:rsidRDefault="00767C79" w:rsidP="00BA768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w:t>
            </w:r>
          </w:p>
        </w:tc>
      </w:tr>
    </w:tbl>
    <w:p w14:paraId="681B4CBE" w14:textId="3BB9C627" w:rsidR="00A61ACC" w:rsidRDefault="006A1669" w:rsidP="00A61AC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                                                                  </w:t>
      </w:r>
      <w:r w:rsidR="00A61ACC" w:rsidRPr="00283028">
        <w:rPr>
          <w:rFonts w:ascii="Lato" w:eastAsia="Times New Roman" w:hAnsi="Lato" w:cs="Arial"/>
          <w:bCs/>
          <w:spacing w:val="4"/>
          <w:kern w:val="2"/>
          <w:lang w:eastAsia="pl-PL"/>
        </w:rPr>
        <w:tab/>
        <w:t xml:space="preserve">                                                                                                                                   </w:t>
      </w:r>
    </w:p>
    <w:p w14:paraId="685810F6" w14:textId="635E48EA" w:rsidR="006A1669" w:rsidRDefault="006A1669" w:rsidP="006A1669">
      <w:pPr>
        <w:widowControl w:val="0"/>
        <w:numPr>
          <w:ilvl w:val="0"/>
          <w:numId w:val="28"/>
        </w:numPr>
        <w:suppressAutoHyphens/>
        <w:spacing w:after="240" w:line="240" w:lineRule="exact"/>
        <w:ind w:left="567" w:hanging="283"/>
        <w:jc w:val="both"/>
        <w:textAlignment w:val="baseline"/>
        <w:rPr>
          <w:rFonts w:ascii="Lato" w:eastAsia="Times New Roman" w:hAnsi="Lato" w:cs="Times New Roman"/>
          <w:bCs/>
          <w:iCs/>
          <w:lang w:eastAsia="pl-PL"/>
        </w:rPr>
      </w:pPr>
      <w:r w:rsidRPr="005E5C2E">
        <w:rPr>
          <w:rFonts w:ascii="Lato" w:eastAsia="Times New Roman" w:hAnsi="Lato" w:cs="Times New Roman"/>
          <w:bCs/>
          <w:iCs/>
          <w:lang w:eastAsia="pl-PL"/>
        </w:rPr>
        <w:t xml:space="preserve">ustalenie, w rozstrzygnięciu zaskarżonej decyzji, w miejsce uchylenia, </w:t>
      </w:r>
      <w:r w:rsidRPr="005E5C2E">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17</w:t>
      </w:r>
      <w:r w:rsidRPr="005E5C2E">
        <w:rPr>
          <w:rFonts w:ascii="Lato" w:eastAsia="Times New Roman" w:hAnsi="Lato" w:cs="Arial"/>
          <w:bCs/>
          <w:spacing w:val="4"/>
          <w:kern w:val="2"/>
          <w:lang w:eastAsia="pl-PL"/>
        </w:rPr>
        <w:t xml:space="preserve">, </w:t>
      </w:r>
      <w:r w:rsidRPr="005E5C2E">
        <w:rPr>
          <w:rFonts w:ascii="Lato" w:eastAsia="Times New Roman" w:hAnsi="Lato" w:cs="Arial"/>
          <w:bCs/>
          <w:spacing w:val="4"/>
          <w:kern w:val="2"/>
          <w:lang w:eastAsia="pl-PL"/>
        </w:rPr>
        <w:br/>
      </w:r>
      <w:r w:rsidR="00172E1C">
        <w:rPr>
          <w:rFonts w:ascii="Lato" w:eastAsia="Times New Roman" w:hAnsi="Lato" w:cs="Arial"/>
          <w:bCs/>
          <w:spacing w:val="4"/>
          <w:kern w:val="2"/>
          <w:lang w:eastAsia="pl-PL"/>
        </w:rPr>
        <w:t>zapisu stanowiącego nową treść pkt 13 zaskarżonej decyzji</w:t>
      </w:r>
      <w:r w:rsidRPr="005E5C2E">
        <w:rPr>
          <w:rFonts w:ascii="Lato" w:eastAsia="Times New Roman" w:hAnsi="Lato" w:cs="Times New Roman"/>
          <w:bCs/>
          <w:iCs/>
          <w:lang w:eastAsia="pl-PL"/>
        </w:rPr>
        <w:t xml:space="preserve">: </w:t>
      </w:r>
    </w:p>
    <w:p w14:paraId="712978DF" w14:textId="467E1DED" w:rsidR="00172E1C" w:rsidRDefault="00051050" w:rsidP="00172E1C">
      <w:pPr>
        <w:widowControl w:val="0"/>
        <w:suppressAutoHyphens/>
        <w:spacing w:after="240" w:line="240" w:lineRule="exact"/>
        <w:ind w:left="567"/>
        <w:jc w:val="both"/>
        <w:textAlignment w:val="baseline"/>
        <w:rPr>
          <w:rFonts w:ascii="Lato" w:eastAsia="Times New Roman" w:hAnsi="Lato" w:cs="Times New Roman"/>
          <w:b/>
          <w:iCs/>
          <w:u w:val="single"/>
          <w:lang w:eastAsia="pl-PL"/>
        </w:rPr>
      </w:pPr>
      <w:r w:rsidRPr="00584451">
        <w:rPr>
          <w:rFonts w:ascii="Lato" w:eastAsia="Times New Roman" w:hAnsi="Lato" w:cs="Times New Roman"/>
          <w:bCs/>
          <w:iCs/>
          <w:u w:val="single"/>
          <w:lang w:eastAsia="pl-PL"/>
        </w:rPr>
        <w:lastRenderedPageBreak/>
        <w:t>„</w:t>
      </w:r>
      <w:r w:rsidR="00172E1C" w:rsidRPr="00172E1C">
        <w:rPr>
          <w:rFonts w:ascii="Lato" w:eastAsia="Times New Roman" w:hAnsi="Lato" w:cs="Times New Roman"/>
          <w:b/>
          <w:iCs/>
          <w:u w:val="single"/>
          <w:lang w:eastAsia="pl-PL"/>
        </w:rPr>
        <w:t xml:space="preserve">13. Warunki umieszczenia obiektów lub urządzeń na gruntach stanowiących pas drogowy </w:t>
      </w:r>
      <w:r w:rsidR="00172E1C">
        <w:rPr>
          <w:rFonts w:ascii="Lato" w:eastAsia="Times New Roman" w:hAnsi="Lato" w:cs="Times New Roman"/>
          <w:b/>
          <w:iCs/>
          <w:u w:val="single"/>
          <w:lang w:eastAsia="pl-PL"/>
        </w:rPr>
        <w:t xml:space="preserve">oraz </w:t>
      </w:r>
      <w:r w:rsidR="00172E1C" w:rsidRPr="00172E1C">
        <w:rPr>
          <w:rFonts w:ascii="Lato" w:eastAsia="Times New Roman" w:hAnsi="Lato" w:cs="Times New Roman"/>
          <w:b/>
          <w:iCs/>
          <w:u w:val="single"/>
          <w:lang w:eastAsia="pl-PL"/>
        </w:rPr>
        <w:t>na gruntach Skarbu Państwa pokrytych wodami</w:t>
      </w:r>
    </w:p>
    <w:p w14:paraId="10CDE398" w14:textId="60704D0E" w:rsidR="00172E1C" w:rsidRDefault="00172E1C" w:rsidP="00172E1C">
      <w:pPr>
        <w:widowControl w:val="0"/>
        <w:suppressAutoHyphens/>
        <w:spacing w:after="240" w:line="240" w:lineRule="exact"/>
        <w:ind w:left="567"/>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Warunki umieszczenia przedmiotowej inwestycji na gruntach stanowiących pas drogowy:</w:t>
      </w:r>
    </w:p>
    <w:p w14:paraId="3F2D4B20" w14:textId="26C4B75C" w:rsidR="00172E1C" w:rsidRDefault="00172E1C" w:rsidP="00172E1C">
      <w:pPr>
        <w:pStyle w:val="Akapitzlist"/>
        <w:widowControl w:val="0"/>
        <w:numPr>
          <w:ilvl w:val="0"/>
          <w:numId w:val="29"/>
        </w:numPr>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Umieszczenie projektowanego gazociągu pod drogami o nawierzchni utwardzonej zostanie wykonane metodą bezwykopową bez naruszenia konstrukcji jezdni, a minimalna głębokość posadowienia wyniesie 1,2 m</w:t>
      </w:r>
    </w:p>
    <w:p w14:paraId="65D68680" w14:textId="61BB8C1C" w:rsidR="00172E1C" w:rsidRDefault="00172E1C" w:rsidP="00172E1C">
      <w:pPr>
        <w:pStyle w:val="Akapitzlist"/>
        <w:widowControl w:val="0"/>
        <w:numPr>
          <w:ilvl w:val="0"/>
          <w:numId w:val="29"/>
        </w:numPr>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Umieszczenie projektowanego gazociągu oraz infrastruktury towarzyszącej nie naruszy skarp, nasypów występujących w pasach drogowych oraz przyczółku, podpór i fundamentów wiaduktu drogowego autostrady A6</w:t>
      </w:r>
    </w:p>
    <w:p w14:paraId="219A6A9F" w14:textId="15627C3A" w:rsidR="00172E1C" w:rsidRDefault="00172E1C" w:rsidP="00172E1C">
      <w:pPr>
        <w:pStyle w:val="Akapitzlist"/>
        <w:widowControl w:val="0"/>
        <w:numPr>
          <w:ilvl w:val="0"/>
          <w:numId w:val="29"/>
        </w:numPr>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Pas drogowy zostanie doprowadzony do stanu pierwotnego</w:t>
      </w:r>
      <w:r w:rsidR="009824C2">
        <w:rPr>
          <w:rFonts w:ascii="Lato" w:eastAsia="Times New Roman" w:hAnsi="Lato" w:cs="Times New Roman"/>
          <w:bCs/>
          <w:iCs/>
          <w:lang w:eastAsia="pl-PL"/>
        </w:rPr>
        <w:t>.</w:t>
      </w:r>
    </w:p>
    <w:p w14:paraId="181834F8" w14:textId="5373DB0C" w:rsidR="00172E1C" w:rsidRDefault="00172E1C" w:rsidP="00172E1C">
      <w:pPr>
        <w:widowControl w:val="0"/>
        <w:suppressAutoHyphens/>
        <w:spacing w:after="240" w:line="240" w:lineRule="exact"/>
        <w:ind w:left="567"/>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 xml:space="preserve">Warunki </w:t>
      </w:r>
      <w:r w:rsidR="009824C2">
        <w:rPr>
          <w:rFonts w:ascii="Lato" w:eastAsia="Times New Roman" w:hAnsi="Lato" w:cs="Times New Roman"/>
          <w:bCs/>
          <w:iCs/>
          <w:lang w:eastAsia="pl-PL"/>
        </w:rPr>
        <w:t xml:space="preserve">umieszczenia przedmiotowej inwestycji na gruntach Skarbu Państwa pokrytych wodami </w:t>
      </w:r>
    </w:p>
    <w:p w14:paraId="136B0C44" w14:textId="7E8B0C18" w:rsidR="009824C2" w:rsidRDefault="009824C2" w:rsidP="009824C2">
      <w:pPr>
        <w:pStyle w:val="Akapitzlist"/>
        <w:widowControl w:val="0"/>
        <w:numPr>
          <w:ilvl w:val="0"/>
          <w:numId w:val="30"/>
        </w:numPr>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Przejścia pod przekraczanymi wodami należy wykonać metodami bezwykopowymi, przewiertem sterowanym lub metodą równoważną</w:t>
      </w:r>
    </w:p>
    <w:p w14:paraId="5F1D447A" w14:textId="71395394" w:rsidR="009824C2" w:rsidRDefault="009824C2" w:rsidP="009824C2">
      <w:pPr>
        <w:pStyle w:val="Akapitzlist"/>
        <w:widowControl w:val="0"/>
        <w:numPr>
          <w:ilvl w:val="0"/>
          <w:numId w:val="30"/>
        </w:numPr>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Należy zachować minimalną głębokość przekroczenia 1,0 m</w:t>
      </w:r>
    </w:p>
    <w:p w14:paraId="54A5C334" w14:textId="36B99194" w:rsidR="009824C2" w:rsidRDefault="009824C2" w:rsidP="009824C2">
      <w:pPr>
        <w:pStyle w:val="Akapitzlist"/>
        <w:widowControl w:val="0"/>
        <w:numPr>
          <w:ilvl w:val="0"/>
          <w:numId w:val="30"/>
        </w:numPr>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Miejsca przejść należy oznakować w sposób trwały i widoczny,</w:t>
      </w:r>
    </w:p>
    <w:p w14:paraId="50AD4398" w14:textId="770C85F0" w:rsidR="009824C2" w:rsidRDefault="009824C2" w:rsidP="009824C2">
      <w:pPr>
        <w:pStyle w:val="Akapitzlist"/>
        <w:widowControl w:val="0"/>
        <w:numPr>
          <w:ilvl w:val="0"/>
          <w:numId w:val="30"/>
        </w:numPr>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Za nieprzewidziane skutki wykonania przejść odpowiedzialność przejmuje inwestor</w:t>
      </w:r>
    </w:p>
    <w:p w14:paraId="722497D9" w14:textId="51545554" w:rsidR="00051050" w:rsidRPr="00051050" w:rsidRDefault="009824C2" w:rsidP="00051050">
      <w:pPr>
        <w:pStyle w:val="Akapitzlist"/>
        <w:widowControl w:val="0"/>
        <w:numPr>
          <w:ilvl w:val="0"/>
          <w:numId w:val="30"/>
        </w:numPr>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Zgodnie z art. 389 pkt 9 ustawy z dnia 20 lipca 2017 r. Prawo wodne prowadzenie przez wody powierzchniowe płynące oraz przez wały przeciwpowodziowe rurociągów gazowych wymaga pozwolenia wodnoprawnego.</w:t>
      </w:r>
      <w:r w:rsidR="00051050">
        <w:rPr>
          <w:rFonts w:ascii="Lato" w:eastAsia="Times New Roman" w:hAnsi="Lato" w:cs="Times New Roman"/>
          <w:bCs/>
          <w:iCs/>
          <w:lang w:eastAsia="pl-PL"/>
        </w:rPr>
        <w:t>”</w:t>
      </w:r>
    </w:p>
    <w:p w14:paraId="37729C0F" w14:textId="4299E68C" w:rsidR="00051050" w:rsidRDefault="00051050" w:rsidP="00051050">
      <w:pPr>
        <w:widowControl w:val="0"/>
        <w:numPr>
          <w:ilvl w:val="0"/>
          <w:numId w:val="28"/>
        </w:numPr>
        <w:suppressAutoHyphens/>
        <w:spacing w:after="240" w:line="240" w:lineRule="exact"/>
        <w:ind w:left="567" w:hanging="283"/>
        <w:jc w:val="both"/>
        <w:textAlignment w:val="baseline"/>
        <w:rPr>
          <w:rFonts w:ascii="Lato" w:eastAsia="Times New Roman" w:hAnsi="Lato" w:cs="Times New Roman"/>
          <w:bCs/>
          <w:iCs/>
          <w:lang w:eastAsia="pl-PL"/>
        </w:rPr>
      </w:pPr>
      <w:r w:rsidRPr="005E5C2E">
        <w:rPr>
          <w:rFonts w:ascii="Lato" w:eastAsia="Times New Roman" w:hAnsi="Lato" w:cs="Times New Roman"/>
          <w:bCs/>
          <w:iCs/>
          <w:lang w:eastAsia="pl-PL"/>
        </w:rPr>
        <w:t xml:space="preserve">ustalenie, w rozstrzygnięciu zaskarżonej decyzji, w miejsce uchylenia, </w:t>
      </w:r>
      <w:r w:rsidRPr="005E5C2E">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19</w:t>
      </w:r>
      <w:r w:rsidRPr="005E5C2E">
        <w:rPr>
          <w:rFonts w:ascii="Lato" w:eastAsia="Times New Roman" w:hAnsi="Lato" w:cs="Arial"/>
          <w:bCs/>
          <w:spacing w:val="4"/>
          <w:kern w:val="2"/>
          <w:lang w:eastAsia="pl-PL"/>
        </w:rPr>
        <w:t xml:space="preserve">, </w:t>
      </w:r>
      <w:r w:rsidRPr="005E5C2E">
        <w:rPr>
          <w:rFonts w:ascii="Lato" w:eastAsia="Times New Roman" w:hAnsi="Lato" w:cs="Arial"/>
          <w:bCs/>
          <w:spacing w:val="4"/>
          <w:kern w:val="2"/>
          <w:lang w:eastAsia="pl-PL"/>
        </w:rPr>
        <w:br/>
      </w:r>
      <w:r>
        <w:rPr>
          <w:rFonts w:ascii="Lato" w:eastAsia="Times New Roman" w:hAnsi="Lato" w:cs="Arial"/>
          <w:bCs/>
          <w:spacing w:val="4"/>
          <w:kern w:val="2"/>
          <w:lang w:eastAsia="pl-PL"/>
        </w:rPr>
        <w:t>zapisu stanowiącego nową treść pkt 15 zaskarżonej decyzji</w:t>
      </w:r>
      <w:r w:rsidRPr="005E5C2E">
        <w:rPr>
          <w:rFonts w:ascii="Lato" w:eastAsia="Times New Roman" w:hAnsi="Lato" w:cs="Times New Roman"/>
          <w:bCs/>
          <w:iCs/>
          <w:lang w:eastAsia="pl-PL"/>
        </w:rPr>
        <w:t xml:space="preserve">: </w:t>
      </w:r>
    </w:p>
    <w:p w14:paraId="3056E86E" w14:textId="2A9C5D2B" w:rsidR="00584451" w:rsidRDefault="00584451" w:rsidP="00584451">
      <w:pPr>
        <w:widowControl w:val="0"/>
        <w:suppressAutoHyphens/>
        <w:spacing w:after="240" w:line="240" w:lineRule="exact"/>
        <w:ind w:left="567"/>
        <w:jc w:val="both"/>
        <w:textAlignment w:val="baseline"/>
        <w:rPr>
          <w:rFonts w:ascii="Lato" w:eastAsia="Times New Roman" w:hAnsi="Lato" w:cs="Times New Roman"/>
          <w:b/>
          <w:iCs/>
          <w:u w:val="single"/>
          <w:lang w:eastAsia="pl-PL"/>
        </w:rPr>
      </w:pPr>
      <w:r>
        <w:rPr>
          <w:rFonts w:ascii="Lato" w:eastAsia="Times New Roman" w:hAnsi="Lato" w:cs="Times New Roman"/>
          <w:bCs/>
          <w:iCs/>
          <w:lang w:eastAsia="pl-PL"/>
        </w:rPr>
        <w:t>„</w:t>
      </w:r>
      <w:r w:rsidRPr="00584451">
        <w:rPr>
          <w:rFonts w:ascii="Lato" w:eastAsia="Times New Roman" w:hAnsi="Lato" w:cs="Times New Roman"/>
          <w:b/>
          <w:iCs/>
          <w:u w:val="single"/>
          <w:lang w:eastAsia="pl-PL"/>
        </w:rPr>
        <w:t>15. Termin wydania nieruchomości lub opróżnienia lokali i innych pomieszczeń</w:t>
      </w:r>
    </w:p>
    <w:p w14:paraId="232AAE6F" w14:textId="71F82562" w:rsidR="00051050" w:rsidRPr="00051050" w:rsidRDefault="00584451" w:rsidP="00584451">
      <w:pPr>
        <w:widowControl w:val="0"/>
        <w:suppressAutoHyphens/>
        <w:spacing w:after="240" w:line="240" w:lineRule="exact"/>
        <w:ind w:left="567"/>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Nie ustala się.”</w:t>
      </w:r>
    </w:p>
    <w:p w14:paraId="4C8928B9" w14:textId="77777777" w:rsidR="00A61ACC" w:rsidRPr="005E5C2E" w:rsidRDefault="00A61ACC" w:rsidP="00A61ACC">
      <w:pPr>
        <w:widowControl w:val="0"/>
        <w:numPr>
          <w:ilvl w:val="0"/>
          <w:numId w:val="26"/>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5E5C2E">
        <w:rPr>
          <w:rFonts w:ascii="Lato" w:eastAsia="Times New Roman" w:hAnsi="Lato" w:cs="Arial"/>
          <w:b/>
          <w:bCs/>
          <w:spacing w:val="4"/>
          <w:kern w:val="2"/>
          <w:lang w:eastAsia="pl-PL"/>
        </w:rPr>
        <w:t>W pozostałej części zaskarżoną decyzję utrzymuję w mocy.</w:t>
      </w:r>
    </w:p>
    <w:p w14:paraId="4D8CC855" w14:textId="77777777" w:rsidR="00AA6B59" w:rsidRPr="009824C2" w:rsidRDefault="00AA6B59" w:rsidP="009824C2">
      <w:pPr>
        <w:spacing w:after="480" w:line="240" w:lineRule="exact"/>
        <w:jc w:val="both"/>
        <w:rPr>
          <w:rFonts w:ascii="Lato" w:eastAsia="Times New Roman" w:hAnsi="Lato" w:cs="Arial"/>
          <w:b/>
          <w:spacing w:val="4"/>
          <w:lang w:eastAsia="pl-PL" w:bidi="pl-PL"/>
        </w:rPr>
      </w:pPr>
    </w:p>
    <w:p w14:paraId="5293A0A1" w14:textId="42DFFB9F" w:rsidR="00AF4785" w:rsidRPr="00EB3C6D" w:rsidRDefault="00AF4785" w:rsidP="00AF4785">
      <w:pPr>
        <w:spacing w:after="240" w:line="240" w:lineRule="exact"/>
        <w:jc w:val="center"/>
        <w:outlineLvl w:val="0"/>
        <w:rPr>
          <w:rFonts w:ascii="Lato" w:eastAsia="Times New Roman" w:hAnsi="Lato" w:cs="Arial"/>
          <w:b/>
          <w:spacing w:val="4"/>
          <w:lang w:eastAsia="pl-PL"/>
        </w:rPr>
      </w:pPr>
      <w:r w:rsidRPr="00EB3C6D">
        <w:rPr>
          <w:rFonts w:ascii="Lato" w:eastAsia="Times New Roman" w:hAnsi="Lato" w:cs="Arial"/>
          <w:b/>
          <w:spacing w:val="4"/>
          <w:lang w:eastAsia="pl-PL"/>
        </w:rPr>
        <w:t>UZASADNIENIE</w:t>
      </w:r>
    </w:p>
    <w:p w14:paraId="1B2A71C8" w14:textId="14FE74E0"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bookmarkStart w:id="1" w:name="_Hlk132643324"/>
      <w:r w:rsidRPr="0002524B">
        <w:rPr>
          <w:rFonts w:ascii="Lato" w:eastAsia="Times New Roman" w:hAnsi="Lato" w:cs="Arial"/>
          <w:spacing w:val="4"/>
          <w:lang w:eastAsia="pl-PL"/>
        </w:rPr>
        <w:t>Operator Gazociągów Przesyłowych GAZ - SYSTEM S.A. z siedzibą w Warszawie, zwany dalej</w:t>
      </w:r>
      <w:r w:rsidRPr="0002524B">
        <w:rPr>
          <w:rFonts w:ascii="Lato" w:eastAsia="Times New Roman" w:hAnsi="Lato" w:cs="Arial"/>
          <w:i/>
          <w:iCs/>
          <w:spacing w:val="4"/>
          <w:lang w:eastAsia="pl-PL"/>
        </w:rPr>
        <w:t xml:space="preserve"> „inwestorem",</w:t>
      </w:r>
      <w:r w:rsidRPr="0002524B">
        <w:rPr>
          <w:rFonts w:ascii="Lato" w:eastAsia="Times New Roman" w:hAnsi="Lato" w:cs="Arial"/>
          <w:spacing w:val="4"/>
          <w:lang w:eastAsia="pl-PL"/>
        </w:rPr>
        <w:t xml:space="preserve"> reprezentowany przez </w:t>
      </w:r>
      <w:r w:rsidR="003D65D3">
        <w:rPr>
          <w:rFonts w:ascii="Lato" w:eastAsia="Times New Roman" w:hAnsi="Lato" w:cs="Arial"/>
          <w:spacing w:val="4"/>
          <w:lang w:eastAsia="pl-PL"/>
        </w:rPr>
        <w:t>pełnomocnika</w:t>
      </w:r>
      <w:r w:rsidRPr="0002524B">
        <w:rPr>
          <w:rFonts w:ascii="Lato" w:eastAsia="Times New Roman" w:hAnsi="Lato" w:cs="Arial"/>
          <w:spacing w:val="4"/>
          <w:lang w:eastAsia="pl-PL"/>
        </w:rPr>
        <w:t>, wnioskiem z dnia 21 października 2021 r. wystąpił do Wojewody Zachodniopomorskiego o wydanie decyzji o ustaleniu lokalizacji inwestycji towarzyszącej inwestycjom w zakresie terminalu regazyfikacyjnego skroplonego gazu ziemnego w Świnoujściu pn.: Budowa gazociągu</w:t>
      </w:r>
      <w:r>
        <w:rPr>
          <w:rFonts w:ascii="Lato" w:eastAsia="Times New Roman" w:hAnsi="Lato" w:cs="Arial"/>
          <w:spacing w:val="4"/>
          <w:lang w:eastAsia="pl-PL"/>
        </w:rPr>
        <w:t xml:space="preserve"> </w:t>
      </w:r>
      <w:r w:rsidRPr="0002524B">
        <w:rPr>
          <w:rFonts w:ascii="Lato" w:eastAsia="Times New Roman" w:hAnsi="Lato" w:cs="Arial"/>
          <w:spacing w:val="4"/>
          <w:lang w:eastAsia="pl-PL"/>
        </w:rPr>
        <w:t>wysokiego ciśnienia wraz z infrastrukturą towarzyszącą w ramach zadania pn.: „Przebudowa odcinka gazociągu DN250 Stargard - Szczecin".</w:t>
      </w:r>
    </w:p>
    <w:p w14:paraId="465BBB14" w14:textId="33FFA075"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Po przeprowadzeniu postępowania w sprawie ww. wniosku, Wojewoda Zachodniopomorski wydał decyzję z dnia 25 listopada 2021 r., znak: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AP-4.747.7- 6.2021.PM, o ustaleniu lokalizacji inwestycji towarzyszącej inwestycji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w zakresie terminalu regazyfikacyjnego skroplonego gazu ziemnego w Świnoujściu dla </w:t>
      </w:r>
      <w:r w:rsidRPr="0002524B">
        <w:rPr>
          <w:rFonts w:ascii="Lato" w:eastAsia="Times New Roman" w:hAnsi="Lato" w:cs="Arial"/>
          <w:spacing w:val="4"/>
          <w:lang w:eastAsia="pl-PL"/>
        </w:rPr>
        <w:lastRenderedPageBreak/>
        <w:t xml:space="preserve">inwestycji pn.: Budowa gazociągu wysokiego ciśnienia wraz z infrastrukturą towarzyszącą w ramach zadania pn.: „Przebudowa odcinka gazociągu DN250 Stargard - Szczecin", zwaną dalej </w:t>
      </w:r>
      <w:r w:rsidRPr="0002524B">
        <w:rPr>
          <w:rFonts w:ascii="Lato" w:eastAsia="Times New Roman" w:hAnsi="Lato" w:cs="Arial"/>
          <w:i/>
          <w:iCs/>
          <w:spacing w:val="4"/>
          <w:lang w:eastAsia="pl-PL"/>
        </w:rPr>
        <w:t>„decyzją Wojewody Zachodniopomorskiego".</w:t>
      </w:r>
    </w:p>
    <w:p w14:paraId="4824DBA9" w14:textId="5251AB73"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Od</w:t>
      </w:r>
      <w:r w:rsidRPr="0002524B">
        <w:rPr>
          <w:rFonts w:ascii="Lato" w:eastAsia="Times New Roman" w:hAnsi="Lato" w:cs="Arial"/>
          <w:i/>
          <w:iCs/>
          <w:spacing w:val="4"/>
          <w:lang w:eastAsia="pl-PL"/>
        </w:rPr>
        <w:t xml:space="preserve"> decyzji Wojewody Zachodniopomorskiego</w:t>
      </w:r>
      <w:r w:rsidRPr="0002524B">
        <w:rPr>
          <w:rFonts w:ascii="Lato" w:eastAsia="Times New Roman" w:hAnsi="Lato" w:cs="Arial"/>
          <w:spacing w:val="4"/>
          <w:lang w:eastAsia="pl-PL"/>
        </w:rPr>
        <w:t xml:space="preserve"> odwołanie, za pośrednictwem organu pierwszej instancji, wniosła Pani M</w:t>
      </w:r>
      <w:r w:rsidR="003D65D3">
        <w:rPr>
          <w:rFonts w:ascii="Lato" w:eastAsia="Times New Roman" w:hAnsi="Lato" w:cs="Arial"/>
          <w:spacing w:val="4"/>
          <w:lang w:eastAsia="pl-PL"/>
        </w:rPr>
        <w:t>.</w:t>
      </w:r>
      <w:r w:rsidRPr="0002524B">
        <w:rPr>
          <w:rFonts w:ascii="Lato" w:eastAsia="Times New Roman" w:hAnsi="Lato" w:cs="Arial"/>
          <w:spacing w:val="4"/>
          <w:lang w:eastAsia="pl-PL"/>
        </w:rPr>
        <w:t xml:space="preserve"> O</w:t>
      </w:r>
      <w:r w:rsidR="003D65D3">
        <w:rPr>
          <w:rFonts w:ascii="Lato" w:eastAsia="Times New Roman" w:hAnsi="Lato" w:cs="Arial"/>
          <w:spacing w:val="4"/>
          <w:lang w:eastAsia="pl-PL"/>
        </w:rPr>
        <w:t>.</w:t>
      </w:r>
      <w:r w:rsidRPr="0002524B">
        <w:rPr>
          <w:rFonts w:ascii="Lato" w:eastAsia="Times New Roman" w:hAnsi="Lato" w:cs="Arial"/>
          <w:spacing w:val="4"/>
          <w:lang w:eastAsia="pl-PL"/>
        </w:rPr>
        <w:t xml:space="preserve"> - pismo z dnia 29 grudnia 2021 r. [nadane w polskiej placówce pocztowej operatora wyznaczonego w rozumieniu ustawy z dnia 23 listopada 2012 r. - Prawo pocztowe (Dz.U. z 2025 r. poz. 366, z późn. </w:t>
      </w:r>
      <w:proofErr w:type="spellStart"/>
      <w:r w:rsidRPr="0002524B">
        <w:rPr>
          <w:rFonts w:ascii="Lato" w:eastAsia="Times New Roman" w:hAnsi="Lato" w:cs="Arial"/>
          <w:spacing w:val="4"/>
          <w:lang w:eastAsia="pl-PL"/>
        </w:rPr>
        <w:t>zm</w:t>
      </w:r>
      <w:proofErr w:type="spellEnd"/>
      <w:r w:rsidRPr="0002524B">
        <w:rPr>
          <w:rFonts w:ascii="Lato" w:eastAsia="Times New Roman" w:hAnsi="Lato" w:cs="Arial"/>
          <w:spacing w:val="4"/>
          <w:lang w:eastAsia="pl-PL"/>
        </w:rPr>
        <w:t>), zwanej dalej „</w:t>
      </w:r>
      <w:r w:rsidRPr="0002524B">
        <w:rPr>
          <w:rFonts w:ascii="Lato" w:eastAsia="Times New Roman" w:hAnsi="Lato" w:cs="Arial"/>
          <w:i/>
          <w:iCs/>
          <w:spacing w:val="4"/>
          <w:lang w:eastAsia="pl-PL"/>
        </w:rPr>
        <w:t>ustawą Prawo pocztowe",</w:t>
      </w:r>
      <w:r w:rsidRPr="0002524B">
        <w:rPr>
          <w:rFonts w:ascii="Lato" w:eastAsia="Times New Roman" w:hAnsi="Lato" w:cs="Arial"/>
          <w:spacing w:val="4"/>
          <w:lang w:eastAsia="pl-PL"/>
        </w:rPr>
        <w:t xml:space="preserve"> w tym samym dniu.</w:t>
      </w:r>
    </w:p>
    <w:p w14:paraId="490BC3BA"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W odwołaniu, wniesionym w terminie, skarżąca podniosła zarzuty dotyczące wydanej </w:t>
      </w:r>
      <w:r w:rsidRPr="0002524B">
        <w:rPr>
          <w:rFonts w:ascii="Lato" w:eastAsia="Times New Roman" w:hAnsi="Lato" w:cs="Arial"/>
          <w:i/>
          <w:iCs/>
          <w:spacing w:val="4"/>
          <w:lang w:eastAsia="pl-PL"/>
        </w:rPr>
        <w:t>decyzji Wojewody Zachodniopomorskiego,</w:t>
      </w:r>
      <w:r w:rsidRPr="0002524B">
        <w:rPr>
          <w:rFonts w:ascii="Lato" w:eastAsia="Times New Roman" w:hAnsi="Lato" w:cs="Arial"/>
          <w:spacing w:val="4"/>
          <w:lang w:eastAsia="pl-PL"/>
        </w:rPr>
        <w:t xml:space="preserve"> jak i postępowania zakończonego wydaniem tej decyzji.</w:t>
      </w:r>
    </w:p>
    <w:p w14:paraId="63608E89" w14:textId="5D3444A7" w:rsidR="0002524B" w:rsidRPr="0002524B" w:rsidRDefault="00584451" w:rsidP="0002524B">
      <w:pPr>
        <w:tabs>
          <w:tab w:val="left" w:pos="0"/>
          <w:tab w:val="num" w:pos="426"/>
        </w:tabs>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Wyjaśnić należy</w:t>
      </w:r>
      <w:r w:rsidR="0002524B" w:rsidRPr="0002524B">
        <w:rPr>
          <w:rFonts w:ascii="Lato" w:eastAsia="Times New Roman" w:hAnsi="Lato" w:cs="Arial"/>
          <w:spacing w:val="4"/>
          <w:lang w:eastAsia="pl-PL"/>
        </w:rPr>
        <w:t>, iż właściwym w przedmiotowej sprawie - stosownie do treści rozporządzenia Prezesa Rady Ministrów z dnia 25 lipca 2025 r. w sprawie szczegółowego zakresu działania Ministra Finansów i Gospodarki (Dz. U. z 2025 r. poz. 997) - jest obecnie Minister Finansów i Gospodarki, zwany dalej</w:t>
      </w:r>
      <w:r w:rsidR="0002524B" w:rsidRPr="0002524B">
        <w:rPr>
          <w:rFonts w:ascii="Lato" w:eastAsia="Times New Roman" w:hAnsi="Lato" w:cs="Arial"/>
          <w:i/>
          <w:iCs/>
          <w:spacing w:val="4"/>
          <w:lang w:eastAsia="pl-PL"/>
        </w:rPr>
        <w:t xml:space="preserve"> „Ministrem".</w:t>
      </w:r>
      <w:r w:rsidR="0002524B" w:rsidRPr="0002524B">
        <w:rPr>
          <w:rFonts w:ascii="Lato" w:eastAsia="Times New Roman" w:hAnsi="Lato" w:cs="Arial"/>
          <w:spacing w:val="4"/>
          <w:lang w:eastAsia="pl-PL"/>
        </w:rPr>
        <w:t xml:space="preserve"> Natomiast zgodnie § 1 ust. 4 pkt 1 lit. a i b ww. rozporządzenia Prezesa Rady Ministrów z dnia 25 lipca 2025 r. obsługę Ministra zapewnia Ministerstwo Rozwoju i Technologii w zakresie działów administracji rządowej: budownictwo, planowanie i zagospodarowanie przestrzenne oraz mieszkalnictwo; gospodarka</w:t>
      </w:r>
      <w:r>
        <w:rPr>
          <w:rFonts w:ascii="Lato" w:eastAsia="Times New Roman" w:hAnsi="Lato" w:cs="Arial"/>
          <w:spacing w:val="4"/>
          <w:lang w:eastAsia="pl-PL"/>
        </w:rPr>
        <w:t>.</w:t>
      </w:r>
    </w:p>
    <w:p w14:paraId="0A49010E" w14:textId="70BB7A19"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Dlatego też trafność rozstrzygnięcia </w:t>
      </w:r>
      <w:r w:rsidR="00DD707C">
        <w:rPr>
          <w:rFonts w:ascii="Lato" w:eastAsia="Times New Roman" w:hAnsi="Lato" w:cs="Arial"/>
          <w:spacing w:val="4"/>
          <w:lang w:eastAsia="pl-PL"/>
        </w:rPr>
        <w:br/>
      </w:r>
      <w:r w:rsidRPr="0002524B">
        <w:rPr>
          <w:rFonts w:ascii="Lato" w:eastAsia="Times New Roman" w:hAnsi="Lato" w:cs="Arial"/>
          <w:spacing w:val="4"/>
          <w:lang w:eastAsia="pl-PL"/>
        </w:rPr>
        <w:t>w każdym indywidualnym przypadku wymaga szczegółowego zbadania i rozważenia wszelkich argumentów, które stanowiłyby podstawę do przyjęcia określonego stanowiska. Wydając decyzję, organ zobowiązany jest do przestrzegania przepisów</w:t>
      </w:r>
      <w:r w:rsidRPr="0002524B">
        <w:rPr>
          <w:rFonts w:ascii="Lato" w:eastAsia="Times New Roman" w:hAnsi="Lato" w:cs="Arial"/>
          <w:i/>
          <w:iCs/>
          <w:spacing w:val="4"/>
          <w:lang w:eastAsia="pl-PL"/>
        </w:rPr>
        <w:t xml:space="preserve"> kpa, </w:t>
      </w:r>
      <w:r w:rsidRPr="0002524B">
        <w:rPr>
          <w:rFonts w:ascii="Lato" w:eastAsia="Times New Roman" w:hAnsi="Lato" w:cs="Arial"/>
          <w:spacing w:val="4"/>
          <w:lang w:eastAsia="pl-PL"/>
        </w:rPr>
        <w:t>a przede wszystkim do podejmowania wszelkich kroków niezbędnych do dokładnego wyjaśnienia stanu faktycznego.</w:t>
      </w:r>
    </w:p>
    <w:p w14:paraId="2DBA1D0D"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Mając powyższe na uwadze, w trakcie przeprowadzonego postępowania odwoławczego </w:t>
      </w:r>
      <w:r w:rsidRPr="0002524B">
        <w:rPr>
          <w:rFonts w:ascii="Lato" w:eastAsia="Times New Roman" w:hAnsi="Lato" w:cs="Arial"/>
          <w:i/>
          <w:iCs/>
          <w:spacing w:val="4"/>
          <w:lang w:eastAsia="pl-PL"/>
        </w:rPr>
        <w:t>Minister</w:t>
      </w:r>
      <w:r w:rsidRPr="0002524B">
        <w:rPr>
          <w:rFonts w:ascii="Lato" w:eastAsia="Times New Roman" w:hAnsi="Lato" w:cs="Arial"/>
          <w:spacing w:val="4"/>
          <w:lang w:eastAsia="pl-PL"/>
        </w:rPr>
        <w:t xml:space="preserve"> rozpatrzył ponownie wniosek</w:t>
      </w:r>
      <w:r w:rsidRPr="0002524B">
        <w:rPr>
          <w:rFonts w:ascii="Lato" w:eastAsia="Times New Roman" w:hAnsi="Lato" w:cs="Arial"/>
          <w:i/>
          <w:iCs/>
          <w:spacing w:val="4"/>
          <w:lang w:eastAsia="pl-PL"/>
        </w:rPr>
        <w:t xml:space="preserve"> inwestora o</w:t>
      </w:r>
      <w:r w:rsidRPr="0002524B">
        <w:rPr>
          <w:rFonts w:ascii="Lato" w:eastAsia="Times New Roman" w:hAnsi="Lato" w:cs="Arial"/>
          <w:spacing w:val="4"/>
          <w:lang w:eastAsia="pl-PL"/>
        </w:rPr>
        <w:t xml:space="preserve"> wydanie przedmiotowej decyzji, przeanalizował materiał dowodowy zgromadzony przez organ I instancji, w tym zbadał prawidłowość przeprowadzonego przez organ I instancji postępowania oraz kończącej je </w:t>
      </w:r>
      <w:r w:rsidRPr="0002524B">
        <w:rPr>
          <w:rFonts w:ascii="Lato" w:eastAsia="Times New Roman" w:hAnsi="Lato" w:cs="Arial"/>
          <w:i/>
          <w:iCs/>
          <w:spacing w:val="4"/>
          <w:lang w:eastAsia="pl-PL"/>
        </w:rPr>
        <w:t>decyzji Wojewody Zachodniopomorskiego,</w:t>
      </w:r>
      <w:r w:rsidRPr="0002524B">
        <w:rPr>
          <w:rFonts w:ascii="Lato" w:eastAsia="Times New Roman" w:hAnsi="Lato" w:cs="Arial"/>
          <w:spacing w:val="4"/>
          <w:lang w:eastAsia="pl-PL"/>
        </w:rPr>
        <w:t xml:space="preserve"> jak również rozpatrzył zarzuty skarżącej strony.</w:t>
      </w:r>
    </w:p>
    <w:p w14:paraId="4E54B484" w14:textId="2B691104"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 niniejszym przypadku, ww. wniosek z dnia 21 października 2021 r. o wydanie zaskarżonej decyzji, został złożony przez właściwy podmiot, zgodnie z art. 38 pkt 2</w:t>
      </w:r>
      <w:r>
        <w:rPr>
          <w:rFonts w:ascii="Lato" w:eastAsia="Times New Roman" w:hAnsi="Lato" w:cs="Arial"/>
          <w:spacing w:val="4"/>
          <w:lang w:eastAsia="pl-PL"/>
        </w:rPr>
        <w:t xml:space="preserve"> </w:t>
      </w:r>
      <w:r w:rsidRPr="0002524B">
        <w:rPr>
          <w:rFonts w:ascii="Lato" w:eastAsia="Times New Roman" w:hAnsi="Lato" w:cs="Arial"/>
          <w:i/>
          <w:iCs/>
          <w:spacing w:val="4"/>
          <w:lang w:eastAsia="pl-PL"/>
        </w:rPr>
        <w:t>specustawy gazowej,</w:t>
      </w:r>
      <w:r w:rsidRPr="0002524B">
        <w:rPr>
          <w:rFonts w:ascii="Lato" w:eastAsia="Times New Roman" w:hAnsi="Lato" w:cs="Arial"/>
          <w:spacing w:val="4"/>
          <w:lang w:eastAsia="pl-PL"/>
        </w:rPr>
        <w:t xml:space="preserve"> tj. przez Operatora Gazociągów Przesyłowych GAZ-SYSTEM S.A.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z siedzibą w Warszawie, reprezentowanego przez ustanowionego w sprawie pełnomocnika. Projektowana inwestycja mieści się w wykazie inwestycji towarzyszących inwestycjom w zakresie terminalu, określonych w art. 38 pkt 2 lit. </w:t>
      </w:r>
      <w:proofErr w:type="spellStart"/>
      <w:r w:rsidRPr="0002524B">
        <w:rPr>
          <w:rFonts w:ascii="Lato" w:eastAsia="Times New Roman" w:hAnsi="Lato" w:cs="Arial"/>
          <w:spacing w:val="4"/>
          <w:lang w:eastAsia="pl-PL"/>
        </w:rPr>
        <w:t>zg</w:t>
      </w:r>
      <w:proofErr w:type="spellEnd"/>
      <w:r w:rsidRPr="0002524B">
        <w:rPr>
          <w:rFonts w:ascii="Lato" w:eastAsia="Times New Roman" w:hAnsi="Lato" w:cs="Arial"/>
          <w:i/>
          <w:iCs/>
          <w:spacing w:val="4"/>
          <w:lang w:eastAsia="pl-PL"/>
        </w:rPr>
        <w:t xml:space="preserve"> specustawy gazowej. </w:t>
      </w:r>
      <w:r w:rsidRPr="0002524B">
        <w:rPr>
          <w:rFonts w:ascii="Lato" w:eastAsia="Times New Roman" w:hAnsi="Lato" w:cs="Arial"/>
          <w:spacing w:val="4"/>
          <w:lang w:eastAsia="pl-PL"/>
        </w:rPr>
        <w:t xml:space="preserve">W przepisie tym wskazano, iż inwestycją towarzyszącą inwestycjom w zakresie terminalu realizowaną przez Operatora Gazociągów Przesyłowych GAZ-SYSTEM S.A. z siedzibą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w Warszawie jest budowa gazociągów w celu zmiany przebiegu trasy istniejących gazociągów przesyłowych wysokiego ciśnienia albo ich odbudowa, rozbudowa, przebudowa, remont, rozbiórka lub zmiana sposobu użytkowania wraz z infrastrukturą </w:t>
      </w:r>
      <w:r w:rsidRPr="0002524B">
        <w:rPr>
          <w:rFonts w:ascii="Lato" w:eastAsia="Times New Roman" w:hAnsi="Lato" w:cs="Arial"/>
          <w:spacing w:val="4"/>
          <w:lang w:eastAsia="pl-PL"/>
        </w:rPr>
        <w:lastRenderedPageBreak/>
        <w:t xml:space="preserve">niezbędną do ich obsługi. Przedmiotowa inwestycja dotyczy przebudowy gazociągu </w:t>
      </w:r>
      <w:r w:rsidR="00DD707C">
        <w:rPr>
          <w:rFonts w:ascii="Lato" w:eastAsia="Times New Roman" w:hAnsi="Lato" w:cs="Arial"/>
          <w:spacing w:val="4"/>
          <w:lang w:eastAsia="pl-PL"/>
        </w:rPr>
        <w:br/>
      </w:r>
      <w:r w:rsidRPr="0002524B">
        <w:rPr>
          <w:rFonts w:ascii="Lato" w:eastAsia="Times New Roman" w:hAnsi="Lato" w:cs="Arial"/>
          <w:spacing w:val="4"/>
          <w:lang w:eastAsia="pl-PL"/>
        </w:rPr>
        <w:t>w celu zmiany przebiegu trasy istniejącego gazociągu przesyłowego wysokiego ciśnienia przewidzianego do rozbiórki.</w:t>
      </w:r>
    </w:p>
    <w:p w14:paraId="229E0F63"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Analizując złożony przez</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wniosek</w:t>
      </w:r>
      <w:r w:rsidRPr="0002524B">
        <w:rPr>
          <w:rFonts w:ascii="Lato" w:eastAsia="Times New Roman" w:hAnsi="Lato" w:cs="Arial"/>
          <w:i/>
          <w:iCs/>
          <w:spacing w:val="4"/>
          <w:lang w:eastAsia="pl-PL"/>
        </w:rPr>
        <w:t xml:space="preserve"> Minister</w:t>
      </w:r>
      <w:r w:rsidRPr="0002524B">
        <w:rPr>
          <w:rFonts w:ascii="Lato" w:eastAsia="Times New Roman" w:hAnsi="Lato" w:cs="Arial"/>
          <w:spacing w:val="4"/>
          <w:lang w:eastAsia="pl-PL"/>
        </w:rPr>
        <w:t xml:space="preserve"> uznał, że zawiera on wszystkie elementy wymagane na podstawie przepisu art. 6 (w brzmieniu mającym zastosowanie w niniejszej sprawie) w zw. z art. 39 ust. 1</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z wyjątkiem braku określenia warunków umieszczenia na gruntach stanowiących własność Skarbu Państwa pokrytych wodami, gruntów stanowiących pas drogowy bądź gruntów objętych obszarem kolejowym obiektów lub urządzeń objętych przedmiotową inwestycją, co zostanie wyjaśnione w dalszej części uzasadnienia niniejszej decyzji.</w:t>
      </w:r>
    </w:p>
    <w:p w14:paraId="24C0FDDE" w14:textId="78BE95F3"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Następnie organ odwoławczy poddał kontroli przeprowadzone przez Wojewodę Zachodniopomorskiego postępowanie o wydanie decyzji o ustaleniu lokalizacji inwestycji towarzyszącej inwestycjom w zakresie terminalu i stwierdził, co następuje. W ocenie </w:t>
      </w:r>
      <w:r w:rsidRPr="0002524B">
        <w:rPr>
          <w:rFonts w:ascii="Lato" w:eastAsia="Times New Roman" w:hAnsi="Lato" w:cs="Arial"/>
          <w:i/>
          <w:iCs/>
          <w:spacing w:val="4"/>
          <w:lang w:eastAsia="pl-PL"/>
        </w:rPr>
        <w:t>Ministra</w:t>
      </w:r>
      <w:r w:rsidRPr="0002524B">
        <w:rPr>
          <w:rFonts w:ascii="Lato" w:eastAsia="Times New Roman" w:hAnsi="Lato" w:cs="Arial"/>
          <w:spacing w:val="4"/>
          <w:lang w:eastAsia="pl-PL"/>
        </w:rPr>
        <w:t xml:space="preserve"> organ pierwszej instancji poinformował strony o wszczętym postępowaniu, podał jego podstawę prawną, pouczył o prawie do składania wniosków, uwag </w:t>
      </w:r>
      <w:r w:rsidR="00DD707C">
        <w:rPr>
          <w:rFonts w:ascii="Lato" w:eastAsia="Times New Roman" w:hAnsi="Lato" w:cs="Arial"/>
          <w:spacing w:val="4"/>
          <w:lang w:eastAsia="pl-PL"/>
        </w:rPr>
        <w:br/>
      </w:r>
      <w:r w:rsidRPr="0002524B">
        <w:rPr>
          <w:rFonts w:ascii="Lato" w:eastAsia="Times New Roman" w:hAnsi="Lato" w:cs="Arial"/>
          <w:spacing w:val="4"/>
          <w:lang w:eastAsia="pl-PL"/>
        </w:rPr>
        <w:t>i zastrzeżeń, a zatem należycie i wyczerpująco poinformował strony o okolicznościach faktycznych i prawnych, będących przedmiotem postępowania administracyjnego, które mogły mieć wpływ na ustalenie ich praw i obowiązków.</w:t>
      </w:r>
    </w:p>
    <w:p w14:paraId="1AD7EA45" w14:textId="428B80C4"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Wojewoda Zachodniopomorski, pismem z dnia 4 listopada 2021 r., znak: </w:t>
      </w:r>
      <w:r w:rsidR="00DD707C">
        <w:rPr>
          <w:rFonts w:ascii="Lato" w:eastAsia="Times New Roman" w:hAnsi="Lato" w:cs="Arial"/>
          <w:spacing w:val="4"/>
          <w:lang w:eastAsia="pl-PL"/>
        </w:rPr>
        <w:br/>
      </w:r>
      <w:r w:rsidRPr="0002524B">
        <w:rPr>
          <w:rFonts w:ascii="Lato" w:eastAsia="Times New Roman" w:hAnsi="Lato" w:cs="Arial"/>
          <w:spacing w:val="4"/>
          <w:lang w:eastAsia="pl-PL"/>
        </w:rPr>
        <w:t>AP-4.747.7- 1.2021.PM, zawiadomił o wszczęciu postępowania w sprawie wydania decyzji o ustaleniu lokalizacji inwestycji towarzyszącej inwestycjom w zakresie terminalu wnioskodawcę, właścicieli nieruchomości i użytkowników wieczystych nieruchomości objętych wnioskiem, wysyłając zawiadomienie na adresy wskazane w katastrze nieruchomości. Pozostałe strony postępowania zostały poinformowane o jego wszczęciu w drodze obwieszczeń. W zawiadomieniu i obwieszczeniu organ I instancji poinformował o możliwości zapoznania się z dokumentacją dotyczącą inwestycji.</w:t>
      </w:r>
    </w:p>
    <w:p w14:paraId="68430A84"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Uznając, że zebrany w sprawie materiał dowodowy pozwala na wydanie rozstrzygnięcia, Wojewoda Zachodniopomorski wydał w dniu 25 listopada 2021 r. decyzję o ustaleniu lokalizacji ww. inwestycji towarzyszącej inwestycjom w zakresie terminalu. Stosownie do art. 34 ust. 1</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decyzja podlega natychmiastowemu wykonaniu.</w:t>
      </w:r>
    </w:p>
    <w:p w14:paraId="78AF7221" w14:textId="0A9F4029"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 myśl art. 12 ust. 1</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Wojewoda Zachodniopomorski doręczył </w:t>
      </w:r>
      <w:r w:rsidR="00DD707C">
        <w:rPr>
          <w:rFonts w:ascii="Lato" w:eastAsia="Times New Roman" w:hAnsi="Lato" w:cs="Arial"/>
          <w:spacing w:val="4"/>
          <w:lang w:eastAsia="pl-PL"/>
        </w:rPr>
        <w:br/>
      </w:r>
      <w:r w:rsidRPr="0002524B">
        <w:rPr>
          <w:rFonts w:ascii="Lato" w:eastAsia="Times New Roman" w:hAnsi="Lato" w:cs="Arial"/>
          <w:spacing w:val="4"/>
          <w:lang w:eastAsia="pl-PL"/>
        </w:rPr>
        <w:t>ww. decyzję wnioskodawcy oraz zawiadomił o jej wydaniu pozostałe strony w drodze obwieszczeń. Właścicieli nieruchomości objętej</w:t>
      </w:r>
      <w:r w:rsidRPr="0002524B">
        <w:rPr>
          <w:rFonts w:ascii="Lato" w:eastAsia="Times New Roman" w:hAnsi="Lato" w:cs="Arial"/>
          <w:i/>
          <w:iCs/>
          <w:spacing w:val="4"/>
          <w:lang w:eastAsia="pl-PL"/>
        </w:rPr>
        <w:t xml:space="preserve"> decyzją Wojewody Zachodniopomorskiego,</w:t>
      </w:r>
      <w:r w:rsidRPr="0002524B">
        <w:rPr>
          <w:rFonts w:ascii="Lato" w:eastAsia="Times New Roman" w:hAnsi="Lato" w:cs="Arial"/>
          <w:spacing w:val="4"/>
          <w:lang w:eastAsia="pl-PL"/>
        </w:rPr>
        <w:t xml:space="preserve"> organ pierwszej instancji poinformował o wydaniu decyzji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w drodze zawiadomienia z dnia 26 listopada 2021 r., znak: AP-4.747.7-7.2021.PM, wysyłanego na adres wskazany w katastrze nieruchomości. W zawiadomieniu oraz </w:t>
      </w:r>
      <w:r w:rsidR="00DD707C">
        <w:rPr>
          <w:rFonts w:ascii="Lato" w:eastAsia="Times New Roman" w:hAnsi="Lato" w:cs="Arial"/>
          <w:spacing w:val="4"/>
          <w:lang w:eastAsia="pl-PL"/>
        </w:rPr>
        <w:br/>
      </w:r>
      <w:r w:rsidRPr="0002524B">
        <w:rPr>
          <w:rFonts w:ascii="Lato" w:eastAsia="Times New Roman" w:hAnsi="Lato" w:cs="Arial"/>
          <w:spacing w:val="4"/>
          <w:lang w:eastAsia="pl-PL"/>
        </w:rPr>
        <w:t>w obwieszczeniu zamieszczono, zgodnie z art. 12 ust. 2</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informację o miejscu, w którym strony mogą zapoznać się z treścią decyzji.</w:t>
      </w:r>
    </w:p>
    <w:p w14:paraId="650C81F4" w14:textId="1A6D1D2B"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Kontrolowana</w:t>
      </w:r>
      <w:r w:rsidRPr="0002524B">
        <w:rPr>
          <w:rFonts w:ascii="Lato" w:eastAsia="Times New Roman" w:hAnsi="Lato" w:cs="Arial"/>
          <w:i/>
          <w:iCs/>
          <w:spacing w:val="4"/>
          <w:lang w:eastAsia="pl-PL"/>
        </w:rPr>
        <w:t xml:space="preserve"> decyzja Wojewody Zachodniopomorskiego</w:t>
      </w:r>
      <w:r w:rsidRPr="0002524B">
        <w:rPr>
          <w:rFonts w:ascii="Lato" w:eastAsia="Times New Roman" w:hAnsi="Lato" w:cs="Arial"/>
          <w:spacing w:val="4"/>
          <w:lang w:eastAsia="pl-PL"/>
        </w:rPr>
        <w:t xml:space="preserve"> (z zastrzeżeniem uchybień,</w:t>
      </w:r>
      <w:r>
        <w:rPr>
          <w:rFonts w:ascii="Lato" w:eastAsia="Times New Roman" w:hAnsi="Lato" w:cs="Arial"/>
          <w:spacing w:val="4"/>
          <w:lang w:eastAsia="pl-PL"/>
        </w:rPr>
        <w:t xml:space="preserve"> </w:t>
      </w:r>
      <w:r w:rsidR="00DD707C">
        <w:rPr>
          <w:rFonts w:ascii="Lato" w:eastAsia="Times New Roman" w:hAnsi="Lato" w:cs="Arial"/>
          <w:spacing w:val="4"/>
          <w:lang w:eastAsia="pl-PL"/>
        </w:rPr>
        <w:br/>
      </w:r>
      <w:r>
        <w:rPr>
          <w:rFonts w:ascii="Lato" w:eastAsia="Times New Roman" w:hAnsi="Lato" w:cs="Arial"/>
          <w:spacing w:val="4"/>
          <w:lang w:eastAsia="pl-PL"/>
        </w:rPr>
        <w:t xml:space="preserve">o </w:t>
      </w:r>
      <w:r w:rsidRPr="0002524B">
        <w:rPr>
          <w:rFonts w:ascii="Lato" w:eastAsia="Times New Roman" w:hAnsi="Lato" w:cs="Arial"/>
          <w:spacing w:val="4"/>
          <w:lang w:eastAsia="pl-PL"/>
        </w:rPr>
        <w:t>których będzie mowa poniżej), czyni zadość wymogom przedstawionym w art. 10 ust.</w:t>
      </w:r>
      <w:r>
        <w:rPr>
          <w:rFonts w:ascii="Lato" w:eastAsia="Times New Roman" w:hAnsi="Lato" w:cs="Arial"/>
          <w:spacing w:val="4"/>
          <w:lang w:eastAsia="pl-PL"/>
        </w:rPr>
        <w:t xml:space="preserve"> 1 </w:t>
      </w:r>
      <w:r w:rsidRPr="0002524B">
        <w:rPr>
          <w:rFonts w:ascii="Lato" w:eastAsia="Times New Roman" w:hAnsi="Lato" w:cs="Arial"/>
          <w:i/>
          <w:iCs/>
          <w:spacing w:val="4"/>
          <w:lang w:eastAsia="pl-PL"/>
        </w:rPr>
        <w:t>specustawy gazowej,</w:t>
      </w:r>
      <w:r w:rsidRPr="0002524B">
        <w:rPr>
          <w:rFonts w:ascii="Lato" w:eastAsia="Times New Roman" w:hAnsi="Lato" w:cs="Arial"/>
          <w:spacing w:val="4"/>
          <w:lang w:eastAsia="pl-PL"/>
        </w:rPr>
        <w:t xml:space="preserve"> zawiera bowiem wszystkie niezbędne w okolicznościach niniejszej sprawy elementy. Zgodnie z art. 10 ust. 2</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projekt powyższej decyzji został sporządzony przez osobę, o której mowa w art. 5 ustawy z dnia 27 marca 2003 r. o planowaniu i zagospodarowaniu przestrzennym (</w:t>
      </w:r>
      <w:proofErr w:type="spellStart"/>
      <w:r w:rsidRPr="0002524B">
        <w:rPr>
          <w:rFonts w:ascii="Lato" w:eastAsia="Times New Roman" w:hAnsi="Lato" w:cs="Arial"/>
          <w:spacing w:val="4"/>
          <w:lang w:eastAsia="pl-PL"/>
        </w:rPr>
        <w:t>t.j</w:t>
      </w:r>
      <w:proofErr w:type="spellEnd"/>
      <w:r w:rsidRPr="0002524B">
        <w:rPr>
          <w:rFonts w:ascii="Lato" w:eastAsia="Times New Roman" w:hAnsi="Lato" w:cs="Arial"/>
          <w:spacing w:val="4"/>
          <w:lang w:eastAsia="pl-PL"/>
        </w:rPr>
        <w:t>. Dz.U. z 2024 r. poz. 1130, z późn. zm.), zwanej dalej</w:t>
      </w:r>
      <w:r w:rsidRPr="0002524B">
        <w:rPr>
          <w:rFonts w:ascii="Lato" w:eastAsia="Times New Roman" w:hAnsi="Lato" w:cs="Arial"/>
          <w:i/>
          <w:iCs/>
          <w:spacing w:val="4"/>
          <w:lang w:eastAsia="pl-PL"/>
        </w:rPr>
        <w:t xml:space="preserve"> „ustawą o planowaniu i zagospodarowaniu przestrzennym".</w:t>
      </w:r>
    </w:p>
    <w:p w14:paraId="2BE26AFF"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w:t>
      </w:r>
      <w:r w:rsidRPr="0002524B">
        <w:rPr>
          <w:rFonts w:ascii="Lato" w:eastAsia="Times New Roman" w:hAnsi="Lato" w:cs="Arial"/>
          <w:spacing w:val="4"/>
          <w:lang w:eastAsia="pl-PL"/>
        </w:rPr>
        <w:lastRenderedPageBreak/>
        <w:t>Należy zauważyć, iż przepisy art. 138 § 1 pkt 2</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43698B9F" w14:textId="3BF64B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Wskazać bowiem należy, że wniosek o wydanie decyzji o ustaleniu lokalizacji inwestycji w zakresie terminalu - zgodnie z art. 6 ust. 1 pkt 11</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 zawierać powinien, wskazanie nieruchomości, w tym gruntów stanowiących własność Skarbu Państwa pokrytych wodami, gruntów stanowiących pas drogowy bądź gruntów objętych obszarem kolejowym, jeżeli inwestycja w zakresie terminalu wymaga przejścia przez te grunty, a w przypadku gruntów stanowiących pas drogowy również, jeżeli inwestycja </w:t>
      </w:r>
      <w:r w:rsidR="00DD707C">
        <w:rPr>
          <w:rFonts w:ascii="Lato" w:eastAsia="Times New Roman" w:hAnsi="Lato" w:cs="Arial"/>
          <w:spacing w:val="4"/>
          <w:lang w:eastAsia="pl-PL"/>
        </w:rPr>
        <w:br/>
      </w:r>
      <w:r w:rsidRPr="0002524B">
        <w:rPr>
          <w:rFonts w:ascii="Lato" w:eastAsia="Times New Roman" w:hAnsi="Lato" w:cs="Arial"/>
          <w:spacing w:val="4"/>
          <w:lang w:eastAsia="pl-PL"/>
        </w:rPr>
        <w:t>w zakresie terminalu wymaga budowy lub przebudowy zjazdów, w stosunku do których decyzja o ustaleniu lokalizacji inwestycji w zakresie terminalu ma wywołać skutek,</w:t>
      </w:r>
      <w:r>
        <w:rPr>
          <w:rFonts w:ascii="Lato" w:eastAsia="Times New Roman" w:hAnsi="Lato" w:cs="Arial"/>
          <w:spacing w:val="4"/>
          <w:lang w:eastAsia="pl-PL"/>
        </w:rPr>
        <w:t xml:space="preserve"> </w:t>
      </w:r>
      <w:r w:rsidR="00DD707C">
        <w:rPr>
          <w:rFonts w:ascii="Lato" w:eastAsia="Times New Roman" w:hAnsi="Lato" w:cs="Arial"/>
          <w:spacing w:val="4"/>
          <w:lang w:eastAsia="pl-PL"/>
        </w:rPr>
        <w:br/>
      </w:r>
      <w:r>
        <w:rPr>
          <w:rFonts w:ascii="Lato" w:eastAsia="Times New Roman" w:hAnsi="Lato" w:cs="Arial"/>
          <w:spacing w:val="4"/>
          <w:lang w:eastAsia="pl-PL"/>
        </w:rPr>
        <w:t xml:space="preserve">o </w:t>
      </w:r>
      <w:r w:rsidRPr="0002524B">
        <w:rPr>
          <w:rFonts w:ascii="Lato" w:eastAsia="Times New Roman" w:hAnsi="Lato" w:cs="Arial"/>
          <w:spacing w:val="4"/>
          <w:lang w:eastAsia="pl-PL"/>
        </w:rPr>
        <w:t>którym mowa w art. 24 ust. 1.</w:t>
      </w:r>
    </w:p>
    <w:p w14:paraId="7981EC04" w14:textId="63C944DF"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 myśl natomiast art. 10 ust. 1 pkt 8</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jeżeli inwestycja w zakresie terminalu wymaga przejścia przez grunty stanowiące własność Skarbu Państwa pokryte wodami, grunty stanowiące pas drogowy bądź grunty objęte obszarem kolejowym, decyzja o ustaleniu lokalizacji inwestycji w zakresie terminalu określa sposób, miejsce</w:t>
      </w:r>
      <w:r>
        <w:rPr>
          <w:rFonts w:ascii="Lato" w:eastAsia="Times New Roman" w:hAnsi="Lato" w:cs="Arial"/>
          <w:spacing w:val="4"/>
          <w:lang w:eastAsia="pl-PL"/>
        </w:rPr>
        <w:t xml:space="preserve"> </w:t>
      </w:r>
      <w:r w:rsidR="00DD707C">
        <w:rPr>
          <w:rFonts w:ascii="Lato" w:eastAsia="Times New Roman" w:hAnsi="Lato" w:cs="Arial"/>
          <w:spacing w:val="4"/>
          <w:lang w:eastAsia="pl-PL"/>
        </w:rPr>
        <w:br/>
      </w:r>
      <w:r>
        <w:rPr>
          <w:rFonts w:ascii="Lato" w:eastAsia="Times New Roman" w:hAnsi="Lato" w:cs="Arial"/>
          <w:spacing w:val="4"/>
          <w:lang w:eastAsia="pl-PL"/>
        </w:rPr>
        <w:t xml:space="preserve">i </w:t>
      </w:r>
      <w:r w:rsidRPr="0002524B">
        <w:rPr>
          <w:rFonts w:ascii="Lato" w:eastAsia="Times New Roman" w:hAnsi="Lato" w:cs="Arial"/>
          <w:spacing w:val="4"/>
          <w:lang w:eastAsia="pl-PL"/>
        </w:rPr>
        <w:t xml:space="preserve">warunki umieszczenia na tych gruntach obiektów lub urządzeń; w przypadku gdy inwestycja w zakresie terminalu wymaga budowy lub przebudowy zjazdów, decyzja </w:t>
      </w:r>
      <w:r w:rsidR="00DD707C">
        <w:rPr>
          <w:rFonts w:ascii="Lato" w:eastAsia="Times New Roman" w:hAnsi="Lato" w:cs="Arial"/>
          <w:spacing w:val="4"/>
          <w:lang w:eastAsia="pl-PL"/>
        </w:rPr>
        <w:br/>
      </w:r>
      <w:r w:rsidRPr="0002524B">
        <w:rPr>
          <w:rFonts w:ascii="Lato" w:eastAsia="Times New Roman" w:hAnsi="Lato" w:cs="Arial"/>
          <w:spacing w:val="4"/>
          <w:lang w:eastAsia="pl-PL"/>
        </w:rPr>
        <w:t>o ustaleniu lokalizacji inwestycji w zakresie terminalu określa także parametry techniczne zjazdów, a jeżeli dotyczy budowy zjazdów również ich lokalizację.</w:t>
      </w:r>
    </w:p>
    <w:p w14:paraId="08485788"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Z powyższego wynika, iż jeżeli inwestycja wymaga przejścia m.in. przez grunty stanowiące pas drogowy, zarówno</w:t>
      </w:r>
      <w:r w:rsidRPr="0002524B">
        <w:rPr>
          <w:rFonts w:ascii="Lato" w:eastAsia="Times New Roman" w:hAnsi="Lato" w:cs="Arial"/>
          <w:i/>
          <w:iCs/>
          <w:spacing w:val="4"/>
          <w:lang w:eastAsia="pl-PL"/>
        </w:rPr>
        <w:t xml:space="preserve"> inwestor</w:t>
      </w:r>
      <w:r w:rsidRPr="0002524B">
        <w:rPr>
          <w:rFonts w:ascii="Lato" w:eastAsia="Times New Roman" w:hAnsi="Lato" w:cs="Arial"/>
          <w:spacing w:val="4"/>
          <w:lang w:eastAsia="pl-PL"/>
        </w:rPr>
        <w:t xml:space="preserve"> we wniosku lokalizacyjnym, jak i organ wydający decyzję lokalizacyjną, powinni określić sposób, miejsce i warunki umieszczenia na tych gruntach obiektów lub urządzeń.</w:t>
      </w:r>
    </w:p>
    <w:p w14:paraId="5A52BC78" w14:textId="06D58348"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Przechodząc na grunt niniejszej sprawy wskazać należy, iż przedmiotowa inwestycja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w zakresie terminalu wymaga przejścia przez grunty stanowiące pas drogowy (droga gminna i droga krajowa). Natomiast we wniosku z dnia 21 października 2021 r. o wydanie decyzji o ustaleniu lokalizacji inwestycji towarzyszącej inwestycji w zakresie terminalu, inwestor określił co prawda sposób i miejsce umieszczenia na tych gruntach obiektów lub urządzeń objętych przedmiotową inwestycją, jednak nie określił warunków umieszczenia. Za takie określenie nie można bowiem uznać wskazania, że „planowane skrzyżowania gazociągu z drogami publicznymi zostały zaprojektowane zgodnie </w:t>
      </w:r>
      <w:r w:rsidR="00DD707C">
        <w:rPr>
          <w:rFonts w:ascii="Lato" w:eastAsia="Times New Roman" w:hAnsi="Lato" w:cs="Arial"/>
          <w:spacing w:val="4"/>
          <w:lang w:eastAsia="pl-PL"/>
        </w:rPr>
        <w:br/>
      </w:r>
      <w:r w:rsidRPr="0002524B">
        <w:rPr>
          <w:rFonts w:ascii="Lato" w:eastAsia="Times New Roman" w:hAnsi="Lato" w:cs="Arial"/>
          <w:spacing w:val="4"/>
          <w:lang w:eastAsia="pl-PL"/>
        </w:rPr>
        <w:t>z indywidualnymi wymaganiami zarządcy oraz obowiązującymi przepisami".</w:t>
      </w:r>
    </w:p>
    <w:p w14:paraId="7DA70155" w14:textId="77777777"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Podobnie w ww.</w:t>
      </w:r>
      <w:r w:rsidRPr="0002524B">
        <w:rPr>
          <w:rFonts w:ascii="Lato" w:eastAsia="Times New Roman" w:hAnsi="Lato" w:cs="Arial"/>
          <w:i/>
          <w:iCs/>
          <w:spacing w:val="4"/>
          <w:lang w:eastAsia="pl-PL"/>
        </w:rPr>
        <w:t xml:space="preserve"> decyzji Wojewody Zachodniopomorskiego</w:t>
      </w:r>
      <w:r w:rsidRPr="0002524B">
        <w:rPr>
          <w:rFonts w:ascii="Lato" w:eastAsia="Times New Roman" w:hAnsi="Lato" w:cs="Arial"/>
          <w:spacing w:val="4"/>
          <w:lang w:eastAsia="pl-PL"/>
        </w:rPr>
        <w:t xml:space="preserve"> brak jest rozstrzygnięcia wynikającego z ww. art. 10 ust. 1 pkt 8</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określającego warunki umieszczenia na gruntach stanowiących pas drogowy obiektów lub urządzeń.</w:t>
      </w:r>
    </w:p>
    <w:p w14:paraId="4E6DFCF3" w14:textId="2DC40370"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Ponadto, z akt sprawy wynika również, iż przedmiotowa inwestycja w zakresie terminalu wymaga przejścia przez grunty stanowiące wody, tj. działkę nr 12 obręb 160 Dąbie. Natomiast we wniosku z dnia 21 października 2021 r. o wydanie decyzji o ustaleniu lokalizacji inwestycji towarzyszącej inwestycji w zakresie terminalu, inwestor określając sposób i miejsce umieszczenia na tych gruntach obiektów lub urządzeń objętych przedmiotową inwestycją, nie określił jednak warunków umieszczenia. Wskazanie,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że „przekroczenie zostanie wykonane zgodnie z uzyskanymi warunkami technicznymi od zarządcy, to jest Zarząd Zlewni w Szczecinie", nie może zostać uznane za określenie </w:t>
      </w:r>
      <w:r w:rsidR="00DD707C">
        <w:rPr>
          <w:rFonts w:ascii="Lato" w:eastAsia="Times New Roman" w:hAnsi="Lato" w:cs="Arial"/>
          <w:spacing w:val="4"/>
          <w:lang w:eastAsia="pl-PL"/>
        </w:rPr>
        <w:br/>
      </w:r>
      <w:r w:rsidRPr="0002524B">
        <w:rPr>
          <w:rFonts w:ascii="Lato" w:eastAsia="Times New Roman" w:hAnsi="Lato" w:cs="Arial"/>
          <w:spacing w:val="4"/>
          <w:lang w:eastAsia="pl-PL"/>
        </w:rPr>
        <w:t>ww. warunków.</w:t>
      </w:r>
    </w:p>
    <w:p w14:paraId="6C8DDD14" w14:textId="53C498DB"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Wobec powyższego, konieczne stało się wezwanie</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do określenia warunków umieszczenia na gruntach stanowiących pas drogowy oraz wody, obiektów lub urządzeń </w:t>
      </w:r>
      <w:r w:rsidRPr="0002524B">
        <w:rPr>
          <w:rFonts w:ascii="Lato" w:eastAsia="Times New Roman" w:hAnsi="Lato" w:cs="Arial"/>
          <w:spacing w:val="4"/>
          <w:lang w:eastAsia="pl-PL"/>
        </w:rPr>
        <w:lastRenderedPageBreak/>
        <w:t xml:space="preserve">objętych przedmiotową inwestycją. Zatem, w piśmie z dnia 5 kwietnia 2022 r., znak: </w:t>
      </w:r>
      <w:r w:rsidR="00DD707C">
        <w:rPr>
          <w:rFonts w:ascii="Lato" w:eastAsia="Times New Roman" w:hAnsi="Lato" w:cs="Arial"/>
          <w:spacing w:val="4"/>
          <w:lang w:eastAsia="pl-PL"/>
        </w:rPr>
        <w:br/>
      </w:r>
      <w:r w:rsidRPr="0002524B">
        <w:rPr>
          <w:rFonts w:ascii="Lato" w:eastAsia="Times New Roman" w:hAnsi="Lato" w:cs="Arial"/>
          <w:spacing w:val="4"/>
          <w:lang w:eastAsia="pl-PL"/>
        </w:rPr>
        <w:t>DLI- 1.7620.35.2021.KT.4, organ odwoławczy wezwał</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do określenia warunków umieszczenia na gruntach stanowiących pas drogowy oraz wody, obiektów lub urządzeń objętych przedmiotową inwestycją. Następnie, w piśmie z dnia 22 kwietnia 2022 r., znak: 1870000203/MSLE/198/2022,</w:t>
      </w:r>
      <w:r w:rsidRPr="0002524B">
        <w:rPr>
          <w:rFonts w:ascii="Lato" w:eastAsia="Times New Roman" w:hAnsi="Lato" w:cs="Arial"/>
          <w:i/>
          <w:iCs/>
          <w:spacing w:val="4"/>
          <w:lang w:eastAsia="pl-PL"/>
        </w:rPr>
        <w:t xml:space="preserve"> inwestor</w:t>
      </w:r>
      <w:r w:rsidRPr="0002524B">
        <w:rPr>
          <w:rFonts w:ascii="Lato" w:eastAsia="Times New Roman" w:hAnsi="Lato" w:cs="Arial"/>
          <w:spacing w:val="4"/>
          <w:lang w:eastAsia="pl-PL"/>
        </w:rPr>
        <w:t xml:space="preserve"> określił warunki umieszczenia na gruntach stanowiących pas drogowy oraz </w:t>
      </w:r>
      <w:r w:rsidR="005712A6">
        <w:rPr>
          <w:rFonts w:ascii="Lato" w:eastAsia="Times New Roman" w:hAnsi="Lato" w:cs="Arial"/>
          <w:spacing w:val="4"/>
          <w:lang w:eastAsia="pl-PL"/>
        </w:rPr>
        <w:t>gruntach pokrytych wodami</w:t>
      </w:r>
      <w:r w:rsidRPr="0002524B">
        <w:rPr>
          <w:rFonts w:ascii="Lato" w:eastAsia="Times New Roman" w:hAnsi="Lato" w:cs="Arial"/>
          <w:spacing w:val="4"/>
          <w:lang w:eastAsia="pl-PL"/>
        </w:rPr>
        <w:t>, obiektów lub urządzeń objętych przedmiotową inwestycją.</w:t>
      </w:r>
    </w:p>
    <w:p w14:paraId="19672A33" w14:textId="7A1ADCD5"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Ponadto w ww. piśmie</w:t>
      </w:r>
      <w:r w:rsidRPr="0002524B">
        <w:rPr>
          <w:rFonts w:ascii="Lato" w:eastAsia="Times New Roman" w:hAnsi="Lato" w:cs="Arial"/>
          <w:i/>
          <w:iCs/>
          <w:spacing w:val="4"/>
          <w:lang w:eastAsia="pl-PL"/>
        </w:rPr>
        <w:t xml:space="preserve"> inwestor</w:t>
      </w:r>
      <w:r w:rsidRPr="0002524B">
        <w:rPr>
          <w:rFonts w:ascii="Lato" w:eastAsia="Times New Roman" w:hAnsi="Lato" w:cs="Arial"/>
          <w:spacing w:val="4"/>
          <w:lang w:eastAsia="pl-PL"/>
        </w:rPr>
        <w:t xml:space="preserve"> wyjaśnił, że bezspornie inwestycja przekracza teren kolejowy na działce ewidencyjnej nr 10/1 obręb 158, jednakże na terenie tym brak jest zarówno czynnych, jak i nieczynnych linii kolejowych. Wobec czego omyłkowo został wprowadzony zapis w rozdziale 14 w tabeli z wykazem nieruchomości objętych wnioskiem, gdzie wskazano, że działka nr 10/1 obręb Dąbie jest objęta obszarem kolejowym. W konsekwencji powyższego ww. zapis powielono w</w:t>
      </w:r>
      <w:r w:rsidRPr="0002524B">
        <w:rPr>
          <w:rFonts w:ascii="Lato" w:eastAsia="Times New Roman" w:hAnsi="Lato" w:cs="Arial"/>
          <w:i/>
          <w:iCs/>
          <w:spacing w:val="4"/>
          <w:lang w:eastAsia="pl-PL"/>
        </w:rPr>
        <w:t xml:space="preserve"> decyzji Wojewody Zachodniopomorskiego</w:t>
      </w:r>
      <w:r w:rsidR="005712A6">
        <w:rPr>
          <w:rFonts w:ascii="Lato" w:eastAsia="Times New Roman" w:hAnsi="Lato" w:cs="Arial"/>
          <w:spacing w:val="4"/>
          <w:lang w:eastAsia="pl-PL"/>
        </w:rPr>
        <w:t xml:space="preserve">, a który to zapis został </w:t>
      </w:r>
      <w:r w:rsidR="003064A4">
        <w:rPr>
          <w:rFonts w:ascii="Lato" w:eastAsia="Times New Roman" w:hAnsi="Lato" w:cs="Arial"/>
          <w:spacing w:val="4"/>
          <w:lang w:eastAsia="pl-PL"/>
        </w:rPr>
        <w:t xml:space="preserve">następnie </w:t>
      </w:r>
      <w:r w:rsidR="005712A6">
        <w:rPr>
          <w:rFonts w:ascii="Lato" w:eastAsia="Times New Roman" w:hAnsi="Lato" w:cs="Arial"/>
          <w:spacing w:val="4"/>
          <w:lang w:eastAsia="pl-PL"/>
        </w:rPr>
        <w:t xml:space="preserve">skorygowany przez </w:t>
      </w:r>
      <w:r w:rsidR="005712A6" w:rsidRPr="005712A6">
        <w:rPr>
          <w:rFonts w:ascii="Lato" w:eastAsia="Times New Roman" w:hAnsi="Lato" w:cs="Arial"/>
          <w:i/>
          <w:iCs/>
          <w:spacing w:val="4"/>
          <w:lang w:eastAsia="pl-PL"/>
        </w:rPr>
        <w:t>Ministra</w:t>
      </w:r>
      <w:r w:rsidR="005712A6">
        <w:rPr>
          <w:rFonts w:ascii="Lato" w:eastAsia="Times New Roman" w:hAnsi="Lato" w:cs="Arial"/>
          <w:spacing w:val="4"/>
          <w:lang w:eastAsia="pl-PL"/>
        </w:rPr>
        <w:t xml:space="preserve">. </w:t>
      </w:r>
    </w:p>
    <w:p w14:paraId="22B4A46D" w14:textId="3A6EAF6D" w:rsidR="005712A6" w:rsidRPr="009705F0" w:rsidRDefault="005712A6" w:rsidP="005712A6">
      <w:pPr>
        <w:autoSpaceDE w:val="0"/>
        <w:autoSpaceDN w:val="0"/>
        <w:adjustRightInd w:val="0"/>
        <w:spacing w:after="240" w:line="240" w:lineRule="exact"/>
        <w:jc w:val="both"/>
        <w:rPr>
          <w:rFonts w:ascii="Lato" w:hAnsi="Lato" w:cs="Lato"/>
          <w:color w:val="000000" w:themeColor="text1"/>
          <w:spacing w:val="4"/>
        </w:rPr>
      </w:pPr>
      <w:r w:rsidRPr="00E13B37">
        <w:rPr>
          <w:rFonts w:ascii="Lato" w:hAnsi="Lato" w:cs="Lato"/>
          <w:color w:val="000000" w:themeColor="text1"/>
          <w:spacing w:val="4"/>
        </w:rPr>
        <w:t xml:space="preserve">Analizując dalej </w:t>
      </w:r>
      <w:r w:rsidRPr="00E13B37">
        <w:rPr>
          <w:rFonts w:ascii="Lato" w:hAnsi="Lato" w:cs="Lato,Italic"/>
          <w:i/>
          <w:iCs/>
          <w:color w:val="000000" w:themeColor="text1"/>
          <w:spacing w:val="4"/>
        </w:rPr>
        <w:t xml:space="preserve">decyzję Wojewody </w:t>
      </w:r>
      <w:r w:rsidR="003064A4" w:rsidRPr="0002524B">
        <w:rPr>
          <w:rFonts w:ascii="Lato" w:eastAsia="Times New Roman" w:hAnsi="Lato" w:cs="Arial"/>
          <w:i/>
          <w:iCs/>
          <w:spacing w:val="4"/>
          <w:lang w:eastAsia="pl-PL"/>
        </w:rPr>
        <w:t>Zachodniopomorskiego</w:t>
      </w:r>
      <w:r w:rsidRPr="00E13B37">
        <w:rPr>
          <w:rFonts w:ascii="Lato" w:hAnsi="Lato" w:cs="Lato,Italic"/>
          <w:i/>
          <w:iCs/>
          <w:color w:val="000000" w:themeColor="text1"/>
          <w:spacing w:val="4"/>
        </w:rPr>
        <w:t xml:space="preserve"> </w:t>
      </w:r>
      <w:r w:rsidRPr="00E13B37">
        <w:rPr>
          <w:rFonts w:ascii="Lato" w:hAnsi="Lato" w:cs="Lato"/>
          <w:color w:val="000000" w:themeColor="text1"/>
          <w:spacing w:val="4"/>
        </w:rPr>
        <w:t xml:space="preserve">organ odwoławczy dostrzegł również, iż organ I instancji w pkt </w:t>
      </w:r>
      <w:r w:rsidR="00DD707C">
        <w:rPr>
          <w:rFonts w:ascii="Lato" w:hAnsi="Lato" w:cs="Lato"/>
          <w:color w:val="000000" w:themeColor="text1"/>
          <w:spacing w:val="4"/>
        </w:rPr>
        <w:t>15</w:t>
      </w:r>
      <w:r w:rsidRPr="00E13B37">
        <w:rPr>
          <w:rFonts w:ascii="Lato" w:hAnsi="Lato" w:cs="Lato"/>
          <w:color w:val="000000" w:themeColor="text1"/>
          <w:spacing w:val="4"/>
        </w:rPr>
        <w:t xml:space="preserve"> wyznaczył termin wydania nieruchomości, o którym mowa w art. 10 ust. 1 pkt 9 </w:t>
      </w:r>
      <w:r w:rsidRPr="00E13B37">
        <w:rPr>
          <w:rFonts w:ascii="Lato" w:hAnsi="Lato" w:cs="Lato,Italic"/>
          <w:i/>
          <w:iCs/>
          <w:color w:val="000000" w:themeColor="text1"/>
          <w:spacing w:val="4"/>
        </w:rPr>
        <w:t>specustawy gazowej</w:t>
      </w:r>
      <w:r w:rsidRPr="00E13B37">
        <w:rPr>
          <w:rFonts w:ascii="Lato" w:hAnsi="Lato" w:cs="Lato"/>
          <w:color w:val="000000" w:themeColor="text1"/>
          <w:spacing w:val="4"/>
        </w:rPr>
        <w:t>. Natomiast</w:t>
      </w:r>
      <w:r w:rsidR="00DD707C">
        <w:rPr>
          <w:rFonts w:ascii="Lato" w:hAnsi="Lato" w:cs="Lato"/>
          <w:color w:val="000000" w:themeColor="text1"/>
          <w:spacing w:val="4"/>
        </w:rPr>
        <w:t xml:space="preserve"> </w:t>
      </w:r>
      <w:r w:rsidRPr="00E13B37">
        <w:rPr>
          <w:rFonts w:ascii="Lato" w:hAnsi="Lato" w:cs="Lato,Italic"/>
          <w:i/>
          <w:iCs/>
          <w:color w:val="000000" w:themeColor="text1"/>
          <w:spacing w:val="4"/>
        </w:rPr>
        <w:t xml:space="preserve">decyzja Wojewody </w:t>
      </w:r>
      <w:r w:rsidR="00DD707C" w:rsidRPr="0002524B">
        <w:rPr>
          <w:rFonts w:ascii="Lato" w:eastAsia="Times New Roman" w:hAnsi="Lato" w:cs="Arial"/>
          <w:i/>
          <w:iCs/>
          <w:spacing w:val="4"/>
          <w:lang w:eastAsia="pl-PL"/>
        </w:rPr>
        <w:t>Zachodniopomorskiego</w:t>
      </w:r>
      <w:r w:rsidRPr="00E13B37">
        <w:rPr>
          <w:rFonts w:ascii="Lato" w:hAnsi="Lato" w:cs="Lato,Italic"/>
          <w:i/>
          <w:iCs/>
          <w:color w:val="000000" w:themeColor="text1"/>
          <w:spacing w:val="4"/>
        </w:rPr>
        <w:t xml:space="preserve"> </w:t>
      </w:r>
      <w:r w:rsidRPr="00E13B37">
        <w:rPr>
          <w:rFonts w:ascii="Lato" w:hAnsi="Lato" w:cs="Lato"/>
          <w:color w:val="000000" w:themeColor="text1"/>
          <w:spacing w:val="4"/>
        </w:rPr>
        <w:t xml:space="preserve">dotyczy nieruchomości, w stosunku do których sposób wykonywania prawa własności został jedynie ograniczony poprzez zapewnienie </w:t>
      </w:r>
      <w:r w:rsidRPr="00E13B37">
        <w:rPr>
          <w:rFonts w:ascii="Lato" w:hAnsi="Lato" w:cs="Lato,Italic"/>
          <w:i/>
          <w:iCs/>
          <w:color w:val="000000" w:themeColor="text1"/>
          <w:spacing w:val="4"/>
        </w:rPr>
        <w:t xml:space="preserve">inwestorowi </w:t>
      </w:r>
      <w:r w:rsidRPr="00E13B37">
        <w:rPr>
          <w:rFonts w:ascii="Lato" w:hAnsi="Lato" w:cs="Lato"/>
          <w:color w:val="000000" w:themeColor="text1"/>
          <w:spacing w:val="4"/>
        </w:rPr>
        <w:t>prawa do wejścia na ich teren celem wykonania niezbędnych robót budowlanych, o</w:t>
      </w:r>
      <w:r w:rsidRPr="009705F0">
        <w:rPr>
          <w:rFonts w:ascii="Lato" w:hAnsi="Lato" w:cs="Lato"/>
          <w:color w:val="000000" w:themeColor="text1"/>
          <w:spacing w:val="4"/>
        </w:rPr>
        <w:t xml:space="preserve"> których mowa w art. 24 ust. 1 </w:t>
      </w:r>
      <w:r w:rsidRPr="009705F0">
        <w:rPr>
          <w:rFonts w:ascii="Lato" w:hAnsi="Lato" w:cs="Lato,Italic"/>
          <w:i/>
          <w:iCs/>
          <w:color w:val="000000" w:themeColor="text1"/>
          <w:spacing w:val="4"/>
        </w:rPr>
        <w:t>specustawy gazowej</w:t>
      </w:r>
      <w:r w:rsidRPr="009705F0">
        <w:rPr>
          <w:rFonts w:ascii="Lato" w:hAnsi="Lato" w:cs="Lato"/>
          <w:color w:val="000000" w:themeColor="text1"/>
          <w:spacing w:val="4"/>
        </w:rPr>
        <w:t xml:space="preserve">. Organ administracji nie ma obowiązku umieszczać w decyzji o ustaleniu lokalizacji inwestycji towarzyszącej inwestycji w zakresie terminalu terminu wydania nieruchomości, gdy decyzja ta ma wywołać jedynie skutek, o którym mowa w art. 24 powołanej ustawy. Wówczas bowiem na właścicielu nieruchomości nie ciąży obowiązek wydania nieruchomości, </w:t>
      </w:r>
      <w:r>
        <w:rPr>
          <w:rFonts w:ascii="Lato" w:hAnsi="Lato" w:cs="Lato"/>
          <w:color w:val="000000" w:themeColor="text1"/>
          <w:spacing w:val="4"/>
        </w:rPr>
        <w:br/>
      </w:r>
      <w:r w:rsidRPr="009705F0">
        <w:rPr>
          <w:rFonts w:ascii="Lato" w:hAnsi="Lato" w:cs="Lato"/>
          <w:color w:val="000000" w:themeColor="text1"/>
          <w:spacing w:val="4"/>
        </w:rPr>
        <w:t xml:space="preserve">lecz obowiązek umożliwienia wejścia na teren nieruchomości w celu wykonywania określonych w tym przepisie czynności. Innymi słowy ograniczenie korzystania </w:t>
      </w:r>
      <w:r>
        <w:rPr>
          <w:rFonts w:ascii="Lato" w:hAnsi="Lato" w:cs="Lato"/>
          <w:color w:val="000000" w:themeColor="text1"/>
          <w:spacing w:val="4"/>
        </w:rPr>
        <w:br/>
      </w:r>
      <w:r w:rsidRPr="009705F0">
        <w:rPr>
          <w:rFonts w:ascii="Lato" w:hAnsi="Lato" w:cs="Lato"/>
          <w:color w:val="000000" w:themeColor="text1"/>
          <w:spacing w:val="4"/>
        </w:rPr>
        <w:t xml:space="preserve">z nieruchomości niesie ze sobą wyłącznie skutek udostępnienia nieruchomości, nie zaś jej wydania. Termin wydania nieruchomości, wynikający z art. 10 ust. 1 pkt 9 </w:t>
      </w:r>
      <w:r w:rsidRPr="009705F0">
        <w:rPr>
          <w:rFonts w:ascii="Lato" w:hAnsi="Lato" w:cs="Lato,Italic"/>
          <w:i/>
          <w:iCs/>
          <w:color w:val="000000" w:themeColor="text1"/>
          <w:spacing w:val="4"/>
        </w:rPr>
        <w:t>specustawy gazowej</w:t>
      </w:r>
      <w:r w:rsidRPr="009705F0">
        <w:rPr>
          <w:rFonts w:ascii="Lato" w:hAnsi="Lato" w:cs="Lato"/>
          <w:color w:val="000000" w:themeColor="text1"/>
          <w:spacing w:val="4"/>
        </w:rPr>
        <w:t>, dotyczy wyłącznie nieruchomości, co do których decyzja o ustaleniu lokalizacji inwestycji towarzyszącej inwestycji w zakresie terminalu ma wywołać skutek określony w art. 20 ust. 3-6a tej ustawy, a takie nieruchomości nie są objęte zakresem rzeczonej inwestycji. Stanowisko to jest ugruntowane i jednolite w orzecznictwie Naczelnego Sądu Administracyjnego dotyczącym ustawy z dnia 24 lipca 2015 r. o przygotowaniu i realizacji</w:t>
      </w:r>
      <w:r>
        <w:rPr>
          <w:rFonts w:ascii="Lato" w:hAnsi="Lato" w:cs="Lato"/>
          <w:color w:val="000000" w:themeColor="text1"/>
          <w:spacing w:val="4"/>
        </w:rPr>
        <w:t xml:space="preserve"> </w:t>
      </w:r>
      <w:r w:rsidRPr="009705F0">
        <w:rPr>
          <w:rFonts w:ascii="Lato" w:hAnsi="Lato" w:cs="Lato"/>
          <w:color w:val="000000" w:themeColor="text1"/>
          <w:spacing w:val="4"/>
        </w:rPr>
        <w:t>strategicznych inwestycji w zakresie sieci przesyłowych (</w:t>
      </w:r>
      <w:proofErr w:type="spellStart"/>
      <w:r w:rsidRPr="009705F0">
        <w:rPr>
          <w:rFonts w:ascii="Lato" w:hAnsi="Lato" w:cs="Lato"/>
          <w:color w:val="000000" w:themeColor="text1"/>
          <w:spacing w:val="4"/>
        </w:rPr>
        <w:t>t.j</w:t>
      </w:r>
      <w:proofErr w:type="spellEnd"/>
      <w:r w:rsidRPr="009705F0">
        <w:rPr>
          <w:rFonts w:ascii="Lato" w:hAnsi="Lato" w:cs="Lato"/>
          <w:color w:val="000000" w:themeColor="text1"/>
          <w:spacing w:val="4"/>
        </w:rPr>
        <w:t xml:space="preserve">. Dz. U. z 2024 r. poz. </w:t>
      </w:r>
      <w:r w:rsidR="00DD707C">
        <w:rPr>
          <w:rFonts w:ascii="Lato" w:hAnsi="Lato" w:cs="Lato"/>
          <w:color w:val="000000" w:themeColor="text1"/>
          <w:spacing w:val="4"/>
        </w:rPr>
        <w:t>1199</w:t>
      </w:r>
      <w:r w:rsidRPr="009705F0">
        <w:rPr>
          <w:rFonts w:ascii="Lato" w:hAnsi="Lato" w:cs="Lato"/>
          <w:color w:val="000000" w:themeColor="text1"/>
          <w:spacing w:val="4"/>
        </w:rPr>
        <w:t>), zwanej dalej „</w:t>
      </w:r>
      <w:r w:rsidRPr="009705F0">
        <w:rPr>
          <w:rFonts w:ascii="Lato" w:hAnsi="Lato" w:cs="Lato,Italic"/>
          <w:i/>
          <w:iCs/>
          <w:color w:val="000000" w:themeColor="text1"/>
          <w:spacing w:val="4"/>
        </w:rPr>
        <w:t xml:space="preserve">specustawą przesyłową” </w:t>
      </w:r>
      <w:r w:rsidRPr="009705F0">
        <w:rPr>
          <w:rFonts w:ascii="Lato" w:hAnsi="Lato" w:cs="Lato"/>
          <w:color w:val="000000" w:themeColor="text1"/>
          <w:spacing w:val="4"/>
        </w:rPr>
        <w:t xml:space="preserve">(por. wyroki z dnia 21 listopada 2017 r., sygn. akt II OSK 1956/17, z dnia 21 listopada 2017 r., sygn. akt II OSK 1928/17, </w:t>
      </w:r>
      <w:r>
        <w:rPr>
          <w:rFonts w:ascii="Lato" w:hAnsi="Lato" w:cs="Lato"/>
          <w:color w:val="000000" w:themeColor="text1"/>
          <w:spacing w:val="4"/>
        </w:rPr>
        <w:br/>
      </w:r>
      <w:r w:rsidRPr="009705F0">
        <w:rPr>
          <w:rFonts w:ascii="Lato" w:hAnsi="Lato" w:cs="Lato"/>
          <w:color w:val="000000" w:themeColor="text1"/>
          <w:spacing w:val="4"/>
        </w:rPr>
        <w:t xml:space="preserve">z dnia 27 października 2017 r., sygn. akt II OSK 1858/17, z dnia 7 września 2017 r., sygn. akt II OSK 847/17, </w:t>
      </w:r>
      <w:proofErr w:type="spellStart"/>
      <w:r w:rsidRPr="009705F0">
        <w:rPr>
          <w:rFonts w:ascii="Lato" w:hAnsi="Lato" w:cs="Lato"/>
          <w:color w:val="000000" w:themeColor="text1"/>
          <w:spacing w:val="4"/>
        </w:rPr>
        <w:t>opubl</w:t>
      </w:r>
      <w:proofErr w:type="spellEnd"/>
      <w:r w:rsidRPr="009705F0">
        <w:rPr>
          <w:rFonts w:ascii="Lato" w:hAnsi="Lato" w:cs="Lato"/>
          <w:color w:val="000000" w:themeColor="text1"/>
          <w:spacing w:val="4"/>
        </w:rPr>
        <w:t xml:space="preserve">. Centralna Baza Orzeczeń Sądów Administracyjnych) </w:t>
      </w:r>
      <w:r>
        <w:rPr>
          <w:rFonts w:ascii="Lato" w:hAnsi="Lato" w:cs="Lato"/>
          <w:color w:val="000000" w:themeColor="text1"/>
          <w:spacing w:val="4"/>
        </w:rPr>
        <w:br/>
      </w:r>
      <w:r w:rsidRPr="009705F0">
        <w:rPr>
          <w:rFonts w:ascii="Lato" w:hAnsi="Lato" w:cs="Lato"/>
          <w:color w:val="000000" w:themeColor="text1"/>
          <w:spacing w:val="4"/>
        </w:rPr>
        <w:t>i dotyczącym ustawy z dnia 28 marca 2003 r. o transporcie kolejowym (</w:t>
      </w:r>
      <w:proofErr w:type="spellStart"/>
      <w:r w:rsidRPr="009705F0">
        <w:rPr>
          <w:rFonts w:ascii="Lato" w:hAnsi="Lato" w:cs="Lato"/>
          <w:color w:val="000000" w:themeColor="text1"/>
          <w:spacing w:val="4"/>
        </w:rPr>
        <w:t>t.j</w:t>
      </w:r>
      <w:proofErr w:type="spellEnd"/>
      <w:r w:rsidRPr="009705F0">
        <w:rPr>
          <w:rFonts w:ascii="Lato" w:hAnsi="Lato" w:cs="Lato"/>
          <w:color w:val="000000" w:themeColor="text1"/>
          <w:spacing w:val="4"/>
        </w:rPr>
        <w:t xml:space="preserve">. Dz.U. z 2024 r. poz. 697) (por. wyrok z dnia 7 lipca 2021 r., sygn. akt II OSK 878/21, </w:t>
      </w:r>
      <w:proofErr w:type="spellStart"/>
      <w:r w:rsidRPr="009705F0">
        <w:rPr>
          <w:rFonts w:ascii="Lato" w:hAnsi="Lato" w:cs="Lato"/>
          <w:color w:val="000000" w:themeColor="text1"/>
          <w:spacing w:val="4"/>
        </w:rPr>
        <w:t>opubl</w:t>
      </w:r>
      <w:proofErr w:type="spellEnd"/>
      <w:r w:rsidRPr="009705F0">
        <w:rPr>
          <w:rFonts w:ascii="Lato" w:hAnsi="Lato" w:cs="Lato"/>
          <w:color w:val="000000" w:themeColor="text1"/>
          <w:spacing w:val="4"/>
        </w:rPr>
        <w:t>. Centralna Baza Orzeczeń Sądów Administracyjnych), któr</w:t>
      </w:r>
      <w:r>
        <w:rPr>
          <w:rFonts w:ascii="Lato" w:hAnsi="Lato" w:cs="Lato"/>
          <w:color w:val="000000" w:themeColor="text1"/>
          <w:spacing w:val="4"/>
        </w:rPr>
        <w:t>a</w:t>
      </w:r>
      <w:r w:rsidRPr="009705F0">
        <w:rPr>
          <w:rFonts w:ascii="Lato" w:hAnsi="Lato" w:cs="Lato"/>
          <w:color w:val="000000" w:themeColor="text1"/>
          <w:spacing w:val="4"/>
        </w:rPr>
        <w:t xml:space="preserve"> to ustaw</w:t>
      </w:r>
      <w:r>
        <w:rPr>
          <w:rFonts w:ascii="Lato" w:hAnsi="Lato" w:cs="Lato"/>
          <w:color w:val="000000" w:themeColor="text1"/>
          <w:spacing w:val="4"/>
        </w:rPr>
        <w:t>a</w:t>
      </w:r>
      <w:r w:rsidRPr="009705F0">
        <w:rPr>
          <w:rFonts w:ascii="Lato" w:hAnsi="Lato" w:cs="Lato"/>
          <w:color w:val="000000" w:themeColor="text1"/>
          <w:spacing w:val="4"/>
        </w:rPr>
        <w:t xml:space="preserve"> w istotnym zakresie </w:t>
      </w:r>
      <w:r>
        <w:rPr>
          <w:rFonts w:ascii="Lato" w:hAnsi="Lato" w:cs="Lato"/>
          <w:color w:val="000000" w:themeColor="text1"/>
          <w:spacing w:val="4"/>
        </w:rPr>
        <w:br/>
        <w:t>jest</w:t>
      </w:r>
      <w:r w:rsidRPr="009705F0">
        <w:rPr>
          <w:rFonts w:ascii="Lato" w:hAnsi="Lato" w:cs="Lato"/>
          <w:color w:val="000000" w:themeColor="text1"/>
          <w:spacing w:val="4"/>
        </w:rPr>
        <w:t xml:space="preserve"> w pełni analogiczn</w:t>
      </w:r>
      <w:r>
        <w:rPr>
          <w:rFonts w:ascii="Lato" w:hAnsi="Lato" w:cs="Lato"/>
          <w:color w:val="000000" w:themeColor="text1"/>
          <w:spacing w:val="4"/>
        </w:rPr>
        <w:t>a</w:t>
      </w:r>
      <w:r w:rsidRPr="009705F0">
        <w:rPr>
          <w:rFonts w:ascii="Lato" w:hAnsi="Lato" w:cs="Lato"/>
          <w:color w:val="000000" w:themeColor="text1"/>
          <w:spacing w:val="4"/>
        </w:rPr>
        <w:t xml:space="preserve"> do rozwiązań przyjętych w </w:t>
      </w:r>
      <w:r w:rsidRPr="009705F0">
        <w:rPr>
          <w:rFonts w:ascii="Lato" w:hAnsi="Lato" w:cs="Lato,Italic"/>
          <w:i/>
          <w:iCs/>
          <w:color w:val="000000" w:themeColor="text1"/>
          <w:spacing w:val="4"/>
        </w:rPr>
        <w:t>specustawie gazowej.</w:t>
      </w:r>
      <w:r w:rsidRPr="009705F0">
        <w:rPr>
          <w:rFonts w:ascii="Lato" w:hAnsi="Lato" w:cs="Lato"/>
          <w:color w:val="000000" w:themeColor="text1"/>
          <w:spacing w:val="4"/>
        </w:rPr>
        <w:t xml:space="preserve"> </w:t>
      </w:r>
      <w:r w:rsidR="00DD707C">
        <w:rPr>
          <w:rFonts w:ascii="Lato" w:hAnsi="Lato" w:cs="Lato"/>
          <w:color w:val="000000" w:themeColor="text1"/>
          <w:spacing w:val="4"/>
        </w:rPr>
        <w:t xml:space="preserve"> </w:t>
      </w:r>
    </w:p>
    <w:p w14:paraId="57317584" w14:textId="0B1FD1C1" w:rsidR="005712A6" w:rsidRPr="00DD707C" w:rsidRDefault="005712A6" w:rsidP="00DD707C">
      <w:pPr>
        <w:autoSpaceDE w:val="0"/>
        <w:autoSpaceDN w:val="0"/>
        <w:adjustRightInd w:val="0"/>
        <w:spacing w:after="240" w:line="240" w:lineRule="exact"/>
        <w:jc w:val="both"/>
        <w:rPr>
          <w:rFonts w:ascii="Lato" w:hAnsi="Lato" w:cs="Lato"/>
          <w:color w:val="000000" w:themeColor="text1"/>
          <w:spacing w:val="4"/>
        </w:rPr>
      </w:pPr>
      <w:r w:rsidRPr="00172FD9">
        <w:rPr>
          <w:rFonts w:ascii="Lato" w:hAnsi="Lato" w:cs="Lato"/>
          <w:color w:val="000000" w:themeColor="text1"/>
          <w:spacing w:val="4"/>
        </w:rPr>
        <w:t xml:space="preserve">Błędne zatem w tym względzie jest </w:t>
      </w:r>
      <w:r>
        <w:rPr>
          <w:rFonts w:ascii="Lato" w:hAnsi="Lato" w:cs="Lato"/>
          <w:color w:val="000000" w:themeColor="text1"/>
          <w:spacing w:val="4"/>
        </w:rPr>
        <w:t>wskazanie</w:t>
      </w:r>
      <w:r w:rsidRPr="00172FD9">
        <w:rPr>
          <w:rFonts w:ascii="Lato" w:hAnsi="Lato" w:cs="Lato"/>
          <w:color w:val="000000" w:themeColor="text1"/>
          <w:spacing w:val="4"/>
        </w:rPr>
        <w:t xml:space="preserve"> w pkt </w:t>
      </w:r>
      <w:r w:rsidR="00DD707C">
        <w:rPr>
          <w:rFonts w:ascii="Lato" w:hAnsi="Lato" w:cs="Lato"/>
          <w:color w:val="000000" w:themeColor="text1"/>
          <w:spacing w:val="4"/>
        </w:rPr>
        <w:t>15</w:t>
      </w:r>
      <w:r w:rsidRPr="00172FD9">
        <w:rPr>
          <w:rFonts w:ascii="Lato" w:hAnsi="Lato" w:cs="Lato"/>
          <w:color w:val="000000" w:themeColor="text1"/>
          <w:spacing w:val="4"/>
        </w:rPr>
        <w:t xml:space="preserve"> zaskarżonej decyzji terminu wydania nieruchomości. Powyższe uchybienie -</w:t>
      </w:r>
      <w:r w:rsidRPr="00172FD9">
        <w:rPr>
          <w:rFonts w:ascii="Lato" w:hAnsi="Lato" w:cs="Lato,Italic"/>
          <w:i/>
          <w:iCs/>
          <w:color w:val="000000" w:themeColor="text1"/>
          <w:spacing w:val="4"/>
        </w:rPr>
        <w:t xml:space="preserve"> </w:t>
      </w:r>
      <w:r w:rsidRPr="00172FD9">
        <w:rPr>
          <w:rFonts w:ascii="Lato" w:hAnsi="Lato" w:cs="Lato"/>
          <w:color w:val="000000" w:themeColor="text1"/>
          <w:spacing w:val="4"/>
        </w:rPr>
        <w:t xml:space="preserve">w ocenie </w:t>
      </w:r>
      <w:r w:rsidRPr="00172FD9">
        <w:rPr>
          <w:rFonts w:ascii="Lato" w:hAnsi="Lato" w:cs="Lato,Italic"/>
          <w:i/>
          <w:iCs/>
          <w:color w:val="000000" w:themeColor="text1"/>
          <w:spacing w:val="4"/>
        </w:rPr>
        <w:t xml:space="preserve">Ministra </w:t>
      </w:r>
      <w:r w:rsidRPr="00172FD9">
        <w:rPr>
          <w:rFonts w:ascii="Lato" w:hAnsi="Lato" w:cs="Lato"/>
          <w:color w:val="000000" w:themeColor="text1"/>
          <w:spacing w:val="4"/>
        </w:rPr>
        <w:t>- winno skutkować uchyleniem zaskarżonej decyzji w tym zakresie</w:t>
      </w:r>
      <w:r>
        <w:rPr>
          <w:rFonts w:ascii="Lato" w:hAnsi="Lato" w:cs="Lato"/>
          <w:color w:val="000000" w:themeColor="text1"/>
          <w:spacing w:val="4"/>
        </w:rPr>
        <w:t xml:space="preserve"> </w:t>
      </w:r>
      <w:r w:rsidRPr="00172FD9">
        <w:rPr>
          <w:rFonts w:ascii="Lato" w:hAnsi="Lato" w:cs="Lato"/>
          <w:color w:val="000000" w:themeColor="text1"/>
          <w:spacing w:val="4"/>
        </w:rPr>
        <w:t xml:space="preserve">i </w:t>
      </w:r>
      <w:r>
        <w:rPr>
          <w:rFonts w:ascii="Lato" w:hAnsi="Lato" w:cs="Lato"/>
          <w:color w:val="000000" w:themeColor="text1"/>
          <w:spacing w:val="4"/>
        </w:rPr>
        <w:t xml:space="preserve">orzeczeniem, że nie ustala się </w:t>
      </w:r>
      <w:r>
        <w:rPr>
          <w:rFonts w:ascii="Lato" w:hAnsi="Lato" w:cs="Lato"/>
          <w:color w:val="000000" w:themeColor="text1"/>
          <w:spacing w:val="4"/>
        </w:rPr>
        <w:br/>
        <w:t>w przedmiotowej sprawie terminu wydania nieruchomości</w:t>
      </w:r>
      <w:r w:rsidRPr="00172FD9">
        <w:rPr>
          <w:rFonts w:ascii="Lato" w:hAnsi="Lato" w:cs="Lato"/>
          <w:color w:val="000000" w:themeColor="text1"/>
          <w:spacing w:val="4"/>
        </w:rPr>
        <w:t xml:space="preserve">. Organ odwoławczy uchyla bowiem zaskarżoną decyzję w części i rozstrzyga sprawę w tym zakresie co do istoty, jeżeli dojdzie do przekonania, że zaskarżona decyzja jest nieprawidłowa w określonej części. Decyzja jest zaś nieprawidłowa, gdy postępowanie wyjaśniające lub tylko sama </w:t>
      </w:r>
      <w:r w:rsidRPr="00172FD9">
        <w:rPr>
          <w:rFonts w:ascii="Lato" w:hAnsi="Lato" w:cs="Lato"/>
          <w:color w:val="000000" w:themeColor="text1"/>
          <w:spacing w:val="4"/>
        </w:rPr>
        <w:lastRenderedPageBreak/>
        <w:t>ocena zaskarżonej decyzji (jej części) wykazały, że narusza ona przepisy prawa materialnego albo jest niezasadna.</w:t>
      </w:r>
    </w:p>
    <w:p w14:paraId="25CAA997" w14:textId="5EBE962E"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Konsekwencją powyższych ustaleń są zmiany dokonane przez organ odwoławczy na podstawie art. 138 § 1 pkt 2</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szczegółowo określone w pkt I niniejszej decyzji. </w:t>
      </w:r>
    </w:p>
    <w:p w14:paraId="6AD8CF22"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Organ odwoławczy dokonując rozstrzygnięć, o których mowa w pkt I przedmiotowej decyzji, uznał, że nie naruszają one zasady dwuinstancyjności postępowania, o której mowa w art. 15</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Badając zgodność z prawem pozostałej części zaskarżonej decyzji, organ odwoławczy stwierdził, że czyni ona zadość innym wymogom</w:t>
      </w:r>
      <w:r w:rsidRPr="0002524B">
        <w:rPr>
          <w:rFonts w:ascii="Lato" w:eastAsia="Times New Roman" w:hAnsi="Lato" w:cs="Arial"/>
          <w:i/>
          <w:iCs/>
          <w:spacing w:val="4"/>
          <w:lang w:eastAsia="pl-PL"/>
        </w:rPr>
        <w:t xml:space="preserve"> specustawy gazowej </w:t>
      </w:r>
      <w:r w:rsidRPr="0002524B">
        <w:rPr>
          <w:rFonts w:ascii="Lato" w:eastAsia="Times New Roman" w:hAnsi="Lato" w:cs="Arial"/>
          <w:spacing w:val="4"/>
          <w:lang w:eastAsia="pl-PL"/>
        </w:rPr>
        <w:t>oraz że brak było podstaw do zakwestionowania decyzji poza częścią uchyloną i ustaloną w punkcie I niniejszej decyzji.</w:t>
      </w:r>
    </w:p>
    <w:p w14:paraId="62345F31" w14:textId="3828FA1A"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Rozpatrując odwołanie skarżącej strony, w pierwszej kolejności wskazać należy, </w:t>
      </w:r>
      <w:r w:rsidR="00DD707C">
        <w:rPr>
          <w:rFonts w:ascii="Lato" w:eastAsia="Times New Roman" w:hAnsi="Lato" w:cs="Arial"/>
          <w:spacing w:val="4"/>
          <w:lang w:eastAsia="pl-PL"/>
        </w:rPr>
        <w:br/>
      </w:r>
      <w:r w:rsidRPr="0002524B">
        <w:rPr>
          <w:rFonts w:ascii="Lato" w:eastAsia="Times New Roman" w:hAnsi="Lato" w:cs="Arial"/>
          <w:spacing w:val="4"/>
          <w:lang w:eastAsia="pl-PL"/>
        </w:rPr>
        <w:t>że zarówno wojewoda orzekający w sprawie jako organ I instancji, jak i</w:t>
      </w:r>
      <w:r w:rsidRPr="0002524B">
        <w:rPr>
          <w:rFonts w:ascii="Lato" w:eastAsia="Times New Roman" w:hAnsi="Lato" w:cs="Arial"/>
          <w:i/>
          <w:iCs/>
          <w:spacing w:val="4"/>
          <w:lang w:eastAsia="pl-PL"/>
        </w:rPr>
        <w:t xml:space="preserve"> Minister</w:t>
      </w:r>
      <w:r w:rsidRPr="0002524B">
        <w:rPr>
          <w:rFonts w:ascii="Lato" w:eastAsia="Times New Roman" w:hAnsi="Lato" w:cs="Arial"/>
          <w:spacing w:val="4"/>
          <w:lang w:eastAsia="pl-PL"/>
        </w:rPr>
        <w:t xml:space="preserve"> działający jako organ odwoławczy, pełnią w procesie inwestycyjnym funkcję organów, które będąc właściwe do wydania decyzji w przedmiocie ustalenia lokalizacji inwestycji w zakresie terminalu regazyfikacyjnego skroplonego gazu ziemnego w Świnoujściu oraz inwestycji towarzyszących, nie są jednocześnie uprawnione do wyznaczania i korygowania trasy tych inwestycji, ani do zmiany proponowanych we wniosku rozwiązań.</w:t>
      </w:r>
    </w:p>
    <w:p w14:paraId="04472FE0" w14:textId="4A42BAD5"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To inwestor we wniosku o wydanie decyzji o ustaleniu lokalizacji inwestycji w zakresie terminalu regazyfikacyjnego skroplonego gazu ziemnego w Świnoujściu oraz inwestycji 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02524B">
        <w:rPr>
          <w:rFonts w:ascii="Lato" w:eastAsia="Times New Roman" w:hAnsi="Lato" w:cs="Arial"/>
          <w:spacing w:val="4"/>
          <w:lang w:eastAsia="pl-PL"/>
        </w:rPr>
        <w:t>i</w:t>
      </w:r>
      <w:proofErr w:type="spellEnd"/>
      <w:r w:rsidRPr="0002524B">
        <w:rPr>
          <w:rFonts w:ascii="Lato" w:eastAsia="Times New Roman" w:hAnsi="Lato" w:cs="Arial"/>
          <w:spacing w:val="4"/>
          <w:lang w:eastAsia="pl-PL"/>
        </w:rPr>
        <w:t xml:space="preserve"> II instancji podlega zgodność z prawem planowanego przedsięwzięcia, w szczególności spełnienie warunków zawartych </w:t>
      </w:r>
      <w:r w:rsidR="00DD707C">
        <w:rPr>
          <w:rFonts w:ascii="Lato" w:eastAsia="Times New Roman" w:hAnsi="Lato" w:cs="Arial"/>
          <w:spacing w:val="4"/>
          <w:lang w:eastAsia="pl-PL"/>
        </w:rPr>
        <w:br/>
      </w:r>
      <w:r w:rsidRPr="0002524B">
        <w:rPr>
          <w:rFonts w:ascii="Lato" w:eastAsia="Times New Roman" w:hAnsi="Lato" w:cs="Arial"/>
          <w:spacing w:val="4"/>
          <w:lang w:eastAsia="pl-PL"/>
        </w:rPr>
        <w:t>w przepisach</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Inwestor jest zatem kreatorem miejsca, sposobu </w:t>
      </w:r>
      <w:r w:rsidR="00DD707C">
        <w:rPr>
          <w:rFonts w:ascii="Lato" w:eastAsia="Times New Roman" w:hAnsi="Lato" w:cs="Arial"/>
          <w:spacing w:val="4"/>
          <w:lang w:eastAsia="pl-PL"/>
        </w:rPr>
        <w:br/>
      </w:r>
      <w:r w:rsidRPr="0002524B">
        <w:rPr>
          <w:rFonts w:ascii="Lato" w:eastAsia="Times New Roman" w:hAnsi="Lato" w:cs="Arial"/>
          <w:spacing w:val="4"/>
          <w:lang w:eastAsia="pl-PL"/>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364/21, z dnia 19 listopada 2019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1496/19, z dnia 31 sierpnia 2018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3345/17, z dnia 19 września 2018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510/18, </w:t>
      </w:r>
      <w:proofErr w:type="spellStart"/>
      <w:r w:rsidRPr="0002524B">
        <w:rPr>
          <w:rFonts w:ascii="Lato" w:eastAsia="Times New Roman" w:hAnsi="Lato" w:cs="Arial"/>
          <w:spacing w:val="4"/>
          <w:lang w:eastAsia="pl-PL"/>
        </w:rPr>
        <w:t>opubl</w:t>
      </w:r>
      <w:proofErr w:type="spellEnd"/>
      <w:r w:rsidRPr="0002524B">
        <w:rPr>
          <w:rFonts w:ascii="Lato" w:eastAsia="Times New Roman" w:hAnsi="Lato" w:cs="Arial"/>
          <w:spacing w:val="4"/>
          <w:lang w:eastAsia="pl-PL"/>
        </w:rPr>
        <w:t>. Centralna Baza Orzeczeń Sądów Administracyjnych).</w:t>
      </w:r>
    </w:p>
    <w:p w14:paraId="3A044D23" w14:textId="7D064A0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Stanowisko to jest ugruntowane i jednolite w orzecznictwie sądów administracyjnych dotyczących także</w:t>
      </w:r>
      <w:r w:rsidR="00DD707C">
        <w:rPr>
          <w:rFonts w:ascii="Lato" w:eastAsia="Times New Roman" w:hAnsi="Lato" w:cs="Arial"/>
          <w:spacing w:val="4"/>
          <w:lang w:eastAsia="pl-PL"/>
        </w:rPr>
        <w:t xml:space="preserve"> </w:t>
      </w:r>
      <w:r w:rsidRPr="0002524B">
        <w:rPr>
          <w:rFonts w:ascii="Lato" w:eastAsia="Times New Roman" w:hAnsi="Lato" w:cs="Arial"/>
          <w:i/>
          <w:iCs/>
          <w:spacing w:val="4"/>
          <w:lang w:eastAsia="pl-PL"/>
        </w:rPr>
        <w:t>specustaw</w:t>
      </w:r>
      <w:r w:rsidR="00DD707C">
        <w:rPr>
          <w:rFonts w:ascii="Lato" w:eastAsia="Times New Roman" w:hAnsi="Lato" w:cs="Arial"/>
          <w:i/>
          <w:iCs/>
          <w:spacing w:val="4"/>
          <w:lang w:eastAsia="pl-PL"/>
        </w:rPr>
        <w:t>y</w:t>
      </w:r>
      <w:r w:rsidRPr="0002524B">
        <w:rPr>
          <w:rFonts w:ascii="Lato" w:eastAsia="Times New Roman" w:hAnsi="Lato" w:cs="Arial"/>
          <w:i/>
          <w:iCs/>
          <w:spacing w:val="4"/>
          <w:lang w:eastAsia="pl-PL"/>
        </w:rPr>
        <w:t xml:space="preserve"> przesyłow</w:t>
      </w:r>
      <w:r w:rsidR="00DD707C">
        <w:rPr>
          <w:rFonts w:ascii="Lato" w:eastAsia="Times New Roman" w:hAnsi="Lato" w:cs="Arial"/>
          <w:i/>
          <w:iCs/>
          <w:spacing w:val="4"/>
          <w:lang w:eastAsia="pl-PL"/>
        </w:rPr>
        <w:t>ej</w:t>
      </w:r>
      <w:r w:rsidRPr="0002524B">
        <w:rPr>
          <w:rFonts w:ascii="Lato" w:eastAsia="Times New Roman" w:hAnsi="Lato" w:cs="Arial"/>
          <w:i/>
          <w:iCs/>
          <w:spacing w:val="4"/>
          <w:lang w:eastAsia="pl-PL"/>
        </w:rPr>
        <w:t>,</w:t>
      </w:r>
      <w:r w:rsidRPr="0002524B">
        <w:rPr>
          <w:rFonts w:ascii="Lato" w:eastAsia="Times New Roman" w:hAnsi="Lato" w:cs="Arial"/>
          <w:spacing w:val="4"/>
          <w:lang w:eastAsia="pl-PL"/>
        </w:rPr>
        <w:t xml:space="preserve"> która w istotnym zakresie jest w pełni analogiczna i wzorowana m.in. na</w:t>
      </w:r>
      <w:r w:rsidRPr="0002524B">
        <w:rPr>
          <w:rFonts w:ascii="Lato" w:eastAsia="Times New Roman" w:hAnsi="Lato" w:cs="Arial"/>
          <w:i/>
          <w:iCs/>
          <w:spacing w:val="4"/>
          <w:lang w:eastAsia="pl-PL"/>
        </w:rPr>
        <w:t xml:space="preserve"> specustawie gazowej</w:t>
      </w:r>
      <w:r w:rsidRPr="0002524B">
        <w:rPr>
          <w:rFonts w:ascii="Lato" w:eastAsia="Times New Roman" w:hAnsi="Lato" w:cs="Arial"/>
          <w:spacing w:val="4"/>
          <w:lang w:eastAsia="pl-PL"/>
        </w:rPr>
        <w:t xml:space="preserve"> (por. wyroki Wojewódzkiego Sądu Administracyjnego w Warszawie z dnia 10 października 2018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2480/17, z dnia 9 lutego 2018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2780/17 i z dnia 7 września </w:t>
      </w:r>
      <w:r w:rsidR="00DD707C">
        <w:rPr>
          <w:rFonts w:ascii="Lato" w:eastAsia="Times New Roman" w:hAnsi="Lato" w:cs="Arial"/>
          <w:spacing w:val="4"/>
          <w:lang w:eastAsia="pl-PL"/>
        </w:rPr>
        <w:br/>
      </w:r>
      <w:r w:rsidRPr="0002524B">
        <w:rPr>
          <w:rFonts w:ascii="Lato" w:eastAsia="Times New Roman" w:hAnsi="Lato" w:cs="Arial"/>
          <w:spacing w:val="4"/>
          <w:lang w:eastAsia="pl-PL"/>
        </w:rPr>
        <w:t>2017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1749/17).</w:t>
      </w:r>
    </w:p>
    <w:p w14:paraId="52100A5C" w14:textId="5094AE20"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Również orzecznictwo sądowoadministracyjne - zapadłe wprawdzie w odniesieniu do regulacji ustawy z dnia 10 kwietnia 2003 r. o szczególnych zasadach przygotowania </w:t>
      </w:r>
      <w:r w:rsidR="00DD707C">
        <w:rPr>
          <w:rFonts w:ascii="Lato" w:eastAsia="Times New Roman" w:hAnsi="Lato" w:cs="Arial"/>
          <w:spacing w:val="4"/>
          <w:lang w:eastAsia="pl-PL"/>
        </w:rPr>
        <w:br/>
      </w:r>
      <w:r w:rsidRPr="0002524B">
        <w:rPr>
          <w:rFonts w:ascii="Lato" w:eastAsia="Times New Roman" w:hAnsi="Lato" w:cs="Arial"/>
          <w:spacing w:val="4"/>
          <w:lang w:eastAsia="pl-PL"/>
        </w:rPr>
        <w:t>i realizacji inwestycji w zakresie dróg publicznych (</w:t>
      </w:r>
      <w:proofErr w:type="spellStart"/>
      <w:r w:rsidRPr="0002524B">
        <w:rPr>
          <w:rFonts w:ascii="Lato" w:eastAsia="Times New Roman" w:hAnsi="Lato" w:cs="Arial"/>
          <w:spacing w:val="4"/>
          <w:lang w:eastAsia="pl-PL"/>
        </w:rPr>
        <w:t>t.j</w:t>
      </w:r>
      <w:proofErr w:type="spellEnd"/>
      <w:r w:rsidRPr="0002524B">
        <w:rPr>
          <w:rFonts w:ascii="Lato" w:eastAsia="Times New Roman" w:hAnsi="Lato" w:cs="Arial"/>
          <w:spacing w:val="4"/>
          <w:lang w:eastAsia="pl-PL"/>
        </w:rPr>
        <w:t>. Dz.U. z 2024 r. poz. 311), zwanej dalej</w:t>
      </w:r>
      <w:r w:rsidRPr="0002524B">
        <w:rPr>
          <w:rFonts w:ascii="Lato" w:eastAsia="Times New Roman" w:hAnsi="Lato" w:cs="Arial"/>
          <w:i/>
          <w:iCs/>
          <w:spacing w:val="4"/>
          <w:lang w:eastAsia="pl-PL"/>
        </w:rPr>
        <w:t xml:space="preserve"> „specustawą drogową",</w:t>
      </w:r>
      <w:r w:rsidRPr="0002524B">
        <w:rPr>
          <w:rFonts w:ascii="Lato" w:eastAsia="Times New Roman" w:hAnsi="Lato" w:cs="Arial"/>
          <w:spacing w:val="4"/>
          <w:lang w:eastAsia="pl-PL"/>
        </w:rPr>
        <w:t xml:space="preserve"> ale aktualne w pełni w świetle rozwiązań przyjętych </w:t>
      </w:r>
      <w:r w:rsidR="00DD707C">
        <w:rPr>
          <w:rFonts w:ascii="Lato" w:eastAsia="Times New Roman" w:hAnsi="Lato" w:cs="Arial"/>
          <w:spacing w:val="4"/>
          <w:lang w:eastAsia="pl-PL"/>
        </w:rPr>
        <w:br/>
      </w:r>
      <w:r w:rsidRPr="0002524B">
        <w:rPr>
          <w:rFonts w:ascii="Lato" w:eastAsia="Times New Roman" w:hAnsi="Lato" w:cs="Arial"/>
          <w:spacing w:val="4"/>
          <w:lang w:eastAsia="pl-PL"/>
        </w:rPr>
        <w:t>w</w:t>
      </w:r>
      <w:r w:rsidRPr="0002524B">
        <w:rPr>
          <w:rFonts w:ascii="Lato" w:eastAsia="Times New Roman" w:hAnsi="Lato" w:cs="Arial"/>
          <w:i/>
          <w:iCs/>
          <w:spacing w:val="4"/>
          <w:lang w:eastAsia="pl-PL"/>
        </w:rPr>
        <w:t xml:space="preserve"> specustawie gazowej</w:t>
      </w:r>
      <w:r w:rsidRPr="0002524B">
        <w:rPr>
          <w:rFonts w:ascii="Lato" w:eastAsia="Times New Roman" w:hAnsi="Lato" w:cs="Arial"/>
          <w:spacing w:val="4"/>
          <w:lang w:eastAsia="pl-PL"/>
        </w:rPr>
        <w:t xml:space="preserve"> wzorowanych m.in. na tej ustawie - nie pozostawia co do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ww. zagadnienia jakichkolwiek wątpliwości (zob. wyroki Naczelnego Sądu Administracyjnego: z 13 września 2017 r., sygn. akt II OSK 1705/17, z 8 czerwca 2017 r., sygn. akt II OSK 2572/15, z 19 lipca 2016 r., sygn. akt II OSK 1373/16, z 25 maja 2016 r., sygn. akt II OSK 524/16, z 1 marca 2016 r., sygn. akt II OSK 2334/15, z 1 kwietnia </w:t>
      </w:r>
      <w:r w:rsidRPr="0002524B">
        <w:rPr>
          <w:rFonts w:ascii="Lato" w:eastAsia="Times New Roman" w:hAnsi="Lato" w:cs="Arial"/>
          <w:spacing w:val="4"/>
          <w:lang w:eastAsia="pl-PL"/>
        </w:rPr>
        <w:lastRenderedPageBreak/>
        <w:t xml:space="preserve">2015 r., sygn. akt II OSK 106/15, z 24 lutego 2015 r., sygn. akt II OSK 3221/14,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02524B">
        <w:rPr>
          <w:rFonts w:ascii="Lato" w:eastAsia="Times New Roman" w:hAnsi="Lato" w:cs="Arial"/>
          <w:spacing w:val="4"/>
          <w:lang w:eastAsia="pl-PL"/>
        </w:rPr>
        <w:t>opubl</w:t>
      </w:r>
      <w:proofErr w:type="spellEnd"/>
      <w:r w:rsidRPr="0002524B">
        <w:rPr>
          <w:rFonts w:ascii="Lato" w:eastAsia="Times New Roman" w:hAnsi="Lato" w:cs="Arial"/>
          <w:spacing w:val="4"/>
          <w:lang w:eastAsia="pl-PL"/>
        </w:rPr>
        <w:t>. Centralna Baza Orzeczeń Sądów Administracyjnych).</w:t>
      </w:r>
    </w:p>
    <w:p w14:paraId="4C6A52AC"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Wynika z powyższego, że decyzja o ustalenia lokalizacji inwestycji w zakresie terminalu regazyfikacyjnego skroplonego gazu ziemnego w Świnoujściu oraz inwestycji towarzyszących, nie ma charakteru uznaniowego i w razie spełnienia przez inwestora wymagań określonych w przepisach</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organ jest zobligowany ustalić lokalizację inwestycji w wersji zgodnej z wnioskiem</w:t>
      </w:r>
      <w:r w:rsidRPr="0002524B">
        <w:rPr>
          <w:rFonts w:ascii="Lato" w:eastAsia="Times New Roman" w:hAnsi="Lato" w:cs="Arial"/>
          <w:i/>
          <w:iCs/>
          <w:spacing w:val="4"/>
          <w:lang w:eastAsia="pl-PL"/>
        </w:rPr>
        <w:t xml:space="preserve"> inwestora.</w:t>
      </w:r>
    </w:p>
    <w:p w14:paraId="306F7FA4" w14:textId="6291263B"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Wobec powyższego, organ odwoławczy wezwał</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do wypowiedzenia się </w:t>
      </w:r>
      <w:r w:rsidR="00DD707C">
        <w:rPr>
          <w:rFonts w:ascii="Lato" w:eastAsia="Times New Roman" w:hAnsi="Lato" w:cs="Arial"/>
          <w:spacing w:val="4"/>
          <w:lang w:eastAsia="pl-PL"/>
        </w:rPr>
        <w:br/>
      </w:r>
      <w:r w:rsidRPr="0002524B">
        <w:rPr>
          <w:rFonts w:ascii="Lato" w:eastAsia="Times New Roman" w:hAnsi="Lato" w:cs="Arial"/>
          <w:spacing w:val="4"/>
          <w:lang w:eastAsia="pl-PL"/>
        </w:rPr>
        <w:t>w sprawie zarzutów lokalizacyjnych podniesionych przez Panią M</w:t>
      </w:r>
      <w:r w:rsidR="00CC577C">
        <w:rPr>
          <w:rFonts w:ascii="Lato" w:eastAsia="Times New Roman" w:hAnsi="Lato" w:cs="Arial"/>
          <w:spacing w:val="4"/>
          <w:lang w:eastAsia="pl-PL"/>
        </w:rPr>
        <w:t>.</w:t>
      </w:r>
      <w:r w:rsidRPr="0002524B">
        <w:rPr>
          <w:rFonts w:ascii="Lato" w:eastAsia="Times New Roman" w:hAnsi="Lato" w:cs="Arial"/>
          <w:spacing w:val="4"/>
          <w:lang w:eastAsia="pl-PL"/>
        </w:rPr>
        <w:t xml:space="preserve"> O.</w:t>
      </w:r>
      <w:r w:rsidRPr="0002524B">
        <w:rPr>
          <w:rFonts w:ascii="Lato" w:eastAsia="Times New Roman" w:hAnsi="Lato" w:cs="Arial"/>
          <w:i/>
          <w:iCs/>
          <w:spacing w:val="4"/>
          <w:lang w:eastAsia="pl-PL"/>
        </w:rPr>
        <w:t xml:space="preserve"> Inwestor,</w:t>
      </w:r>
      <w:r w:rsidRPr="0002524B">
        <w:rPr>
          <w:rFonts w:ascii="Lato" w:eastAsia="Times New Roman" w:hAnsi="Lato" w:cs="Arial"/>
          <w:spacing w:val="4"/>
          <w:lang w:eastAsia="pl-PL"/>
        </w:rPr>
        <w:t xml:space="preserve"> stosownie do wezwania organu odwoławczego, odniósł się do zarzutów lokalizacyjnych wskazując, iż w jego ocenie nie zasługują one na uwzględnienie.</w:t>
      </w:r>
    </w:p>
    <w:p w14:paraId="62F20234" w14:textId="5761232A"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Stanowisko</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organ odwoławczy, działając w oparciu</w:t>
      </w:r>
      <w:r>
        <w:rPr>
          <w:rFonts w:ascii="Lato" w:eastAsia="Times New Roman" w:hAnsi="Lato" w:cs="Arial"/>
          <w:spacing w:val="4"/>
          <w:lang w:eastAsia="pl-PL"/>
        </w:rPr>
        <w:t xml:space="preserve"> o </w:t>
      </w:r>
      <w:r w:rsidRPr="0002524B">
        <w:rPr>
          <w:rFonts w:ascii="Lato" w:eastAsia="Times New Roman" w:hAnsi="Lato" w:cs="Arial"/>
          <w:spacing w:val="4"/>
          <w:lang w:eastAsia="pl-PL"/>
        </w:rPr>
        <w:t>art. 9</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przesłał skarżącej.</w:t>
      </w:r>
    </w:p>
    <w:p w14:paraId="794B6672"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Po przeanalizowaniu zebranego w sprawie materiału dowodowego, w tym stanowiska </w:t>
      </w:r>
      <w:r w:rsidRPr="0002524B">
        <w:rPr>
          <w:rFonts w:ascii="Lato" w:eastAsia="Times New Roman" w:hAnsi="Lato" w:cs="Arial"/>
          <w:i/>
          <w:iCs/>
          <w:spacing w:val="4"/>
          <w:lang w:eastAsia="pl-PL"/>
        </w:rPr>
        <w:t>inwestora,</w:t>
      </w:r>
      <w:r w:rsidRPr="0002524B">
        <w:rPr>
          <w:rFonts w:ascii="Lato" w:eastAsia="Times New Roman" w:hAnsi="Lato" w:cs="Arial"/>
          <w:spacing w:val="4"/>
          <w:lang w:eastAsia="pl-PL"/>
        </w:rPr>
        <w:t xml:space="preserve"> jak również zarzutów strony składającej odwołanie od</w:t>
      </w:r>
      <w:r w:rsidRPr="0002524B">
        <w:rPr>
          <w:rFonts w:ascii="Lato" w:eastAsia="Times New Roman" w:hAnsi="Lato" w:cs="Arial"/>
          <w:i/>
          <w:iCs/>
          <w:spacing w:val="4"/>
          <w:lang w:eastAsia="pl-PL"/>
        </w:rPr>
        <w:t xml:space="preserve"> decyzji Wojewody Zachodniopomorskiego, Minister</w:t>
      </w:r>
      <w:r w:rsidRPr="0002524B">
        <w:rPr>
          <w:rFonts w:ascii="Lato" w:eastAsia="Times New Roman" w:hAnsi="Lato" w:cs="Arial"/>
          <w:spacing w:val="4"/>
          <w:lang w:eastAsia="pl-PL"/>
        </w:rPr>
        <w:t xml:space="preserve"> stwierdza, że objęcie zakresem przedmiotowej inwestycji działki skarżącej, w sposób wskazany we wniosku</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a następnie w</w:t>
      </w:r>
      <w:r w:rsidRPr="0002524B">
        <w:rPr>
          <w:rFonts w:ascii="Lato" w:eastAsia="Times New Roman" w:hAnsi="Lato" w:cs="Arial"/>
          <w:i/>
          <w:iCs/>
          <w:spacing w:val="4"/>
          <w:lang w:eastAsia="pl-PL"/>
        </w:rPr>
        <w:t xml:space="preserve"> decyzji Wojewody Zachodniopomorskiego,</w:t>
      </w:r>
      <w:r w:rsidRPr="0002524B">
        <w:rPr>
          <w:rFonts w:ascii="Lato" w:eastAsia="Times New Roman" w:hAnsi="Lato" w:cs="Arial"/>
          <w:spacing w:val="4"/>
          <w:lang w:eastAsia="pl-PL"/>
        </w:rPr>
        <w:t xml:space="preserve"> nie narusza prawa. W ocenie</w:t>
      </w:r>
      <w:r w:rsidRPr="0002524B">
        <w:rPr>
          <w:rFonts w:ascii="Lato" w:eastAsia="Times New Roman" w:hAnsi="Lato" w:cs="Arial"/>
          <w:i/>
          <w:iCs/>
          <w:spacing w:val="4"/>
          <w:lang w:eastAsia="pl-PL"/>
        </w:rPr>
        <w:t xml:space="preserve"> Ministra,</w:t>
      </w:r>
      <w:r w:rsidRPr="0002524B">
        <w:rPr>
          <w:rFonts w:ascii="Lato" w:eastAsia="Times New Roman" w:hAnsi="Lato" w:cs="Arial"/>
          <w:spacing w:val="4"/>
          <w:lang w:eastAsia="pl-PL"/>
        </w:rPr>
        <w:t xml:space="preserve"> zaskarżona decyzja nie przewiduje rozwiązań, które wprowadzają nadmierną, a w szczególności nieuzasadnioną ingerencję w prawo własności skarżącej strony. Teren będący własnością skarżącej nie został ograniczony w wymiarze większym, niż jest to wymagane dla lokalizacji inwestycji.</w:t>
      </w:r>
    </w:p>
    <w:p w14:paraId="69CB9782" w14:textId="0867059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Odnosząc się do zarzutów skarżącej strony, zwrócić należy uwagę, że koncentrują się one na żądaniu zmiany lokalizacji przedmiotowej inwestycji gazowej w zakresie jej działki nr 11 obręb Dąbie 160 i przeprowadzeniu postępowania, zdaniem skarżącej, </w:t>
      </w:r>
      <w:r w:rsidR="00DD707C">
        <w:rPr>
          <w:rFonts w:ascii="Lato" w:eastAsia="Times New Roman" w:hAnsi="Lato" w:cs="Arial"/>
          <w:spacing w:val="4"/>
          <w:lang w:eastAsia="pl-PL"/>
        </w:rPr>
        <w:br/>
      </w:r>
      <w:r w:rsidRPr="0002524B">
        <w:rPr>
          <w:rFonts w:ascii="Lato" w:eastAsia="Times New Roman" w:hAnsi="Lato" w:cs="Arial"/>
          <w:spacing w:val="4"/>
          <w:lang w:eastAsia="pl-PL"/>
        </w:rPr>
        <w:t>z naruszeniem art. 7, 77 i 80</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poprzez niewyczerpujące zebranie i rozpatrzenie materiału dowodowego skutkujące brakiem ustalenia optymalnego przebiegu trasy gazociągu z punktu widzenia skali obciążenia nieruchomości skarżącej oraz oddziaływania tego obciążenia na możliwość korzystania z jej nieruchomości, </w:t>
      </w:r>
      <w:r w:rsidR="00DD707C">
        <w:rPr>
          <w:rFonts w:ascii="Lato" w:eastAsia="Times New Roman" w:hAnsi="Lato" w:cs="Arial"/>
          <w:spacing w:val="4"/>
          <w:lang w:eastAsia="pl-PL"/>
        </w:rPr>
        <w:br/>
      </w:r>
      <w:r w:rsidRPr="0002524B">
        <w:rPr>
          <w:rFonts w:ascii="Lato" w:eastAsia="Times New Roman" w:hAnsi="Lato" w:cs="Arial"/>
          <w:spacing w:val="4"/>
          <w:lang w:eastAsia="pl-PL"/>
        </w:rPr>
        <w:t>a w konsekwencji ograniczenie możliwości użytkowania działki nr 11 obręb Dąbie 160</w:t>
      </w:r>
      <w:r>
        <w:rPr>
          <w:rFonts w:ascii="Lato" w:eastAsia="Times New Roman" w:hAnsi="Lato" w:cs="Arial"/>
          <w:spacing w:val="4"/>
          <w:lang w:eastAsia="pl-PL"/>
        </w:rPr>
        <w:t xml:space="preserve"> </w:t>
      </w:r>
      <w:r w:rsidR="00DD707C">
        <w:rPr>
          <w:rFonts w:ascii="Lato" w:eastAsia="Times New Roman" w:hAnsi="Lato" w:cs="Arial"/>
          <w:spacing w:val="4"/>
          <w:lang w:eastAsia="pl-PL"/>
        </w:rPr>
        <w:br/>
      </w:r>
      <w:r>
        <w:rPr>
          <w:rFonts w:ascii="Lato" w:eastAsia="Times New Roman" w:hAnsi="Lato" w:cs="Arial"/>
          <w:spacing w:val="4"/>
          <w:lang w:eastAsia="pl-PL"/>
        </w:rPr>
        <w:t xml:space="preserve">i </w:t>
      </w:r>
      <w:r w:rsidRPr="0002524B">
        <w:rPr>
          <w:rFonts w:ascii="Lato" w:eastAsia="Times New Roman" w:hAnsi="Lato" w:cs="Arial"/>
          <w:spacing w:val="4"/>
          <w:lang w:eastAsia="pl-PL"/>
        </w:rPr>
        <w:t>obniżenie jej wartości rynkowej.</w:t>
      </w:r>
    </w:p>
    <w:p w14:paraId="42805202" w14:textId="734E3404"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Wskazać w tym miejscu należy, że nieruchomość skarżącej została wymieniona na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str. 11 w pkt 10 </w:t>
      </w:r>
      <w:proofErr w:type="spellStart"/>
      <w:r w:rsidRPr="0002524B">
        <w:rPr>
          <w:rFonts w:ascii="Lato" w:eastAsia="Times New Roman" w:hAnsi="Lato" w:cs="Arial"/>
          <w:spacing w:val="4"/>
          <w:lang w:eastAsia="pl-PL"/>
        </w:rPr>
        <w:t>ppkt</w:t>
      </w:r>
      <w:proofErr w:type="spellEnd"/>
      <w:r w:rsidRPr="0002524B">
        <w:rPr>
          <w:rFonts w:ascii="Lato" w:eastAsia="Times New Roman" w:hAnsi="Lato" w:cs="Arial"/>
          <w:spacing w:val="4"/>
          <w:lang w:eastAsia="pl-PL"/>
        </w:rPr>
        <w:t xml:space="preserve"> 13 zaskarżonej</w:t>
      </w:r>
      <w:r w:rsidRPr="0002524B">
        <w:rPr>
          <w:rFonts w:ascii="Lato" w:eastAsia="Times New Roman" w:hAnsi="Lato" w:cs="Arial"/>
          <w:i/>
          <w:iCs/>
          <w:spacing w:val="4"/>
          <w:lang w:eastAsia="pl-PL"/>
        </w:rPr>
        <w:t xml:space="preserve"> decyzji Wojewody Zachodniopomorskiego</w:t>
      </w:r>
      <w:r w:rsidRPr="0002524B">
        <w:rPr>
          <w:rFonts w:ascii="Lato" w:eastAsia="Times New Roman" w:hAnsi="Lato" w:cs="Arial"/>
          <w:spacing w:val="4"/>
          <w:lang w:eastAsia="pl-PL"/>
        </w:rPr>
        <w:t xml:space="preserve"> dotyczącym ograniczeń sposobu w korzystaniu z nieruchomości (art. 24 ust. 1 i lb</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Ponadto, działka nr 11 obręb Dąbie 160, uwidoczniona została na mapie wskazującej granice terenu objętego wnioskiem (nr rysunku 3), stanowiącej załącznik do</w:t>
      </w:r>
      <w:r w:rsidRPr="0002524B">
        <w:rPr>
          <w:rFonts w:ascii="Lato" w:eastAsia="Times New Roman" w:hAnsi="Lato" w:cs="Arial"/>
          <w:i/>
          <w:iCs/>
          <w:spacing w:val="4"/>
          <w:lang w:eastAsia="pl-PL"/>
        </w:rPr>
        <w:t xml:space="preserve"> decyzji Wojewody Zachodniopomorskiego,</w:t>
      </w:r>
      <w:r w:rsidRPr="0002524B">
        <w:rPr>
          <w:rFonts w:ascii="Lato" w:eastAsia="Times New Roman" w:hAnsi="Lato" w:cs="Arial"/>
          <w:spacing w:val="4"/>
          <w:lang w:eastAsia="pl-PL"/>
        </w:rPr>
        <w:t xml:space="preserve"> w obszarze oznaczonym czerwonym szrafem, która dotyczy terenu ograniczonego w sposobie korzystania na czas nieokreślony (art. 24 ust. 1), a także w obszarze oznaczonym szarym wypełnieniem, która dotyczy terenu ograniczonego w sposobie korzystania na czas określony (art. 24 ust. lb).</w:t>
      </w:r>
    </w:p>
    <w:p w14:paraId="4FD6F343" w14:textId="0113B056"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Jak wynika z treści art. 24 ust. 1</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ustawodawca umożliwił organowi wydającemu decyzję o ustaleniu lokalizacji inwestycji w zakresie terminalu wprowadzenie ograniczenia prawa własności nieruchomości określonych w art. 10 ust. 1 pkt 8</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poprzez określenie sposobu korzystania z tych nieruchomości </w:t>
      </w:r>
      <w:r w:rsidRPr="0002524B">
        <w:rPr>
          <w:rFonts w:ascii="Lato" w:eastAsia="Times New Roman" w:hAnsi="Lato" w:cs="Arial"/>
          <w:spacing w:val="4"/>
          <w:lang w:eastAsia="pl-PL"/>
        </w:rPr>
        <w:lastRenderedPageBreak/>
        <w:t xml:space="preserve">przez udzielenie zezwolenia w szczególności na zakładanie i przeprowadzenie na nieruchomości ciągów drenażowych, przewodów i urządzeń służących do przesyłania płynów, pary, gazów i energii elektrycznej oraz urządzeń łączności publicznej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i sygnalizacji, a także innych podziemnych, naziemnych lub nadziemnych obiektów </w:t>
      </w:r>
      <w:r w:rsidR="00DD707C">
        <w:rPr>
          <w:rFonts w:ascii="Lato" w:eastAsia="Times New Roman" w:hAnsi="Lato" w:cs="Arial"/>
          <w:spacing w:val="4"/>
          <w:lang w:eastAsia="pl-PL"/>
        </w:rPr>
        <w:br/>
      </w:r>
      <w:r w:rsidRPr="0002524B">
        <w:rPr>
          <w:rFonts w:ascii="Lato" w:eastAsia="Times New Roman" w:hAnsi="Lato" w:cs="Arial"/>
          <w:spacing w:val="4"/>
          <w:lang w:eastAsia="pl-PL"/>
        </w:rPr>
        <w:t>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 myśl art. 24 ust. lb</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na wniosek</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ograniczenie sposobu korzystania z nieruchomości, o którym mowa w ust. 1, może nastąpić na czas określony.</w:t>
      </w:r>
    </w:p>
    <w:p w14:paraId="043F37B2" w14:textId="70F7B432"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Takie ograniczenie jest nazywane w doktrynie prawa służebnością publiczną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(por. M. </w:t>
      </w:r>
      <w:proofErr w:type="spellStart"/>
      <w:r w:rsidRPr="0002524B">
        <w:rPr>
          <w:rFonts w:ascii="Lato" w:eastAsia="Times New Roman" w:hAnsi="Lato" w:cs="Arial"/>
          <w:spacing w:val="4"/>
          <w:lang w:eastAsia="pl-PL"/>
        </w:rPr>
        <w:t>Gdesz</w:t>
      </w:r>
      <w:proofErr w:type="spellEnd"/>
      <w:r w:rsidRPr="0002524B">
        <w:rPr>
          <w:rFonts w:ascii="Lato" w:eastAsia="Times New Roman" w:hAnsi="Lato" w:cs="Arial"/>
          <w:spacing w:val="4"/>
          <w:lang w:eastAsia="pl-PL"/>
        </w:rPr>
        <w:t xml:space="preserve">, A. </w:t>
      </w:r>
      <w:proofErr w:type="spellStart"/>
      <w:r w:rsidRPr="0002524B">
        <w:rPr>
          <w:rFonts w:ascii="Lato" w:eastAsia="Times New Roman" w:hAnsi="Lato" w:cs="Arial"/>
          <w:spacing w:val="4"/>
          <w:lang w:eastAsia="pl-PL"/>
        </w:rPr>
        <w:t>Milicka-Stojek</w:t>
      </w:r>
      <w:proofErr w:type="spellEnd"/>
      <w:r w:rsidRPr="0002524B">
        <w:rPr>
          <w:rFonts w:ascii="Lato" w:eastAsia="Times New Roman" w:hAnsi="Lato" w:cs="Arial"/>
          <w:spacing w:val="4"/>
          <w:lang w:eastAsia="pl-PL"/>
        </w:rPr>
        <w:t xml:space="preserve">, C. Kowalczyk, D. Konieczny: „Aspekty prawne </w:t>
      </w:r>
      <w:r w:rsidR="00DD707C">
        <w:rPr>
          <w:rFonts w:ascii="Lato" w:eastAsia="Times New Roman" w:hAnsi="Lato" w:cs="Arial"/>
          <w:spacing w:val="4"/>
          <w:lang w:eastAsia="pl-PL"/>
        </w:rPr>
        <w:br/>
      </w:r>
      <w:r w:rsidRPr="0002524B">
        <w:rPr>
          <w:rFonts w:ascii="Lato" w:eastAsia="Times New Roman" w:hAnsi="Lato" w:cs="Arial"/>
          <w:spacing w:val="4"/>
          <w:lang w:eastAsia="pl-PL"/>
        </w:rPr>
        <w:t>i ekonomiczne</w:t>
      </w:r>
      <w:r>
        <w:rPr>
          <w:rFonts w:ascii="Lato" w:eastAsia="Times New Roman" w:hAnsi="Lato" w:cs="Arial"/>
          <w:spacing w:val="4"/>
          <w:lang w:eastAsia="pl-PL"/>
        </w:rPr>
        <w:t xml:space="preserve"> </w:t>
      </w:r>
      <w:r w:rsidRPr="0002524B">
        <w:rPr>
          <w:rFonts w:ascii="Lato" w:eastAsia="Times New Roman" w:hAnsi="Lato" w:cs="Arial"/>
          <w:spacing w:val="4"/>
          <w:lang w:eastAsia="pl-PL"/>
        </w:rPr>
        <w:t>administracyjnego ograniczenia korzystania z nieruchomości - służebność publiczna 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23 kwietnia 1964 r. - Kodeks cywilny (</w:t>
      </w:r>
      <w:proofErr w:type="spellStart"/>
      <w:r w:rsidRPr="0002524B">
        <w:rPr>
          <w:rFonts w:ascii="Lato" w:eastAsia="Times New Roman" w:hAnsi="Lato" w:cs="Arial"/>
          <w:spacing w:val="4"/>
          <w:lang w:eastAsia="pl-PL"/>
        </w:rPr>
        <w:t>t.j</w:t>
      </w:r>
      <w:proofErr w:type="spellEnd"/>
      <w:r w:rsidRPr="0002524B">
        <w:rPr>
          <w:rFonts w:ascii="Lato" w:eastAsia="Times New Roman" w:hAnsi="Lato" w:cs="Arial"/>
          <w:spacing w:val="4"/>
          <w:lang w:eastAsia="pl-PL"/>
        </w:rPr>
        <w:t>. Dz.U. z 2025 r. poz. 1071). Służebność publiczna jest ustanawiana w interesie publicznym, które to pojęcie w polskim systemie prawnym zostało na poziomie ustawowym zdefiniowane w art. 6 ustawy z dnia 21 sierpnia 1997 r. o gospodarce nieruchomościami (</w:t>
      </w:r>
      <w:proofErr w:type="spellStart"/>
      <w:r w:rsidRPr="0002524B">
        <w:rPr>
          <w:rFonts w:ascii="Lato" w:eastAsia="Times New Roman" w:hAnsi="Lato" w:cs="Arial"/>
          <w:spacing w:val="4"/>
          <w:lang w:eastAsia="pl-PL"/>
        </w:rPr>
        <w:t>t.j</w:t>
      </w:r>
      <w:proofErr w:type="spellEnd"/>
      <w:r w:rsidRPr="0002524B">
        <w:rPr>
          <w:rFonts w:ascii="Lato" w:eastAsia="Times New Roman" w:hAnsi="Lato" w:cs="Arial"/>
          <w:spacing w:val="4"/>
          <w:lang w:eastAsia="pl-PL"/>
        </w:rPr>
        <w:t>. Dz.U. z 2024 r. poz. 1145, z późn. zm.), zwanej dalej</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i/>
          <w:iCs/>
          <w:spacing w:val="4"/>
          <w:lang w:eastAsia="pl-PL"/>
        </w:rPr>
        <w:t>",</w:t>
      </w:r>
      <w:r w:rsidRPr="0002524B">
        <w:rPr>
          <w:rFonts w:ascii="Lato" w:eastAsia="Times New Roman" w:hAnsi="Lato" w:cs="Arial"/>
          <w:spacing w:val="4"/>
          <w:lang w:eastAsia="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7FF001E0" w14:textId="69C8D660"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Należy przy tym zauważyć, iż w omawianym przypadku nie stosuje się procedury uzyskiwania zgody właściciela nieruchomości na ograniczenie w korzystaniu. Zauważyć bowiem należy, że art. 10 ust. 1 pkt 8 w zw. z art. 24</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stanowi normę szczególną wobec art. 124 ust. 1 i ust. 3</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spacing w:val="4"/>
          <w:lang w:eastAsia="pl-PL"/>
        </w:rPr>
        <w:t xml:space="preserve"> i okoliczność określenia ograniczeń </w:t>
      </w:r>
      <w:r w:rsidR="00DD707C">
        <w:rPr>
          <w:rFonts w:ascii="Lato" w:eastAsia="Times New Roman" w:hAnsi="Lato" w:cs="Arial"/>
          <w:spacing w:val="4"/>
          <w:lang w:eastAsia="pl-PL"/>
        </w:rPr>
        <w:br/>
      </w:r>
      <w:r w:rsidRPr="0002524B">
        <w:rPr>
          <w:rFonts w:ascii="Lato" w:eastAsia="Times New Roman" w:hAnsi="Lato" w:cs="Arial"/>
          <w:spacing w:val="4"/>
          <w:lang w:eastAsia="pl-PL"/>
        </w:rPr>
        <w:t>w korzystaniu z nieruchomości i prowadzenia robót może być w tym przypadku oparta tylko na ww. przepisach</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W tym przypadku wyłączony jest obowiązek prowadzenia rokowań między właścicielem nieruchomości a</w:t>
      </w:r>
      <w:r w:rsidRPr="0002524B">
        <w:rPr>
          <w:rFonts w:ascii="Lato" w:eastAsia="Times New Roman" w:hAnsi="Lato" w:cs="Arial"/>
          <w:i/>
          <w:iCs/>
          <w:spacing w:val="4"/>
          <w:lang w:eastAsia="pl-PL"/>
        </w:rPr>
        <w:t xml:space="preserve"> inwestorem</w:t>
      </w:r>
      <w:r w:rsidRPr="0002524B">
        <w:rPr>
          <w:rFonts w:ascii="Lato" w:eastAsia="Times New Roman" w:hAnsi="Lato" w:cs="Arial"/>
          <w:spacing w:val="4"/>
          <w:lang w:eastAsia="pl-PL"/>
        </w:rPr>
        <w:t xml:space="preserve"> co do przeprowadzenia takich robót. Wszystkie działania w ramach lokalizacji inwestycji gazowej dokonywane są w oparciu o władztwo administracyjne, a</w:t>
      </w:r>
      <w:r w:rsidRPr="0002524B">
        <w:rPr>
          <w:rFonts w:ascii="Lato" w:eastAsia="Times New Roman" w:hAnsi="Lato" w:cs="Arial"/>
          <w:i/>
          <w:iCs/>
          <w:spacing w:val="4"/>
          <w:lang w:eastAsia="pl-PL"/>
        </w:rPr>
        <w:t xml:space="preserve"> specustawa gazowa</w:t>
      </w:r>
      <w:r w:rsidRPr="0002524B">
        <w:rPr>
          <w:rFonts w:ascii="Lato" w:eastAsia="Times New Roman" w:hAnsi="Lato" w:cs="Arial"/>
          <w:spacing w:val="4"/>
          <w:lang w:eastAsia="pl-PL"/>
        </w:rPr>
        <w:t xml:space="preserve"> nie przewiduje w tej materii konsultacji lub uzyskania zezwoleń właścicieli nieruchomości objętych zakresem inwestycji.</w:t>
      </w:r>
    </w:p>
    <w:p w14:paraId="3584E8E2"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Natomiast skutki ograniczenia w korzystaniu z nieruchomości na mocy art. 24 ust. 1 </w:t>
      </w:r>
      <w:r w:rsidRPr="0002524B">
        <w:rPr>
          <w:rFonts w:ascii="Lato" w:eastAsia="Times New Roman" w:hAnsi="Lato" w:cs="Arial"/>
          <w:i/>
          <w:iCs/>
          <w:spacing w:val="4"/>
          <w:lang w:eastAsia="pl-PL"/>
        </w:rPr>
        <w:t>specustawy gazowej</w:t>
      </w:r>
      <w:r w:rsidRPr="0002524B">
        <w:rPr>
          <w:rFonts w:ascii="Lato" w:eastAsia="Times New Roman" w:hAnsi="Lato" w:cs="Arial"/>
          <w:spacing w:val="4"/>
          <w:lang w:eastAsia="pl-PL"/>
        </w:rPr>
        <w:t xml:space="preserve"> ustanowione na działce skarżącej, oceniane są w odrębnych postępowaniach, w tym przewidzianym w</w:t>
      </w:r>
      <w:r w:rsidRPr="0002524B">
        <w:rPr>
          <w:rFonts w:ascii="Lato" w:eastAsia="Times New Roman" w:hAnsi="Lato" w:cs="Arial"/>
          <w:i/>
          <w:iCs/>
          <w:spacing w:val="4"/>
          <w:lang w:eastAsia="pl-PL"/>
        </w:rPr>
        <w:t xml:space="preserve"> specustawie gazowej -</w:t>
      </w:r>
      <w:r w:rsidRPr="0002524B">
        <w:rPr>
          <w:rFonts w:ascii="Lato" w:eastAsia="Times New Roman" w:hAnsi="Lato" w:cs="Arial"/>
          <w:spacing w:val="4"/>
          <w:lang w:eastAsia="pl-PL"/>
        </w:rPr>
        <w:t xml:space="preserve"> postępowaniu odszkodowawczym.</w:t>
      </w:r>
    </w:p>
    <w:p w14:paraId="46E6FF57"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lastRenderedPageBreak/>
        <w:t>Według bowiem art. 24 ust. 1</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przepisy art. 124</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i/>
          <w:iCs/>
          <w:spacing w:val="4"/>
          <w:lang w:eastAsia="pl-PL"/>
        </w:rPr>
        <w:t>,</w:t>
      </w:r>
      <w:r w:rsidRPr="0002524B">
        <w:rPr>
          <w:rFonts w:ascii="Lato" w:eastAsia="Times New Roman" w:hAnsi="Lato" w:cs="Arial"/>
          <w:spacing w:val="4"/>
          <w:lang w:eastAsia="pl-PL"/>
        </w:rPr>
        <w:t xml:space="preserve"> stosuje się odpowiednio, z uwzględnieniem przepisów niniejszej ustawy (por. wyroki Wojewódzkiego Sądu Administracyjnego z dnia 30 sierpnia 2019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1477/19 i z dnia 31 sierpnia 2018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3345/17, </w:t>
      </w:r>
      <w:proofErr w:type="spellStart"/>
      <w:r w:rsidRPr="0002524B">
        <w:rPr>
          <w:rFonts w:ascii="Lato" w:eastAsia="Times New Roman" w:hAnsi="Lato" w:cs="Arial"/>
          <w:spacing w:val="4"/>
          <w:lang w:eastAsia="pl-PL"/>
        </w:rPr>
        <w:t>opubl</w:t>
      </w:r>
      <w:proofErr w:type="spellEnd"/>
      <w:r w:rsidRPr="0002524B">
        <w:rPr>
          <w:rFonts w:ascii="Lato" w:eastAsia="Times New Roman" w:hAnsi="Lato" w:cs="Arial"/>
          <w:spacing w:val="4"/>
          <w:lang w:eastAsia="pl-PL"/>
        </w:rPr>
        <w:t>. Centralna Baza Orzeczeń Sądów Administracyjnych).</w:t>
      </w:r>
    </w:p>
    <w:p w14:paraId="26DE9342" w14:textId="01D0600C"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Zgodnie z art. 124 ust. 4</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i/>
          <w:iCs/>
          <w:spacing w:val="4"/>
          <w:lang w:eastAsia="pl-PL"/>
        </w:rPr>
        <w:t>,</w:t>
      </w:r>
      <w:r w:rsidRPr="0002524B">
        <w:rPr>
          <w:rFonts w:ascii="Lato" w:eastAsia="Times New Roman" w:hAnsi="Lato" w:cs="Arial"/>
          <w:spacing w:val="4"/>
          <w:lang w:eastAsia="pl-PL"/>
        </w:rPr>
        <w:t xml:space="preserve"> na osobie lub jednostce organizacyjnej występującej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o zezwolenie ciąży obowiązek przywrócenia nieruchomości do stanu poprzedniego, niezwłocznie po założeniu lub przeprowadzeniu ciągów, przewodów i urządzeń, </w:t>
      </w:r>
      <w:r w:rsidR="00DD707C">
        <w:rPr>
          <w:rFonts w:ascii="Lato" w:eastAsia="Times New Roman" w:hAnsi="Lato" w:cs="Arial"/>
          <w:spacing w:val="4"/>
          <w:lang w:eastAsia="pl-PL"/>
        </w:rPr>
        <w:br/>
      </w:r>
      <w:r w:rsidRPr="0002524B">
        <w:rPr>
          <w:rFonts w:ascii="Lato" w:eastAsia="Times New Roman" w:hAnsi="Lato" w:cs="Arial"/>
          <w:spacing w:val="4"/>
          <w:lang w:eastAsia="pl-PL"/>
        </w:rPr>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w:t>
      </w:r>
      <w:r>
        <w:rPr>
          <w:rFonts w:ascii="Lato" w:eastAsia="Times New Roman" w:hAnsi="Lato" w:cs="Arial"/>
          <w:spacing w:val="4"/>
          <w:lang w:eastAsia="pl-PL"/>
        </w:rPr>
        <w:t xml:space="preserve"> </w:t>
      </w:r>
      <w:r w:rsidRPr="0002524B">
        <w:rPr>
          <w:rFonts w:ascii="Lato" w:eastAsia="Times New Roman" w:hAnsi="Lato" w:cs="Arial"/>
          <w:spacing w:val="4"/>
          <w:lang w:eastAsia="pl-PL"/>
        </w:rPr>
        <w:t>inwestycji i przysługuje ono jedynie wówczas, gdy przywrócenie nieruchomości do stanu poprzedniego jest niemożliwe albo powoduje nadmierne trudności lub koszty.</w:t>
      </w:r>
    </w:p>
    <w:p w14:paraId="43C41EF9" w14:textId="320160E3"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Odszkodowanie, o którym mowa w art. 124 ust. 4 w zw. z art. 128 ust. 4</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spacing w:val="4"/>
          <w:lang w:eastAsia="pl-PL"/>
        </w:rPr>
        <w:t xml:space="preserve"> jest odszkodowaniem za szkody wynikające z ograniczenia sposobu korzystania </w:t>
      </w:r>
      <w:r w:rsidR="00DD707C">
        <w:rPr>
          <w:rFonts w:ascii="Lato" w:eastAsia="Times New Roman" w:hAnsi="Lato" w:cs="Arial"/>
          <w:spacing w:val="4"/>
          <w:lang w:eastAsia="pl-PL"/>
        </w:rPr>
        <w:br/>
      </w:r>
      <w:r w:rsidRPr="0002524B">
        <w:rPr>
          <w:rFonts w:ascii="Lato" w:eastAsia="Times New Roman" w:hAnsi="Lato" w:cs="Arial"/>
          <w:spacing w:val="4"/>
          <w:lang w:eastAsia="pl-PL"/>
        </w:rPr>
        <w:t>z nieruchomości, a więc w istocie za ograniczenia prawa do nieruchomości.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p>
    <w:p w14:paraId="55E501AF" w14:textId="79EEA49A"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Jednakże kwestie związane z ustaleniem wysokości i wypłatą odszkodowań, mimo </w:t>
      </w:r>
      <w:r w:rsidR="00DD707C">
        <w:rPr>
          <w:rFonts w:ascii="Lato" w:eastAsia="Times New Roman" w:hAnsi="Lato" w:cs="Arial"/>
          <w:spacing w:val="4"/>
          <w:lang w:eastAsia="pl-PL"/>
        </w:rPr>
        <w:br/>
      </w:r>
      <w:r w:rsidRPr="0002524B">
        <w:rPr>
          <w:rFonts w:ascii="Lato" w:eastAsia="Times New Roman" w:hAnsi="Lato" w:cs="Arial"/>
          <w:spacing w:val="4"/>
          <w:lang w:eastAsia="pl-PL"/>
        </w:rPr>
        <w:t>iż w pewnym stopniu są związane z decyzją o ustaleniu lokalizacji inwestycji towarzyszącej inwestycjom w zakresie terminalu, stanowią oddzielne byty, podlegające odrębnym trybom zaskarżenia.</w:t>
      </w:r>
    </w:p>
    <w:p w14:paraId="4D7E7E80"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Wysokość odszkodowania jest przedmiotem odrębnego postępowania administracyjnego prowadzonego przez Wojewodę na podstawie przepisów</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oraz odpowiednich przepisów</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i/>
          <w:iCs/>
          <w:spacing w:val="4"/>
          <w:lang w:eastAsia="pl-PL"/>
        </w:rPr>
        <w:t>.</w:t>
      </w:r>
      <w:r w:rsidRPr="0002524B">
        <w:rPr>
          <w:rFonts w:ascii="Lato" w:eastAsia="Times New Roman" w:hAnsi="Lato" w:cs="Arial"/>
          <w:spacing w:val="4"/>
          <w:lang w:eastAsia="pl-PL"/>
        </w:rPr>
        <w:t xml:space="preserve"> 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na podstawie ww. art. 24 ust. 1</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nie są przedmiotem decyzji o ustaleniu lokalizacji inwestycji towarzyszącej inwestycjom w zakresie terminalu.</w:t>
      </w:r>
    </w:p>
    <w:p w14:paraId="08C7CBDF"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Pomimo zatem ingerencji w prawo własności, dochodzi do równoważenia strat i szkód związanych z planowaną inwestycją, co w konsekwencji nie narusza proporcji między interesem publicznym, a ingerencją w sferę praw i wolności, które na mocy ustawy są rekompensowane stosownym odszkodowaniem.</w:t>
      </w:r>
    </w:p>
    <w:p w14:paraId="73E4D58B" w14:textId="1A142611"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Natomiast ustawodawca wyraźnie przesądził, że właściwym instrumentem prawnym, służącym ochronie właściciela gruntu, zajętego jedynie częściowo na potrzeby inwestycji, jest żądanie wykupu przez</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całości nieruchomości na zasadach przewidzianych w art. 124 ust. 5</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i/>
          <w:iCs/>
          <w:spacing w:val="4"/>
          <w:lang w:eastAsia="pl-PL"/>
        </w:rPr>
        <w:t>,</w:t>
      </w:r>
      <w:r w:rsidRPr="0002524B">
        <w:rPr>
          <w:rFonts w:ascii="Lato" w:eastAsia="Times New Roman" w:hAnsi="Lato" w:cs="Arial"/>
          <w:spacing w:val="4"/>
          <w:lang w:eastAsia="pl-PL"/>
        </w:rPr>
        <w:t xml:space="preserve"> gdyby zachodziła rzeczywista przeszkoda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w dalszym prawidłowym korzystaniu z nieruchomości w sposób dotychczasowy albo </w:t>
      </w:r>
      <w:r w:rsidR="00DD707C">
        <w:rPr>
          <w:rFonts w:ascii="Lato" w:eastAsia="Times New Roman" w:hAnsi="Lato" w:cs="Arial"/>
          <w:spacing w:val="4"/>
          <w:lang w:eastAsia="pl-PL"/>
        </w:rPr>
        <w:br/>
      </w:r>
      <w:r w:rsidRPr="0002524B">
        <w:rPr>
          <w:rFonts w:ascii="Lato" w:eastAsia="Times New Roman" w:hAnsi="Lato" w:cs="Arial"/>
          <w:spacing w:val="4"/>
          <w:lang w:eastAsia="pl-PL"/>
        </w:rPr>
        <w:t>w sposób zgodny z jej dotychczasowym przeznaczeniem.</w:t>
      </w:r>
    </w:p>
    <w:p w14:paraId="5426E49B" w14:textId="6B1F80D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Przepis art. 124 ust. 5</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spacing w:val="4"/>
          <w:lang w:eastAsia="pl-PL"/>
        </w:rPr>
        <w:t xml:space="preserve"> przyznaje właścicielowi albo użytkownikowi wieczystemu nieruchomości prawo żądania nabycia od niego w drodze umowy własności lub prawa </w:t>
      </w:r>
      <w:r w:rsidRPr="0002524B">
        <w:rPr>
          <w:rFonts w:ascii="Lato" w:eastAsia="Times New Roman" w:hAnsi="Lato" w:cs="Arial"/>
          <w:spacing w:val="4"/>
          <w:lang w:eastAsia="pl-PL"/>
        </w:rPr>
        <w:lastRenderedPageBreak/>
        <w:t xml:space="preserve">użytkowania wieczystego, jeżeli założenie lub przeprowadzenie ciągów, przewodów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00DD707C">
        <w:rPr>
          <w:rFonts w:ascii="Lato" w:eastAsia="Times New Roman" w:hAnsi="Lato" w:cs="Arial"/>
          <w:spacing w:val="4"/>
          <w:lang w:eastAsia="pl-PL"/>
        </w:rPr>
        <w:br/>
      </w:r>
      <w:r w:rsidRPr="0002524B">
        <w:rPr>
          <w:rFonts w:ascii="Lato" w:eastAsia="Times New Roman" w:hAnsi="Lato" w:cs="Arial"/>
          <w:spacing w:val="4"/>
          <w:lang w:eastAsia="pl-PL"/>
        </w:rPr>
        <w:t>22 czerwca 1998 r., sygn. akt II SA/Ka 921/98, CBOSA). Roszczenie o wykup nieruchomości, w sytuacji uregulowanej ww. przepisem następuje w drodze umowy, a nie w drodze decyzji administracyjnej. W sytuacji więc, gdy nie doszło do zawarcia umowy zainteresowany może wystąpić do sądu powszechnego z roszczeniem o wydanie wyroku zastępującego oświadczenie woli (por. ww. wyrok Wojewódzkiego</w:t>
      </w:r>
      <w:r>
        <w:rPr>
          <w:rFonts w:ascii="Lato" w:eastAsia="Times New Roman" w:hAnsi="Lato" w:cs="Arial"/>
          <w:spacing w:val="4"/>
          <w:lang w:eastAsia="pl-PL"/>
        </w:rPr>
        <w:t xml:space="preserve"> </w:t>
      </w:r>
      <w:r w:rsidRPr="0002524B">
        <w:rPr>
          <w:rFonts w:ascii="Lato" w:eastAsia="Times New Roman" w:hAnsi="Lato" w:cs="Arial"/>
          <w:spacing w:val="4"/>
          <w:lang w:eastAsia="pl-PL"/>
        </w:rPr>
        <w:t>Sądu Administracyjnego w Warszawie z dnia 30 sierpnia 2019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1477/19).</w:t>
      </w:r>
    </w:p>
    <w:p w14:paraId="731D018C" w14:textId="329EACFF"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Jak wskazuje się w doktrynie: „Z pewnością roszczenie (wynikające z 124 ust. 5</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i/>
          <w:iCs/>
          <w:spacing w:val="4"/>
          <w:lang w:eastAsia="pl-PL"/>
        </w:rPr>
        <w:t xml:space="preserve">) </w:t>
      </w:r>
      <w:r w:rsidRPr="0002524B">
        <w:rPr>
          <w:rFonts w:ascii="Lato" w:eastAsia="Times New Roman" w:hAnsi="Lato" w:cs="Arial"/>
          <w:spacing w:val="4"/>
          <w:lang w:eastAsia="pl-PL"/>
        </w:rPr>
        <w:t>może powstać dopiero po fizycznym posadowieniu urządzeń w przestrzeni nieruchomości. Treść planu miejscowego lub decyzji o ustaleniu lokalizacji przed fizycznym wkroczeniem na nieruchomości nie spowoduje powstania tego roszczenia (por. G. Matusik: Komentarz do art. 124</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spacing w:val="4"/>
          <w:lang w:eastAsia="pl-PL"/>
        </w:rPr>
        <w:t xml:space="preserve"> [w:] Kalus S. (red.), Bieniek G., </w:t>
      </w:r>
      <w:proofErr w:type="spellStart"/>
      <w:r w:rsidRPr="0002524B">
        <w:rPr>
          <w:rFonts w:ascii="Lato" w:eastAsia="Times New Roman" w:hAnsi="Lato" w:cs="Arial"/>
          <w:spacing w:val="4"/>
          <w:lang w:eastAsia="pl-PL"/>
        </w:rPr>
        <w:t>Gdesz</w:t>
      </w:r>
      <w:proofErr w:type="spellEnd"/>
      <w:r w:rsidRPr="0002524B">
        <w:rPr>
          <w:rFonts w:ascii="Lato" w:eastAsia="Times New Roman" w:hAnsi="Lato" w:cs="Arial"/>
          <w:spacing w:val="4"/>
          <w:lang w:eastAsia="pl-PL"/>
        </w:rPr>
        <w:t xml:space="preserve"> M., Matusik G., Mzyk E., Ustawa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o gospodarce nieruchomościami. Komentarz, </w:t>
      </w:r>
      <w:proofErr w:type="spellStart"/>
      <w:r w:rsidRPr="0002524B">
        <w:rPr>
          <w:rFonts w:ascii="Lato" w:eastAsia="Times New Roman" w:hAnsi="Lato" w:cs="Arial"/>
          <w:spacing w:val="4"/>
          <w:lang w:eastAsia="pl-PL"/>
        </w:rPr>
        <w:t>LexisNexis</w:t>
      </w:r>
      <w:proofErr w:type="spellEnd"/>
      <w:r w:rsidRPr="0002524B">
        <w:rPr>
          <w:rFonts w:ascii="Lato" w:eastAsia="Times New Roman" w:hAnsi="Lato" w:cs="Arial"/>
          <w:spacing w:val="4"/>
          <w:lang w:eastAsia="pl-PL"/>
        </w:rPr>
        <w:t>, 2012, Lex/el.).</w:t>
      </w:r>
    </w:p>
    <w:p w14:paraId="3AD13FA3"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Odnosząc się do zarzutów skarżącej dotyczących wyboru przebiegu omawianej inwestycji gazowej i rozważenia innych jego wariantów, uwzględniających roszczenia skarżącej, wyjaśnić należy, że</w:t>
      </w:r>
      <w:r w:rsidRPr="0002524B">
        <w:rPr>
          <w:rFonts w:ascii="Lato" w:eastAsia="Times New Roman" w:hAnsi="Lato" w:cs="Arial"/>
          <w:i/>
          <w:iCs/>
          <w:spacing w:val="4"/>
          <w:lang w:eastAsia="pl-PL"/>
        </w:rPr>
        <w:t xml:space="preserve"> specustawa gazowa,</w:t>
      </w:r>
      <w:r w:rsidRPr="0002524B">
        <w:rPr>
          <w:rFonts w:ascii="Lato" w:eastAsia="Times New Roman" w:hAnsi="Lato" w:cs="Arial"/>
          <w:spacing w:val="4"/>
          <w:lang w:eastAsia="pl-PL"/>
        </w:rPr>
        <w:t xml:space="preserve"> w oparciu o której przepisy wydano zaskarżoną</w:t>
      </w:r>
      <w:r w:rsidRPr="0002524B">
        <w:rPr>
          <w:rFonts w:ascii="Lato" w:eastAsia="Times New Roman" w:hAnsi="Lato" w:cs="Arial"/>
          <w:i/>
          <w:iCs/>
          <w:spacing w:val="4"/>
          <w:lang w:eastAsia="pl-PL"/>
        </w:rPr>
        <w:t xml:space="preserve"> decyzję Wojewody Zachodniopomorskiego</w:t>
      </w:r>
      <w:r w:rsidRPr="0002524B">
        <w:rPr>
          <w:rFonts w:ascii="Lato" w:eastAsia="Times New Roman" w:hAnsi="Lato" w:cs="Arial"/>
          <w:spacing w:val="4"/>
          <w:lang w:eastAsia="pl-PL"/>
        </w:rPr>
        <w:t xml:space="preserve"> jest aktem prawnym szczególnym, przewidującym uproszczoną (przyśpieszoną) procedurę przygotowania i realizacji inwestycji w zakresie terminalu oraz inwestycji towarzyszących. Inwestycje tego rodzaju zostały zaliczone w art. 4</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do celów publicznych w</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ugn</w:t>
      </w:r>
      <w:proofErr w:type="spellEnd"/>
      <w:r w:rsidRPr="0002524B">
        <w:rPr>
          <w:rFonts w:ascii="Lato" w:eastAsia="Times New Roman" w:hAnsi="Lato" w:cs="Arial"/>
          <w:i/>
          <w:iCs/>
          <w:spacing w:val="4"/>
          <w:lang w:eastAsia="pl-PL"/>
        </w:rPr>
        <w:t>.</w:t>
      </w:r>
      <w:r w:rsidRPr="0002524B">
        <w:rPr>
          <w:rFonts w:ascii="Lato" w:eastAsia="Times New Roman" w:hAnsi="Lato" w:cs="Arial"/>
          <w:spacing w:val="4"/>
          <w:lang w:eastAsia="pl-PL"/>
        </w:rPr>
        <w:t xml:space="preserve"> Ustawodawca uchwalając szczególne przepisy</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zdecydował, iż inwestycje w zakresie terminalu oraz inwestycje towarzyszące będą korzystały z priorytetowej, przyspieszonej ścieżki pozyskiwania decyzji i zezwoleń niezbędnych do realizacji tych przedsięwzięć. Pośród celów regulacji</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wymienić można ograniczenie ilości pozwoleń niezbędnych do rozpoczęcia inwestycji oraz skrócenie czasu trwania procedur niezbędnych do uzyskania wymaganych decyzji. Z analizy uzasadnienia projektu </w:t>
      </w:r>
      <w:r w:rsidRPr="0002524B">
        <w:rPr>
          <w:rFonts w:ascii="Lato" w:eastAsia="Times New Roman" w:hAnsi="Lato" w:cs="Arial"/>
          <w:i/>
          <w:iCs/>
          <w:spacing w:val="4"/>
          <w:lang w:eastAsia="pl-PL"/>
        </w:rPr>
        <w:t>specustawy gazowej</w:t>
      </w:r>
      <w:r w:rsidRPr="0002524B">
        <w:rPr>
          <w:rFonts w:ascii="Lato" w:eastAsia="Times New Roman" w:hAnsi="Lato" w:cs="Arial"/>
          <w:spacing w:val="4"/>
          <w:lang w:eastAsia="pl-PL"/>
        </w:rPr>
        <w:t xml:space="preserve"> wyraźnie wynika dążenie twórców tego aktu prawnego do przyspieszenia i usprawnienia postępowania w przedmiocie lokalizacji oraz realizacji inwestycji w zakresie terminalu oraz inwestycji towarzyszących (zob. uzasadnienie projektu</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w:t>
      </w:r>
      <w:hyperlink r:id="rId8" w:history="1">
        <w:r w:rsidRPr="0002524B">
          <w:rPr>
            <w:rStyle w:val="Hipercze"/>
            <w:rFonts w:ascii="Lato" w:eastAsia="Times New Roman" w:hAnsi="Lato" w:cs="Arial"/>
            <w:color w:val="auto"/>
            <w:spacing w:val="4"/>
            <w:u w:val="none"/>
            <w:lang w:val="en-US" w:eastAsia="pl-PL"/>
          </w:rPr>
          <w:t>http://www.sejm.gov.pl</w:t>
        </w:r>
      </w:hyperlink>
      <w:r w:rsidRPr="0002524B">
        <w:rPr>
          <w:rFonts w:ascii="Lato" w:eastAsia="Times New Roman" w:hAnsi="Lato" w:cs="Arial"/>
          <w:spacing w:val="4"/>
          <w:lang w:val="en-US" w:eastAsia="pl-PL"/>
        </w:rPr>
        <w:t>).</w:t>
      </w:r>
    </w:p>
    <w:p w14:paraId="088319B9"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Powyższymi okolicznościami należy uzasadniać z jednej strony znaczne zwiększenie uprawnień</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w:t>
      </w:r>
      <w:r w:rsidRPr="0002524B">
        <w:rPr>
          <w:rFonts w:ascii="Lato" w:eastAsia="Times New Roman" w:hAnsi="Lato" w:cs="Arial"/>
          <w:i/>
          <w:iCs/>
          <w:spacing w:val="4"/>
          <w:lang w:eastAsia="pl-PL"/>
        </w:rPr>
        <w:t xml:space="preserve"> inwestora, co </w:t>
      </w:r>
      <w:r w:rsidRPr="0002524B">
        <w:rPr>
          <w:rFonts w:ascii="Lato" w:eastAsia="Times New Roman" w:hAnsi="Lato" w:cs="Arial"/>
          <w:spacing w:val="4"/>
          <w:lang w:eastAsia="pl-PL"/>
        </w:rPr>
        <w:t>do kształtu i przebiegu inwestycji. W przepisach</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ustawodawca nie upoważnił organów do oceny racjonalności, czy słuszności zaproponowanych rozwiązań projektowych, bowiem taka ocena miałaby charakter pozaprawny. O przebiegu inwestycji w zakresie terminalu oraz inwestycji towarzyszących decyduje</w:t>
      </w:r>
      <w:r w:rsidRPr="0002524B">
        <w:rPr>
          <w:rFonts w:ascii="Lato" w:eastAsia="Times New Roman" w:hAnsi="Lato" w:cs="Arial"/>
          <w:i/>
          <w:iCs/>
          <w:spacing w:val="4"/>
          <w:lang w:eastAsia="pl-PL"/>
        </w:rPr>
        <w:t xml:space="preserve"> inwestor </w:t>
      </w:r>
      <w:r w:rsidRPr="0002524B">
        <w:rPr>
          <w:rFonts w:ascii="Lato" w:eastAsia="Times New Roman" w:hAnsi="Lato" w:cs="Arial"/>
          <w:spacing w:val="4"/>
          <w:lang w:eastAsia="pl-PL"/>
        </w:rPr>
        <w:t>(wnioskodawca), który wybiera najbardziej korzystne rozwiązanie lokalizacyjne.</w:t>
      </w:r>
    </w:p>
    <w:p w14:paraId="0BB02240" w14:textId="77777777"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Zatem organy orzekające w niniejszej sprawie nie posiadają kompetencji do wyznaczania i korygowania trasy inwestycji, czy też do zmiany proponowanych rozwiązań, co do jej przebiegu. Rolą orzekającego w sprawie organu jest natomiast sprawdzenie kompletności wniosku w świetle wymogów ustawowych oraz czy koncepcja składającego wniosek mieści się w granicach wyznaczonych przez prawo. Podkreślić </w:t>
      </w:r>
      <w:r w:rsidRPr="0002524B">
        <w:rPr>
          <w:rFonts w:ascii="Lato" w:eastAsia="Times New Roman" w:hAnsi="Lato" w:cs="Arial"/>
          <w:spacing w:val="4"/>
          <w:lang w:eastAsia="pl-PL"/>
        </w:rPr>
        <w:lastRenderedPageBreak/>
        <w:t xml:space="preserve">trzeba także związany charakter decyzji o ustaleniu lokalizacji inwestycji towarzyszącej inwestycjom w zakresie terminalu. Stosownie bowiem do przepisu art. 6 ust. 2 </w:t>
      </w:r>
      <w:r w:rsidRPr="0002524B">
        <w:rPr>
          <w:rFonts w:ascii="Lato" w:eastAsia="Times New Roman" w:hAnsi="Lato" w:cs="Arial"/>
          <w:i/>
          <w:iCs/>
          <w:spacing w:val="4"/>
          <w:lang w:eastAsia="pl-PL"/>
        </w:rPr>
        <w:t>specustawy gazowej,</w:t>
      </w:r>
      <w:r w:rsidRPr="0002524B">
        <w:rPr>
          <w:rFonts w:ascii="Lato" w:eastAsia="Times New Roman" w:hAnsi="Lato" w:cs="Arial"/>
          <w:spacing w:val="4"/>
          <w:lang w:eastAsia="pl-PL"/>
        </w:rPr>
        <w:t xml:space="preserve"> nie można uzależniać ustalenia lokalizacji inwestycji w zakresie terminalu oraz inwestycji towarzyszących od zobowiązania</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do spełnienia nieprzewidzianych odrębnymi przepisami świadczeń lub warunków.</w:t>
      </w:r>
    </w:p>
    <w:p w14:paraId="1958BBB4" w14:textId="44EE2069"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 szczególności, wbrew przekonaniu skarżącej,</w:t>
      </w:r>
      <w:r w:rsidRPr="0002524B">
        <w:rPr>
          <w:rFonts w:ascii="Lato" w:eastAsia="Times New Roman" w:hAnsi="Lato" w:cs="Arial"/>
          <w:i/>
          <w:iCs/>
          <w:spacing w:val="4"/>
          <w:lang w:eastAsia="pl-PL"/>
        </w:rPr>
        <w:t xml:space="preserve"> specustawa gazowa</w:t>
      </w:r>
      <w:r w:rsidRPr="0002524B">
        <w:rPr>
          <w:rFonts w:ascii="Lato" w:eastAsia="Times New Roman" w:hAnsi="Lato" w:cs="Arial"/>
          <w:spacing w:val="4"/>
          <w:lang w:eastAsia="pl-PL"/>
        </w:rPr>
        <w:t xml:space="preserve"> nie nakłada na </w:t>
      </w:r>
      <w:r w:rsidRPr="0002524B">
        <w:rPr>
          <w:rFonts w:ascii="Lato" w:eastAsia="Times New Roman" w:hAnsi="Lato" w:cs="Arial"/>
          <w:i/>
          <w:iCs/>
          <w:spacing w:val="4"/>
          <w:lang w:eastAsia="pl-PL"/>
        </w:rPr>
        <w:t>inwestora</w:t>
      </w:r>
      <w:r w:rsidRPr="0002524B">
        <w:rPr>
          <w:rFonts w:ascii="Lato" w:eastAsia="Times New Roman" w:hAnsi="Lato" w:cs="Arial"/>
          <w:spacing w:val="4"/>
          <w:lang w:eastAsia="pl-PL"/>
        </w:rPr>
        <w:t xml:space="preserve"> obowiązku przedkładania różnych wariantów planowanego przedsięwzięcia </w:t>
      </w:r>
      <w:r w:rsidR="00DD707C">
        <w:rPr>
          <w:rFonts w:ascii="Lato" w:eastAsia="Times New Roman" w:hAnsi="Lato" w:cs="Arial"/>
          <w:spacing w:val="4"/>
          <w:lang w:eastAsia="pl-PL"/>
        </w:rPr>
        <w:br/>
      </w:r>
      <w:r w:rsidRPr="0002524B">
        <w:rPr>
          <w:rFonts w:ascii="Lato" w:eastAsia="Times New Roman" w:hAnsi="Lato" w:cs="Arial"/>
          <w:spacing w:val="4"/>
          <w:lang w:eastAsia="pl-PL"/>
        </w:rPr>
        <w:t>i nie ma on obowiązku uwzględniać oczekiwań stron postępowania co do lokalizacji inwestycji. Tylko w przypadku stwierdzenia przez organy, że kształt inwestycji w wersji zgłoszonej we wniosku</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narusza określony przepis prawa, zobowiązuje te organy do odmowy ustalenia lokalizacji inwestycji w wersji wnioskowanej przez </w:t>
      </w:r>
      <w:r w:rsidRPr="0002524B">
        <w:rPr>
          <w:rFonts w:ascii="Lato" w:eastAsia="Times New Roman" w:hAnsi="Lato" w:cs="Arial"/>
          <w:i/>
          <w:iCs/>
          <w:spacing w:val="4"/>
          <w:lang w:eastAsia="pl-PL"/>
        </w:rPr>
        <w:t>inwestora.</w:t>
      </w:r>
      <w:r w:rsidRPr="0002524B">
        <w:rPr>
          <w:rFonts w:ascii="Lato" w:eastAsia="Times New Roman" w:hAnsi="Lato" w:cs="Arial"/>
          <w:spacing w:val="4"/>
          <w:lang w:eastAsia="pl-PL"/>
        </w:rPr>
        <w:t xml:space="preserve"> Dlatego też organy I </w:t>
      </w:r>
      <w:proofErr w:type="spellStart"/>
      <w:r w:rsidRPr="0002524B">
        <w:rPr>
          <w:rFonts w:ascii="Lato" w:eastAsia="Times New Roman" w:hAnsi="Lato" w:cs="Arial"/>
          <w:spacing w:val="4"/>
          <w:lang w:eastAsia="pl-PL"/>
        </w:rPr>
        <w:t>i</w:t>
      </w:r>
      <w:proofErr w:type="spellEnd"/>
      <w:r w:rsidRPr="0002524B">
        <w:rPr>
          <w:rFonts w:ascii="Lato" w:eastAsia="Times New Roman" w:hAnsi="Lato" w:cs="Arial"/>
          <w:spacing w:val="4"/>
          <w:lang w:eastAsia="pl-PL"/>
        </w:rPr>
        <w:t xml:space="preserve"> II instancji mają obowiązek dokonać oceny zgodności </w:t>
      </w:r>
      <w:r w:rsidR="00DD707C">
        <w:rPr>
          <w:rFonts w:ascii="Lato" w:eastAsia="Times New Roman" w:hAnsi="Lato" w:cs="Arial"/>
          <w:spacing w:val="4"/>
          <w:lang w:eastAsia="pl-PL"/>
        </w:rPr>
        <w:br/>
      </w:r>
      <w:r w:rsidRPr="0002524B">
        <w:rPr>
          <w:rFonts w:ascii="Lato" w:eastAsia="Times New Roman" w:hAnsi="Lato" w:cs="Arial"/>
          <w:spacing w:val="4"/>
          <w:lang w:eastAsia="pl-PL"/>
        </w:rPr>
        <w:t>z prawem takiego wariantu, jaki przedstawił wnioskodawca, nie są natomiast władne nakazać</w:t>
      </w:r>
      <w:r w:rsidRPr="0002524B">
        <w:rPr>
          <w:rFonts w:ascii="Lato" w:eastAsia="Times New Roman" w:hAnsi="Lato" w:cs="Arial"/>
          <w:i/>
          <w:iCs/>
          <w:spacing w:val="4"/>
          <w:lang w:eastAsia="pl-PL"/>
        </w:rPr>
        <w:t xml:space="preserve"> inwestorowi</w:t>
      </w:r>
      <w:r w:rsidRPr="0002524B">
        <w:rPr>
          <w:rFonts w:ascii="Lato" w:eastAsia="Times New Roman" w:hAnsi="Lato" w:cs="Arial"/>
          <w:spacing w:val="4"/>
          <w:lang w:eastAsia="pl-PL"/>
        </w:rPr>
        <w:t xml:space="preserve"> przyjęcia innych rozwiązań lokalizacyjnych, skoro te przedstawione przez</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są zgodne z prawem.</w:t>
      </w:r>
    </w:p>
    <w:p w14:paraId="7C25B1AB"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Bowiem zaprojektowanie inwestycji pozostawia się specjalistom posiadającym odpowiednie przygotowanie zawodowe, a nie powinny decydować o tym strony postępowania, których nieruchomości zostały objęte wnioskiem o wydanie decyzji lokalizacyjnej, gdyż żaden z przepisów</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nie przewiduje takich uprawnień (por. wyrok Naczelnego Sądu Administracyjnego z dnia 9 lutego 2018 r., sygn. akt II OSK 1282/17, </w:t>
      </w:r>
      <w:proofErr w:type="spellStart"/>
      <w:r w:rsidRPr="0002524B">
        <w:rPr>
          <w:rFonts w:ascii="Lato" w:eastAsia="Times New Roman" w:hAnsi="Lato" w:cs="Arial"/>
          <w:spacing w:val="4"/>
          <w:lang w:eastAsia="pl-PL"/>
        </w:rPr>
        <w:t>opubl</w:t>
      </w:r>
      <w:proofErr w:type="spellEnd"/>
      <w:r w:rsidRPr="0002524B">
        <w:rPr>
          <w:rFonts w:ascii="Lato" w:eastAsia="Times New Roman" w:hAnsi="Lato" w:cs="Arial"/>
          <w:spacing w:val="4"/>
          <w:lang w:eastAsia="pl-PL"/>
        </w:rPr>
        <w:t>. Centralna Baza Orzeczeń Sądów Administracyjnych).</w:t>
      </w:r>
    </w:p>
    <w:p w14:paraId="4D1DDFB0"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Powyższe potwierdza niekwestionowany dorobek powołanego już powyżej w niniejszej decyzji orzecznictwa sądów administracyjnych.</w:t>
      </w:r>
    </w:p>
    <w:p w14:paraId="0E1B3271" w14:textId="7E5E3E86"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Wyjaśnić w tym miejscu należy, iż ustalenie przebiegu liniowej inwestycji infrastrukturalnej odbywa się na etapie postępowania w sprawie określenia środowiskowych uwarunkowań przedsięwzięcia i to właśnie w tym postępowaniu strony mogą wnosić uwagi, co do trasy projektowanej inwestycji. Postępowanie środowiskowe poprzedza postępowanie w sprawie ustalenia lokalizacji inwestycji. To na etapie postępowania środowiskowego, zakończonego wydaniem</w:t>
      </w:r>
      <w:r w:rsidRPr="0002524B">
        <w:rPr>
          <w:rFonts w:ascii="Lato" w:eastAsia="Times New Roman" w:hAnsi="Lato" w:cs="Arial"/>
          <w:i/>
          <w:iCs/>
          <w:spacing w:val="4"/>
          <w:lang w:eastAsia="pl-PL"/>
        </w:rPr>
        <w:t xml:space="preserve"> decyzji o środowiskowych uwarunkowaniach</w:t>
      </w:r>
      <w:r w:rsidRPr="0002524B">
        <w:rPr>
          <w:rFonts w:ascii="Lato" w:eastAsia="Times New Roman" w:hAnsi="Lato" w:cs="Arial"/>
          <w:spacing w:val="4"/>
          <w:lang w:eastAsia="pl-PL"/>
        </w:rPr>
        <w:t xml:space="preserve"> nastąpiła ocena oddziaływania na środowisko przedmiotowej inwestycji, w tym przyjęcie wariantu jej lokalizacji, jak również w tym postępowaniu zostały przeanalizowane wszelkie kwestie dotyczące oddziaływania inwestycji na środowisko i ludzi (por. wyrok Wojewódzkiego Sądu Administracyjnego w Warszawie </w:t>
      </w:r>
      <w:r w:rsidR="00DD707C">
        <w:rPr>
          <w:rFonts w:ascii="Lato" w:eastAsia="Times New Roman" w:hAnsi="Lato" w:cs="Arial"/>
          <w:spacing w:val="4"/>
          <w:lang w:eastAsia="pl-PL"/>
        </w:rPr>
        <w:br/>
      </w:r>
      <w:r w:rsidRPr="0002524B">
        <w:rPr>
          <w:rFonts w:ascii="Lato" w:eastAsia="Times New Roman" w:hAnsi="Lato" w:cs="Arial"/>
          <w:spacing w:val="4"/>
          <w:lang w:eastAsia="pl-PL"/>
        </w:rPr>
        <w:t>z dnia 7 września 2017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1749/17, wydany w sprawie rozpatrywanej na podstawie</w:t>
      </w:r>
      <w:r w:rsidRPr="0002524B">
        <w:rPr>
          <w:rFonts w:ascii="Lato" w:eastAsia="Times New Roman" w:hAnsi="Lato" w:cs="Arial"/>
          <w:i/>
          <w:iCs/>
          <w:spacing w:val="4"/>
          <w:lang w:eastAsia="pl-PL"/>
        </w:rPr>
        <w:t xml:space="preserve"> specustawy przesyłowej,</w:t>
      </w:r>
      <w:r w:rsidRPr="0002524B">
        <w:rPr>
          <w:rFonts w:ascii="Lato" w:eastAsia="Times New Roman" w:hAnsi="Lato" w:cs="Arial"/>
          <w:spacing w:val="4"/>
          <w:lang w:eastAsia="pl-PL"/>
        </w:rPr>
        <w:t xml:space="preserve"> lecz w istotnym zakresie w pełni analogicznej do rozwiązań przyjętych w</w:t>
      </w:r>
      <w:r w:rsidRPr="0002524B">
        <w:rPr>
          <w:rFonts w:ascii="Lato" w:eastAsia="Times New Roman" w:hAnsi="Lato" w:cs="Arial"/>
          <w:i/>
          <w:iCs/>
          <w:spacing w:val="4"/>
          <w:lang w:eastAsia="pl-PL"/>
        </w:rPr>
        <w:t xml:space="preserve"> specustawie gazowej).</w:t>
      </w:r>
    </w:p>
    <w:p w14:paraId="4E9A1B35" w14:textId="0091877B"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Jak wynika z uzasadnienia ostatecznej decyzji Regionalnego Dyrektora Ochrony Środowiska w Szczecinie z dnia 11 sierpnia 2021 r„ znak: WONŚ-OŚ.420.32.2020.EP.13, stwierdzającej brak potrzeby przeprowadzenia oceny oddziaływania na środowisko dla ww. przedsięwzięcia, zwanej dalej</w:t>
      </w:r>
      <w:r w:rsidRPr="0002524B">
        <w:rPr>
          <w:rFonts w:ascii="Lato" w:eastAsia="Times New Roman" w:hAnsi="Lato" w:cs="Arial"/>
          <w:i/>
          <w:iCs/>
          <w:spacing w:val="4"/>
          <w:lang w:eastAsia="pl-PL"/>
        </w:rPr>
        <w:t xml:space="preserve"> „decyzją o środowiskowych uwarunkowaniach",</w:t>
      </w:r>
      <w:r w:rsidRPr="0002524B">
        <w:rPr>
          <w:rFonts w:ascii="Lato" w:eastAsia="Times New Roman" w:hAnsi="Lato" w:cs="Arial"/>
          <w:spacing w:val="4"/>
          <w:lang w:eastAsia="pl-PL"/>
        </w:rPr>
        <w:t xml:space="preserve"> stronom zapewniono czynny udział w każdym stadium trwania postępowania w sprawie wydania przedmiotowego rozstrzygnięcia środowiskowego. Z uzasadnienia</w:t>
      </w:r>
      <w:r w:rsidRPr="0002524B">
        <w:rPr>
          <w:rFonts w:ascii="Lato" w:eastAsia="Times New Roman" w:hAnsi="Lato" w:cs="Arial"/>
          <w:i/>
          <w:iCs/>
          <w:spacing w:val="4"/>
          <w:lang w:eastAsia="pl-PL"/>
        </w:rPr>
        <w:t xml:space="preserve"> decyzji</w:t>
      </w:r>
      <w:r>
        <w:rPr>
          <w:rFonts w:ascii="Lato" w:eastAsia="Times New Roman" w:hAnsi="Lato" w:cs="Arial"/>
          <w:spacing w:val="4"/>
          <w:lang w:eastAsia="pl-PL"/>
        </w:rPr>
        <w:t xml:space="preserve"> </w:t>
      </w:r>
      <w:r w:rsidR="00DD707C">
        <w:rPr>
          <w:rFonts w:ascii="Lato" w:eastAsia="Times New Roman" w:hAnsi="Lato" w:cs="Arial"/>
          <w:spacing w:val="4"/>
          <w:lang w:eastAsia="pl-PL"/>
        </w:rPr>
        <w:br/>
      </w:r>
      <w:r w:rsidRPr="0002524B">
        <w:rPr>
          <w:rFonts w:ascii="Lato" w:eastAsia="Times New Roman" w:hAnsi="Lato" w:cs="Arial"/>
          <w:i/>
          <w:iCs/>
          <w:spacing w:val="4"/>
          <w:lang w:eastAsia="pl-PL"/>
        </w:rPr>
        <w:t>o środowiskowych uwarunkowaniach</w:t>
      </w:r>
      <w:r w:rsidRPr="0002524B">
        <w:rPr>
          <w:rFonts w:ascii="Lato" w:eastAsia="Times New Roman" w:hAnsi="Lato" w:cs="Arial"/>
          <w:spacing w:val="4"/>
          <w:lang w:eastAsia="pl-PL"/>
        </w:rPr>
        <w:t xml:space="preserve"> wynika natomiast, iż w postępowaniu z udziałem społeczeństwa nie wpłynęły żadne uwagi i wnioski skarżącej.</w:t>
      </w:r>
    </w:p>
    <w:p w14:paraId="2BB0E53E" w14:textId="2221E8BD"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Należy pamiętać, że wydanie</w:t>
      </w:r>
      <w:r w:rsidRPr="0002524B">
        <w:rPr>
          <w:rFonts w:ascii="Lato" w:eastAsia="Times New Roman" w:hAnsi="Lato" w:cs="Arial"/>
          <w:i/>
          <w:iCs/>
          <w:spacing w:val="4"/>
          <w:lang w:eastAsia="pl-PL"/>
        </w:rPr>
        <w:t xml:space="preserve"> decyzji o środowiskowych uwarunkowaniach</w:t>
      </w:r>
      <w:r w:rsidRPr="0002524B">
        <w:rPr>
          <w:rFonts w:ascii="Lato" w:eastAsia="Times New Roman" w:hAnsi="Lato" w:cs="Arial"/>
          <w:spacing w:val="4"/>
          <w:lang w:eastAsia="pl-PL"/>
        </w:rPr>
        <w:t xml:space="preserve"> następuje przed uzyskaniem decyzji o ustaleniu lokalizacji inwestycji towarzyszącej inwestycjom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w zakresie terminalu i określone w niej środowiskowe uwarunkowania realizacji przedsięwzięcia są wiążące. Decyzja o środowiskowych uwarunkowaniach ma bowiem </w:t>
      </w:r>
      <w:r w:rsidRPr="0002524B">
        <w:rPr>
          <w:rFonts w:ascii="Lato" w:eastAsia="Times New Roman" w:hAnsi="Lato" w:cs="Arial"/>
          <w:spacing w:val="4"/>
          <w:lang w:eastAsia="pl-PL"/>
        </w:rPr>
        <w:lastRenderedPageBreak/>
        <w:t>charakter</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sui</w:t>
      </w:r>
      <w:proofErr w:type="spellEnd"/>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generis</w:t>
      </w:r>
      <w:proofErr w:type="spellEnd"/>
      <w:r w:rsidRPr="0002524B">
        <w:rPr>
          <w:rFonts w:ascii="Lato" w:eastAsia="Times New Roman" w:hAnsi="Lato" w:cs="Arial"/>
          <w:spacing w:val="4"/>
          <w:lang w:eastAsia="pl-PL"/>
        </w:rPr>
        <w:t xml:space="preserve"> „rozstrzygnięcia wstępnego" względem przyszłego ustalenia lokalizacji inwestycji towarzyszącej inwestycjom w zakresie terminalu i pełni ona względem niego funkcję prejudycjalną. Zarówno Wojewoda Zachodniopomorski, </w:t>
      </w:r>
      <w:r w:rsidR="00DD707C">
        <w:rPr>
          <w:rFonts w:ascii="Lato" w:eastAsia="Times New Roman" w:hAnsi="Lato" w:cs="Arial"/>
          <w:spacing w:val="4"/>
          <w:lang w:eastAsia="pl-PL"/>
        </w:rPr>
        <w:br/>
      </w:r>
      <w:r w:rsidRPr="0002524B">
        <w:rPr>
          <w:rFonts w:ascii="Lato" w:eastAsia="Times New Roman" w:hAnsi="Lato" w:cs="Arial"/>
          <w:spacing w:val="4"/>
          <w:lang w:eastAsia="pl-PL"/>
        </w:rPr>
        <w:t>jak</w:t>
      </w:r>
      <w:r>
        <w:rPr>
          <w:rFonts w:ascii="Lato" w:eastAsia="Times New Roman" w:hAnsi="Lato" w:cs="Arial"/>
          <w:spacing w:val="4"/>
          <w:lang w:eastAsia="pl-PL"/>
        </w:rPr>
        <w:t xml:space="preserve"> i </w:t>
      </w:r>
      <w:r w:rsidRPr="0002524B">
        <w:rPr>
          <w:rFonts w:ascii="Lato" w:eastAsia="Times New Roman" w:hAnsi="Lato" w:cs="Arial"/>
          <w:spacing w:val="4"/>
          <w:lang w:eastAsia="pl-PL"/>
        </w:rPr>
        <w:t>organ odwoławczy w ramach postępowania w sprawie wydania decyzji o ustaleniu</w:t>
      </w:r>
      <w:r>
        <w:rPr>
          <w:rFonts w:ascii="Lato" w:eastAsia="Times New Roman" w:hAnsi="Lato" w:cs="Arial"/>
          <w:spacing w:val="4"/>
          <w:lang w:eastAsia="pl-PL"/>
        </w:rPr>
        <w:t xml:space="preserve"> </w:t>
      </w:r>
      <w:r w:rsidRPr="0002524B">
        <w:rPr>
          <w:rFonts w:ascii="Lato" w:eastAsia="Times New Roman" w:hAnsi="Lato" w:cs="Arial"/>
          <w:spacing w:val="4"/>
          <w:lang w:eastAsia="pl-PL"/>
        </w:rPr>
        <w:t>lokalizacji inwestycji towarzyszącej inwestycjom w zakresie terminalu z mocy prawa są związani ustaleniami</w:t>
      </w:r>
      <w:r w:rsidRPr="0002524B">
        <w:rPr>
          <w:rFonts w:ascii="Lato" w:eastAsia="Times New Roman" w:hAnsi="Lato" w:cs="Arial"/>
          <w:i/>
          <w:iCs/>
          <w:spacing w:val="4"/>
          <w:lang w:eastAsia="pl-PL"/>
        </w:rPr>
        <w:t xml:space="preserve"> decyzji o środowiskowych uwarunkowaniach.</w:t>
      </w:r>
      <w:r w:rsidRPr="0002524B">
        <w:rPr>
          <w:rFonts w:ascii="Lato" w:eastAsia="Times New Roman" w:hAnsi="Lato" w:cs="Arial"/>
          <w:spacing w:val="4"/>
          <w:lang w:eastAsia="pl-PL"/>
        </w:rPr>
        <w:t xml:space="preserve"> Stosowanie bowiem do art. 86 pkt 2 ustawy z dnia 3 października 2008 r. o udostępnianiu informacji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o środowisku i jego ochronie, udziale społeczeństwa w ochronie środowiska oraz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o ocenach oddziaływania na środowisko (Dz.U. z 2024 r. poz. 1112, ze zm.), zwanej dalej </w:t>
      </w:r>
      <w:r w:rsidRPr="0002524B">
        <w:rPr>
          <w:rFonts w:ascii="Lato" w:eastAsia="Times New Roman" w:hAnsi="Lato" w:cs="Arial"/>
          <w:i/>
          <w:iCs/>
          <w:spacing w:val="4"/>
          <w:lang w:eastAsia="pl-PL"/>
        </w:rPr>
        <w:t>„ustawą o udostępnianiu informacji o środowisku i jego ochronie",</w:t>
      </w:r>
      <w:r w:rsidRPr="0002524B">
        <w:rPr>
          <w:rFonts w:ascii="Lato" w:eastAsia="Times New Roman" w:hAnsi="Lato" w:cs="Arial"/>
          <w:spacing w:val="4"/>
          <w:lang w:eastAsia="pl-PL"/>
        </w:rPr>
        <w:t xml:space="preserve"> decyzja </w:t>
      </w:r>
      <w:r w:rsidR="00DD707C">
        <w:rPr>
          <w:rFonts w:ascii="Lato" w:eastAsia="Times New Roman" w:hAnsi="Lato" w:cs="Arial"/>
          <w:spacing w:val="4"/>
          <w:lang w:eastAsia="pl-PL"/>
        </w:rPr>
        <w:br/>
      </w:r>
      <w:r w:rsidRPr="0002524B">
        <w:rPr>
          <w:rFonts w:ascii="Lato" w:eastAsia="Times New Roman" w:hAnsi="Lato" w:cs="Arial"/>
          <w:spacing w:val="4"/>
          <w:lang w:eastAsia="pl-PL"/>
        </w:rPr>
        <w:t>o środowiskowych uwarunkowaniach wiąże organ wydający decyzje o ustaleniu lokalizacji inwestycji w zakresie terminalu oraz inwestycji towarzyszących.</w:t>
      </w:r>
    </w:p>
    <w:p w14:paraId="3C574C26"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Podnieść również należy, iż organy orzekające o ustaleniu lokalizacji inwestycji towarzyszącej inwestycjom w zakresie terminalu nie są właściwe do oceny prawidłowości postępowania zakończonego wydaniem</w:t>
      </w:r>
      <w:r w:rsidRPr="0002524B">
        <w:rPr>
          <w:rFonts w:ascii="Lato" w:eastAsia="Times New Roman" w:hAnsi="Lato" w:cs="Arial"/>
          <w:i/>
          <w:iCs/>
          <w:spacing w:val="4"/>
          <w:lang w:eastAsia="pl-PL"/>
        </w:rPr>
        <w:t xml:space="preserve"> decyzji o środowiskowych uwarunkowaniach,</w:t>
      </w:r>
      <w:r w:rsidRPr="0002524B">
        <w:rPr>
          <w:rFonts w:ascii="Lato" w:eastAsia="Times New Roman" w:hAnsi="Lato" w:cs="Arial"/>
          <w:spacing w:val="4"/>
          <w:lang w:eastAsia="pl-PL"/>
        </w:rPr>
        <w:t xml:space="preserve"> jak i samej decyzji. Kompetencja w tym zakresie przysługuje organom wskazanym w</w:t>
      </w:r>
      <w:r w:rsidRPr="0002524B">
        <w:rPr>
          <w:rFonts w:ascii="Lato" w:eastAsia="Times New Roman" w:hAnsi="Lato" w:cs="Arial"/>
          <w:i/>
          <w:iCs/>
          <w:spacing w:val="4"/>
          <w:lang w:eastAsia="pl-PL"/>
        </w:rPr>
        <w:t xml:space="preserve"> ustawie o udostępnianiu informacji o środowisku i jego ochronie.</w:t>
      </w:r>
      <w:r w:rsidRPr="0002524B">
        <w:rPr>
          <w:rFonts w:ascii="Lato" w:eastAsia="Times New Roman" w:hAnsi="Lato" w:cs="Arial"/>
          <w:spacing w:val="4"/>
          <w:lang w:eastAsia="pl-PL"/>
        </w:rPr>
        <w:t xml:space="preserve"> Natomiast na etapie postępowania o wydanie decyzji o ustaleniu lokalizacji gazociągu nie bada się już innych wariantów lokalizacyjnych przeprowadzenia inwestycji liniowej (por. wyrok Wojewódzkiego Sądu Administracyjnego w Warszawie z dnia 19 września 2019 r., sygn. akt IV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510/18, </w:t>
      </w:r>
      <w:proofErr w:type="spellStart"/>
      <w:r w:rsidRPr="0002524B">
        <w:rPr>
          <w:rFonts w:ascii="Lato" w:eastAsia="Times New Roman" w:hAnsi="Lato" w:cs="Arial"/>
          <w:spacing w:val="4"/>
          <w:lang w:eastAsia="pl-PL"/>
        </w:rPr>
        <w:t>opubl</w:t>
      </w:r>
      <w:proofErr w:type="spellEnd"/>
      <w:r w:rsidRPr="0002524B">
        <w:rPr>
          <w:rFonts w:ascii="Lato" w:eastAsia="Times New Roman" w:hAnsi="Lato" w:cs="Arial"/>
          <w:spacing w:val="4"/>
          <w:lang w:eastAsia="pl-PL"/>
        </w:rPr>
        <w:t>. Centralna Baza Orzeczeń Sądów Administracyjnych).</w:t>
      </w:r>
    </w:p>
    <w:p w14:paraId="7C11125C"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301/19, </w:t>
      </w:r>
      <w:proofErr w:type="spellStart"/>
      <w:r w:rsidRPr="0002524B">
        <w:rPr>
          <w:rFonts w:ascii="Lato" w:eastAsia="Times New Roman" w:hAnsi="Lato" w:cs="Arial"/>
          <w:spacing w:val="4"/>
          <w:lang w:eastAsia="pl-PL"/>
        </w:rPr>
        <w:t>opubl</w:t>
      </w:r>
      <w:proofErr w:type="spellEnd"/>
      <w:r w:rsidRPr="0002524B">
        <w:rPr>
          <w:rFonts w:ascii="Lato" w:eastAsia="Times New Roman" w:hAnsi="Lato" w:cs="Arial"/>
          <w:spacing w:val="4"/>
          <w:lang w:eastAsia="pl-PL"/>
        </w:rPr>
        <w:t>. Centralna Baza Orzeczeń Sądów Administracyjnych, wydany w sprawie rozpatrywanej na podstawie</w:t>
      </w:r>
      <w:r w:rsidRPr="0002524B">
        <w:rPr>
          <w:rFonts w:ascii="Lato" w:eastAsia="Times New Roman" w:hAnsi="Lato" w:cs="Arial"/>
          <w:i/>
          <w:iCs/>
          <w:spacing w:val="4"/>
          <w:lang w:eastAsia="pl-PL"/>
        </w:rPr>
        <w:t xml:space="preserve"> specustawy drogowej,</w:t>
      </w:r>
      <w:r w:rsidRPr="0002524B">
        <w:rPr>
          <w:rFonts w:ascii="Lato" w:eastAsia="Times New Roman" w:hAnsi="Lato" w:cs="Arial"/>
          <w:spacing w:val="4"/>
          <w:lang w:eastAsia="pl-PL"/>
        </w:rPr>
        <w:t xml:space="preserve">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35FA5B58"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 postępowaniu w sprawie wydania ww. decyzji zarówno wojewoda, jak i</w:t>
      </w:r>
      <w:r w:rsidRPr="0002524B">
        <w:rPr>
          <w:rFonts w:ascii="Lato" w:eastAsia="Times New Roman" w:hAnsi="Lato" w:cs="Arial"/>
          <w:i/>
          <w:iCs/>
          <w:spacing w:val="4"/>
          <w:lang w:eastAsia="pl-PL"/>
        </w:rPr>
        <w:t xml:space="preserve"> Minister, </w:t>
      </w:r>
      <w:r w:rsidRPr="0002524B">
        <w:rPr>
          <w:rFonts w:ascii="Lato" w:eastAsia="Times New Roman" w:hAnsi="Lato" w:cs="Arial"/>
          <w:spacing w:val="4"/>
          <w:lang w:eastAsia="pl-PL"/>
        </w:rPr>
        <w:t>badają bowiem wyłącznie zgodność z prawem wniosku</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nie zaś zagadnień dotyczących ewentualnych negatywnych następstw dla podmiotów objętych tą decyzją.</w:t>
      </w:r>
    </w:p>
    <w:p w14:paraId="608F05A0" w14:textId="7CF26450"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Jak wynika z akt sprawy, w tym wyjaśnień</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przedstawionych w toku postępowania odwoławczego, m.in. ze względu na konieczność dostosowania istniejącej sieci gazowej DN250 do nowoczesnej technologii umożliwiającej między innymi stały nadzór na stanem technicznym sieci gazowej Inwestor tj. Operator Gazociągów Przesyłowych GAZ-SYSTEM S.A. podjął decyzję o jego przebudowie. Istniejący gazociąg zostanie zastąpiony nowym, który na działce skarżącej będzie zlokalizowany w trasie czynnego, istniejącego gazociągu wysokiego ciśnienia DN250 i jego lokalizacja nie ulegnie zmianie w stosunku do stanu istniejącego. Istniejący gazociąg zostanie wyciągnięty z gruntu i zastąpiony nowym, który został zaprojekowany w pierwszej klasie lokalizacji co oznacza, że do jego budowy została dobrana zwiększona grubość ścianki gazociągu. Strefa kontrolowana nowoprojektowanego gazociągu będzie wynosiła 6,0 m (po 3,0 m na stronę licząc od osi gazociągu). Aktualnie strefa kontrolowana dla istniejącego gazociągu na działce skarżącej obejmuje ok. 840 m</w:t>
      </w:r>
      <w:r w:rsidRPr="0002524B">
        <w:rPr>
          <w:rFonts w:ascii="Lato" w:eastAsia="Times New Roman" w:hAnsi="Lato" w:cs="Arial"/>
          <w:spacing w:val="4"/>
          <w:vertAlign w:val="superscript"/>
          <w:lang w:eastAsia="pl-PL"/>
        </w:rPr>
        <w:t>2</w:t>
      </w:r>
      <w:r w:rsidRPr="0002524B">
        <w:rPr>
          <w:rFonts w:ascii="Lato" w:eastAsia="Times New Roman" w:hAnsi="Lato" w:cs="Arial"/>
          <w:spacing w:val="4"/>
          <w:lang w:eastAsia="pl-PL"/>
        </w:rPr>
        <w:t xml:space="preserve"> a nowa będzie wynosiła ok. 168 m</w:t>
      </w:r>
      <w:r w:rsidRPr="0002524B">
        <w:rPr>
          <w:rFonts w:ascii="Lato" w:eastAsia="Times New Roman" w:hAnsi="Lato" w:cs="Arial"/>
          <w:spacing w:val="4"/>
          <w:vertAlign w:val="superscript"/>
          <w:lang w:eastAsia="pl-PL"/>
        </w:rPr>
        <w:t>2</w:t>
      </w:r>
      <w:r w:rsidRPr="0002524B">
        <w:rPr>
          <w:rFonts w:ascii="Lato" w:eastAsia="Times New Roman" w:hAnsi="Lato" w:cs="Arial"/>
          <w:spacing w:val="4"/>
          <w:lang w:eastAsia="pl-PL"/>
        </w:rPr>
        <w:t xml:space="preserve">, czyli będzie pięciokrotnie mniejsza. W związku z powyższym, właścicielka </w:t>
      </w:r>
      <w:r w:rsidRPr="0002524B">
        <w:rPr>
          <w:rFonts w:ascii="Lato" w:eastAsia="Times New Roman" w:hAnsi="Lato" w:cs="Arial"/>
          <w:spacing w:val="4"/>
          <w:lang w:eastAsia="pl-PL"/>
        </w:rPr>
        <w:lastRenderedPageBreak/>
        <w:t>ww. nieruchomości nr 11 obręb 160 uzyska korzyść z przebudowy istniejącego gazociągu. Zmniejszeniu ulegnie strefa kontrolowana, wskutek czego zwiększy się</w:t>
      </w:r>
      <w:r>
        <w:rPr>
          <w:rFonts w:ascii="Lato" w:eastAsia="Times New Roman" w:hAnsi="Lato" w:cs="Arial"/>
          <w:spacing w:val="4"/>
          <w:lang w:eastAsia="pl-PL"/>
        </w:rPr>
        <w:t xml:space="preserve"> </w:t>
      </w:r>
      <w:r w:rsidRPr="0002524B">
        <w:rPr>
          <w:rFonts w:ascii="Lato" w:eastAsia="Times New Roman" w:hAnsi="Lato" w:cs="Arial"/>
          <w:spacing w:val="4"/>
          <w:lang w:eastAsia="pl-PL"/>
        </w:rPr>
        <w:t xml:space="preserve">możliwość swobodnego dysponowania nieruchomością. Ponadto gazociąg zostanie wykonany w najnowocześniej technologii i poprawie ulegnie bezpieczeństwo życia </w:t>
      </w:r>
      <w:r w:rsidR="00DD707C">
        <w:rPr>
          <w:rFonts w:ascii="Lato" w:eastAsia="Times New Roman" w:hAnsi="Lato" w:cs="Arial"/>
          <w:spacing w:val="4"/>
          <w:lang w:eastAsia="pl-PL"/>
        </w:rPr>
        <w:br/>
      </w:r>
      <w:r w:rsidRPr="0002524B">
        <w:rPr>
          <w:rFonts w:ascii="Lato" w:eastAsia="Times New Roman" w:hAnsi="Lato" w:cs="Arial"/>
          <w:spacing w:val="4"/>
          <w:lang w:eastAsia="pl-PL"/>
        </w:rPr>
        <w:t>i zdrowia. Dodatkowo zauważyć należy, że w związku zlokalizowaniem nowego gazociągu w trasie istniejącego nie dochodzi do obniżenia wartości dziatki skarżącej ponieważ aktualnie gazociąg jest na niej posadowiony.</w:t>
      </w:r>
      <w:r w:rsidRPr="0002524B">
        <w:rPr>
          <w:rFonts w:ascii="Lato" w:eastAsia="Times New Roman" w:hAnsi="Lato" w:cs="Arial"/>
          <w:i/>
          <w:iCs/>
          <w:spacing w:val="4"/>
          <w:lang w:eastAsia="pl-PL"/>
        </w:rPr>
        <w:t xml:space="preserve"> Inwestor</w:t>
      </w:r>
      <w:r w:rsidRPr="0002524B">
        <w:rPr>
          <w:rFonts w:ascii="Lato" w:eastAsia="Times New Roman" w:hAnsi="Lato" w:cs="Arial"/>
          <w:spacing w:val="4"/>
          <w:lang w:eastAsia="pl-PL"/>
        </w:rPr>
        <w:t xml:space="preserve"> w toku prowadzenia procesu projektowego wytyczył trasę zgodną z przepisami i uzyskał komplet zgód, opinii i decyzji wymaganych prawem i nie jest zobowiązany do powoływania biegłych w celu ustalania optymalnego przebiegu trasy. Powoływanie biegłego jest tym bardziej bezprzedmiotowe, że inwestycja dotyczy przebudowy istniejącej sieci gazowej wysokiego ciśnienia i z założenia wykonywana jest ona po trasie istniejącego gazociągu lub w nieznacznej odległości do niego w ułożeniu równoległym. Jednakże przesunięcie projektowanej trasy gazociągu w stosunku do istniejącej podyktowane jest wieloma czynnikami, takimi jak np. konieczność dostosowania trasy gazociągu do obecnie obowiązujących przepisów, możliwości wykonania w terenie prac budowlanych, konieczności zapewnienia ciągłości przesyłu gazu, które znajduje odzwierciedlenie </w:t>
      </w:r>
      <w:r w:rsidR="00DD707C">
        <w:rPr>
          <w:rFonts w:ascii="Lato" w:eastAsia="Times New Roman" w:hAnsi="Lato" w:cs="Arial"/>
          <w:spacing w:val="4"/>
          <w:lang w:eastAsia="pl-PL"/>
        </w:rPr>
        <w:br/>
      </w:r>
      <w:r w:rsidRPr="0002524B">
        <w:rPr>
          <w:rFonts w:ascii="Lato" w:eastAsia="Times New Roman" w:hAnsi="Lato" w:cs="Arial"/>
          <w:spacing w:val="4"/>
          <w:lang w:eastAsia="pl-PL"/>
        </w:rPr>
        <w:t>w proponowanym przez skarżącą wariancie wykonania części inwestycji w odległości około 10 metrów od istniejącego gazociągu.</w:t>
      </w:r>
    </w:p>
    <w:p w14:paraId="69D7AFFA" w14:textId="546A1D9A"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W okolicznościach niniejszej sprawy nie sposób zatem przyjąć, że organ I instancji rozpoznając niniejszą sprawę, nie dopełnił obowiązków przewidzianych w art. 7, 77 § 1 </w:t>
      </w:r>
      <w:r w:rsidR="00DD707C">
        <w:rPr>
          <w:rFonts w:ascii="Lato" w:eastAsia="Times New Roman" w:hAnsi="Lato" w:cs="Arial"/>
          <w:spacing w:val="4"/>
          <w:lang w:eastAsia="pl-PL"/>
        </w:rPr>
        <w:br/>
      </w:r>
      <w:r w:rsidRPr="0002524B">
        <w:rPr>
          <w:rFonts w:ascii="Lato" w:eastAsia="Times New Roman" w:hAnsi="Lato" w:cs="Arial"/>
          <w:spacing w:val="4"/>
          <w:lang w:eastAsia="pl-PL"/>
        </w:rPr>
        <w:t>i 80</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i nie wykazał niezbędnej dbałości o dokładne wyjaśnienie sprawy. Wszystkie istotne w sprawie fakty i zdarzenia zostały ustalone na podstawie zgromadzonego przez organ I instancji materiału dowodowego oraz w dostateczny sposób rozważone, </w:t>
      </w:r>
      <w:r w:rsidR="00DD707C">
        <w:rPr>
          <w:rFonts w:ascii="Lato" w:eastAsia="Times New Roman" w:hAnsi="Lato" w:cs="Arial"/>
          <w:spacing w:val="4"/>
          <w:lang w:eastAsia="pl-PL"/>
        </w:rPr>
        <w:br/>
      </w:r>
      <w:r w:rsidRPr="0002524B">
        <w:rPr>
          <w:rFonts w:ascii="Lato" w:eastAsia="Times New Roman" w:hAnsi="Lato" w:cs="Arial"/>
          <w:spacing w:val="4"/>
          <w:lang w:eastAsia="pl-PL"/>
        </w:rPr>
        <w:t>a motywy podjętego rozstrzygnięcia należycie przedstawione w uzasadnieniu zaskarżonej decyzji.</w:t>
      </w:r>
    </w:p>
    <w:p w14:paraId="1286F665"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Podkreślić także należy, że organy administracji publicznej mają obowiązek działać wnikliwie i szybko, posługując się możliwie najprostszymi środkami prowadzącymi do załatwienia sprawy, zgodnie z art. 12 § 1</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a także obowiązek podejmowania wszelkich kroków niezbędnych do jej wyjaśnienia i załatwienia w myśl art. 7 i art. 77 § 1</w:t>
      </w:r>
      <w:r w:rsidRPr="0002524B">
        <w:rPr>
          <w:rFonts w:ascii="Lato" w:eastAsia="Times New Roman" w:hAnsi="Lato" w:cs="Arial"/>
          <w:i/>
          <w:iCs/>
          <w:spacing w:val="4"/>
          <w:lang w:eastAsia="pl-PL"/>
        </w:rPr>
        <w:t xml:space="preserve"> kpa. </w:t>
      </w:r>
      <w:r w:rsidRPr="0002524B">
        <w:rPr>
          <w:rFonts w:ascii="Lato" w:eastAsia="Times New Roman" w:hAnsi="Lato" w:cs="Arial"/>
          <w:spacing w:val="4"/>
          <w:lang w:eastAsia="pl-PL"/>
        </w:rPr>
        <w:t>Oznacza to obowiązek podjęcia nie jakichkolwiek działań, lecz działań celowych, zmierzających do rozpatrzenia wniosku strony (por. wyrok Wojewódzkiego Sądu Administracyjnego w Warszawie z dnia 1 czerwca 2011 r., sygn. akt I SAB/</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79/11).</w:t>
      </w:r>
    </w:p>
    <w:p w14:paraId="6A2E808E" w14:textId="223ED63B"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Ponadto zasygnalizowania wymaga, że kierowanie się przy wydaniu rozstrzygnięcia zasadami wyrażonymi w przepisach art. 7, 8 i 80</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nie zawsze musi oznaczać zadośćuczynienie żądaniu strony postępowania, chociaż musi wykazywać, że wydane orzeczenie wynika z materiału dowodowego zgromadzonego w postępowaniu. Materiał sprawy musi odpowiadać na wątpliwości strony i nawet jeśli nie zgadza się ona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z rozstrzygnięciem, musi, w razie kontroli instancyjnej lub </w:t>
      </w:r>
      <w:proofErr w:type="spellStart"/>
      <w:r w:rsidRPr="0002524B">
        <w:rPr>
          <w:rFonts w:ascii="Lato" w:eastAsia="Times New Roman" w:hAnsi="Lato" w:cs="Arial"/>
          <w:spacing w:val="4"/>
          <w:lang w:eastAsia="pl-PL"/>
        </w:rPr>
        <w:t>sądowoadministracyjnej</w:t>
      </w:r>
      <w:proofErr w:type="spellEnd"/>
      <w:r w:rsidRPr="0002524B">
        <w:rPr>
          <w:rFonts w:ascii="Lato" w:eastAsia="Times New Roman" w:hAnsi="Lato" w:cs="Arial"/>
          <w:spacing w:val="4"/>
          <w:lang w:eastAsia="pl-PL"/>
        </w:rPr>
        <w:t xml:space="preserve">, dawać przekonanie o słuszności zaskarżonego aktu (por. wyrok Naczelnego Sądu Administracyjnego z dnia 7 sierpnia 2013 r., sygn. akt II OSK 1754/13). Fakt udowodnienia danej okoliczności jest oceniany przez organ prowadzący postępowanie administracyjne na podstawie całokształtu materiału dowodowego. Dalej, organ administracji publicznej powinien oprzeć ocenę materiału dowodowego na wszechstronnej analizie, co oznacza, że nie może pominąć jakiegokolwiek dowodu. Ocena dowodów jest "czynnością myślową" i jak każda czynność tego rodzaju powinna opierać się na zasadach logicznego rozumowania. Organ może zatem wysnuć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z zebranego materiału dowodowego tylko wnioski logicznie uzasadnione, oceniając wyniki postępowania dowodowego na podstawie wiedzy i doświadczenia życiowego (vide: wyroki Naczelnego Sądu Administracyjnego z dnia 22 marca 2013 r., sygn. akt </w:t>
      </w:r>
      <w:r w:rsidR="00DD707C">
        <w:rPr>
          <w:rFonts w:ascii="Lato" w:eastAsia="Times New Roman" w:hAnsi="Lato" w:cs="Arial"/>
          <w:spacing w:val="4"/>
          <w:lang w:eastAsia="pl-PL"/>
        </w:rPr>
        <w:br/>
      </w:r>
      <w:r w:rsidRPr="0002524B">
        <w:rPr>
          <w:rFonts w:ascii="Lato" w:eastAsia="Times New Roman" w:hAnsi="Lato" w:cs="Arial"/>
          <w:spacing w:val="4"/>
          <w:lang w:eastAsia="pl-PL"/>
        </w:rPr>
        <w:t>II OSK 2267/11 oraz z dnia 5 lipca 2011 r., sygn. akt II GSK 678/10).</w:t>
      </w:r>
    </w:p>
    <w:p w14:paraId="50AB7A3B" w14:textId="7AC5D8FF"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lastRenderedPageBreak/>
        <w:t xml:space="preserve">W świetle okoliczności niniejszej sprawy nie sposób zatem przyjąć, że organ I instancji rozpoznając niniejszą sprawę nie dopełnił obowiązków przewidzianych w art. 7, 77 </w:t>
      </w:r>
      <w:r w:rsidR="00DD707C">
        <w:rPr>
          <w:rFonts w:ascii="Lato" w:eastAsia="Times New Roman" w:hAnsi="Lato" w:cs="Arial"/>
          <w:spacing w:val="4"/>
          <w:lang w:eastAsia="pl-PL"/>
        </w:rPr>
        <w:br/>
      </w:r>
      <w:r w:rsidRPr="0002524B">
        <w:rPr>
          <w:rFonts w:ascii="Lato" w:eastAsia="Times New Roman" w:hAnsi="Lato" w:cs="Arial"/>
          <w:spacing w:val="4"/>
          <w:lang w:eastAsia="pl-PL"/>
        </w:rPr>
        <w:t>i art. 80</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nie wykazując niezbędnej dbałości o dokładne wyjaśnienie sprawy. Wszystkie istotne w sprawie fakty i zdarzenia zostały ustalone oraz w dostateczny sposób rozważone, a motywy podjętego rozstrzygnięcia należycie przedstawione </w:t>
      </w:r>
      <w:r w:rsidR="00DD707C">
        <w:rPr>
          <w:rFonts w:ascii="Lato" w:eastAsia="Times New Roman" w:hAnsi="Lato" w:cs="Arial"/>
          <w:spacing w:val="4"/>
          <w:lang w:eastAsia="pl-PL"/>
        </w:rPr>
        <w:br/>
      </w:r>
      <w:r w:rsidRPr="0002524B">
        <w:rPr>
          <w:rFonts w:ascii="Lato" w:eastAsia="Times New Roman" w:hAnsi="Lato" w:cs="Arial"/>
          <w:spacing w:val="4"/>
          <w:lang w:eastAsia="pl-PL"/>
        </w:rPr>
        <w:t>w</w:t>
      </w:r>
      <w:r w:rsidR="00DD707C">
        <w:rPr>
          <w:rFonts w:ascii="Lato" w:eastAsia="Times New Roman" w:hAnsi="Lato" w:cs="Arial"/>
          <w:spacing w:val="4"/>
          <w:lang w:eastAsia="pl-PL"/>
        </w:rPr>
        <w:t xml:space="preserve"> </w:t>
      </w:r>
      <w:r w:rsidRPr="0002524B">
        <w:rPr>
          <w:rFonts w:ascii="Lato" w:eastAsia="Times New Roman" w:hAnsi="Lato" w:cs="Arial"/>
          <w:spacing w:val="4"/>
          <w:lang w:eastAsia="pl-PL"/>
        </w:rPr>
        <w:t>uzasadnieniu zaskarżonej decyzji.</w:t>
      </w:r>
    </w:p>
    <w:p w14:paraId="5D7D0897" w14:textId="13229930"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Wobec czego wskazać należy, że w toku postępowania zakończonego wydaniem</w:t>
      </w:r>
      <w:r w:rsidRPr="0002524B">
        <w:rPr>
          <w:rFonts w:ascii="Lato" w:eastAsia="Times New Roman" w:hAnsi="Lato" w:cs="Arial"/>
          <w:i/>
          <w:iCs/>
          <w:spacing w:val="4"/>
          <w:lang w:eastAsia="pl-PL"/>
        </w:rPr>
        <w:t xml:space="preserve"> decyzji Wojewody Zachodniopomorskiego</w:t>
      </w:r>
      <w:r w:rsidRPr="0002524B">
        <w:rPr>
          <w:rFonts w:ascii="Lato" w:eastAsia="Times New Roman" w:hAnsi="Lato" w:cs="Arial"/>
          <w:spacing w:val="4"/>
          <w:lang w:eastAsia="pl-PL"/>
        </w:rPr>
        <w:t xml:space="preserve"> nie doszło do naruszenia przepisów proceduralnych </w:t>
      </w:r>
      <w:r w:rsidR="00DD707C">
        <w:rPr>
          <w:rFonts w:ascii="Lato" w:eastAsia="Times New Roman" w:hAnsi="Lato" w:cs="Arial"/>
          <w:spacing w:val="4"/>
          <w:lang w:eastAsia="pl-PL"/>
        </w:rPr>
        <w:br/>
      </w:r>
      <w:r w:rsidRPr="0002524B">
        <w:rPr>
          <w:rFonts w:ascii="Lato" w:eastAsia="Times New Roman" w:hAnsi="Lato" w:cs="Arial"/>
          <w:spacing w:val="4"/>
          <w:lang w:eastAsia="pl-PL"/>
        </w:rPr>
        <w:t>w sposób mogący mieć istotny wpływ na wynik sprawy.</w:t>
      </w:r>
    </w:p>
    <w:p w14:paraId="20BF7CEC" w14:textId="315B854E"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W kontekście zaś przeprowadzenia dowodu z opinii biegłego, podkreślenia wymaga, </w:t>
      </w:r>
      <w:r w:rsidR="00DD707C">
        <w:rPr>
          <w:rFonts w:ascii="Lato" w:eastAsia="Times New Roman" w:hAnsi="Lato" w:cs="Arial"/>
          <w:spacing w:val="4"/>
          <w:lang w:eastAsia="pl-PL"/>
        </w:rPr>
        <w:br/>
      </w:r>
      <w:r w:rsidRPr="0002524B">
        <w:rPr>
          <w:rFonts w:ascii="Lato" w:eastAsia="Times New Roman" w:hAnsi="Lato" w:cs="Arial"/>
          <w:spacing w:val="4"/>
          <w:lang w:eastAsia="pl-PL"/>
        </w:rPr>
        <w:t>iż przepis art. 84 § 1</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wskazuje, że organ administracji publicznej może zwrócić się do biegłego o wydanie opinii, jeżeli w sprawie wymagane są wiadomości specjalne. Tym samym, ustawodawca nie wprowadził obowiązku przeprowadzenia takiego dowodu nawet wówczas, gdy wyjaśnienie sprawy wymaga wiadomości szerszych niż przeciętne w danej dziedzinie. W realiach niniejszej sprawy ponownego zasygnalizowania wymaga, iż organ wydający decyzję lokalizacyjną dla planowanej inwestycji gazowej jest związany wnioskiem</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i bada jedynie jego zgodność z prawem powszechnie obowiązującym.</w:t>
      </w:r>
    </w:p>
    <w:p w14:paraId="6D282B12" w14:textId="210DE6FC"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W orzecznictwie sądowoadministracyjnym ugruntowane jest stanowisko, zgodnie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00DD707C">
        <w:rPr>
          <w:rFonts w:ascii="Lato" w:eastAsia="Times New Roman" w:hAnsi="Lato" w:cs="Arial"/>
          <w:spacing w:val="4"/>
          <w:lang w:eastAsia="pl-PL"/>
        </w:rPr>
        <w:br/>
      </w:r>
      <w:r w:rsidRPr="0002524B">
        <w:rPr>
          <w:rFonts w:ascii="Lato" w:eastAsia="Times New Roman" w:hAnsi="Lato" w:cs="Arial"/>
          <w:spacing w:val="4"/>
          <w:lang w:eastAsia="pl-PL"/>
        </w:rPr>
        <w:t>w sprawie na podstawie art. 75</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a także obowiązek podejmowania wszelkich kroków niezbędnych do jej wyjaśnienia i załatwienia w myśl art. 7 i art. 77 § 1</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Oznacza to obowiązek podjęcia nie jakichkolwiek działań, lecz działań celowych (por. wyrok Wojewódzkiego Sądu Administracyjnego w Warszawie z dnia 1 czerwca 2011 r., sygn. akt I SAB/</w:t>
      </w:r>
      <w:proofErr w:type="spellStart"/>
      <w:r w:rsidRPr="0002524B">
        <w:rPr>
          <w:rFonts w:ascii="Lato" w:eastAsia="Times New Roman" w:hAnsi="Lato" w:cs="Arial"/>
          <w:spacing w:val="4"/>
          <w:lang w:eastAsia="pl-PL"/>
        </w:rPr>
        <w:t>Wa</w:t>
      </w:r>
      <w:proofErr w:type="spellEnd"/>
      <w:r w:rsidRPr="0002524B">
        <w:rPr>
          <w:rFonts w:ascii="Lato" w:eastAsia="Times New Roman" w:hAnsi="Lato" w:cs="Arial"/>
          <w:spacing w:val="4"/>
          <w:lang w:eastAsia="pl-PL"/>
        </w:rPr>
        <w:t xml:space="preserve"> 79/11).</w:t>
      </w:r>
    </w:p>
    <w:p w14:paraId="4CBCFD09" w14:textId="0057646C"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W wyniku przeprowadzonej kontroli instancyjnej</w:t>
      </w:r>
      <w:r w:rsidRPr="0002524B">
        <w:rPr>
          <w:rFonts w:ascii="Lato" w:eastAsia="Times New Roman" w:hAnsi="Lato" w:cs="Arial"/>
          <w:i/>
          <w:iCs/>
          <w:spacing w:val="4"/>
          <w:lang w:eastAsia="pl-PL"/>
        </w:rPr>
        <w:t xml:space="preserve"> Minister</w:t>
      </w:r>
      <w:r w:rsidRPr="0002524B">
        <w:rPr>
          <w:rFonts w:ascii="Lato" w:eastAsia="Times New Roman" w:hAnsi="Lato" w:cs="Arial"/>
          <w:spacing w:val="4"/>
          <w:lang w:eastAsia="pl-PL"/>
        </w:rPr>
        <w:t xml:space="preserve"> uznał, że organ I instancji prawidłowo zebrał materiał dowodowy, wszechstronnie go rozważył i ocenił,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a w konsekwencji ustalony przez niego stan faktyczny sprawy zasługuje na aprobatę. Według organu odwoławczego zgromadzony w niniejszej sprawie materiał dowodowy był wystarczający do wydania rozstrzygnięcia i nie wymagał uzupełnienia np.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o wspomnianą przez skarżącą opinię biegłego. Brak jest zatem podstaw do uznania, </w:t>
      </w:r>
      <w:r w:rsidR="00DD707C">
        <w:rPr>
          <w:rFonts w:ascii="Lato" w:eastAsia="Times New Roman" w:hAnsi="Lato" w:cs="Arial"/>
          <w:spacing w:val="4"/>
          <w:lang w:eastAsia="pl-PL"/>
        </w:rPr>
        <w:br/>
      </w:r>
      <w:r w:rsidRPr="0002524B">
        <w:rPr>
          <w:rFonts w:ascii="Lato" w:eastAsia="Times New Roman" w:hAnsi="Lato" w:cs="Arial"/>
          <w:spacing w:val="4"/>
          <w:lang w:eastAsia="pl-PL"/>
        </w:rPr>
        <w:t>iż w analizowanym postępowaniu lokalizacyjnym doszło do naruszenia art. 89</w:t>
      </w:r>
      <w:r w:rsidRPr="0002524B">
        <w:rPr>
          <w:rFonts w:ascii="Lato" w:eastAsia="Times New Roman" w:hAnsi="Lato" w:cs="Arial"/>
          <w:i/>
          <w:iCs/>
          <w:spacing w:val="4"/>
          <w:lang w:eastAsia="pl-PL"/>
        </w:rPr>
        <w:t xml:space="preserve"> kpa,</w:t>
      </w:r>
      <w:r w:rsidRPr="0002524B">
        <w:rPr>
          <w:rFonts w:ascii="Lato" w:eastAsia="Times New Roman" w:hAnsi="Lato" w:cs="Arial"/>
          <w:spacing w:val="4"/>
          <w:lang w:eastAsia="pl-PL"/>
        </w:rPr>
        <w:t xml:space="preserve"> tym bardziej, że z akt sprawy nie wynika, by w postępowaniu przed organem I instancji skarżąca wnosiła o przeprowadzenie takiego dowodu.</w:t>
      </w:r>
    </w:p>
    <w:p w14:paraId="3210E01F" w14:textId="2A7B06B4"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Odnosząc się natomiast do wniosku skarżącej o wstrzymanie rygoru natychmiastowej wykonalności</w:t>
      </w:r>
      <w:r w:rsidRPr="0002524B">
        <w:rPr>
          <w:rFonts w:ascii="Lato" w:eastAsia="Times New Roman" w:hAnsi="Lato" w:cs="Arial"/>
          <w:i/>
          <w:iCs/>
          <w:spacing w:val="4"/>
          <w:lang w:eastAsia="pl-PL"/>
        </w:rPr>
        <w:t xml:space="preserve"> decyzji Wojewody Zachodniopomorskiego,</w:t>
      </w:r>
      <w:r w:rsidRPr="0002524B">
        <w:rPr>
          <w:rFonts w:ascii="Lato" w:eastAsia="Times New Roman" w:hAnsi="Lato" w:cs="Arial"/>
          <w:spacing w:val="4"/>
          <w:lang w:eastAsia="pl-PL"/>
        </w:rPr>
        <w:t xml:space="preserve"> zauważyć należy, że organ </w:t>
      </w:r>
      <w:r w:rsidRPr="0002524B">
        <w:rPr>
          <w:rFonts w:ascii="Lato" w:eastAsia="Times New Roman" w:hAnsi="Lato" w:cs="Arial"/>
          <w:spacing w:val="4"/>
          <w:lang w:eastAsia="pl-PL"/>
        </w:rPr>
        <w:lastRenderedPageBreak/>
        <w:t>odwoławczy został pozbawiony możliwości wstrzymania rygoru natychmiastowej wykonalności decyzji organu I instancji. Zgodnie bowiem z art. 34 ust. 4b</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do decyzji o ustaleniu lokalizacji inwestycji, wyłączono stosowanie art. 135</w:t>
      </w:r>
      <w:r w:rsidRPr="0002524B">
        <w:rPr>
          <w:rFonts w:ascii="Lato" w:eastAsia="Times New Roman" w:hAnsi="Lato" w:cs="Arial"/>
          <w:i/>
          <w:iCs/>
          <w:spacing w:val="4"/>
          <w:lang w:eastAsia="pl-PL"/>
        </w:rPr>
        <w:t xml:space="preserve"> kpa, </w:t>
      </w:r>
      <w:r w:rsidRPr="0002524B">
        <w:rPr>
          <w:rFonts w:ascii="Lato" w:eastAsia="Times New Roman" w:hAnsi="Lato" w:cs="Arial"/>
          <w:spacing w:val="4"/>
          <w:lang w:eastAsia="pl-PL"/>
        </w:rPr>
        <w:t>zgodnie z którym organ odwoławczy mógł „w uzasadnionych przypadkach wstrzymać natychmiastowe wykonanie decyzji". W postępowaniach odwoławczych prowadzonych na podstawie</w:t>
      </w:r>
      <w:r w:rsidRPr="0002524B">
        <w:rPr>
          <w:rFonts w:ascii="Lato" w:eastAsia="Times New Roman" w:hAnsi="Lato" w:cs="Arial"/>
          <w:i/>
          <w:iCs/>
          <w:spacing w:val="4"/>
          <w:lang w:eastAsia="pl-PL"/>
        </w:rPr>
        <w:t xml:space="preserve"> specustawy gazowej</w:t>
      </w:r>
      <w:r w:rsidRPr="0002524B">
        <w:rPr>
          <w:rFonts w:ascii="Lato" w:eastAsia="Times New Roman" w:hAnsi="Lato" w:cs="Arial"/>
          <w:spacing w:val="4"/>
          <w:lang w:eastAsia="pl-PL"/>
        </w:rPr>
        <w:t xml:space="preserve"> dotyczących decyzji o ustaleniu lokalizacji inwestycji, wskazanej powyżej kompetencji organ II instancji nie posiada.</w:t>
      </w:r>
    </w:p>
    <w:p w14:paraId="4C72D309" w14:textId="33B42793"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 xml:space="preserve">Na koniec zauważyć wypada, iż nie wydaje się również możliwe zaprojektowanie inwestycji towarzyszącej inwestycjom w zakresie terminalu 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t>
      </w:r>
      <w:r w:rsidR="00DD707C">
        <w:rPr>
          <w:rFonts w:ascii="Lato" w:eastAsia="Times New Roman" w:hAnsi="Lato" w:cs="Arial"/>
          <w:spacing w:val="4"/>
          <w:lang w:eastAsia="pl-PL"/>
        </w:rPr>
        <w:br/>
      </w:r>
      <w:r w:rsidRPr="0002524B">
        <w:rPr>
          <w:rFonts w:ascii="Lato" w:eastAsia="Times New Roman" w:hAnsi="Lato" w:cs="Arial"/>
          <w:spacing w:val="4"/>
          <w:lang w:eastAsia="pl-PL"/>
        </w:rPr>
        <w:t>W takich okolicznościach</w:t>
      </w:r>
      <w:r w:rsidRPr="0002524B">
        <w:rPr>
          <w:rFonts w:ascii="Lato" w:eastAsia="Times New Roman" w:hAnsi="Lato" w:cs="Arial"/>
          <w:i/>
          <w:iCs/>
          <w:spacing w:val="4"/>
          <w:lang w:eastAsia="pl-PL"/>
        </w:rPr>
        <w:t xml:space="preserve"> inwestor</w:t>
      </w:r>
      <w:r w:rsidRPr="0002524B">
        <w:rPr>
          <w:rFonts w:ascii="Lato" w:eastAsia="Times New Roman" w:hAnsi="Lato" w:cs="Arial"/>
          <w:spacing w:val="4"/>
          <w:lang w:eastAsia="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6C16EEF0" w14:textId="56F2603E"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Lokalizacja inwestycji towarzyszącej inwestycjom w zakresie terminalu w wielu wypadkach musi zatem uwzględniać sprzeczne interesy, z jednej strony</w:t>
      </w:r>
      <w:r w:rsidRPr="0002524B">
        <w:rPr>
          <w:rFonts w:ascii="Lato" w:eastAsia="Times New Roman" w:hAnsi="Lato" w:cs="Arial"/>
          <w:i/>
          <w:iCs/>
          <w:spacing w:val="4"/>
          <w:lang w:eastAsia="pl-PL"/>
        </w:rPr>
        <w:t xml:space="preserve"> inwestora, </w:t>
      </w:r>
      <w:r w:rsidR="00DD707C">
        <w:rPr>
          <w:rFonts w:ascii="Lato" w:eastAsia="Times New Roman" w:hAnsi="Lato" w:cs="Arial"/>
          <w:i/>
          <w:iCs/>
          <w:spacing w:val="4"/>
          <w:lang w:eastAsia="pl-PL"/>
        </w:rPr>
        <w:br/>
      </w:r>
      <w:r w:rsidRPr="0002524B">
        <w:rPr>
          <w:rFonts w:ascii="Lato" w:eastAsia="Times New Roman" w:hAnsi="Lato" w:cs="Arial"/>
          <w:spacing w:val="4"/>
          <w:lang w:eastAsia="pl-PL"/>
        </w:rPr>
        <w:t xml:space="preserve">a z drugiej strony osób, których prawa lub interesy mogą być zagrożone lub naruszone </w:t>
      </w:r>
      <w:r w:rsidR="00DD707C">
        <w:rPr>
          <w:rFonts w:ascii="Lato" w:eastAsia="Times New Roman" w:hAnsi="Lato" w:cs="Arial"/>
          <w:spacing w:val="4"/>
          <w:lang w:eastAsia="pl-PL"/>
        </w:rPr>
        <w:br/>
      </w:r>
      <w:r w:rsidRPr="0002524B">
        <w:rPr>
          <w:rFonts w:ascii="Lato" w:eastAsia="Times New Roman" w:hAnsi="Lato" w:cs="Arial"/>
          <w:spacing w:val="4"/>
          <w:lang w:eastAsia="pl-PL"/>
        </w:rPr>
        <w:t xml:space="preserve">w związku z realizacją takiej inwestycji. Granice tych praw i interesów określają przepisy </w:t>
      </w:r>
      <w:r w:rsidRPr="0002524B">
        <w:rPr>
          <w:rFonts w:ascii="Lato" w:eastAsia="Times New Roman" w:hAnsi="Lato" w:cs="Arial"/>
          <w:i/>
          <w:iCs/>
          <w:spacing w:val="4"/>
          <w:lang w:eastAsia="pl-PL"/>
        </w:rPr>
        <w:t>specustawy gazowej</w:t>
      </w:r>
      <w:r w:rsidRPr="0002524B">
        <w:rPr>
          <w:rFonts w:ascii="Lato" w:eastAsia="Times New Roman" w:hAnsi="Lato" w:cs="Arial"/>
          <w:spacing w:val="4"/>
          <w:lang w:eastAsia="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towarzyszącej inwestycjom w zakresie terminalu.</w:t>
      </w:r>
    </w:p>
    <w:p w14:paraId="46D951E4" w14:textId="2B631B5E"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Podsumowując, organ odwoławczy uznał, że przebieg planowanej inwestycji został ustalony prawidłowo. Organ uznał argumentację przemawiającą za ustaloną lokalizacją, którą przedstawił</w:t>
      </w:r>
      <w:r w:rsidRPr="0002524B">
        <w:rPr>
          <w:rFonts w:ascii="Lato" w:eastAsia="Times New Roman" w:hAnsi="Lato" w:cs="Arial"/>
          <w:i/>
          <w:iCs/>
          <w:spacing w:val="4"/>
          <w:lang w:eastAsia="pl-PL"/>
        </w:rPr>
        <w:t xml:space="preserve"> inwestor</w:t>
      </w:r>
      <w:r w:rsidRPr="0002524B">
        <w:rPr>
          <w:rFonts w:ascii="Lato" w:eastAsia="Times New Roman" w:hAnsi="Lato" w:cs="Arial"/>
          <w:spacing w:val="4"/>
          <w:lang w:eastAsia="pl-PL"/>
        </w:rPr>
        <w:t xml:space="preserve"> w załączonej do wniosku dokumentacji. Stwierdzić należy także, że zarówno wniosek</w:t>
      </w:r>
      <w:r w:rsidRPr="0002524B">
        <w:rPr>
          <w:rFonts w:ascii="Lato" w:eastAsia="Times New Roman" w:hAnsi="Lato" w:cs="Arial"/>
          <w:i/>
          <w:iCs/>
          <w:spacing w:val="4"/>
          <w:lang w:eastAsia="pl-PL"/>
        </w:rPr>
        <w:t xml:space="preserve"> inwestora,</w:t>
      </w:r>
      <w:r w:rsidRPr="0002524B">
        <w:rPr>
          <w:rFonts w:ascii="Lato" w:eastAsia="Times New Roman" w:hAnsi="Lato" w:cs="Arial"/>
          <w:spacing w:val="4"/>
          <w:lang w:eastAsia="pl-PL"/>
        </w:rPr>
        <w:t xml:space="preserve"> postępowanie przeprowadzone przez organ </w:t>
      </w:r>
      <w:r w:rsidR="00DD707C">
        <w:rPr>
          <w:rFonts w:ascii="Lato" w:eastAsia="Times New Roman" w:hAnsi="Lato" w:cs="Arial"/>
          <w:spacing w:val="4"/>
          <w:lang w:eastAsia="pl-PL"/>
        </w:rPr>
        <w:br/>
      </w:r>
      <w:r w:rsidRPr="0002524B">
        <w:rPr>
          <w:rFonts w:ascii="Lato" w:eastAsia="Times New Roman" w:hAnsi="Lato" w:cs="Arial"/>
          <w:spacing w:val="4"/>
          <w:lang w:eastAsia="pl-PL"/>
        </w:rPr>
        <w:t>I instancji, jak i zaskarżona</w:t>
      </w:r>
      <w:r w:rsidRPr="0002524B">
        <w:rPr>
          <w:rFonts w:ascii="Lato" w:eastAsia="Times New Roman" w:hAnsi="Lato" w:cs="Arial"/>
          <w:i/>
          <w:iCs/>
          <w:spacing w:val="4"/>
          <w:lang w:eastAsia="pl-PL"/>
        </w:rPr>
        <w:t xml:space="preserve"> decyzja Wojewody Zachodniopomorskiego -</w:t>
      </w:r>
      <w:r w:rsidRPr="0002524B">
        <w:rPr>
          <w:rFonts w:ascii="Lato" w:eastAsia="Times New Roman" w:hAnsi="Lato" w:cs="Arial"/>
          <w:spacing w:val="4"/>
          <w:lang w:eastAsia="pl-PL"/>
        </w:rPr>
        <w:t xml:space="preserve"> poza częścią uchyloną niniejszą decyzją - nie naruszają prawa, a wniesione zarzuty nie zasługują na uwzględnienie, wobec czego orzeczono jak w rozstrzygnięciu.</w:t>
      </w:r>
    </w:p>
    <w:p w14:paraId="1A277677" w14:textId="77777777" w:rsidR="0002524B" w:rsidRP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Niniejsza decyzja jest ostateczna.</w:t>
      </w:r>
    </w:p>
    <w:p w14:paraId="2BD1F034" w14:textId="519F9F54"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r w:rsidRPr="0002524B">
        <w:rPr>
          <w:rFonts w:ascii="Lato" w:eastAsia="Times New Roman" w:hAnsi="Lato" w:cs="Arial"/>
          <w:spacing w:val="4"/>
          <w:lang w:eastAsia="pl-PL"/>
        </w:rPr>
        <w:t>Na decyzję, na podstawie art. 53 § 1 i art. 54 § 1 ustawy z dnia 30 sierpnia 2002 r. - Prawo o postępowaniu przed sądami administracyjnymi (</w:t>
      </w:r>
      <w:proofErr w:type="spellStart"/>
      <w:r w:rsidRPr="0002524B">
        <w:rPr>
          <w:rFonts w:ascii="Lato" w:eastAsia="Times New Roman" w:hAnsi="Lato" w:cs="Arial"/>
          <w:spacing w:val="4"/>
          <w:lang w:eastAsia="pl-PL"/>
        </w:rPr>
        <w:t>t.j</w:t>
      </w:r>
      <w:proofErr w:type="spellEnd"/>
      <w:r w:rsidRPr="0002524B">
        <w:rPr>
          <w:rFonts w:ascii="Lato" w:eastAsia="Times New Roman" w:hAnsi="Lato" w:cs="Arial"/>
          <w:spacing w:val="4"/>
          <w:lang w:eastAsia="pl-PL"/>
        </w:rPr>
        <w:t xml:space="preserve">. Dz.U. z 2024 r. poz. 935, </w:t>
      </w:r>
      <w:r w:rsidR="00DD707C">
        <w:rPr>
          <w:rFonts w:ascii="Lato" w:eastAsia="Times New Roman" w:hAnsi="Lato" w:cs="Arial"/>
          <w:spacing w:val="4"/>
          <w:lang w:eastAsia="pl-PL"/>
        </w:rPr>
        <w:br/>
      </w:r>
      <w:r w:rsidRPr="0002524B">
        <w:rPr>
          <w:rFonts w:ascii="Lato" w:eastAsia="Times New Roman" w:hAnsi="Lato" w:cs="Arial"/>
          <w:spacing w:val="4"/>
          <w:lang w:eastAsia="pl-PL"/>
        </w:rPr>
        <w:t>z późn. zm.), zwanej dalej</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ppsa</w:t>
      </w:r>
      <w:proofErr w:type="spellEnd"/>
      <w:r w:rsidRPr="0002524B">
        <w:rPr>
          <w:rFonts w:ascii="Lato" w:eastAsia="Times New Roman" w:hAnsi="Lato" w:cs="Arial"/>
          <w:i/>
          <w:iCs/>
          <w:spacing w:val="4"/>
          <w:lang w:eastAsia="pl-PL"/>
        </w:rPr>
        <w:t>",</w:t>
      </w:r>
      <w:r w:rsidRPr="0002524B">
        <w:rPr>
          <w:rFonts w:ascii="Lato" w:eastAsia="Times New Roman" w:hAnsi="Lato" w:cs="Arial"/>
          <w:spacing w:val="4"/>
          <w:lang w:eastAsia="pl-PL"/>
        </w:rPr>
        <w:t xml:space="preserve"> przysługuje skarga do Wojewódzkiego Sądu Administracyjnego w Warszawie, wnoszona za pośrednictwem Ministra Finansów </w:t>
      </w:r>
      <w:r w:rsidR="00DD707C">
        <w:rPr>
          <w:rFonts w:ascii="Lato" w:eastAsia="Times New Roman" w:hAnsi="Lato" w:cs="Arial"/>
          <w:spacing w:val="4"/>
          <w:lang w:eastAsia="pl-PL"/>
        </w:rPr>
        <w:br/>
      </w:r>
      <w:r w:rsidRPr="0002524B">
        <w:rPr>
          <w:rFonts w:ascii="Lato" w:eastAsia="Times New Roman" w:hAnsi="Lato" w:cs="Arial"/>
          <w:spacing w:val="4"/>
          <w:lang w:eastAsia="pl-PL"/>
        </w:rPr>
        <w:t>i Gospodarki, w terminie 30 dni od dnia doręczenia decyzji.</w:t>
      </w:r>
    </w:p>
    <w:p w14:paraId="34E78424" w14:textId="0DC3CE67" w:rsidR="0002524B" w:rsidRDefault="0002524B" w:rsidP="0002524B">
      <w:pPr>
        <w:tabs>
          <w:tab w:val="left" w:pos="0"/>
          <w:tab w:val="num" w:pos="426"/>
        </w:tabs>
        <w:spacing w:after="240" w:line="240" w:lineRule="exact"/>
        <w:jc w:val="both"/>
        <w:rPr>
          <w:rFonts w:ascii="Lato" w:eastAsia="Times New Roman" w:hAnsi="Lato" w:cs="Arial"/>
          <w:i/>
          <w:iCs/>
          <w:spacing w:val="4"/>
          <w:lang w:eastAsia="pl-PL"/>
        </w:rPr>
      </w:pPr>
      <w:r w:rsidRPr="0002524B">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w:t>
      </w:r>
      <w:r w:rsidRPr="0002524B">
        <w:rPr>
          <w:rFonts w:ascii="Lato" w:eastAsia="Times New Roman" w:hAnsi="Lato" w:cs="Arial"/>
          <w:i/>
          <w:iCs/>
          <w:spacing w:val="4"/>
          <w:lang w:val="en-US" w:eastAsia="pl-PL"/>
        </w:rPr>
        <w:t>(</w:t>
      </w:r>
      <w:hyperlink r:id="rId9" w:history="1">
        <w:r w:rsidRPr="0002524B">
          <w:rPr>
            <w:rStyle w:val="Hipercze"/>
            <w:rFonts w:ascii="Lato" w:eastAsia="Times New Roman" w:hAnsi="Lato" w:cs="Arial"/>
            <w:i/>
            <w:iCs/>
            <w:color w:val="auto"/>
            <w:spacing w:val="4"/>
            <w:u w:val="none"/>
            <w:lang w:val="en-US" w:eastAsia="pl-PL"/>
          </w:rPr>
          <w:t>http://bip.warszawa.wsa.gov.pl</w:t>
        </w:r>
      </w:hyperlink>
      <w:r w:rsidRPr="0002524B">
        <w:rPr>
          <w:rFonts w:ascii="Lato" w:eastAsia="Times New Roman" w:hAnsi="Lato" w:cs="Arial"/>
          <w:spacing w:val="4"/>
          <w:lang w:eastAsia="pl-PL"/>
        </w:rPr>
        <w:t xml:space="preserve">). Strony mogą ubiegać się o przyznanie prawa pomocy, </w:t>
      </w:r>
      <w:r w:rsidRPr="0002524B">
        <w:rPr>
          <w:rFonts w:ascii="Lato" w:eastAsia="Times New Roman" w:hAnsi="Lato" w:cs="Arial"/>
          <w:spacing w:val="4"/>
          <w:lang w:eastAsia="pl-PL"/>
        </w:rPr>
        <w:lastRenderedPageBreak/>
        <w:t>polegającego na zwolnieniu z kosztów sądowych oraz ustanowieniu adwokata lub radcy prawnego. Szczegółowe zasady dotyczące przyznawania prawa pomocy uregulowane są w art. 243-262</w:t>
      </w:r>
      <w:r w:rsidRPr="0002524B">
        <w:rPr>
          <w:rFonts w:ascii="Lato" w:eastAsia="Times New Roman" w:hAnsi="Lato" w:cs="Arial"/>
          <w:i/>
          <w:iCs/>
          <w:spacing w:val="4"/>
          <w:lang w:eastAsia="pl-PL"/>
        </w:rPr>
        <w:t xml:space="preserve"> </w:t>
      </w:r>
      <w:proofErr w:type="spellStart"/>
      <w:r w:rsidRPr="0002524B">
        <w:rPr>
          <w:rFonts w:ascii="Lato" w:eastAsia="Times New Roman" w:hAnsi="Lato" w:cs="Arial"/>
          <w:i/>
          <w:iCs/>
          <w:spacing w:val="4"/>
          <w:lang w:eastAsia="pl-PL"/>
        </w:rPr>
        <w:t>ppsa</w:t>
      </w:r>
      <w:proofErr w:type="spellEnd"/>
      <w:r w:rsidRPr="0002524B">
        <w:rPr>
          <w:rFonts w:ascii="Lato" w:eastAsia="Times New Roman" w:hAnsi="Lato" w:cs="Arial"/>
          <w:i/>
          <w:iCs/>
          <w:spacing w:val="4"/>
          <w:lang w:eastAsia="pl-PL"/>
        </w:rPr>
        <w:t>.</w:t>
      </w:r>
    </w:p>
    <w:p w14:paraId="76650E5B" w14:textId="77777777" w:rsidR="0002524B" w:rsidRDefault="0002524B" w:rsidP="0002524B">
      <w:pPr>
        <w:tabs>
          <w:tab w:val="left" w:pos="0"/>
          <w:tab w:val="num" w:pos="426"/>
        </w:tabs>
        <w:spacing w:after="240" w:line="240" w:lineRule="exact"/>
        <w:jc w:val="both"/>
        <w:rPr>
          <w:rFonts w:ascii="Lato" w:eastAsia="Times New Roman" w:hAnsi="Lato" w:cs="Arial"/>
          <w:spacing w:val="4"/>
          <w:lang w:eastAsia="pl-PL"/>
        </w:rPr>
      </w:pPr>
    </w:p>
    <w:p w14:paraId="1DAC4A53" w14:textId="77777777" w:rsidR="005569C8" w:rsidRPr="0052341D" w:rsidRDefault="005569C8" w:rsidP="005569C8">
      <w:pPr>
        <w:spacing w:after="120" w:line="240" w:lineRule="exact"/>
        <w:ind w:left="4253"/>
        <w:rPr>
          <w:rFonts w:ascii="Lato" w:hAnsi="Lato"/>
          <w:b/>
          <w:bCs/>
        </w:rPr>
      </w:pPr>
      <w:r w:rsidRPr="0052341D">
        <w:rPr>
          <w:rFonts w:ascii="Lato" w:hAnsi="Lato"/>
          <w:b/>
          <w:bCs/>
        </w:rPr>
        <w:t>Z upoważnienia</w:t>
      </w:r>
    </w:p>
    <w:p w14:paraId="75AC00FB" w14:textId="77777777" w:rsidR="005569C8" w:rsidRPr="0052341D" w:rsidRDefault="005569C8" w:rsidP="005569C8">
      <w:pPr>
        <w:spacing w:after="120" w:line="240" w:lineRule="exact"/>
        <w:ind w:left="4253"/>
        <w:rPr>
          <w:rFonts w:ascii="Lato" w:hAnsi="Lato"/>
        </w:rPr>
      </w:pPr>
      <w:r w:rsidRPr="0052341D">
        <w:rPr>
          <w:rFonts w:ascii="Lato" w:hAnsi="Lato"/>
        </w:rPr>
        <w:t>Edyta Lubaszewska</w:t>
      </w:r>
    </w:p>
    <w:p w14:paraId="62AE8B2D" w14:textId="77777777" w:rsidR="005569C8" w:rsidRPr="0052341D" w:rsidRDefault="005569C8" w:rsidP="005569C8">
      <w:pPr>
        <w:spacing w:after="120" w:line="240" w:lineRule="exact"/>
        <w:ind w:left="4253"/>
        <w:rPr>
          <w:rFonts w:ascii="Lato" w:hAnsi="Lato"/>
        </w:rPr>
      </w:pPr>
      <w:r w:rsidRPr="0052341D">
        <w:rPr>
          <w:rFonts w:ascii="Lato" w:hAnsi="Lato"/>
        </w:rPr>
        <w:t>dyrektor departamentu</w:t>
      </w:r>
    </w:p>
    <w:p w14:paraId="5D1E3010" w14:textId="77777777" w:rsidR="005569C8" w:rsidRPr="0052341D" w:rsidRDefault="005569C8" w:rsidP="005569C8">
      <w:pPr>
        <w:spacing w:after="120" w:line="240" w:lineRule="exact"/>
        <w:ind w:left="4253"/>
        <w:rPr>
          <w:rFonts w:ascii="Lato" w:hAnsi="Lato"/>
        </w:rPr>
      </w:pPr>
      <w:r w:rsidRPr="0052341D">
        <w:rPr>
          <w:rFonts w:ascii="Lato" w:hAnsi="Lato"/>
        </w:rPr>
        <w:t xml:space="preserve">/ kwalifikowany podpis elektroniczny / </w:t>
      </w:r>
    </w:p>
    <w:p w14:paraId="7547C030" w14:textId="1E70EED3" w:rsidR="00DD707C" w:rsidRPr="003D65D3" w:rsidRDefault="005569C8" w:rsidP="003D65D3">
      <w:pPr>
        <w:spacing w:after="120" w:line="240" w:lineRule="exact"/>
        <w:ind w:left="4253"/>
        <w:rPr>
          <w:rFonts w:ascii="Lato" w:hAnsi="Lato"/>
          <w:color w:val="000000" w:themeColor="text1"/>
        </w:rPr>
      </w:pPr>
      <w:r w:rsidRPr="0052341D">
        <w:rPr>
          <w:rFonts w:ascii="Lato" w:hAnsi="Lato"/>
          <w:color w:val="000000" w:themeColor="text1"/>
        </w:rPr>
        <w:t>w Ministerstwie Rozwoju i Technologii</w:t>
      </w:r>
    </w:p>
    <w:p w14:paraId="4AEF1D4C" w14:textId="77777777" w:rsidR="0002524B" w:rsidRDefault="0002524B" w:rsidP="004431A0">
      <w:pPr>
        <w:tabs>
          <w:tab w:val="left" w:pos="142"/>
          <w:tab w:val="left" w:pos="284"/>
          <w:tab w:val="left" w:pos="426"/>
        </w:tabs>
        <w:spacing w:after="0" w:line="240" w:lineRule="exact"/>
        <w:jc w:val="both"/>
        <w:textAlignment w:val="baseline"/>
        <w:rPr>
          <w:rFonts w:ascii="Lato" w:hAnsi="Lato" w:cs="Arial"/>
          <w:b/>
          <w:color w:val="000000"/>
          <w:spacing w:val="4"/>
          <w:kern w:val="2"/>
          <w:u w:val="single"/>
        </w:rPr>
      </w:pPr>
    </w:p>
    <w:p w14:paraId="0D1E1B95" w14:textId="77777777" w:rsidR="0002524B" w:rsidRDefault="0002524B" w:rsidP="004431A0">
      <w:pPr>
        <w:tabs>
          <w:tab w:val="left" w:pos="142"/>
          <w:tab w:val="left" w:pos="284"/>
          <w:tab w:val="left" w:pos="426"/>
        </w:tabs>
        <w:spacing w:after="0" w:line="240" w:lineRule="exact"/>
        <w:jc w:val="both"/>
        <w:textAlignment w:val="baseline"/>
        <w:rPr>
          <w:rFonts w:ascii="Lato" w:hAnsi="Lato" w:cs="Arial"/>
          <w:b/>
          <w:color w:val="000000"/>
          <w:spacing w:val="4"/>
          <w:kern w:val="2"/>
          <w:u w:val="single"/>
        </w:rPr>
      </w:pPr>
    </w:p>
    <w:p w14:paraId="5606A3A4" w14:textId="77777777" w:rsidR="0002524B" w:rsidRDefault="0002524B" w:rsidP="004431A0">
      <w:pPr>
        <w:tabs>
          <w:tab w:val="left" w:pos="142"/>
          <w:tab w:val="left" w:pos="284"/>
          <w:tab w:val="left" w:pos="426"/>
        </w:tabs>
        <w:spacing w:after="0" w:line="240" w:lineRule="exact"/>
        <w:jc w:val="both"/>
        <w:textAlignment w:val="baseline"/>
        <w:rPr>
          <w:rFonts w:ascii="Lato" w:hAnsi="Lato" w:cs="Arial"/>
          <w:b/>
          <w:color w:val="000000"/>
          <w:spacing w:val="4"/>
          <w:kern w:val="2"/>
          <w:u w:val="single"/>
        </w:rPr>
      </w:pPr>
    </w:p>
    <w:p w14:paraId="189ADE91" w14:textId="77777777" w:rsidR="0002524B" w:rsidRDefault="0002524B" w:rsidP="004431A0">
      <w:pPr>
        <w:tabs>
          <w:tab w:val="left" w:pos="142"/>
          <w:tab w:val="left" w:pos="284"/>
          <w:tab w:val="left" w:pos="426"/>
        </w:tabs>
        <w:spacing w:after="0" w:line="240" w:lineRule="exact"/>
        <w:jc w:val="both"/>
        <w:textAlignment w:val="baseline"/>
        <w:rPr>
          <w:rFonts w:ascii="Lato" w:hAnsi="Lato" w:cs="Arial"/>
          <w:b/>
          <w:color w:val="000000"/>
          <w:spacing w:val="4"/>
          <w:kern w:val="2"/>
          <w:u w:val="single"/>
        </w:rPr>
      </w:pPr>
    </w:p>
    <w:p w14:paraId="5D2D44EA" w14:textId="77777777" w:rsidR="0002524B" w:rsidRDefault="0002524B" w:rsidP="004431A0">
      <w:pPr>
        <w:tabs>
          <w:tab w:val="left" w:pos="142"/>
          <w:tab w:val="left" w:pos="284"/>
          <w:tab w:val="left" w:pos="426"/>
        </w:tabs>
        <w:spacing w:after="0" w:line="240" w:lineRule="exact"/>
        <w:jc w:val="both"/>
        <w:textAlignment w:val="baseline"/>
        <w:rPr>
          <w:rFonts w:ascii="Lato" w:hAnsi="Lato" w:cs="Arial"/>
          <w:b/>
          <w:color w:val="000000"/>
          <w:spacing w:val="4"/>
          <w:kern w:val="2"/>
          <w:u w:val="single"/>
        </w:rPr>
      </w:pPr>
    </w:p>
    <w:p w14:paraId="6B5FB65A" w14:textId="77777777" w:rsidR="0002524B" w:rsidRDefault="0002524B" w:rsidP="004431A0">
      <w:pPr>
        <w:tabs>
          <w:tab w:val="left" w:pos="142"/>
          <w:tab w:val="left" w:pos="284"/>
          <w:tab w:val="left" w:pos="426"/>
        </w:tabs>
        <w:spacing w:after="0" w:line="240" w:lineRule="exact"/>
        <w:jc w:val="both"/>
        <w:textAlignment w:val="baseline"/>
        <w:rPr>
          <w:rFonts w:ascii="Lato" w:hAnsi="Lato" w:cs="Arial"/>
          <w:b/>
          <w:color w:val="000000"/>
          <w:spacing w:val="4"/>
          <w:kern w:val="2"/>
          <w:u w:val="single"/>
        </w:rPr>
      </w:pPr>
    </w:p>
    <w:bookmarkEnd w:id="1"/>
    <w:p w14:paraId="32839213" w14:textId="4161507D" w:rsidR="000075EB" w:rsidRPr="004431A0" w:rsidRDefault="000075EB" w:rsidP="004431A0">
      <w:pPr>
        <w:widowControl w:val="0"/>
        <w:shd w:val="clear" w:color="auto" w:fill="FFFFFF"/>
        <w:tabs>
          <w:tab w:val="left" w:pos="284"/>
        </w:tabs>
        <w:suppressAutoHyphens/>
        <w:spacing w:after="0" w:line="240" w:lineRule="exact"/>
        <w:jc w:val="both"/>
        <w:textAlignment w:val="baseline"/>
        <w:rPr>
          <w:rFonts w:ascii="Lato" w:hAnsi="Lato" w:cs="Arial"/>
          <w:bCs/>
          <w:spacing w:val="4"/>
        </w:rPr>
      </w:pPr>
    </w:p>
    <w:sectPr w:rsidR="000075EB" w:rsidRPr="004431A0" w:rsidSect="005A7920">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D541A" w14:textId="77777777" w:rsidR="00B32BCB" w:rsidRPr="00F04320" w:rsidRDefault="00B32BCB" w:rsidP="009276B2">
      <w:pPr>
        <w:spacing w:after="0" w:line="240" w:lineRule="auto"/>
      </w:pPr>
      <w:r w:rsidRPr="00F04320">
        <w:separator/>
      </w:r>
    </w:p>
  </w:endnote>
  <w:endnote w:type="continuationSeparator" w:id="0">
    <w:p w14:paraId="346F7B89" w14:textId="77777777" w:rsidR="00B32BCB" w:rsidRPr="00F04320" w:rsidRDefault="00B32BCB" w:rsidP="009276B2">
      <w:pPr>
        <w:spacing w:after="0" w:line="240" w:lineRule="auto"/>
      </w:pPr>
      <w:r w:rsidRPr="00F04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4723E415-FB85-4ABA-AEAF-A40BE406FFEC}"/>
    <w:embedBold r:id="rId2" w:fontKey="{1AF4BBAD-AF72-4F0B-915C-8CAE1C314102}"/>
    <w:embedItalic r:id="rId3" w:fontKey="{43B10670-4857-4338-A7A9-D5978D65D4C7}"/>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4" w:fontKey="{8C8A65C2-09CC-4BFB-BDA2-2283ADFFE089}"/>
    <w:embedBold r:id="rId5" w:fontKey="{18B10320-DCA0-43D8-BDD4-FCA288DEB87E}"/>
  </w:font>
  <w:font w:name="Calibri">
    <w:panose1 w:val="020F0502020204030204"/>
    <w:charset w:val="EE"/>
    <w:family w:val="swiss"/>
    <w:pitch w:val="variable"/>
    <w:sig w:usb0="E4002EFF" w:usb1="C200247B" w:usb2="00000009" w:usb3="00000000" w:csb0="000001FF" w:csb1="00000000"/>
    <w:embedRegular r:id="rId6" w:fontKey="{0F6ABC27-FE36-47F4-A175-7C786FE7CE8D}"/>
    <w:embedBold r:id="rId7" w:fontKey="{C0B140D7-04E0-47F8-9185-737E54D77678}"/>
    <w:embedItalic r:id="rId8" w:fontKey="{2FB96135-BF37-40B7-A4C7-CA0B7CE6FA13}"/>
    <w:embedBoldItalic r:id="rId9" w:fontKey="{52D89949-485B-415F-9B48-F874399F562F}"/>
  </w:font>
  <w:font w:name="Calibri Light">
    <w:panose1 w:val="020F0302020204030204"/>
    <w:charset w:val="EE"/>
    <w:family w:val="swiss"/>
    <w:pitch w:val="variable"/>
    <w:sig w:usb0="E4002EFF" w:usb1="C200247B" w:usb2="00000009" w:usb3="00000000" w:csb0="000001FF" w:csb1="00000000"/>
    <w:embedRegular r:id="rId10" w:fontKey="{F70C2A91-332F-4565-A97D-7BBD7C2114B6}"/>
    <w:embedBold r:id="rId11" w:fontKey="{3E3F3710-B329-426E-B019-D878346FD20F}"/>
  </w:font>
  <w:font w:name="Tahoma">
    <w:panose1 w:val="020B0604030504040204"/>
    <w:charset w:val="EE"/>
    <w:family w:val="swiss"/>
    <w:pitch w:val="variable"/>
    <w:sig w:usb0="E1002EFF" w:usb1="C000605B" w:usb2="00000029" w:usb3="00000000" w:csb0="000101FF" w:csb1="00000000"/>
    <w:embedRegular r:id="rId12" w:fontKey="{3ECFE276-71AC-4E1B-8734-9EA481836D3B}"/>
    <w:embedBold r:id="rId13" w:fontKey="{EBFC971E-8859-46F2-B745-22E80D3EC77E}"/>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4" w:fontKey="{F5B77BC5-C9C5-4E72-B0FB-5F81B18D369A}"/>
  </w:font>
  <w:font w:name="Arial Unicode MS">
    <w:panose1 w:val="020B0604020202020204"/>
    <w:charset w:val="80"/>
    <w:family w:val="swiss"/>
    <w:pitch w:val="variable"/>
    <w:sig w:usb0="F7FFAFFF" w:usb1="E9DFFFFF" w:usb2="0000003F" w:usb3="00000000" w:csb0="003F01FF" w:csb1="00000000"/>
  </w:font>
  <w:font w:name="Lato,Italic">
    <w:altName w:val="Lato"/>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7926D5E9" w14:textId="16BE2BD9" w:rsidR="00086825" w:rsidRPr="00E25B6D" w:rsidRDefault="00086825" w:rsidP="00224E5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495E83">
          <w:rPr>
            <w:rFonts w:ascii="Lato" w:hAnsi="Lato"/>
            <w:sz w:val="18"/>
            <w:szCs w:val="18"/>
          </w:rPr>
          <w:t>1</w:t>
        </w:r>
        <w:r w:rsidR="00224E5D">
          <w:rPr>
            <w:rFonts w:ascii="Lato" w:hAnsi="Lato"/>
            <w:sz w:val="18"/>
            <w:szCs w:val="18"/>
          </w:rPr>
          <w:t>7</w:t>
        </w:r>
        <w:r w:rsidRPr="00E25B6D">
          <w:rPr>
            <w:rFonts w:ascii="Lato" w:hAnsi="Lato"/>
            <w:sz w:val="18"/>
            <w:szCs w:val="18"/>
          </w:rPr>
          <w:t>)</w:t>
        </w:r>
      </w:p>
    </w:sdtContent>
  </w:sdt>
  <w:p w14:paraId="37821F1F" w14:textId="4F146EE3" w:rsidR="003A1976" w:rsidRPr="00F04320"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3A3D" w14:textId="004B5620" w:rsidR="00207925" w:rsidRDefault="00207925">
    <w:pPr>
      <w:pStyle w:val="Stopka"/>
    </w:pPr>
  </w:p>
  <w:p w14:paraId="4715D335" w14:textId="4823F163" w:rsidR="00947F4D" w:rsidRPr="00F04320"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7FB3" w14:textId="77777777" w:rsidR="00B32BCB" w:rsidRPr="00F04320" w:rsidRDefault="00B32BCB" w:rsidP="009276B2">
      <w:pPr>
        <w:spacing w:after="0" w:line="240" w:lineRule="auto"/>
      </w:pPr>
      <w:r w:rsidRPr="00F04320">
        <w:separator/>
      </w:r>
    </w:p>
  </w:footnote>
  <w:footnote w:type="continuationSeparator" w:id="0">
    <w:p w14:paraId="7C5BCF10" w14:textId="77777777" w:rsidR="00B32BCB" w:rsidRPr="00F04320" w:rsidRDefault="00B32BCB" w:rsidP="009276B2">
      <w:pPr>
        <w:spacing w:after="0" w:line="240" w:lineRule="auto"/>
      </w:pPr>
      <w:r w:rsidRPr="00F04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Pr="00F04320"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332B172" w:rsidR="00947F4D" w:rsidRPr="00F04320" w:rsidRDefault="00C31D8B">
    <w:pPr>
      <w:pStyle w:val="Nagwek"/>
    </w:pPr>
    <w:r>
      <w:rPr>
        <w:noProof/>
      </w:rPr>
      <w:drawing>
        <wp:anchor distT="0" distB="0" distL="114300" distR="114300" simplePos="0" relativeHeight="251658240" behindDoc="0" locked="0" layoutInCell="1" allowOverlap="1" wp14:anchorId="5BAA2DC2" wp14:editId="6E2B49CC">
          <wp:simplePos x="0" y="0"/>
          <wp:positionH relativeFrom="column">
            <wp:posOffset>-889000</wp:posOffset>
          </wp:positionH>
          <wp:positionV relativeFrom="paragraph">
            <wp:posOffset>419100</wp:posOffset>
          </wp:positionV>
          <wp:extent cx="3172460" cy="1017270"/>
          <wp:effectExtent l="0" t="0" r="0" b="0"/>
          <wp:wrapNone/>
          <wp:docPr id="77636588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3"/>
    <w:multiLevelType w:val="multilevel"/>
    <w:tmpl w:val="FFFFFFFF"/>
    <w:lvl w:ilvl="0">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2">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3">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4">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5">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6">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7">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8">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abstractNum>
  <w:abstractNum w:abstractNumId="2" w15:restartNumberingAfterBreak="0">
    <w:nsid w:val="00000005"/>
    <w:multiLevelType w:val="multilevel"/>
    <w:tmpl w:val="FFFFFFFF"/>
    <w:lvl w:ilvl="0">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2">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3">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4">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5">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6">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7">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8">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abstractNum>
  <w:abstractNum w:abstractNumId="3" w15:restartNumberingAfterBreak="0">
    <w:nsid w:val="00000007"/>
    <w:multiLevelType w:val="multilevel"/>
    <w:tmpl w:val="FFFFFFFF"/>
    <w:lvl w:ilvl="0">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2">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3">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4">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5">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6">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7">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8">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abstractNum>
  <w:abstractNum w:abstractNumId="4"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5" w15:restartNumberingAfterBreak="0">
    <w:nsid w:val="00000009"/>
    <w:multiLevelType w:val="multilevel"/>
    <w:tmpl w:val="6D8E7D5A"/>
    <w:lvl w:ilvl="0">
      <w:start w:val="1"/>
      <w:numFmt w:val="decimal"/>
      <w:lvlText w:val="%1."/>
      <w:lvlJc w:val="left"/>
      <w:pPr>
        <w:ind w:left="0" w:firstLine="0"/>
      </w:pPr>
      <w:rPr>
        <w:rFonts w:ascii="Lato" w:hAnsi="Lato" w:cs="Arial"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0" w:firstLine="0"/>
      </w:pPr>
      <w:rPr>
        <w:rFonts w:ascii="Lato" w:hAnsi="Lato" w:cs="Arial" w:hint="default"/>
        <w:b w:val="0"/>
        <w:bCs w:val="0"/>
        <w:i w:val="0"/>
        <w:iCs w:val="0"/>
        <w:smallCaps w:val="0"/>
        <w:strike w:val="0"/>
        <w:dstrike w:val="0"/>
        <w:color w:val="000000"/>
        <w:spacing w:val="0"/>
        <w:w w:val="100"/>
        <w:position w:val="0"/>
        <w:sz w:val="22"/>
        <w:szCs w:val="22"/>
        <w:u w:val="none"/>
        <w:effect w:val="none"/>
      </w:rPr>
    </w:lvl>
    <w:lvl w:ilvl="2">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3">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4">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5">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6">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7">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8">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abstractNum>
  <w:abstractNum w:abstractNumId="6" w15:restartNumberingAfterBreak="0">
    <w:nsid w:val="09D25BC7"/>
    <w:multiLevelType w:val="hybridMultilevel"/>
    <w:tmpl w:val="5B94946C"/>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8B750E4"/>
    <w:multiLevelType w:val="hybridMultilevel"/>
    <w:tmpl w:val="8B2475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D1207C"/>
    <w:multiLevelType w:val="hybridMultilevel"/>
    <w:tmpl w:val="E0F84700"/>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12"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E470CF3"/>
    <w:multiLevelType w:val="hybridMultilevel"/>
    <w:tmpl w:val="4362682A"/>
    <w:lvl w:ilvl="0" w:tplc="8E2828D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B42A26"/>
    <w:multiLevelType w:val="hybridMultilevel"/>
    <w:tmpl w:val="9976A808"/>
    <w:lvl w:ilvl="0" w:tplc="AB240D8C">
      <w:start w:val="1"/>
      <w:numFmt w:val="decimal"/>
      <w:lvlText w:val="%1)"/>
      <w:lvlJc w:val="left"/>
      <w:pPr>
        <w:ind w:left="36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1FC3FA4"/>
    <w:multiLevelType w:val="hybridMultilevel"/>
    <w:tmpl w:val="8B2475C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7B2F8E"/>
    <w:multiLevelType w:val="hybridMultilevel"/>
    <w:tmpl w:val="4E78D8B6"/>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3D89650E"/>
    <w:multiLevelType w:val="multilevel"/>
    <w:tmpl w:val="F60CC7A6"/>
    <w:lvl w:ilvl="0">
      <w:start w:val="1"/>
      <w:numFmt w:val="decimal"/>
      <w:lvlText w:val="%1."/>
      <w:lvlJc w:val="left"/>
      <w:pPr>
        <w:ind w:left="720" w:hanging="360"/>
      </w:pPr>
      <w:rPr>
        <w:rFonts w:ascii="Lato" w:hAnsi="Lato"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11034C"/>
    <w:multiLevelType w:val="hybridMultilevel"/>
    <w:tmpl w:val="5CE664D4"/>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307849"/>
    <w:multiLevelType w:val="hybridMultilevel"/>
    <w:tmpl w:val="9C48142A"/>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15:restartNumberingAfterBreak="0">
    <w:nsid w:val="538B52C9"/>
    <w:multiLevelType w:val="multilevel"/>
    <w:tmpl w:val="4F8AB97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38D5D7D"/>
    <w:multiLevelType w:val="hybridMultilevel"/>
    <w:tmpl w:val="84D44FDE"/>
    <w:lvl w:ilvl="0" w:tplc="8D906B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66AB6A38"/>
    <w:multiLevelType w:val="multilevel"/>
    <w:tmpl w:val="82D46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1400078">
    <w:abstractNumId w:val="25"/>
  </w:num>
  <w:num w:numId="2" w16cid:durableId="1986856122">
    <w:abstractNumId w:val="30"/>
  </w:num>
  <w:num w:numId="3" w16cid:durableId="2112122132">
    <w:abstractNumId w:val="12"/>
  </w:num>
  <w:num w:numId="4" w16cid:durableId="1761024178">
    <w:abstractNumId w:val="7"/>
  </w:num>
  <w:num w:numId="5" w16cid:durableId="347753968">
    <w:abstractNumId w:val="24"/>
  </w:num>
  <w:num w:numId="6" w16cid:durableId="780566162">
    <w:abstractNumId w:val="8"/>
  </w:num>
  <w:num w:numId="7" w16cid:durableId="1305740218">
    <w:abstractNumId w:val="11"/>
  </w:num>
  <w:num w:numId="8" w16cid:durableId="1897861473">
    <w:abstractNumId w:val="33"/>
  </w:num>
  <w:num w:numId="9" w16cid:durableId="2018386665">
    <w:abstractNumId w:val="32"/>
  </w:num>
  <w:num w:numId="10" w16cid:durableId="1884559700">
    <w:abstractNumId w:val="27"/>
  </w:num>
  <w:num w:numId="11" w16cid:durableId="1802918703">
    <w:abstractNumId w:val="28"/>
  </w:num>
  <w:num w:numId="12" w16cid:durableId="2060979531">
    <w:abstractNumId w:val="10"/>
  </w:num>
  <w:num w:numId="13" w16cid:durableId="1375619523">
    <w:abstractNumId w:val="6"/>
  </w:num>
  <w:num w:numId="14" w16cid:durableId="1557281953">
    <w:abstractNumId w:val="13"/>
  </w:num>
  <w:num w:numId="15" w16cid:durableId="1260406673">
    <w:abstractNumId w:val="21"/>
  </w:num>
  <w:num w:numId="16" w16cid:durableId="1432315643">
    <w:abstractNumId w:val="20"/>
  </w:num>
  <w:num w:numId="17" w16cid:durableId="1785146895">
    <w:abstractNumId w:val="15"/>
  </w:num>
  <w:num w:numId="18" w16cid:durableId="495463593">
    <w:abstractNumId w:val="18"/>
  </w:num>
  <w:num w:numId="19" w16cid:durableId="2101025759">
    <w:abstractNumId w:val="23"/>
  </w:num>
  <w:num w:numId="20" w16cid:durableId="1248424089">
    <w:abstractNumId w:val="29"/>
  </w:num>
  <w:num w:numId="21" w16cid:durableId="158470417">
    <w:abstractNumId w:val="9"/>
  </w:num>
  <w:num w:numId="22" w16cid:durableId="790637552">
    <w:abstractNumId w:val="1"/>
  </w:num>
  <w:num w:numId="23" w16cid:durableId="867528376">
    <w:abstractNumId w:val="2"/>
  </w:num>
  <w:num w:numId="24" w16cid:durableId="1276327598">
    <w:abstractNumId w:val="3"/>
  </w:num>
  <w:num w:numId="25" w16cid:durableId="13343339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9624673">
    <w:abstractNumId w:val="0"/>
  </w:num>
  <w:num w:numId="27" w16cid:durableId="780414918">
    <w:abstractNumId w:val="16"/>
  </w:num>
  <w:num w:numId="28" w16cid:durableId="306130230">
    <w:abstractNumId w:val="31"/>
  </w:num>
  <w:num w:numId="29" w16cid:durableId="1423650206">
    <w:abstractNumId w:val="17"/>
  </w:num>
  <w:num w:numId="30" w16cid:durableId="835417010">
    <w:abstractNumId w:val="22"/>
  </w:num>
  <w:num w:numId="31" w16cid:durableId="326246296">
    <w:abstractNumId w:val="14"/>
  </w:num>
  <w:num w:numId="32" w16cid:durableId="1058045191">
    <w:abstractNumId w:val="19"/>
  </w:num>
  <w:num w:numId="33" w16cid:durableId="170066413">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211F"/>
    <w:rsid w:val="0000284C"/>
    <w:rsid w:val="00002D9F"/>
    <w:rsid w:val="00002ED4"/>
    <w:rsid w:val="0000324A"/>
    <w:rsid w:val="000041C9"/>
    <w:rsid w:val="00005141"/>
    <w:rsid w:val="00005B78"/>
    <w:rsid w:val="000075EB"/>
    <w:rsid w:val="00007898"/>
    <w:rsid w:val="00010B8C"/>
    <w:rsid w:val="00011409"/>
    <w:rsid w:val="00011718"/>
    <w:rsid w:val="000124D0"/>
    <w:rsid w:val="00015AE3"/>
    <w:rsid w:val="00016972"/>
    <w:rsid w:val="00016D06"/>
    <w:rsid w:val="000176E5"/>
    <w:rsid w:val="000178ED"/>
    <w:rsid w:val="00017CC3"/>
    <w:rsid w:val="000203E0"/>
    <w:rsid w:val="000217C7"/>
    <w:rsid w:val="00022091"/>
    <w:rsid w:val="000222DB"/>
    <w:rsid w:val="000224F2"/>
    <w:rsid w:val="00023254"/>
    <w:rsid w:val="00023E8D"/>
    <w:rsid w:val="00023E9B"/>
    <w:rsid w:val="00024841"/>
    <w:rsid w:val="0002524B"/>
    <w:rsid w:val="00025F62"/>
    <w:rsid w:val="0002619C"/>
    <w:rsid w:val="000265C6"/>
    <w:rsid w:val="000269AF"/>
    <w:rsid w:val="0003041A"/>
    <w:rsid w:val="0003066B"/>
    <w:rsid w:val="0003086E"/>
    <w:rsid w:val="00030A82"/>
    <w:rsid w:val="00030B6E"/>
    <w:rsid w:val="0003153A"/>
    <w:rsid w:val="00032647"/>
    <w:rsid w:val="00033139"/>
    <w:rsid w:val="0003394B"/>
    <w:rsid w:val="00033DDF"/>
    <w:rsid w:val="00033DEF"/>
    <w:rsid w:val="00034247"/>
    <w:rsid w:val="00034868"/>
    <w:rsid w:val="00034ACE"/>
    <w:rsid w:val="000366CA"/>
    <w:rsid w:val="00036A29"/>
    <w:rsid w:val="00037AF3"/>
    <w:rsid w:val="000404E0"/>
    <w:rsid w:val="000407B8"/>
    <w:rsid w:val="00041AE3"/>
    <w:rsid w:val="00041E24"/>
    <w:rsid w:val="00044ECB"/>
    <w:rsid w:val="00046393"/>
    <w:rsid w:val="00046CB7"/>
    <w:rsid w:val="00046E3A"/>
    <w:rsid w:val="00047F3D"/>
    <w:rsid w:val="000500C6"/>
    <w:rsid w:val="00050FD3"/>
    <w:rsid w:val="00051050"/>
    <w:rsid w:val="000521A3"/>
    <w:rsid w:val="0005240B"/>
    <w:rsid w:val="0005295B"/>
    <w:rsid w:val="00052D8E"/>
    <w:rsid w:val="000552BB"/>
    <w:rsid w:val="00055CBB"/>
    <w:rsid w:val="00055F10"/>
    <w:rsid w:val="0005634E"/>
    <w:rsid w:val="000573A5"/>
    <w:rsid w:val="0005755A"/>
    <w:rsid w:val="0005795F"/>
    <w:rsid w:val="00057EB1"/>
    <w:rsid w:val="00057F48"/>
    <w:rsid w:val="00060548"/>
    <w:rsid w:val="00061B70"/>
    <w:rsid w:val="000620DA"/>
    <w:rsid w:val="00063311"/>
    <w:rsid w:val="0006338C"/>
    <w:rsid w:val="00064B20"/>
    <w:rsid w:val="000661A5"/>
    <w:rsid w:val="0007061A"/>
    <w:rsid w:val="00070A32"/>
    <w:rsid w:val="000713F2"/>
    <w:rsid w:val="00071B73"/>
    <w:rsid w:val="00071F15"/>
    <w:rsid w:val="00072E17"/>
    <w:rsid w:val="0007339B"/>
    <w:rsid w:val="00074036"/>
    <w:rsid w:val="000751DF"/>
    <w:rsid w:val="00075A0E"/>
    <w:rsid w:val="00075EFD"/>
    <w:rsid w:val="00076E27"/>
    <w:rsid w:val="00076E62"/>
    <w:rsid w:val="00077BE5"/>
    <w:rsid w:val="00077D16"/>
    <w:rsid w:val="00080433"/>
    <w:rsid w:val="00080B20"/>
    <w:rsid w:val="0008105F"/>
    <w:rsid w:val="00082147"/>
    <w:rsid w:val="00082628"/>
    <w:rsid w:val="000829C4"/>
    <w:rsid w:val="0008445A"/>
    <w:rsid w:val="00084972"/>
    <w:rsid w:val="00084D5E"/>
    <w:rsid w:val="000858DA"/>
    <w:rsid w:val="00085979"/>
    <w:rsid w:val="000859C6"/>
    <w:rsid w:val="00085C19"/>
    <w:rsid w:val="00086825"/>
    <w:rsid w:val="00086C83"/>
    <w:rsid w:val="00087E1C"/>
    <w:rsid w:val="0009086A"/>
    <w:rsid w:val="00093708"/>
    <w:rsid w:val="00094062"/>
    <w:rsid w:val="000940ED"/>
    <w:rsid w:val="000946BB"/>
    <w:rsid w:val="00094B8A"/>
    <w:rsid w:val="00094D5A"/>
    <w:rsid w:val="00095523"/>
    <w:rsid w:val="000A0A3F"/>
    <w:rsid w:val="000A0E50"/>
    <w:rsid w:val="000A223C"/>
    <w:rsid w:val="000A2BCE"/>
    <w:rsid w:val="000A3BBF"/>
    <w:rsid w:val="000A3E55"/>
    <w:rsid w:val="000A5B03"/>
    <w:rsid w:val="000A63CC"/>
    <w:rsid w:val="000A6510"/>
    <w:rsid w:val="000A6A8F"/>
    <w:rsid w:val="000A730B"/>
    <w:rsid w:val="000A73B2"/>
    <w:rsid w:val="000B0281"/>
    <w:rsid w:val="000B0A04"/>
    <w:rsid w:val="000B2ED8"/>
    <w:rsid w:val="000B3FB9"/>
    <w:rsid w:val="000B44D7"/>
    <w:rsid w:val="000B48F9"/>
    <w:rsid w:val="000B4A54"/>
    <w:rsid w:val="000B4B55"/>
    <w:rsid w:val="000B4EFA"/>
    <w:rsid w:val="000B7F40"/>
    <w:rsid w:val="000C1033"/>
    <w:rsid w:val="000C1F53"/>
    <w:rsid w:val="000C25C5"/>
    <w:rsid w:val="000C26FE"/>
    <w:rsid w:val="000C3416"/>
    <w:rsid w:val="000C3C7D"/>
    <w:rsid w:val="000C4129"/>
    <w:rsid w:val="000C4361"/>
    <w:rsid w:val="000C504A"/>
    <w:rsid w:val="000C5E90"/>
    <w:rsid w:val="000C70D4"/>
    <w:rsid w:val="000C7448"/>
    <w:rsid w:val="000C7BA2"/>
    <w:rsid w:val="000D00EE"/>
    <w:rsid w:val="000D0CB1"/>
    <w:rsid w:val="000D1953"/>
    <w:rsid w:val="000D19DE"/>
    <w:rsid w:val="000D1C4B"/>
    <w:rsid w:val="000D2792"/>
    <w:rsid w:val="000D413C"/>
    <w:rsid w:val="000D42DC"/>
    <w:rsid w:val="000D42F5"/>
    <w:rsid w:val="000D5A0D"/>
    <w:rsid w:val="000D5E04"/>
    <w:rsid w:val="000D7C35"/>
    <w:rsid w:val="000D7E07"/>
    <w:rsid w:val="000E0F57"/>
    <w:rsid w:val="000E2170"/>
    <w:rsid w:val="000E2241"/>
    <w:rsid w:val="000E2A61"/>
    <w:rsid w:val="000E43DB"/>
    <w:rsid w:val="000E5FCC"/>
    <w:rsid w:val="000E66AB"/>
    <w:rsid w:val="000E6947"/>
    <w:rsid w:val="000E7CD3"/>
    <w:rsid w:val="000F0245"/>
    <w:rsid w:val="000F0DC6"/>
    <w:rsid w:val="000F1FD9"/>
    <w:rsid w:val="000F206B"/>
    <w:rsid w:val="000F395C"/>
    <w:rsid w:val="000F3DF9"/>
    <w:rsid w:val="000F3EF0"/>
    <w:rsid w:val="000F3FC4"/>
    <w:rsid w:val="000F4995"/>
    <w:rsid w:val="000F55CB"/>
    <w:rsid w:val="000F6634"/>
    <w:rsid w:val="000F6652"/>
    <w:rsid w:val="000F677D"/>
    <w:rsid w:val="000F687E"/>
    <w:rsid w:val="000F70B1"/>
    <w:rsid w:val="000F731F"/>
    <w:rsid w:val="00100286"/>
    <w:rsid w:val="00100315"/>
    <w:rsid w:val="00100510"/>
    <w:rsid w:val="00100AA8"/>
    <w:rsid w:val="00101028"/>
    <w:rsid w:val="00101696"/>
    <w:rsid w:val="00101719"/>
    <w:rsid w:val="0010203F"/>
    <w:rsid w:val="00102DC3"/>
    <w:rsid w:val="00103430"/>
    <w:rsid w:val="00103C4C"/>
    <w:rsid w:val="0010456C"/>
    <w:rsid w:val="00105557"/>
    <w:rsid w:val="001055A5"/>
    <w:rsid w:val="00107248"/>
    <w:rsid w:val="00107856"/>
    <w:rsid w:val="001106A2"/>
    <w:rsid w:val="001114CD"/>
    <w:rsid w:val="00111889"/>
    <w:rsid w:val="00111DD0"/>
    <w:rsid w:val="00113158"/>
    <w:rsid w:val="00113528"/>
    <w:rsid w:val="0011446D"/>
    <w:rsid w:val="0011457C"/>
    <w:rsid w:val="00114E1A"/>
    <w:rsid w:val="00115A60"/>
    <w:rsid w:val="0011610E"/>
    <w:rsid w:val="001171C3"/>
    <w:rsid w:val="00117215"/>
    <w:rsid w:val="001179AE"/>
    <w:rsid w:val="00121A9B"/>
    <w:rsid w:val="00122807"/>
    <w:rsid w:val="001236B0"/>
    <w:rsid w:val="0012377F"/>
    <w:rsid w:val="00124214"/>
    <w:rsid w:val="0012457A"/>
    <w:rsid w:val="00124720"/>
    <w:rsid w:val="00124F32"/>
    <w:rsid w:val="0012519B"/>
    <w:rsid w:val="001254B5"/>
    <w:rsid w:val="0012585B"/>
    <w:rsid w:val="00126389"/>
    <w:rsid w:val="001264B0"/>
    <w:rsid w:val="0012665D"/>
    <w:rsid w:val="00126C39"/>
    <w:rsid w:val="001275B0"/>
    <w:rsid w:val="00127CE1"/>
    <w:rsid w:val="00130CC0"/>
    <w:rsid w:val="00132591"/>
    <w:rsid w:val="00132F1B"/>
    <w:rsid w:val="00134D59"/>
    <w:rsid w:val="001356C2"/>
    <w:rsid w:val="00135DAC"/>
    <w:rsid w:val="00135F95"/>
    <w:rsid w:val="0013683F"/>
    <w:rsid w:val="0014003E"/>
    <w:rsid w:val="001401D1"/>
    <w:rsid w:val="001404BB"/>
    <w:rsid w:val="00140C17"/>
    <w:rsid w:val="00140E3D"/>
    <w:rsid w:val="0014496C"/>
    <w:rsid w:val="001465F8"/>
    <w:rsid w:val="00147720"/>
    <w:rsid w:val="0014773C"/>
    <w:rsid w:val="00147B04"/>
    <w:rsid w:val="00150387"/>
    <w:rsid w:val="001503EA"/>
    <w:rsid w:val="001509F1"/>
    <w:rsid w:val="00151496"/>
    <w:rsid w:val="0015296E"/>
    <w:rsid w:val="00152BA1"/>
    <w:rsid w:val="00152FF8"/>
    <w:rsid w:val="001531D3"/>
    <w:rsid w:val="0015364B"/>
    <w:rsid w:val="00153A4D"/>
    <w:rsid w:val="001548F0"/>
    <w:rsid w:val="00154A56"/>
    <w:rsid w:val="00154B04"/>
    <w:rsid w:val="0015510E"/>
    <w:rsid w:val="001554AE"/>
    <w:rsid w:val="001559C4"/>
    <w:rsid w:val="00155FC0"/>
    <w:rsid w:val="00157349"/>
    <w:rsid w:val="001574F0"/>
    <w:rsid w:val="001575B0"/>
    <w:rsid w:val="00157C4A"/>
    <w:rsid w:val="00160D9D"/>
    <w:rsid w:val="001618F6"/>
    <w:rsid w:val="00161DCB"/>
    <w:rsid w:val="00162846"/>
    <w:rsid w:val="00164ED7"/>
    <w:rsid w:val="0016567E"/>
    <w:rsid w:val="001658EB"/>
    <w:rsid w:val="00165A97"/>
    <w:rsid w:val="00166A88"/>
    <w:rsid w:val="00166BA4"/>
    <w:rsid w:val="001671B7"/>
    <w:rsid w:val="00167425"/>
    <w:rsid w:val="00167F49"/>
    <w:rsid w:val="00170557"/>
    <w:rsid w:val="00170C97"/>
    <w:rsid w:val="00171C70"/>
    <w:rsid w:val="001722A9"/>
    <w:rsid w:val="00172471"/>
    <w:rsid w:val="001726EA"/>
    <w:rsid w:val="0017283A"/>
    <w:rsid w:val="00172E1C"/>
    <w:rsid w:val="00172F18"/>
    <w:rsid w:val="00174BD0"/>
    <w:rsid w:val="00175319"/>
    <w:rsid w:val="0017592F"/>
    <w:rsid w:val="001762DD"/>
    <w:rsid w:val="00176F00"/>
    <w:rsid w:val="00180426"/>
    <w:rsid w:val="001804D6"/>
    <w:rsid w:val="00181DF2"/>
    <w:rsid w:val="00181ED8"/>
    <w:rsid w:val="00182B12"/>
    <w:rsid w:val="00182C6A"/>
    <w:rsid w:val="001833F5"/>
    <w:rsid w:val="00183B62"/>
    <w:rsid w:val="00183CD0"/>
    <w:rsid w:val="001857F1"/>
    <w:rsid w:val="0018631D"/>
    <w:rsid w:val="0018673C"/>
    <w:rsid w:val="00187B29"/>
    <w:rsid w:val="00187CE2"/>
    <w:rsid w:val="001904BF"/>
    <w:rsid w:val="00190534"/>
    <w:rsid w:val="001906D4"/>
    <w:rsid w:val="00190D0E"/>
    <w:rsid w:val="00191287"/>
    <w:rsid w:val="001912A5"/>
    <w:rsid w:val="0019308F"/>
    <w:rsid w:val="00194135"/>
    <w:rsid w:val="0019496B"/>
    <w:rsid w:val="00194D9D"/>
    <w:rsid w:val="00195159"/>
    <w:rsid w:val="001957D9"/>
    <w:rsid w:val="00197A2F"/>
    <w:rsid w:val="00197A4B"/>
    <w:rsid w:val="00197F8C"/>
    <w:rsid w:val="001A0A48"/>
    <w:rsid w:val="001A1490"/>
    <w:rsid w:val="001A18F9"/>
    <w:rsid w:val="001A3097"/>
    <w:rsid w:val="001A3177"/>
    <w:rsid w:val="001A419E"/>
    <w:rsid w:val="001A528F"/>
    <w:rsid w:val="001A56E4"/>
    <w:rsid w:val="001A5981"/>
    <w:rsid w:val="001A6872"/>
    <w:rsid w:val="001A6CFD"/>
    <w:rsid w:val="001A6F43"/>
    <w:rsid w:val="001A716F"/>
    <w:rsid w:val="001A7371"/>
    <w:rsid w:val="001B0721"/>
    <w:rsid w:val="001B0D81"/>
    <w:rsid w:val="001B1AAD"/>
    <w:rsid w:val="001B438D"/>
    <w:rsid w:val="001B4878"/>
    <w:rsid w:val="001B4D66"/>
    <w:rsid w:val="001B4EDE"/>
    <w:rsid w:val="001B55D4"/>
    <w:rsid w:val="001B6ED6"/>
    <w:rsid w:val="001B7006"/>
    <w:rsid w:val="001B70EB"/>
    <w:rsid w:val="001B7A6C"/>
    <w:rsid w:val="001C015A"/>
    <w:rsid w:val="001C05A1"/>
    <w:rsid w:val="001C0F3D"/>
    <w:rsid w:val="001C1EF0"/>
    <w:rsid w:val="001C2060"/>
    <w:rsid w:val="001C24CE"/>
    <w:rsid w:val="001C25D4"/>
    <w:rsid w:val="001C27A6"/>
    <w:rsid w:val="001C29D7"/>
    <w:rsid w:val="001C37AB"/>
    <w:rsid w:val="001C44BD"/>
    <w:rsid w:val="001C6A03"/>
    <w:rsid w:val="001C780B"/>
    <w:rsid w:val="001C7DC8"/>
    <w:rsid w:val="001D0225"/>
    <w:rsid w:val="001D0CAD"/>
    <w:rsid w:val="001D149B"/>
    <w:rsid w:val="001D1E1C"/>
    <w:rsid w:val="001D2197"/>
    <w:rsid w:val="001D2C80"/>
    <w:rsid w:val="001D32A9"/>
    <w:rsid w:val="001D3B7E"/>
    <w:rsid w:val="001D4331"/>
    <w:rsid w:val="001D494A"/>
    <w:rsid w:val="001D50B1"/>
    <w:rsid w:val="001D5B77"/>
    <w:rsid w:val="001D787F"/>
    <w:rsid w:val="001D794E"/>
    <w:rsid w:val="001E1C63"/>
    <w:rsid w:val="001E23DA"/>
    <w:rsid w:val="001E32EA"/>
    <w:rsid w:val="001E3DE9"/>
    <w:rsid w:val="001E3F64"/>
    <w:rsid w:val="001E4044"/>
    <w:rsid w:val="001E4457"/>
    <w:rsid w:val="001E5040"/>
    <w:rsid w:val="001E5803"/>
    <w:rsid w:val="001E5C87"/>
    <w:rsid w:val="001E6C8E"/>
    <w:rsid w:val="001F033D"/>
    <w:rsid w:val="001F0AC5"/>
    <w:rsid w:val="001F1781"/>
    <w:rsid w:val="001F2032"/>
    <w:rsid w:val="001F2995"/>
    <w:rsid w:val="001F303E"/>
    <w:rsid w:val="001F3939"/>
    <w:rsid w:val="001F3F15"/>
    <w:rsid w:val="001F5B23"/>
    <w:rsid w:val="001F6F01"/>
    <w:rsid w:val="001F6F23"/>
    <w:rsid w:val="001F6F31"/>
    <w:rsid w:val="00200198"/>
    <w:rsid w:val="00200966"/>
    <w:rsid w:val="00201634"/>
    <w:rsid w:val="0020228D"/>
    <w:rsid w:val="002022B2"/>
    <w:rsid w:val="00203609"/>
    <w:rsid w:val="002038A3"/>
    <w:rsid w:val="00203FAE"/>
    <w:rsid w:val="002040E8"/>
    <w:rsid w:val="0020446C"/>
    <w:rsid w:val="0020490B"/>
    <w:rsid w:val="002056BC"/>
    <w:rsid w:val="00205D8D"/>
    <w:rsid w:val="002060AB"/>
    <w:rsid w:val="002067F7"/>
    <w:rsid w:val="00206F35"/>
    <w:rsid w:val="00207281"/>
    <w:rsid w:val="00207925"/>
    <w:rsid w:val="002106EC"/>
    <w:rsid w:val="002113A7"/>
    <w:rsid w:val="00211901"/>
    <w:rsid w:val="00211AF0"/>
    <w:rsid w:val="00211F93"/>
    <w:rsid w:val="002125A9"/>
    <w:rsid w:val="002129BC"/>
    <w:rsid w:val="00214060"/>
    <w:rsid w:val="00214FA5"/>
    <w:rsid w:val="00215122"/>
    <w:rsid w:val="00216054"/>
    <w:rsid w:val="0021639C"/>
    <w:rsid w:val="002169E9"/>
    <w:rsid w:val="00220364"/>
    <w:rsid w:val="00220AB6"/>
    <w:rsid w:val="00222872"/>
    <w:rsid w:val="0022368D"/>
    <w:rsid w:val="00223829"/>
    <w:rsid w:val="002249E8"/>
    <w:rsid w:val="00224E5D"/>
    <w:rsid w:val="00225195"/>
    <w:rsid w:val="002262E5"/>
    <w:rsid w:val="002267B1"/>
    <w:rsid w:val="0023049A"/>
    <w:rsid w:val="00231141"/>
    <w:rsid w:val="0023155C"/>
    <w:rsid w:val="0023282C"/>
    <w:rsid w:val="00232F92"/>
    <w:rsid w:val="00234C4B"/>
    <w:rsid w:val="0023551F"/>
    <w:rsid w:val="002369B9"/>
    <w:rsid w:val="00236D78"/>
    <w:rsid w:val="002374DE"/>
    <w:rsid w:val="00237766"/>
    <w:rsid w:val="00240001"/>
    <w:rsid w:val="00240E3F"/>
    <w:rsid w:val="002411F7"/>
    <w:rsid w:val="0024272D"/>
    <w:rsid w:val="00243EA4"/>
    <w:rsid w:val="002444D2"/>
    <w:rsid w:val="002470F4"/>
    <w:rsid w:val="00247560"/>
    <w:rsid w:val="00247D74"/>
    <w:rsid w:val="00247EA5"/>
    <w:rsid w:val="002503D4"/>
    <w:rsid w:val="00250CFB"/>
    <w:rsid w:val="00251AD6"/>
    <w:rsid w:val="0025240C"/>
    <w:rsid w:val="00252586"/>
    <w:rsid w:val="002529D4"/>
    <w:rsid w:val="00252B3C"/>
    <w:rsid w:val="00253046"/>
    <w:rsid w:val="002531FD"/>
    <w:rsid w:val="00253F35"/>
    <w:rsid w:val="00254774"/>
    <w:rsid w:val="00255013"/>
    <w:rsid w:val="002555F2"/>
    <w:rsid w:val="002558EF"/>
    <w:rsid w:val="00255FCD"/>
    <w:rsid w:val="00256661"/>
    <w:rsid w:val="00256D95"/>
    <w:rsid w:val="00257DAC"/>
    <w:rsid w:val="00261E68"/>
    <w:rsid w:val="002660D0"/>
    <w:rsid w:val="00266677"/>
    <w:rsid w:val="00266BD0"/>
    <w:rsid w:val="00266EC3"/>
    <w:rsid w:val="002671AC"/>
    <w:rsid w:val="00267BB2"/>
    <w:rsid w:val="002706A5"/>
    <w:rsid w:val="002724F7"/>
    <w:rsid w:val="00272655"/>
    <w:rsid w:val="00272F26"/>
    <w:rsid w:val="002734BE"/>
    <w:rsid w:val="00273C58"/>
    <w:rsid w:val="00274D44"/>
    <w:rsid w:val="00275F37"/>
    <w:rsid w:val="002764A7"/>
    <w:rsid w:val="002766BB"/>
    <w:rsid w:val="00280483"/>
    <w:rsid w:val="00282780"/>
    <w:rsid w:val="002830BE"/>
    <w:rsid w:val="002830CF"/>
    <w:rsid w:val="00283B40"/>
    <w:rsid w:val="00285068"/>
    <w:rsid w:val="002852B0"/>
    <w:rsid w:val="002852D9"/>
    <w:rsid w:val="002863CD"/>
    <w:rsid w:val="002868B7"/>
    <w:rsid w:val="00292EC2"/>
    <w:rsid w:val="00293696"/>
    <w:rsid w:val="00294D71"/>
    <w:rsid w:val="00295639"/>
    <w:rsid w:val="0029589E"/>
    <w:rsid w:val="0029648F"/>
    <w:rsid w:val="002970DD"/>
    <w:rsid w:val="002A0057"/>
    <w:rsid w:val="002A0439"/>
    <w:rsid w:val="002A089B"/>
    <w:rsid w:val="002A0D88"/>
    <w:rsid w:val="002A0DA8"/>
    <w:rsid w:val="002A0E51"/>
    <w:rsid w:val="002A1AC7"/>
    <w:rsid w:val="002A1DA9"/>
    <w:rsid w:val="002A1F40"/>
    <w:rsid w:val="002A24EC"/>
    <w:rsid w:val="002A3799"/>
    <w:rsid w:val="002A3D44"/>
    <w:rsid w:val="002A4EA0"/>
    <w:rsid w:val="002A576D"/>
    <w:rsid w:val="002A5D82"/>
    <w:rsid w:val="002A6439"/>
    <w:rsid w:val="002A6EC5"/>
    <w:rsid w:val="002A6F1A"/>
    <w:rsid w:val="002A7294"/>
    <w:rsid w:val="002A734A"/>
    <w:rsid w:val="002A76EE"/>
    <w:rsid w:val="002A7D40"/>
    <w:rsid w:val="002B02D7"/>
    <w:rsid w:val="002B1557"/>
    <w:rsid w:val="002B3700"/>
    <w:rsid w:val="002B401C"/>
    <w:rsid w:val="002B4064"/>
    <w:rsid w:val="002B4969"/>
    <w:rsid w:val="002B4FE2"/>
    <w:rsid w:val="002B604F"/>
    <w:rsid w:val="002B62D8"/>
    <w:rsid w:val="002B65B4"/>
    <w:rsid w:val="002B6E3E"/>
    <w:rsid w:val="002B7D65"/>
    <w:rsid w:val="002C020E"/>
    <w:rsid w:val="002C0657"/>
    <w:rsid w:val="002C0BF2"/>
    <w:rsid w:val="002C0D1C"/>
    <w:rsid w:val="002C1A30"/>
    <w:rsid w:val="002C1C2C"/>
    <w:rsid w:val="002C1CD2"/>
    <w:rsid w:val="002C3971"/>
    <w:rsid w:val="002C4256"/>
    <w:rsid w:val="002C4685"/>
    <w:rsid w:val="002C4805"/>
    <w:rsid w:val="002C5141"/>
    <w:rsid w:val="002C65DC"/>
    <w:rsid w:val="002C66A8"/>
    <w:rsid w:val="002C6E9E"/>
    <w:rsid w:val="002C717E"/>
    <w:rsid w:val="002D00CE"/>
    <w:rsid w:val="002D1B63"/>
    <w:rsid w:val="002D2071"/>
    <w:rsid w:val="002D2446"/>
    <w:rsid w:val="002D3CB2"/>
    <w:rsid w:val="002D41D5"/>
    <w:rsid w:val="002D4449"/>
    <w:rsid w:val="002D49DE"/>
    <w:rsid w:val="002D5136"/>
    <w:rsid w:val="002D5BE5"/>
    <w:rsid w:val="002D5F73"/>
    <w:rsid w:val="002D60B7"/>
    <w:rsid w:val="002D616C"/>
    <w:rsid w:val="002D70F2"/>
    <w:rsid w:val="002D79EE"/>
    <w:rsid w:val="002D7EF0"/>
    <w:rsid w:val="002E07A7"/>
    <w:rsid w:val="002E0C9D"/>
    <w:rsid w:val="002E0D44"/>
    <w:rsid w:val="002E0EF2"/>
    <w:rsid w:val="002E136A"/>
    <w:rsid w:val="002E1387"/>
    <w:rsid w:val="002E1CE4"/>
    <w:rsid w:val="002E1DEA"/>
    <w:rsid w:val="002E1F08"/>
    <w:rsid w:val="002E2424"/>
    <w:rsid w:val="002E2B3D"/>
    <w:rsid w:val="002E35FA"/>
    <w:rsid w:val="002E3EAC"/>
    <w:rsid w:val="002E4E63"/>
    <w:rsid w:val="002E563B"/>
    <w:rsid w:val="002E5E24"/>
    <w:rsid w:val="002E5F23"/>
    <w:rsid w:val="002E5FB1"/>
    <w:rsid w:val="002E694A"/>
    <w:rsid w:val="002E6D3A"/>
    <w:rsid w:val="002F0330"/>
    <w:rsid w:val="002F0724"/>
    <w:rsid w:val="002F0EBD"/>
    <w:rsid w:val="002F1A2E"/>
    <w:rsid w:val="002F3B3F"/>
    <w:rsid w:val="002F4A2E"/>
    <w:rsid w:val="002F4FFE"/>
    <w:rsid w:val="002F723E"/>
    <w:rsid w:val="002F7568"/>
    <w:rsid w:val="00302228"/>
    <w:rsid w:val="00302ADB"/>
    <w:rsid w:val="00302FF0"/>
    <w:rsid w:val="003035D7"/>
    <w:rsid w:val="0030448F"/>
    <w:rsid w:val="0030494F"/>
    <w:rsid w:val="00304AA8"/>
    <w:rsid w:val="00304B10"/>
    <w:rsid w:val="0030517E"/>
    <w:rsid w:val="003064A4"/>
    <w:rsid w:val="00306CA3"/>
    <w:rsid w:val="00306F28"/>
    <w:rsid w:val="0030706F"/>
    <w:rsid w:val="003133BF"/>
    <w:rsid w:val="00313603"/>
    <w:rsid w:val="003140DD"/>
    <w:rsid w:val="0031501F"/>
    <w:rsid w:val="003153A4"/>
    <w:rsid w:val="00315466"/>
    <w:rsid w:val="00315991"/>
    <w:rsid w:val="003159A7"/>
    <w:rsid w:val="003159F2"/>
    <w:rsid w:val="003160CA"/>
    <w:rsid w:val="0031628F"/>
    <w:rsid w:val="003164B5"/>
    <w:rsid w:val="00317AF2"/>
    <w:rsid w:val="00320DC5"/>
    <w:rsid w:val="003233E0"/>
    <w:rsid w:val="00323D9C"/>
    <w:rsid w:val="00323E47"/>
    <w:rsid w:val="003240CE"/>
    <w:rsid w:val="003245D0"/>
    <w:rsid w:val="00324636"/>
    <w:rsid w:val="00324839"/>
    <w:rsid w:val="0032552E"/>
    <w:rsid w:val="00325AC1"/>
    <w:rsid w:val="00325F7A"/>
    <w:rsid w:val="0032605F"/>
    <w:rsid w:val="00326E8D"/>
    <w:rsid w:val="0032706C"/>
    <w:rsid w:val="003271EB"/>
    <w:rsid w:val="0033029D"/>
    <w:rsid w:val="00330A5D"/>
    <w:rsid w:val="00330FCD"/>
    <w:rsid w:val="00332235"/>
    <w:rsid w:val="003324C3"/>
    <w:rsid w:val="003327BB"/>
    <w:rsid w:val="00332A69"/>
    <w:rsid w:val="00333092"/>
    <w:rsid w:val="00333A42"/>
    <w:rsid w:val="003349C1"/>
    <w:rsid w:val="00334A4B"/>
    <w:rsid w:val="00335021"/>
    <w:rsid w:val="003355AB"/>
    <w:rsid w:val="0033663A"/>
    <w:rsid w:val="003366D1"/>
    <w:rsid w:val="0033692E"/>
    <w:rsid w:val="00336A4A"/>
    <w:rsid w:val="00337904"/>
    <w:rsid w:val="00341DFC"/>
    <w:rsid w:val="003428F1"/>
    <w:rsid w:val="00342B52"/>
    <w:rsid w:val="00343A14"/>
    <w:rsid w:val="00345B3E"/>
    <w:rsid w:val="00346159"/>
    <w:rsid w:val="00347143"/>
    <w:rsid w:val="003475A0"/>
    <w:rsid w:val="0034770E"/>
    <w:rsid w:val="00347FC8"/>
    <w:rsid w:val="00350BC5"/>
    <w:rsid w:val="00350F68"/>
    <w:rsid w:val="003512D6"/>
    <w:rsid w:val="00353C31"/>
    <w:rsid w:val="00354112"/>
    <w:rsid w:val="00354161"/>
    <w:rsid w:val="003546AF"/>
    <w:rsid w:val="00354D9B"/>
    <w:rsid w:val="00355865"/>
    <w:rsid w:val="00355B52"/>
    <w:rsid w:val="00355FF9"/>
    <w:rsid w:val="00356616"/>
    <w:rsid w:val="00356DCB"/>
    <w:rsid w:val="00356FDD"/>
    <w:rsid w:val="003573BF"/>
    <w:rsid w:val="003578D0"/>
    <w:rsid w:val="00360143"/>
    <w:rsid w:val="0036276A"/>
    <w:rsid w:val="00362CAD"/>
    <w:rsid w:val="003636EF"/>
    <w:rsid w:val="00364B07"/>
    <w:rsid w:val="00364FA0"/>
    <w:rsid w:val="003652D5"/>
    <w:rsid w:val="0036536C"/>
    <w:rsid w:val="00365955"/>
    <w:rsid w:val="00365C83"/>
    <w:rsid w:val="00365D54"/>
    <w:rsid w:val="00366278"/>
    <w:rsid w:val="00367FA9"/>
    <w:rsid w:val="00371AEF"/>
    <w:rsid w:val="00373AAC"/>
    <w:rsid w:val="003743EC"/>
    <w:rsid w:val="00374EE5"/>
    <w:rsid w:val="00374F17"/>
    <w:rsid w:val="00374FD0"/>
    <w:rsid w:val="00375D7C"/>
    <w:rsid w:val="003765BF"/>
    <w:rsid w:val="003767D2"/>
    <w:rsid w:val="00377FE7"/>
    <w:rsid w:val="00380650"/>
    <w:rsid w:val="00382E4B"/>
    <w:rsid w:val="00384141"/>
    <w:rsid w:val="00384E4B"/>
    <w:rsid w:val="00385264"/>
    <w:rsid w:val="00385A63"/>
    <w:rsid w:val="003879AD"/>
    <w:rsid w:val="003901E6"/>
    <w:rsid w:val="00390363"/>
    <w:rsid w:val="00390A22"/>
    <w:rsid w:val="00390C47"/>
    <w:rsid w:val="0039115B"/>
    <w:rsid w:val="0039129D"/>
    <w:rsid w:val="003914FD"/>
    <w:rsid w:val="00392482"/>
    <w:rsid w:val="00392F98"/>
    <w:rsid w:val="00393C28"/>
    <w:rsid w:val="00393EC4"/>
    <w:rsid w:val="00394ECE"/>
    <w:rsid w:val="00395D87"/>
    <w:rsid w:val="003970B9"/>
    <w:rsid w:val="0039775A"/>
    <w:rsid w:val="00397E55"/>
    <w:rsid w:val="003A0B9D"/>
    <w:rsid w:val="003A0CD1"/>
    <w:rsid w:val="003A0D92"/>
    <w:rsid w:val="003A10F7"/>
    <w:rsid w:val="003A1976"/>
    <w:rsid w:val="003A28D1"/>
    <w:rsid w:val="003A3161"/>
    <w:rsid w:val="003A3273"/>
    <w:rsid w:val="003A3A2F"/>
    <w:rsid w:val="003A5097"/>
    <w:rsid w:val="003A5E7A"/>
    <w:rsid w:val="003A70F0"/>
    <w:rsid w:val="003A74D2"/>
    <w:rsid w:val="003B02DF"/>
    <w:rsid w:val="003B1A6E"/>
    <w:rsid w:val="003B2580"/>
    <w:rsid w:val="003B2629"/>
    <w:rsid w:val="003B2E19"/>
    <w:rsid w:val="003B2EE5"/>
    <w:rsid w:val="003B40CA"/>
    <w:rsid w:val="003B4413"/>
    <w:rsid w:val="003B5082"/>
    <w:rsid w:val="003B50ED"/>
    <w:rsid w:val="003B52BF"/>
    <w:rsid w:val="003B67CA"/>
    <w:rsid w:val="003B690D"/>
    <w:rsid w:val="003B7142"/>
    <w:rsid w:val="003B79E6"/>
    <w:rsid w:val="003B7DA2"/>
    <w:rsid w:val="003B7E63"/>
    <w:rsid w:val="003C0C39"/>
    <w:rsid w:val="003C123B"/>
    <w:rsid w:val="003C2516"/>
    <w:rsid w:val="003C2A1C"/>
    <w:rsid w:val="003C3044"/>
    <w:rsid w:val="003C53D1"/>
    <w:rsid w:val="003C5EC2"/>
    <w:rsid w:val="003C6186"/>
    <w:rsid w:val="003C75F0"/>
    <w:rsid w:val="003D0874"/>
    <w:rsid w:val="003D1302"/>
    <w:rsid w:val="003D1AEA"/>
    <w:rsid w:val="003D285E"/>
    <w:rsid w:val="003D2AD6"/>
    <w:rsid w:val="003D41A9"/>
    <w:rsid w:val="003D4DBC"/>
    <w:rsid w:val="003D6164"/>
    <w:rsid w:val="003D65D3"/>
    <w:rsid w:val="003D680B"/>
    <w:rsid w:val="003D70DB"/>
    <w:rsid w:val="003D7571"/>
    <w:rsid w:val="003E04AB"/>
    <w:rsid w:val="003E1733"/>
    <w:rsid w:val="003E215B"/>
    <w:rsid w:val="003E3497"/>
    <w:rsid w:val="003E3885"/>
    <w:rsid w:val="003E3AC2"/>
    <w:rsid w:val="003E6525"/>
    <w:rsid w:val="003E6A18"/>
    <w:rsid w:val="003E6A5F"/>
    <w:rsid w:val="003E770C"/>
    <w:rsid w:val="003E7C89"/>
    <w:rsid w:val="003E7CB3"/>
    <w:rsid w:val="003E7CB4"/>
    <w:rsid w:val="003E7FCD"/>
    <w:rsid w:val="003F0446"/>
    <w:rsid w:val="003F087D"/>
    <w:rsid w:val="003F20B2"/>
    <w:rsid w:val="003F20F3"/>
    <w:rsid w:val="003F2921"/>
    <w:rsid w:val="003F3CF4"/>
    <w:rsid w:val="003F4C67"/>
    <w:rsid w:val="003F4EA0"/>
    <w:rsid w:val="003F5057"/>
    <w:rsid w:val="003F51C4"/>
    <w:rsid w:val="003F5B76"/>
    <w:rsid w:val="003F60A6"/>
    <w:rsid w:val="003F72FF"/>
    <w:rsid w:val="003F7A7B"/>
    <w:rsid w:val="003F7EDA"/>
    <w:rsid w:val="0040053A"/>
    <w:rsid w:val="004006FD"/>
    <w:rsid w:val="00401D43"/>
    <w:rsid w:val="00401E24"/>
    <w:rsid w:val="004037B2"/>
    <w:rsid w:val="00404912"/>
    <w:rsid w:val="00404A50"/>
    <w:rsid w:val="004052E1"/>
    <w:rsid w:val="00405DEF"/>
    <w:rsid w:val="004065F9"/>
    <w:rsid w:val="00406A1A"/>
    <w:rsid w:val="0040739E"/>
    <w:rsid w:val="00410206"/>
    <w:rsid w:val="00411153"/>
    <w:rsid w:val="004113A5"/>
    <w:rsid w:val="004116FD"/>
    <w:rsid w:val="00411E29"/>
    <w:rsid w:val="00413293"/>
    <w:rsid w:val="004133D0"/>
    <w:rsid w:val="00413B2B"/>
    <w:rsid w:val="00413FAB"/>
    <w:rsid w:val="00414BBC"/>
    <w:rsid w:val="004154AC"/>
    <w:rsid w:val="00416AC0"/>
    <w:rsid w:val="00417657"/>
    <w:rsid w:val="00417A7D"/>
    <w:rsid w:val="004210AA"/>
    <w:rsid w:val="0042177D"/>
    <w:rsid w:val="00421852"/>
    <w:rsid w:val="0042276A"/>
    <w:rsid w:val="004234C8"/>
    <w:rsid w:val="00424224"/>
    <w:rsid w:val="0042423A"/>
    <w:rsid w:val="004246A7"/>
    <w:rsid w:val="0042562E"/>
    <w:rsid w:val="00426401"/>
    <w:rsid w:val="004266DC"/>
    <w:rsid w:val="004278B3"/>
    <w:rsid w:val="004303D9"/>
    <w:rsid w:val="004305FC"/>
    <w:rsid w:val="00431438"/>
    <w:rsid w:val="004323E9"/>
    <w:rsid w:val="00432B24"/>
    <w:rsid w:val="004335D9"/>
    <w:rsid w:val="00436ACC"/>
    <w:rsid w:val="004376D8"/>
    <w:rsid w:val="00441FDC"/>
    <w:rsid w:val="004431A0"/>
    <w:rsid w:val="004434C4"/>
    <w:rsid w:val="00443D5F"/>
    <w:rsid w:val="00445EEE"/>
    <w:rsid w:val="00447647"/>
    <w:rsid w:val="004500E7"/>
    <w:rsid w:val="0045046A"/>
    <w:rsid w:val="0045164A"/>
    <w:rsid w:val="00451B7A"/>
    <w:rsid w:val="0045263B"/>
    <w:rsid w:val="004526E8"/>
    <w:rsid w:val="004532FA"/>
    <w:rsid w:val="0045362C"/>
    <w:rsid w:val="0045394F"/>
    <w:rsid w:val="00454287"/>
    <w:rsid w:val="00454D04"/>
    <w:rsid w:val="00454D29"/>
    <w:rsid w:val="00454E14"/>
    <w:rsid w:val="004553EA"/>
    <w:rsid w:val="00455573"/>
    <w:rsid w:val="004559F0"/>
    <w:rsid w:val="00456505"/>
    <w:rsid w:val="00456562"/>
    <w:rsid w:val="00456D0D"/>
    <w:rsid w:val="00457211"/>
    <w:rsid w:val="00457C20"/>
    <w:rsid w:val="00457D6B"/>
    <w:rsid w:val="00457E7C"/>
    <w:rsid w:val="00457F87"/>
    <w:rsid w:val="004601C5"/>
    <w:rsid w:val="00461D46"/>
    <w:rsid w:val="00463ADE"/>
    <w:rsid w:val="00463D6F"/>
    <w:rsid w:val="00464145"/>
    <w:rsid w:val="004641EB"/>
    <w:rsid w:val="00464908"/>
    <w:rsid w:val="00464FB7"/>
    <w:rsid w:val="00465328"/>
    <w:rsid w:val="00465344"/>
    <w:rsid w:val="00465388"/>
    <w:rsid w:val="004660BE"/>
    <w:rsid w:val="00467FC5"/>
    <w:rsid w:val="00470BF3"/>
    <w:rsid w:val="0047243A"/>
    <w:rsid w:val="0047346D"/>
    <w:rsid w:val="00473EB1"/>
    <w:rsid w:val="00474686"/>
    <w:rsid w:val="00474757"/>
    <w:rsid w:val="00475A9A"/>
    <w:rsid w:val="00476796"/>
    <w:rsid w:val="00476BC4"/>
    <w:rsid w:val="00476C04"/>
    <w:rsid w:val="00476D8A"/>
    <w:rsid w:val="00477BC0"/>
    <w:rsid w:val="004802AA"/>
    <w:rsid w:val="00480A4E"/>
    <w:rsid w:val="00481B09"/>
    <w:rsid w:val="00481C9F"/>
    <w:rsid w:val="00482C45"/>
    <w:rsid w:val="004830EB"/>
    <w:rsid w:val="00484581"/>
    <w:rsid w:val="00484676"/>
    <w:rsid w:val="00484795"/>
    <w:rsid w:val="004852A5"/>
    <w:rsid w:val="004860D1"/>
    <w:rsid w:val="00486827"/>
    <w:rsid w:val="00487D6B"/>
    <w:rsid w:val="00490C05"/>
    <w:rsid w:val="00490C1F"/>
    <w:rsid w:val="00490C3D"/>
    <w:rsid w:val="00491773"/>
    <w:rsid w:val="00491DDC"/>
    <w:rsid w:val="004920C8"/>
    <w:rsid w:val="00492684"/>
    <w:rsid w:val="00492C05"/>
    <w:rsid w:val="0049351E"/>
    <w:rsid w:val="00493E83"/>
    <w:rsid w:val="004948E3"/>
    <w:rsid w:val="004954BC"/>
    <w:rsid w:val="00495827"/>
    <w:rsid w:val="00495888"/>
    <w:rsid w:val="00495C77"/>
    <w:rsid w:val="00495E83"/>
    <w:rsid w:val="004A05AF"/>
    <w:rsid w:val="004A070A"/>
    <w:rsid w:val="004A0BC1"/>
    <w:rsid w:val="004A0EC6"/>
    <w:rsid w:val="004A1545"/>
    <w:rsid w:val="004A2223"/>
    <w:rsid w:val="004A3E9F"/>
    <w:rsid w:val="004A49B4"/>
    <w:rsid w:val="004A5378"/>
    <w:rsid w:val="004A575E"/>
    <w:rsid w:val="004A5AB4"/>
    <w:rsid w:val="004A5F35"/>
    <w:rsid w:val="004A6451"/>
    <w:rsid w:val="004A6939"/>
    <w:rsid w:val="004A7500"/>
    <w:rsid w:val="004A78EC"/>
    <w:rsid w:val="004B1D3E"/>
    <w:rsid w:val="004B1D9C"/>
    <w:rsid w:val="004B2485"/>
    <w:rsid w:val="004B28C6"/>
    <w:rsid w:val="004B2D55"/>
    <w:rsid w:val="004B3F86"/>
    <w:rsid w:val="004B46D3"/>
    <w:rsid w:val="004B48D6"/>
    <w:rsid w:val="004B515B"/>
    <w:rsid w:val="004B5E1E"/>
    <w:rsid w:val="004B69E9"/>
    <w:rsid w:val="004B6DC6"/>
    <w:rsid w:val="004B7140"/>
    <w:rsid w:val="004B76A1"/>
    <w:rsid w:val="004B7EF0"/>
    <w:rsid w:val="004C008C"/>
    <w:rsid w:val="004C0330"/>
    <w:rsid w:val="004C048E"/>
    <w:rsid w:val="004C071A"/>
    <w:rsid w:val="004C1003"/>
    <w:rsid w:val="004C2EA2"/>
    <w:rsid w:val="004C2EEB"/>
    <w:rsid w:val="004C2F6C"/>
    <w:rsid w:val="004C303F"/>
    <w:rsid w:val="004C38BA"/>
    <w:rsid w:val="004C4146"/>
    <w:rsid w:val="004C5055"/>
    <w:rsid w:val="004C656A"/>
    <w:rsid w:val="004C66A0"/>
    <w:rsid w:val="004C6D30"/>
    <w:rsid w:val="004C6E78"/>
    <w:rsid w:val="004C7076"/>
    <w:rsid w:val="004C7262"/>
    <w:rsid w:val="004C74F2"/>
    <w:rsid w:val="004C7839"/>
    <w:rsid w:val="004D07A4"/>
    <w:rsid w:val="004D2241"/>
    <w:rsid w:val="004D3111"/>
    <w:rsid w:val="004D3A04"/>
    <w:rsid w:val="004D3E4C"/>
    <w:rsid w:val="004D4A9A"/>
    <w:rsid w:val="004D4D7C"/>
    <w:rsid w:val="004D4E79"/>
    <w:rsid w:val="004D5A96"/>
    <w:rsid w:val="004D6CCF"/>
    <w:rsid w:val="004D7244"/>
    <w:rsid w:val="004D78E4"/>
    <w:rsid w:val="004E0447"/>
    <w:rsid w:val="004E0A2C"/>
    <w:rsid w:val="004E0ED6"/>
    <w:rsid w:val="004E0F21"/>
    <w:rsid w:val="004E0F62"/>
    <w:rsid w:val="004E1597"/>
    <w:rsid w:val="004E21AC"/>
    <w:rsid w:val="004E2584"/>
    <w:rsid w:val="004E2EE3"/>
    <w:rsid w:val="004E387C"/>
    <w:rsid w:val="004E3DE0"/>
    <w:rsid w:val="004E4D4B"/>
    <w:rsid w:val="004E4F5F"/>
    <w:rsid w:val="004E61BC"/>
    <w:rsid w:val="004E7B36"/>
    <w:rsid w:val="004E7DF9"/>
    <w:rsid w:val="004F02C6"/>
    <w:rsid w:val="004F1344"/>
    <w:rsid w:val="004F261A"/>
    <w:rsid w:val="004F29C0"/>
    <w:rsid w:val="004F31B1"/>
    <w:rsid w:val="004F31D3"/>
    <w:rsid w:val="004F370F"/>
    <w:rsid w:val="004F4493"/>
    <w:rsid w:val="004F453A"/>
    <w:rsid w:val="004F56BB"/>
    <w:rsid w:val="004F5984"/>
    <w:rsid w:val="004F5C61"/>
    <w:rsid w:val="004F5D02"/>
    <w:rsid w:val="004F5F9E"/>
    <w:rsid w:val="004F6997"/>
    <w:rsid w:val="004F6C00"/>
    <w:rsid w:val="004F7038"/>
    <w:rsid w:val="004F7AE6"/>
    <w:rsid w:val="004F7C30"/>
    <w:rsid w:val="00500125"/>
    <w:rsid w:val="00500ED7"/>
    <w:rsid w:val="00501DB6"/>
    <w:rsid w:val="00502215"/>
    <w:rsid w:val="00502A7C"/>
    <w:rsid w:val="00502AFC"/>
    <w:rsid w:val="00504318"/>
    <w:rsid w:val="0050491E"/>
    <w:rsid w:val="00504ABA"/>
    <w:rsid w:val="005050D3"/>
    <w:rsid w:val="00505412"/>
    <w:rsid w:val="00505494"/>
    <w:rsid w:val="00505E92"/>
    <w:rsid w:val="00507267"/>
    <w:rsid w:val="005073D8"/>
    <w:rsid w:val="00507CDB"/>
    <w:rsid w:val="00507D59"/>
    <w:rsid w:val="00507E95"/>
    <w:rsid w:val="00510426"/>
    <w:rsid w:val="00511125"/>
    <w:rsid w:val="005118EC"/>
    <w:rsid w:val="005123B8"/>
    <w:rsid w:val="005123E4"/>
    <w:rsid w:val="00513CF7"/>
    <w:rsid w:val="0051597C"/>
    <w:rsid w:val="00515A6F"/>
    <w:rsid w:val="00515ABF"/>
    <w:rsid w:val="00516BB6"/>
    <w:rsid w:val="005173AB"/>
    <w:rsid w:val="0051753A"/>
    <w:rsid w:val="005175FB"/>
    <w:rsid w:val="0052087B"/>
    <w:rsid w:val="00520A33"/>
    <w:rsid w:val="00521196"/>
    <w:rsid w:val="005215EE"/>
    <w:rsid w:val="0052276F"/>
    <w:rsid w:val="00522A25"/>
    <w:rsid w:val="00523FF8"/>
    <w:rsid w:val="005240B7"/>
    <w:rsid w:val="0052424D"/>
    <w:rsid w:val="0052559C"/>
    <w:rsid w:val="005255B9"/>
    <w:rsid w:val="00525714"/>
    <w:rsid w:val="005264BC"/>
    <w:rsid w:val="005275BC"/>
    <w:rsid w:val="00527757"/>
    <w:rsid w:val="005304F5"/>
    <w:rsid w:val="005309E0"/>
    <w:rsid w:val="00530C45"/>
    <w:rsid w:val="00530D3C"/>
    <w:rsid w:val="005321B6"/>
    <w:rsid w:val="0053235E"/>
    <w:rsid w:val="00532423"/>
    <w:rsid w:val="00533077"/>
    <w:rsid w:val="0053308F"/>
    <w:rsid w:val="005341C6"/>
    <w:rsid w:val="00535543"/>
    <w:rsid w:val="0053615D"/>
    <w:rsid w:val="005362E9"/>
    <w:rsid w:val="00537A04"/>
    <w:rsid w:val="00537B55"/>
    <w:rsid w:val="00540B06"/>
    <w:rsid w:val="00540CF2"/>
    <w:rsid w:val="005428D4"/>
    <w:rsid w:val="00542F99"/>
    <w:rsid w:val="0054335D"/>
    <w:rsid w:val="00543876"/>
    <w:rsid w:val="005445D7"/>
    <w:rsid w:val="005459C9"/>
    <w:rsid w:val="00546E60"/>
    <w:rsid w:val="0054725C"/>
    <w:rsid w:val="00547D4E"/>
    <w:rsid w:val="00550030"/>
    <w:rsid w:val="005503D4"/>
    <w:rsid w:val="00550662"/>
    <w:rsid w:val="00551517"/>
    <w:rsid w:val="005523F8"/>
    <w:rsid w:val="00552706"/>
    <w:rsid w:val="00553843"/>
    <w:rsid w:val="005554F8"/>
    <w:rsid w:val="00555DE1"/>
    <w:rsid w:val="005569C8"/>
    <w:rsid w:val="00557B1C"/>
    <w:rsid w:val="00557C7D"/>
    <w:rsid w:val="00557D28"/>
    <w:rsid w:val="00557F88"/>
    <w:rsid w:val="0056079F"/>
    <w:rsid w:val="00560C51"/>
    <w:rsid w:val="0056151C"/>
    <w:rsid w:val="00562BA0"/>
    <w:rsid w:val="00563022"/>
    <w:rsid w:val="00564AAB"/>
    <w:rsid w:val="00564E25"/>
    <w:rsid w:val="00565583"/>
    <w:rsid w:val="00565AEF"/>
    <w:rsid w:val="00565D32"/>
    <w:rsid w:val="00566CDB"/>
    <w:rsid w:val="00567311"/>
    <w:rsid w:val="00567EF4"/>
    <w:rsid w:val="00570E7B"/>
    <w:rsid w:val="005712A6"/>
    <w:rsid w:val="005713FB"/>
    <w:rsid w:val="00571E5E"/>
    <w:rsid w:val="005720B8"/>
    <w:rsid w:val="00572502"/>
    <w:rsid w:val="00572C88"/>
    <w:rsid w:val="00572FEC"/>
    <w:rsid w:val="00573F06"/>
    <w:rsid w:val="00574C49"/>
    <w:rsid w:val="00574CAE"/>
    <w:rsid w:val="00574DA9"/>
    <w:rsid w:val="00576541"/>
    <w:rsid w:val="005774C9"/>
    <w:rsid w:val="00577625"/>
    <w:rsid w:val="00577804"/>
    <w:rsid w:val="00577BFB"/>
    <w:rsid w:val="00580EA0"/>
    <w:rsid w:val="00581135"/>
    <w:rsid w:val="005812AB"/>
    <w:rsid w:val="005813DA"/>
    <w:rsid w:val="005816BD"/>
    <w:rsid w:val="00582361"/>
    <w:rsid w:val="0058238F"/>
    <w:rsid w:val="00583CCE"/>
    <w:rsid w:val="00584260"/>
    <w:rsid w:val="00584451"/>
    <w:rsid w:val="00584932"/>
    <w:rsid w:val="00584B27"/>
    <w:rsid w:val="00584CC7"/>
    <w:rsid w:val="005859FB"/>
    <w:rsid w:val="00585A24"/>
    <w:rsid w:val="00585AEA"/>
    <w:rsid w:val="0058639B"/>
    <w:rsid w:val="005868B2"/>
    <w:rsid w:val="005869CE"/>
    <w:rsid w:val="00586C73"/>
    <w:rsid w:val="00587E4C"/>
    <w:rsid w:val="00590A31"/>
    <w:rsid w:val="00590C4E"/>
    <w:rsid w:val="0059210B"/>
    <w:rsid w:val="00592AAE"/>
    <w:rsid w:val="00592D1C"/>
    <w:rsid w:val="00592F19"/>
    <w:rsid w:val="0059307B"/>
    <w:rsid w:val="005931F6"/>
    <w:rsid w:val="005940BF"/>
    <w:rsid w:val="0059434A"/>
    <w:rsid w:val="00595972"/>
    <w:rsid w:val="0059761A"/>
    <w:rsid w:val="005979C9"/>
    <w:rsid w:val="005A0B81"/>
    <w:rsid w:val="005A2C08"/>
    <w:rsid w:val="005A39F4"/>
    <w:rsid w:val="005A4477"/>
    <w:rsid w:val="005A6442"/>
    <w:rsid w:val="005A6C24"/>
    <w:rsid w:val="005A727A"/>
    <w:rsid w:val="005A7867"/>
    <w:rsid w:val="005A78FC"/>
    <w:rsid w:val="005A7920"/>
    <w:rsid w:val="005B10C0"/>
    <w:rsid w:val="005B1672"/>
    <w:rsid w:val="005B169A"/>
    <w:rsid w:val="005B2DE4"/>
    <w:rsid w:val="005B2E9A"/>
    <w:rsid w:val="005B2FD1"/>
    <w:rsid w:val="005B30E8"/>
    <w:rsid w:val="005B456D"/>
    <w:rsid w:val="005B4B40"/>
    <w:rsid w:val="005B4D31"/>
    <w:rsid w:val="005B50A0"/>
    <w:rsid w:val="005B5F6B"/>
    <w:rsid w:val="005B6DA4"/>
    <w:rsid w:val="005B7232"/>
    <w:rsid w:val="005C2A46"/>
    <w:rsid w:val="005C2A67"/>
    <w:rsid w:val="005C371B"/>
    <w:rsid w:val="005C4A00"/>
    <w:rsid w:val="005C4A65"/>
    <w:rsid w:val="005C515F"/>
    <w:rsid w:val="005C5986"/>
    <w:rsid w:val="005C5D65"/>
    <w:rsid w:val="005C6236"/>
    <w:rsid w:val="005C628A"/>
    <w:rsid w:val="005C66C6"/>
    <w:rsid w:val="005C7F5F"/>
    <w:rsid w:val="005D01A8"/>
    <w:rsid w:val="005D17B8"/>
    <w:rsid w:val="005D2347"/>
    <w:rsid w:val="005D4C90"/>
    <w:rsid w:val="005D4E08"/>
    <w:rsid w:val="005D4F30"/>
    <w:rsid w:val="005D520A"/>
    <w:rsid w:val="005D52DE"/>
    <w:rsid w:val="005D7563"/>
    <w:rsid w:val="005D76DB"/>
    <w:rsid w:val="005E0C3E"/>
    <w:rsid w:val="005E121D"/>
    <w:rsid w:val="005E14F3"/>
    <w:rsid w:val="005E15CC"/>
    <w:rsid w:val="005E2A2D"/>
    <w:rsid w:val="005E38EF"/>
    <w:rsid w:val="005E43D5"/>
    <w:rsid w:val="005E44BD"/>
    <w:rsid w:val="005E46CD"/>
    <w:rsid w:val="005E4A71"/>
    <w:rsid w:val="005E4EF3"/>
    <w:rsid w:val="005E56C6"/>
    <w:rsid w:val="005E5C31"/>
    <w:rsid w:val="005E68A3"/>
    <w:rsid w:val="005E71BC"/>
    <w:rsid w:val="005E7AF1"/>
    <w:rsid w:val="005E7E7E"/>
    <w:rsid w:val="005F0954"/>
    <w:rsid w:val="005F0A7A"/>
    <w:rsid w:val="005F2A24"/>
    <w:rsid w:val="005F2E94"/>
    <w:rsid w:val="005F2E9B"/>
    <w:rsid w:val="005F2E9E"/>
    <w:rsid w:val="005F329B"/>
    <w:rsid w:val="005F3BDD"/>
    <w:rsid w:val="005F3FB7"/>
    <w:rsid w:val="005F4113"/>
    <w:rsid w:val="005F4D06"/>
    <w:rsid w:val="005F518D"/>
    <w:rsid w:val="005F611C"/>
    <w:rsid w:val="005F637F"/>
    <w:rsid w:val="005F6644"/>
    <w:rsid w:val="005F66DB"/>
    <w:rsid w:val="005F6E8B"/>
    <w:rsid w:val="005F792A"/>
    <w:rsid w:val="0060014B"/>
    <w:rsid w:val="00600B55"/>
    <w:rsid w:val="00601505"/>
    <w:rsid w:val="0060200C"/>
    <w:rsid w:val="00602D68"/>
    <w:rsid w:val="00603DB6"/>
    <w:rsid w:val="00604427"/>
    <w:rsid w:val="00604618"/>
    <w:rsid w:val="006050D7"/>
    <w:rsid w:val="00605B1F"/>
    <w:rsid w:val="0060689A"/>
    <w:rsid w:val="006077A6"/>
    <w:rsid w:val="00607CEF"/>
    <w:rsid w:val="00607D69"/>
    <w:rsid w:val="00607DA3"/>
    <w:rsid w:val="006103C9"/>
    <w:rsid w:val="006113DE"/>
    <w:rsid w:val="00612410"/>
    <w:rsid w:val="00612595"/>
    <w:rsid w:val="006125F0"/>
    <w:rsid w:val="006129FD"/>
    <w:rsid w:val="00612B21"/>
    <w:rsid w:val="00612F3B"/>
    <w:rsid w:val="0061405E"/>
    <w:rsid w:val="00614D8C"/>
    <w:rsid w:val="00614DCB"/>
    <w:rsid w:val="00614F15"/>
    <w:rsid w:val="006152D2"/>
    <w:rsid w:val="006155A9"/>
    <w:rsid w:val="00615F3C"/>
    <w:rsid w:val="0061662D"/>
    <w:rsid w:val="00616B1D"/>
    <w:rsid w:val="00617ACE"/>
    <w:rsid w:val="00617F99"/>
    <w:rsid w:val="00620ACE"/>
    <w:rsid w:val="00620B96"/>
    <w:rsid w:val="00621D77"/>
    <w:rsid w:val="00622599"/>
    <w:rsid w:val="00622E2B"/>
    <w:rsid w:val="00623476"/>
    <w:rsid w:val="00623E9E"/>
    <w:rsid w:val="00625468"/>
    <w:rsid w:val="00625537"/>
    <w:rsid w:val="0062553C"/>
    <w:rsid w:val="0062598D"/>
    <w:rsid w:val="00625B62"/>
    <w:rsid w:val="006263FC"/>
    <w:rsid w:val="006264EA"/>
    <w:rsid w:val="00627BB3"/>
    <w:rsid w:val="0063055A"/>
    <w:rsid w:val="00631785"/>
    <w:rsid w:val="00631846"/>
    <w:rsid w:val="0063252B"/>
    <w:rsid w:val="00632CCB"/>
    <w:rsid w:val="00632F3D"/>
    <w:rsid w:val="00633975"/>
    <w:rsid w:val="00634899"/>
    <w:rsid w:val="00634BBE"/>
    <w:rsid w:val="00634EA4"/>
    <w:rsid w:val="006352E6"/>
    <w:rsid w:val="006366BF"/>
    <w:rsid w:val="00636C42"/>
    <w:rsid w:val="00636DDA"/>
    <w:rsid w:val="00637296"/>
    <w:rsid w:val="00637674"/>
    <w:rsid w:val="006404B2"/>
    <w:rsid w:val="00640D9D"/>
    <w:rsid w:val="00641010"/>
    <w:rsid w:val="006410DE"/>
    <w:rsid w:val="00641199"/>
    <w:rsid w:val="00641277"/>
    <w:rsid w:val="006422EE"/>
    <w:rsid w:val="00642637"/>
    <w:rsid w:val="00642BA9"/>
    <w:rsid w:val="006438A4"/>
    <w:rsid w:val="00644819"/>
    <w:rsid w:val="00647AAA"/>
    <w:rsid w:val="00647AF4"/>
    <w:rsid w:val="00650CD6"/>
    <w:rsid w:val="00650D25"/>
    <w:rsid w:val="00651623"/>
    <w:rsid w:val="00651939"/>
    <w:rsid w:val="00653334"/>
    <w:rsid w:val="00653587"/>
    <w:rsid w:val="00654046"/>
    <w:rsid w:val="00654CFB"/>
    <w:rsid w:val="006553C6"/>
    <w:rsid w:val="006554D4"/>
    <w:rsid w:val="00655D2E"/>
    <w:rsid w:val="0065644D"/>
    <w:rsid w:val="00656C0A"/>
    <w:rsid w:val="00656F3F"/>
    <w:rsid w:val="00657025"/>
    <w:rsid w:val="0065735E"/>
    <w:rsid w:val="00661E5A"/>
    <w:rsid w:val="006623F5"/>
    <w:rsid w:val="006629E3"/>
    <w:rsid w:val="00662AE0"/>
    <w:rsid w:val="0066443E"/>
    <w:rsid w:val="006644EB"/>
    <w:rsid w:val="00667320"/>
    <w:rsid w:val="00667C3E"/>
    <w:rsid w:val="0067045D"/>
    <w:rsid w:val="006706CF"/>
    <w:rsid w:val="00672159"/>
    <w:rsid w:val="00672F33"/>
    <w:rsid w:val="0067348B"/>
    <w:rsid w:val="00673563"/>
    <w:rsid w:val="00673E82"/>
    <w:rsid w:val="0067479C"/>
    <w:rsid w:val="006748FF"/>
    <w:rsid w:val="006755FA"/>
    <w:rsid w:val="00675645"/>
    <w:rsid w:val="00675AA3"/>
    <w:rsid w:val="00675EBA"/>
    <w:rsid w:val="006767FD"/>
    <w:rsid w:val="0067685E"/>
    <w:rsid w:val="00677BE9"/>
    <w:rsid w:val="00680756"/>
    <w:rsid w:val="00680816"/>
    <w:rsid w:val="00680BEB"/>
    <w:rsid w:val="00681CF4"/>
    <w:rsid w:val="00683220"/>
    <w:rsid w:val="00683542"/>
    <w:rsid w:val="006847AE"/>
    <w:rsid w:val="00685001"/>
    <w:rsid w:val="006864BB"/>
    <w:rsid w:val="00686711"/>
    <w:rsid w:val="006869EC"/>
    <w:rsid w:val="00690E66"/>
    <w:rsid w:val="00690F2F"/>
    <w:rsid w:val="00691C2D"/>
    <w:rsid w:val="006934E2"/>
    <w:rsid w:val="00694871"/>
    <w:rsid w:val="00694C4F"/>
    <w:rsid w:val="00694F06"/>
    <w:rsid w:val="0069584A"/>
    <w:rsid w:val="00695CAF"/>
    <w:rsid w:val="00696AA3"/>
    <w:rsid w:val="00697263"/>
    <w:rsid w:val="00697A74"/>
    <w:rsid w:val="006A0339"/>
    <w:rsid w:val="006A06B1"/>
    <w:rsid w:val="006A0D70"/>
    <w:rsid w:val="006A0DF4"/>
    <w:rsid w:val="006A104E"/>
    <w:rsid w:val="006A1669"/>
    <w:rsid w:val="006A16AD"/>
    <w:rsid w:val="006A4B0F"/>
    <w:rsid w:val="006A51C3"/>
    <w:rsid w:val="006A6630"/>
    <w:rsid w:val="006A7655"/>
    <w:rsid w:val="006A7658"/>
    <w:rsid w:val="006B0ED2"/>
    <w:rsid w:val="006B1A28"/>
    <w:rsid w:val="006B2FAF"/>
    <w:rsid w:val="006B324B"/>
    <w:rsid w:val="006B3995"/>
    <w:rsid w:val="006B3F8E"/>
    <w:rsid w:val="006B4069"/>
    <w:rsid w:val="006B5FD5"/>
    <w:rsid w:val="006B7164"/>
    <w:rsid w:val="006B7413"/>
    <w:rsid w:val="006B7B33"/>
    <w:rsid w:val="006B7C2A"/>
    <w:rsid w:val="006B7E4A"/>
    <w:rsid w:val="006C0037"/>
    <w:rsid w:val="006C0A91"/>
    <w:rsid w:val="006C15BF"/>
    <w:rsid w:val="006C2261"/>
    <w:rsid w:val="006C2651"/>
    <w:rsid w:val="006C2B87"/>
    <w:rsid w:val="006C4AFA"/>
    <w:rsid w:val="006C5EDF"/>
    <w:rsid w:val="006C6009"/>
    <w:rsid w:val="006C604D"/>
    <w:rsid w:val="006C6260"/>
    <w:rsid w:val="006C6716"/>
    <w:rsid w:val="006C6844"/>
    <w:rsid w:val="006C6B28"/>
    <w:rsid w:val="006C716E"/>
    <w:rsid w:val="006C71A3"/>
    <w:rsid w:val="006C7697"/>
    <w:rsid w:val="006C7C32"/>
    <w:rsid w:val="006C7F90"/>
    <w:rsid w:val="006D32D2"/>
    <w:rsid w:val="006D35D4"/>
    <w:rsid w:val="006D37C7"/>
    <w:rsid w:val="006D39AC"/>
    <w:rsid w:val="006D41A8"/>
    <w:rsid w:val="006D4900"/>
    <w:rsid w:val="006D514D"/>
    <w:rsid w:val="006D61A8"/>
    <w:rsid w:val="006D69B8"/>
    <w:rsid w:val="006D6C64"/>
    <w:rsid w:val="006D7F9D"/>
    <w:rsid w:val="006E0156"/>
    <w:rsid w:val="006E0362"/>
    <w:rsid w:val="006E1A82"/>
    <w:rsid w:val="006E2382"/>
    <w:rsid w:val="006E259D"/>
    <w:rsid w:val="006E3A13"/>
    <w:rsid w:val="006E4991"/>
    <w:rsid w:val="006E6D2D"/>
    <w:rsid w:val="006E7622"/>
    <w:rsid w:val="006E79E1"/>
    <w:rsid w:val="006F00CC"/>
    <w:rsid w:val="006F07BA"/>
    <w:rsid w:val="006F12E5"/>
    <w:rsid w:val="006F141B"/>
    <w:rsid w:val="006F1DCD"/>
    <w:rsid w:val="006F3498"/>
    <w:rsid w:val="006F3E25"/>
    <w:rsid w:val="006F4CAF"/>
    <w:rsid w:val="006F5212"/>
    <w:rsid w:val="006F5B08"/>
    <w:rsid w:val="006F5B38"/>
    <w:rsid w:val="006F6E94"/>
    <w:rsid w:val="006F6F3E"/>
    <w:rsid w:val="006F781C"/>
    <w:rsid w:val="00700893"/>
    <w:rsid w:val="00701103"/>
    <w:rsid w:val="00701117"/>
    <w:rsid w:val="0070135E"/>
    <w:rsid w:val="0070150C"/>
    <w:rsid w:val="0070155A"/>
    <w:rsid w:val="007015F9"/>
    <w:rsid w:val="007023BC"/>
    <w:rsid w:val="00702580"/>
    <w:rsid w:val="00702F6A"/>
    <w:rsid w:val="00703042"/>
    <w:rsid w:val="0070316F"/>
    <w:rsid w:val="00703428"/>
    <w:rsid w:val="00703542"/>
    <w:rsid w:val="007038DF"/>
    <w:rsid w:val="00703B7E"/>
    <w:rsid w:val="00703D66"/>
    <w:rsid w:val="00704603"/>
    <w:rsid w:val="00704632"/>
    <w:rsid w:val="00705422"/>
    <w:rsid w:val="00705469"/>
    <w:rsid w:val="007060CB"/>
    <w:rsid w:val="0070631E"/>
    <w:rsid w:val="007066E9"/>
    <w:rsid w:val="007070FF"/>
    <w:rsid w:val="00711E41"/>
    <w:rsid w:val="00711F63"/>
    <w:rsid w:val="007122C0"/>
    <w:rsid w:val="00712901"/>
    <w:rsid w:val="00712F8C"/>
    <w:rsid w:val="007130A7"/>
    <w:rsid w:val="007138AA"/>
    <w:rsid w:val="00714F8C"/>
    <w:rsid w:val="00715A47"/>
    <w:rsid w:val="00715B45"/>
    <w:rsid w:val="00716214"/>
    <w:rsid w:val="00717168"/>
    <w:rsid w:val="0071717B"/>
    <w:rsid w:val="00717208"/>
    <w:rsid w:val="00717871"/>
    <w:rsid w:val="00720F7A"/>
    <w:rsid w:val="00722970"/>
    <w:rsid w:val="00723815"/>
    <w:rsid w:val="00724917"/>
    <w:rsid w:val="00724DB0"/>
    <w:rsid w:val="00724DFC"/>
    <w:rsid w:val="00725C41"/>
    <w:rsid w:val="00725D5E"/>
    <w:rsid w:val="007260C3"/>
    <w:rsid w:val="00726CE0"/>
    <w:rsid w:val="00726F97"/>
    <w:rsid w:val="00727C20"/>
    <w:rsid w:val="00727EB4"/>
    <w:rsid w:val="007308F2"/>
    <w:rsid w:val="007309EC"/>
    <w:rsid w:val="007313A8"/>
    <w:rsid w:val="00731821"/>
    <w:rsid w:val="00731885"/>
    <w:rsid w:val="00731894"/>
    <w:rsid w:val="00731A48"/>
    <w:rsid w:val="007325D5"/>
    <w:rsid w:val="00732A82"/>
    <w:rsid w:val="00732C9C"/>
    <w:rsid w:val="00732CA1"/>
    <w:rsid w:val="007338FB"/>
    <w:rsid w:val="007349E1"/>
    <w:rsid w:val="00734ACE"/>
    <w:rsid w:val="0073517A"/>
    <w:rsid w:val="007352B5"/>
    <w:rsid w:val="007355A8"/>
    <w:rsid w:val="007355B1"/>
    <w:rsid w:val="00736348"/>
    <w:rsid w:val="007363A2"/>
    <w:rsid w:val="007363C6"/>
    <w:rsid w:val="00736EF4"/>
    <w:rsid w:val="0073718B"/>
    <w:rsid w:val="00737F33"/>
    <w:rsid w:val="007410F5"/>
    <w:rsid w:val="00741DC9"/>
    <w:rsid w:val="007428F6"/>
    <w:rsid w:val="0074541D"/>
    <w:rsid w:val="007456C9"/>
    <w:rsid w:val="00745D3C"/>
    <w:rsid w:val="00746064"/>
    <w:rsid w:val="00746902"/>
    <w:rsid w:val="0074713D"/>
    <w:rsid w:val="007475AB"/>
    <w:rsid w:val="00747DEF"/>
    <w:rsid w:val="007500B4"/>
    <w:rsid w:val="007503C2"/>
    <w:rsid w:val="00750627"/>
    <w:rsid w:val="00750B90"/>
    <w:rsid w:val="00751220"/>
    <w:rsid w:val="00751463"/>
    <w:rsid w:val="007516D8"/>
    <w:rsid w:val="00752CB7"/>
    <w:rsid w:val="00752E43"/>
    <w:rsid w:val="00752F05"/>
    <w:rsid w:val="00753598"/>
    <w:rsid w:val="007538FB"/>
    <w:rsid w:val="00753B02"/>
    <w:rsid w:val="00753E88"/>
    <w:rsid w:val="00754472"/>
    <w:rsid w:val="00755D39"/>
    <w:rsid w:val="007562EA"/>
    <w:rsid w:val="00756446"/>
    <w:rsid w:val="007573DC"/>
    <w:rsid w:val="007579F7"/>
    <w:rsid w:val="007601C7"/>
    <w:rsid w:val="00760398"/>
    <w:rsid w:val="007606EF"/>
    <w:rsid w:val="0076124F"/>
    <w:rsid w:val="007619C9"/>
    <w:rsid w:val="0076204A"/>
    <w:rsid w:val="00762692"/>
    <w:rsid w:val="007627AD"/>
    <w:rsid w:val="00762933"/>
    <w:rsid w:val="00763D8D"/>
    <w:rsid w:val="0076411F"/>
    <w:rsid w:val="00766E65"/>
    <w:rsid w:val="0076709C"/>
    <w:rsid w:val="00767A36"/>
    <w:rsid w:val="00767C79"/>
    <w:rsid w:val="00767CD8"/>
    <w:rsid w:val="00770731"/>
    <w:rsid w:val="0077111C"/>
    <w:rsid w:val="007711D4"/>
    <w:rsid w:val="007711FA"/>
    <w:rsid w:val="00771528"/>
    <w:rsid w:val="00771539"/>
    <w:rsid w:val="00772ED8"/>
    <w:rsid w:val="0077353E"/>
    <w:rsid w:val="00774314"/>
    <w:rsid w:val="00774F74"/>
    <w:rsid w:val="00775545"/>
    <w:rsid w:val="00775F56"/>
    <w:rsid w:val="0077607F"/>
    <w:rsid w:val="007776C1"/>
    <w:rsid w:val="00777BE7"/>
    <w:rsid w:val="00780251"/>
    <w:rsid w:val="00780A81"/>
    <w:rsid w:val="00780D2C"/>
    <w:rsid w:val="00780E96"/>
    <w:rsid w:val="007816FC"/>
    <w:rsid w:val="00783364"/>
    <w:rsid w:val="00784696"/>
    <w:rsid w:val="00784D7B"/>
    <w:rsid w:val="00790242"/>
    <w:rsid w:val="00790817"/>
    <w:rsid w:val="00790F39"/>
    <w:rsid w:val="007915B1"/>
    <w:rsid w:val="0079282D"/>
    <w:rsid w:val="00792B91"/>
    <w:rsid w:val="00794A1F"/>
    <w:rsid w:val="00795FDE"/>
    <w:rsid w:val="007962BE"/>
    <w:rsid w:val="00796525"/>
    <w:rsid w:val="007969A5"/>
    <w:rsid w:val="00796BBE"/>
    <w:rsid w:val="00796E65"/>
    <w:rsid w:val="00797577"/>
    <w:rsid w:val="00797C07"/>
    <w:rsid w:val="00797D27"/>
    <w:rsid w:val="007A0299"/>
    <w:rsid w:val="007A0D48"/>
    <w:rsid w:val="007A25FB"/>
    <w:rsid w:val="007A2782"/>
    <w:rsid w:val="007A35A1"/>
    <w:rsid w:val="007A408A"/>
    <w:rsid w:val="007A44D8"/>
    <w:rsid w:val="007A4935"/>
    <w:rsid w:val="007A499C"/>
    <w:rsid w:val="007A4D00"/>
    <w:rsid w:val="007A6192"/>
    <w:rsid w:val="007A65D1"/>
    <w:rsid w:val="007A7097"/>
    <w:rsid w:val="007A721D"/>
    <w:rsid w:val="007A7B2A"/>
    <w:rsid w:val="007A7CFA"/>
    <w:rsid w:val="007B176C"/>
    <w:rsid w:val="007B1BA8"/>
    <w:rsid w:val="007B1D10"/>
    <w:rsid w:val="007B3736"/>
    <w:rsid w:val="007B4922"/>
    <w:rsid w:val="007B504A"/>
    <w:rsid w:val="007B5091"/>
    <w:rsid w:val="007B61F6"/>
    <w:rsid w:val="007B6842"/>
    <w:rsid w:val="007B6C22"/>
    <w:rsid w:val="007B7D19"/>
    <w:rsid w:val="007B7DDE"/>
    <w:rsid w:val="007C0044"/>
    <w:rsid w:val="007C0204"/>
    <w:rsid w:val="007C1742"/>
    <w:rsid w:val="007C196A"/>
    <w:rsid w:val="007C3414"/>
    <w:rsid w:val="007C3A55"/>
    <w:rsid w:val="007C4810"/>
    <w:rsid w:val="007C549A"/>
    <w:rsid w:val="007C54E9"/>
    <w:rsid w:val="007C5571"/>
    <w:rsid w:val="007C5893"/>
    <w:rsid w:val="007C62A1"/>
    <w:rsid w:val="007C697A"/>
    <w:rsid w:val="007C6C2F"/>
    <w:rsid w:val="007C79A1"/>
    <w:rsid w:val="007C7BC2"/>
    <w:rsid w:val="007D0727"/>
    <w:rsid w:val="007D100E"/>
    <w:rsid w:val="007D15D0"/>
    <w:rsid w:val="007D16DF"/>
    <w:rsid w:val="007D19AB"/>
    <w:rsid w:val="007D1E8A"/>
    <w:rsid w:val="007D200B"/>
    <w:rsid w:val="007D21A4"/>
    <w:rsid w:val="007D266D"/>
    <w:rsid w:val="007D2C7D"/>
    <w:rsid w:val="007D3161"/>
    <w:rsid w:val="007D3B48"/>
    <w:rsid w:val="007D4701"/>
    <w:rsid w:val="007D483B"/>
    <w:rsid w:val="007D5687"/>
    <w:rsid w:val="007D5CC3"/>
    <w:rsid w:val="007D5CDB"/>
    <w:rsid w:val="007D620D"/>
    <w:rsid w:val="007D6244"/>
    <w:rsid w:val="007D6D02"/>
    <w:rsid w:val="007E05E1"/>
    <w:rsid w:val="007E0718"/>
    <w:rsid w:val="007E1EBA"/>
    <w:rsid w:val="007E247B"/>
    <w:rsid w:val="007E3595"/>
    <w:rsid w:val="007E377E"/>
    <w:rsid w:val="007E49E8"/>
    <w:rsid w:val="007E4D7D"/>
    <w:rsid w:val="007E528D"/>
    <w:rsid w:val="007E6450"/>
    <w:rsid w:val="007E6DD6"/>
    <w:rsid w:val="007E70C0"/>
    <w:rsid w:val="007E74A0"/>
    <w:rsid w:val="007E79E0"/>
    <w:rsid w:val="007F072D"/>
    <w:rsid w:val="007F0C84"/>
    <w:rsid w:val="007F1778"/>
    <w:rsid w:val="007F1B9A"/>
    <w:rsid w:val="007F4728"/>
    <w:rsid w:val="007F4DB7"/>
    <w:rsid w:val="007F4FBB"/>
    <w:rsid w:val="007F541D"/>
    <w:rsid w:val="007F6EFE"/>
    <w:rsid w:val="007F773C"/>
    <w:rsid w:val="008012B4"/>
    <w:rsid w:val="00802EBA"/>
    <w:rsid w:val="008033BE"/>
    <w:rsid w:val="00804FCD"/>
    <w:rsid w:val="0080558E"/>
    <w:rsid w:val="008055E4"/>
    <w:rsid w:val="00806208"/>
    <w:rsid w:val="00806411"/>
    <w:rsid w:val="008078AD"/>
    <w:rsid w:val="00807C5E"/>
    <w:rsid w:val="00807D55"/>
    <w:rsid w:val="00810F0D"/>
    <w:rsid w:val="0081119C"/>
    <w:rsid w:val="00811666"/>
    <w:rsid w:val="00811F7E"/>
    <w:rsid w:val="00811FD4"/>
    <w:rsid w:val="0081296E"/>
    <w:rsid w:val="00812C15"/>
    <w:rsid w:val="0081305C"/>
    <w:rsid w:val="0081394E"/>
    <w:rsid w:val="0081414B"/>
    <w:rsid w:val="00814ACB"/>
    <w:rsid w:val="00814EAE"/>
    <w:rsid w:val="008152AF"/>
    <w:rsid w:val="0081578F"/>
    <w:rsid w:val="008165DB"/>
    <w:rsid w:val="00816D60"/>
    <w:rsid w:val="0081751A"/>
    <w:rsid w:val="00817BE5"/>
    <w:rsid w:val="008216E3"/>
    <w:rsid w:val="0082184D"/>
    <w:rsid w:val="00821EBC"/>
    <w:rsid w:val="00822871"/>
    <w:rsid w:val="00822ACE"/>
    <w:rsid w:val="008232C8"/>
    <w:rsid w:val="008238AB"/>
    <w:rsid w:val="0082475E"/>
    <w:rsid w:val="0082560F"/>
    <w:rsid w:val="0082572E"/>
    <w:rsid w:val="0082614B"/>
    <w:rsid w:val="008264F6"/>
    <w:rsid w:val="00827373"/>
    <w:rsid w:val="00827C6E"/>
    <w:rsid w:val="00831A93"/>
    <w:rsid w:val="00831CED"/>
    <w:rsid w:val="00832307"/>
    <w:rsid w:val="008326D2"/>
    <w:rsid w:val="00832838"/>
    <w:rsid w:val="00834056"/>
    <w:rsid w:val="008348D7"/>
    <w:rsid w:val="00836A4D"/>
    <w:rsid w:val="00837EC3"/>
    <w:rsid w:val="00840155"/>
    <w:rsid w:val="008402BD"/>
    <w:rsid w:val="00840B8A"/>
    <w:rsid w:val="0084168B"/>
    <w:rsid w:val="00841BD3"/>
    <w:rsid w:val="00841CDB"/>
    <w:rsid w:val="008426B0"/>
    <w:rsid w:val="0084364B"/>
    <w:rsid w:val="008437C1"/>
    <w:rsid w:val="00843E80"/>
    <w:rsid w:val="00844EE4"/>
    <w:rsid w:val="008453A5"/>
    <w:rsid w:val="008453EC"/>
    <w:rsid w:val="00845660"/>
    <w:rsid w:val="00847E24"/>
    <w:rsid w:val="008516A0"/>
    <w:rsid w:val="008517DB"/>
    <w:rsid w:val="00852813"/>
    <w:rsid w:val="00852994"/>
    <w:rsid w:val="00852EE0"/>
    <w:rsid w:val="00852F14"/>
    <w:rsid w:val="008536BA"/>
    <w:rsid w:val="00853C54"/>
    <w:rsid w:val="00854E11"/>
    <w:rsid w:val="00855763"/>
    <w:rsid w:val="00856D76"/>
    <w:rsid w:val="00857459"/>
    <w:rsid w:val="00857B91"/>
    <w:rsid w:val="008602ED"/>
    <w:rsid w:val="00860DCF"/>
    <w:rsid w:val="0086158D"/>
    <w:rsid w:val="00862281"/>
    <w:rsid w:val="0086254F"/>
    <w:rsid w:val="00863457"/>
    <w:rsid w:val="0086386C"/>
    <w:rsid w:val="008638DE"/>
    <w:rsid w:val="00863C4A"/>
    <w:rsid w:val="00863F83"/>
    <w:rsid w:val="008663F2"/>
    <w:rsid w:val="008712C3"/>
    <w:rsid w:val="00871C38"/>
    <w:rsid w:val="00872C81"/>
    <w:rsid w:val="00873AD2"/>
    <w:rsid w:val="00873D09"/>
    <w:rsid w:val="00873F23"/>
    <w:rsid w:val="008743B0"/>
    <w:rsid w:val="00874680"/>
    <w:rsid w:val="008759D6"/>
    <w:rsid w:val="00877233"/>
    <w:rsid w:val="00881925"/>
    <w:rsid w:val="0088205B"/>
    <w:rsid w:val="00882219"/>
    <w:rsid w:val="00883023"/>
    <w:rsid w:val="008840F2"/>
    <w:rsid w:val="008851EF"/>
    <w:rsid w:val="00885FA8"/>
    <w:rsid w:val="00891093"/>
    <w:rsid w:val="0089167D"/>
    <w:rsid w:val="00891CBB"/>
    <w:rsid w:val="0089336D"/>
    <w:rsid w:val="00893473"/>
    <w:rsid w:val="00893D0D"/>
    <w:rsid w:val="00894191"/>
    <w:rsid w:val="00896C6F"/>
    <w:rsid w:val="00897D1B"/>
    <w:rsid w:val="008A0CE4"/>
    <w:rsid w:val="008A1C89"/>
    <w:rsid w:val="008A2FF8"/>
    <w:rsid w:val="008A3882"/>
    <w:rsid w:val="008A3AB1"/>
    <w:rsid w:val="008A3B75"/>
    <w:rsid w:val="008A45D8"/>
    <w:rsid w:val="008A577B"/>
    <w:rsid w:val="008A6852"/>
    <w:rsid w:val="008A73C0"/>
    <w:rsid w:val="008A7A10"/>
    <w:rsid w:val="008B0A31"/>
    <w:rsid w:val="008B10E0"/>
    <w:rsid w:val="008B1B80"/>
    <w:rsid w:val="008B21FB"/>
    <w:rsid w:val="008B25BF"/>
    <w:rsid w:val="008B306B"/>
    <w:rsid w:val="008B3A5A"/>
    <w:rsid w:val="008B4009"/>
    <w:rsid w:val="008B530D"/>
    <w:rsid w:val="008B6108"/>
    <w:rsid w:val="008B6671"/>
    <w:rsid w:val="008B7E79"/>
    <w:rsid w:val="008C00B3"/>
    <w:rsid w:val="008C14B5"/>
    <w:rsid w:val="008C1D08"/>
    <w:rsid w:val="008C245B"/>
    <w:rsid w:val="008C315D"/>
    <w:rsid w:val="008C38E4"/>
    <w:rsid w:val="008C4005"/>
    <w:rsid w:val="008C4A06"/>
    <w:rsid w:val="008C57CC"/>
    <w:rsid w:val="008C661C"/>
    <w:rsid w:val="008C7049"/>
    <w:rsid w:val="008C713A"/>
    <w:rsid w:val="008C7D7D"/>
    <w:rsid w:val="008D29B8"/>
    <w:rsid w:val="008D2A4F"/>
    <w:rsid w:val="008D300A"/>
    <w:rsid w:val="008D3201"/>
    <w:rsid w:val="008D379A"/>
    <w:rsid w:val="008D4C32"/>
    <w:rsid w:val="008D5A7A"/>
    <w:rsid w:val="008D5C2B"/>
    <w:rsid w:val="008D6A82"/>
    <w:rsid w:val="008D71BD"/>
    <w:rsid w:val="008D77D6"/>
    <w:rsid w:val="008D7E57"/>
    <w:rsid w:val="008E0169"/>
    <w:rsid w:val="008E05E3"/>
    <w:rsid w:val="008E1E05"/>
    <w:rsid w:val="008E2D7F"/>
    <w:rsid w:val="008E32AD"/>
    <w:rsid w:val="008E341E"/>
    <w:rsid w:val="008E36E1"/>
    <w:rsid w:val="008E386C"/>
    <w:rsid w:val="008E3994"/>
    <w:rsid w:val="008E421D"/>
    <w:rsid w:val="008E49A9"/>
    <w:rsid w:val="008E5CFA"/>
    <w:rsid w:val="008E72B1"/>
    <w:rsid w:val="008F2E9A"/>
    <w:rsid w:val="008F313D"/>
    <w:rsid w:val="008F36A1"/>
    <w:rsid w:val="008F4258"/>
    <w:rsid w:val="008F4859"/>
    <w:rsid w:val="008F4F64"/>
    <w:rsid w:val="008F5E21"/>
    <w:rsid w:val="008F60E2"/>
    <w:rsid w:val="008F61F1"/>
    <w:rsid w:val="008F7001"/>
    <w:rsid w:val="008F7FB6"/>
    <w:rsid w:val="009007F5"/>
    <w:rsid w:val="00900DF6"/>
    <w:rsid w:val="00901103"/>
    <w:rsid w:val="00901AEF"/>
    <w:rsid w:val="00901DD6"/>
    <w:rsid w:val="00905A9B"/>
    <w:rsid w:val="00905BC5"/>
    <w:rsid w:val="00906ED2"/>
    <w:rsid w:val="009073BF"/>
    <w:rsid w:val="0090774A"/>
    <w:rsid w:val="00907901"/>
    <w:rsid w:val="00911695"/>
    <w:rsid w:val="00911AB3"/>
    <w:rsid w:val="00911EC6"/>
    <w:rsid w:val="00912BF3"/>
    <w:rsid w:val="00913FAB"/>
    <w:rsid w:val="009159DE"/>
    <w:rsid w:val="00915BE6"/>
    <w:rsid w:val="00915D0A"/>
    <w:rsid w:val="00916AC9"/>
    <w:rsid w:val="00916FA9"/>
    <w:rsid w:val="00916FAD"/>
    <w:rsid w:val="00917601"/>
    <w:rsid w:val="00920423"/>
    <w:rsid w:val="009208B0"/>
    <w:rsid w:val="009212C5"/>
    <w:rsid w:val="009215E0"/>
    <w:rsid w:val="0092228C"/>
    <w:rsid w:val="0092460F"/>
    <w:rsid w:val="00924EC4"/>
    <w:rsid w:val="009261B3"/>
    <w:rsid w:val="009262C3"/>
    <w:rsid w:val="00927262"/>
    <w:rsid w:val="009276B2"/>
    <w:rsid w:val="00930E4D"/>
    <w:rsid w:val="009310D6"/>
    <w:rsid w:val="00931C98"/>
    <w:rsid w:val="00931FD7"/>
    <w:rsid w:val="009321C8"/>
    <w:rsid w:val="00932837"/>
    <w:rsid w:val="0093375A"/>
    <w:rsid w:val="009338BF"/>
    <w:rsid w:val="00933DD9"/>
    <w:rsid w:val="009342D9"/>
    <w:rsid w:val="0093525C"/>
    <w:rsid w:val="009366B4"/>
    <w:rsid w:val="00936D21"/>
    <w:rsid w:val="00940580"/>
    <w:rsid w:val="00940679"/>
    <w:rsid w:val="00941B0F"/>
    <w:rsid w:val="00942062"/>
    <w:rsid w:val="009425A3"/>
    <w:rsid w:val="00942B7A"/>
    <w:rsid w:val="00943497"/>
    <w:rsid w:val="00943C8F"/>
    <w:rsid w:val="00943DE4"/>
    <w:rsid w:val="00943EB8"/>
    <w:rsid w:val="009444B1"/>
    <w:rsid w:val="00944BEB"/>
    <w:rsid w:val="00945211"/>
    <w:rsid w:val="009454FA"/>
    <w:rsid w:val="00945A43"/>
    <w:rsid w:val="00947F4D"/>
    <w:rsid w:val="009502C9"/>
    <w:rsid w:val="00950C15"/>
    <w:rsid w:val="00951B3C"/>
    <w:rsid w:val="00951DCB"/>
    <w:rsid w:val="009521EC"/>
    <w:rsid w:val="0095224C"/>
    <w:rsid w:val="0095273C"/>
    <w:rsid w:val="00952B28"/>
    <w:rsid w:val="0095327B"/>
    <w:rsid w:val="009543E1"/>
    <w:rsid w:val="0095458F"/>
    <w:rsid w:val="009547EC"/>
    <w:rsid w:val="0095598B"/>
    <w:rsid w:val="00956312"/>
    <w:rsid w:val="009568F9"/>
    <w:rsid w:val="00956FC6"/>
    <w:rsid w:val="009575D8"/>
    <w:rsid w:val="009607AA"/>
    <w:rsid w:val="00960CE0"/>
    <w:rsid w:val="0096104C"/>
    <w:rsid w:val="00961303"/>
    <w:rsid w:val="0096136A"/>
    <w:rsid w:val="00962631"/>
    <w:rsid w:val="00962646"/>
    <w:rsid w:val="0096264F"/>
    <w:rsid w:val="009628A9"/>
    <w:rsid w:val="00962911"/>
    <w:rsid w:val="009635C6"/>
    <w:rsid w:val="009638A2"/>
    <w:rsid w:val="00964B83"/>
    <w:rsid w:val="009651E9"/>
    <w:rsid w:val="009654D0"/>
    <w:rsid w:val="00965C1E"/>
    <w:rsid w:val="00965EB7"/>
    <w:rsid w:val="009670CD"/>
    <w:rsid w:val="0097052F"/>
    <w:rsid w:val="00970A53"/>
    <w:rsid w:val="0097101C"/>
    <w:rsid w:val="009715F7"/>
    <w:rsid w:val="00971825"/>
    <w:rsid w:val="00971F97"/>
    <w:rsid w:val="00972A41"/>
    <w:rsid w:val="00972CD4"/>
    <w:rsid w:val="00972ECC"/>
    <w:rsid w:val="00972F9F"/>
    <w:rsid w:val="009734B7"/>
    <w:rsid w:val="009738DB"/>
    <w:rsid w:val="009739DE"/>
    <w:rsid w:val="00973F90"/>
    <w:rsid w:val="00973FCA"/>
    <w:rsid w:val="00974168"/>
    <w:rsid w:val="0097498F"/>
    <w:rsid w:val="00975440"/>
    <w:rsid w:val="00975E1D"/>
    <w:rsid w:val="0097639D"/>
    <w:rsid w:val="00980125"/>
    <w:rsid w:val="009803D5"/>
    <w:rsid w:val="00980886"/>
    <w:rsid w:val="00980C8C"/>
    <w:rsid w:val="009818F9"/>
    <w:rsid w:val="009824C2"/>
    <w:rsid w:val="009836C3"/>
    <w:rsid w:val="00984584"/>
    <w:rsid w:val="00985AFF"/>
    <w:rsid w:val="00986C25"/>
    <w:rsid w:val="009874F1"/>
    <w:rsid w:val="009912EC"/>
    <w:rsid w:val="009934AC"/>
    <w:rsid w:val="009939D0"/>
    <w:rsid w:val="009951EF"/>
    <w:rsid w:val="00995AAA"/>
    <w:rsid w:val="00995DC5"/>
    <w:rsid w:val="00996079"/>
    <w:rsid w:val="00997004"/>
    <w:rsid w:val="0099717E"/>
    <w:rsid w:val="00997959"/>
    <w:rsid w:val="00997CBC"/>
    <w:rsid w:val="009A043D"/>
    <w:rsid w:val="009A05A4"/>
    <w:rsid w:val="009A1D9F"/>
    <w:rsid w:val="009A3074"/>
    <w:rsid w:val="009A5266"/>
    <w:rsid w:val="009A5718"/>
    <w:rsid w:val="009A643C"/>
    <w:rsid w:val="009A7786"/>
    <w:rsid w:val="009A7948"/>
    <w:rsid w:val="009B09D3"/>
    <w:rsid w:val="009B11CE"/>
    <w:rsid w:val="009B1752"/>
    <w:rsid w:val="009B21C8"/>
    <w:rsid w:val="009B2247"/>
    <w:rsid w:val="009B2511"/>
    <w:rsid w:val="009B2B9E"/>
    <w:rsid w:val="009B4297"/>
    <w:rsid w:val="009B518F"/>
    <w:rsid w:val="009B687C"/>
    <w:rsid w:val="009B6CB9"/>
    <w:rsid w:val="009B740F"/>
    <w:rsid w:val="009C0471"/>
    <w:rsid w:val="009C07A8"/>
    <w:rsid w:val="009C101F"/>
    <w:rsid w:val="009C18B5"/>
    <w:rsid w:val="009C55C6"/>
    <w:rsid w:val="009C572A"/>
    <w:rsid w:val="009C5C64"/>
    <w:rsid w:val="009C663C"/>
    <w:rsid w:val="009C6F2F"/>
    <w:rsid w:val="009C72FC"/>
    <w:rsid w:val="009C75B6"/>
    <w:rsid w:val="009D0196"/>
    <w:rsid w:val="009D1A43"/>
    <w:rsid w:val="009D1F69"/>
    <w:rsid w:val="009D23A6"/>
    <w:rsid w:val="009D2B3D"/>
    <w:rsid w:val="009D2D86"/>
    <w:rsid w:val="009D2FFA"/>
    <w:rsid w:val="009D2FFD"/>
    <w:rsid w:val="009D306D"/>
    <w:rsid w:val="009D36BF"/>
    <w:rsid w:val="009D3DBE"/>
    <w:rsid w:val="009D4878"/>
    <w:rsid w:val="009D4E03"/>
    <w:rsid w:val="009D5438"/>
    <w:rsid w:val="009D6FAD"/>
    <w:rsid w:val="009D781D"/>
    <w:rsid w:val="009E031D"/>
    <w:rsid w:val="009E0440"/>
    <w:rsid w:val="009E12E0"/>
    <w:rsid w:val="009E1536"/>
    <w:rsid w:val="009E1CCC"/>
    <w:rsid w:val="009E1D4B"/>
    <w:rsid w:val="009E1DB8"/>
    <w:rsid w:val="009E1E0D"/>
    <w:rsid w:val="009E1E9B"/>
    <w:rsid w:val="009E42BD"/>
    <w:rsid w:val="009E5882"/>
    <w:rsid w:val="009E6672"/>
    <w:rsid w:val="009E6BBD"/>
    <w:rsid w:val="009E7647"/>
    <w:rsid w:val="009F0CDE"/>
    <w:rsid w:val="009F15E2"/>
    <w:rsid w:val="009F1A7D"/>
    <w:rsid w:val="009F24A2"/>
    <w:rsid w:val="009F2592"/>
    <w:rsid w:val="009F2CC7"/>
    <w:rsid w:val="009F2FC3"/>
    <w:rsid w:val="009F3571"/>
    <w:rsid w:val="009F381A"/>
    <w:rsid w:val="009F485B"/>
    <w:rsid w:val="009F48CC"/>
    <w:rsid w:val="009F5C1C"/>
    <w:rsid w:val="009F7D33"/>
    <w:rsid w:val="009F7D9B"/>
    <w:rsid w:val="009F7F3A"/>
    <w:rsid w:val="00A00208"/>
    <w:rsid w:val="00A0021F"/>
    <w:rsid w:val="00A00819"/>
    <w:rsid w:val="00A012F9"/>
    <w:rsid w:val="00A02976"/>
    <w:rsid w:val="00A02D1D"/>
    <w:rsid w:val="00A02DD9"/>
    <w:rsid w:val="00A02F51"/>
    <w:rsid w:val="00A04686"/>
    <w:rsid w:val="00A04766"/>
    <w:rsid w:val="00A0583E"/>
    <w:rsid w:val="00A079AF"/>
    <w:rsid w:val="00A07CC6"/>
    <w:rsid w:val="00A10FC7"/>
    <w:rsid w:val="00A11135"/>
    <w:rsid w:val="00A11879"/>
    <w:rsid w:val="00A11895"/>
    <w:rsid w:val="00A11BCE"/>
    <w:rsid w:val="00A12207"/>
    <w:rsid w:val="00A14225"/>
    <w:rsid w:val="00A1768A"/>
    <w:rsid w:val="00A17B04"/>
    <w:rsid w:val="00A2054F"/>
    <w:rsid w:val="00A205DC"/>
    <w:rsid w:val="00A20F89"/>
    <w:rsid w:val="00A21F6C"/>
    <w:rsid w:val="00A222F6"/>
    <w:rsid w:val="00A225AF"/>
    <w:rsid w:val="00A2526F"/>
    <w:rsid w:val="00A255E0"/>
    <w:rsid w:val="00A25863"/>
    <w:rsid w:val="00A2654F"/>
    <w:rsid w:val="00A26B8E"/>
    <w:rsid w:val="00A26F45"/>
    <w:rsid w:val="00A270FB"/>
    <w:rsid w:val="00A2752E"/>
    <w:rsid w:val="00A308BA"/>
    <w:rsid w:val="00A30F9D"/>
    <w:rsid w:val="00A3138D"/>
    <w:rsid w:val="00A31538"/>
    <w:rsid w:val="00A315F9"/>
    <w:rsid w:val="00A31E44"/>
    <w:rsid w:val="00A32BCB"/>
    <w:rsid w:val="00A32C07"/>
    <w:rsid w:val="00A33A9B"/>
    <w:rsid w:val="00A33BE1"/>
    <w:rsid w:val="00A34BDE"/>
    <w:rsid w:val="00A35B0A"/>
    <w:rsid w:val="00A35B63"/>
    <w:rsid w:val="00A362B0"/>
    <w:rsid w:val="00A36649"/>
    <w:rsid w:val="00A42812"/>
    <w:rsid w:val="00A42F01"/>
    <w:rsid w:val="00A44A87"/>
    <w:rsid w:val="00A452D6"/>
    <w:rsid w:val="00A45CA7"/>
    <w:rsid w:val="00A45DE1"/>
    <w:rsid w:val="00A472D0"/>
    <w:rsid w:val="00A47C17"/>
    <w:rsid w:val="00A50C3D"/>
    <w:rsid w:val="00A50D34"/>
    <w:rsid w:val="00A5140D"/>
    <w:rsid w:val="00A519C8"/>
    <w:rsid w:val="00A51A7A"/>
    <w:rsid w:val="00A52263"/>
    <w:rsid w:val="00A526D1"/>
    <w:rsid w:val="00A537C5"/>
    <w:rsid w:val="00A5417D"/>
    <w:rsid w:val="00A55A1B"/>
    <w:rsid w:val="00A5616A"/>
    <w:rsid w:val="00A57179"/>
    <w:rsid w:val="00A57633"/>
    <w:rsid w:val="00A60F45"/>
    <w:rsid w:val="00A61ACC"/>
    <w:rsid w:val="00A6225A"/>
    <w:rsid w:val="00A62A99"/>
    <w:rsid w:val="00A62B70"/>
    <w:rsid w:val="00A63A82"/>
    <w:rsid w:val="00A64293"/>
    <w:rsid w:val="00A65439"/>
    <w:rsid w:val="00A660D3"/>
    <w:rsid w:val="00A6668D"/>
    <w:rsid w:val="00A66786"/>
    <w:rsid w:val="00A667EE"/>
    <w:rsid w:val="00A66C20"/>
    <w:rsid w:val="00A66C78"/>
    <w:rsid w:val="00A6751B"/>
    <w:rsid w:val="00A67701"/>
    <w:rsid w:val="00A67AD3"/>
    <w:rsid w:val="00A67D6E"/>
    <w:rsid w:val="00A70F68"/>
    <w:rsid w:val="00A70F76"/>
    <w:rsid w:val="00A72F5D"/>
    <w:rsid w:val="00A732B8"/>
    <w:rsid w:val="00A7367D"/>
    <w:rsid w:val="00A73FDF"/>
    <w:rsid w:val="00A746CD"/>
    <w:rsid w:val="00A76408"/>
    <w:rsid w:val="00A7671A"/>
    <w:rsid w:val="00A7701E"/>
    <w:rsid w:val="00A77756"/>
    <w:rsid w:val="00A7778C"/>
    <w:rsid w:val="00A804A3"/>
    <w:rsid w:val="00A80783"/>
    <w:rsid w:val="00A80BE2"/>
    <w:rsid w:val="00A80E4F"/>
    <w:rsid w:val="00A80F19"/>
    <w:rsid w:val="00A81124"/>
    <w:rsid w:val="00A81189"/>
    <w:rsid w:val="00A82BFC"/>
    <w:rsid w:val="00A83147"/>
    <w:rsid w:val="00A83419"/>
    <w:rsid w:val="00A83C0D"/>
    <w:rsid w:val="00A84289"/>
    <w:rsid w:val="00A84739"/>
    <w:rsid w:val="00A85D9F"/>
    <w:rsid w:val="00A86899"/>
    <w:rsid w:val="00A86C69"/>
    <w:rsid w:val="00A87C71"/>
    <w:rsid w:val="00A90749"/>
    <w:rsid w:val="00A9167B"/>
    <w:rsid w:val="00A91C08"/>
    <w:rsid w:val="00A927B9"/>
    <w:rsid w:val="00A930B3"/>
    <w:rsid w:val="00A934EF"/>
    <w:rsid w:val="00A93964"/>
    <w:rsid w:val="00A968B0"/>
    <w:rsid w:val="00A9759F"/>
    <w:rsid w:val="00A97BC8"/>
    <w:rsid w:val="00A97C86"/>
    <w:rsid w:val="00A97E40"/>
    <w:rsid w:val="00AA00C0"/>
    <w:rsid w:val="00AA1312"/>
    <w:rsid w:val="00AA1937"/>
    <w:rsid w:val="00AA2207"/>
    <w:rsid w:val="00AA577F"/>
    <w:rsid w:val="00AA6586"/>
    <w:rsid w:val="00AA6B59"/>
    <w:rsid w:val="00AA7122"/>
    <w:rsid w:val="00AA759F"/>
    <w:rsid w:val="00AA796C"/>
    <w:rsid w:val="00AB02E1"/>
    <w:rsid w:val="00AB0B69"/>
    <w:rsid w:val="00AB1610"/>
    <w:rsid w:val="00AB3114"/>
    <w:rsid w:val="00AB3496"/>
    <w:rsid w:val="00AB363F"/>
    <w:rsid w:val="00AB4288"/>
    <w:rsid w:val="00AB4AD4"/>
    <w:rsid w:val="00AB4B5B"/>
    <w:rsid w:val="00AB5839"/>
    <w:rsid w:val="00AB5AFE"/>
    <w:rsid w:val="00AB5E95"/>
    <w:rsid w:val="00AB75CA"/>
    <w:rsid w:val="00AB7AC3"/>
    <w:rsid w:val="00AC09EC"/>
    <w:rsid w:val="00AC0DE2"/>
    <w:rsid w:val="00AC14A8"/>
    <w:rsid w:val="00AC257F"/>
    <w:rsid w:val="00AC3019"/>
    <w:rsid w:val="00AC3800"/>
    <w:rsid w:val="00AC3B6F"/>
    <w:rsid w:val="00AC4123"/>
    <w:rsid w:val="00AC4FFC"/>
    <w:rsid w:val="00AC5491"/>
    <w:rsid w:val="00AC58CC"/>
    <w:rsid w:val="00AC6956"/>
    <w:rsid w:val="00AD09E3"/>
    <w:rsid w:val="00AD0A38"/>
    <w:rsid w:val="00AD22A8"/>
    <w:rsid w:val="00AD30E3"/>
    <w:rsid w:val="00AD3755"/>
    <w:rsid w:val="00AD41A2"/>
    <w:rsid w:val="00AD5A15"/>
    <w:rsid w:val="00AD675D"/>
    <w:rsid w:val="00AD687D"/>
    <w:rsid w:val="00AD6951"/>
    <w:rsid w:val="00AD6984"/>
    <w:rsid w:val="00AD6B05"/>
    <w:rsid w:val="00AD72D8"/>
    <w:rsid w:val="00AD782E"/>
    <w:rsid w:val="00AD79AA"/>
    <w:rsid w:val="00AD7C56"/>
    <w:rsid w:val="00AE153D"/>
    <w:rsid w:val="00AE1833"/>
    <w:rsid w:val="00AE27B2"/>
    <w:rsid w:val="00AE49CB"/>
    <w:rsid w:val="00AE4DC5"/>
    <w:rsid w:val="00AE550D"/>
    <w:rsid w:val="00AE62EC"/>
    <w:rsid w:val="00AE6415"/>
    <w:rsid w:val="00AE664D"/>
    <w:rsid w:val="00AE7404"/>
    <w:rsid w:val="00AE7ABE"/>
    <w:rsid w:val="00AF01B3"/>
    <w:rsid w:val="00AF0877"/>
    <w:rsid w:val="00AF0D30"/>
    <w:rsid w:val="00AF0DA0"/>
    <w:rsid w:val="00AF146C"/>
    <w:rsid w:val="00AF162C"/>
    <w:rsid w:val="00AF1C86"/>
    <w:rsid w:val="00AF3D96"/>
    <w:rsid w:val="00AF4156"/>
    <w:rsid w:val="00AF4776"/>
    <w:rsid w:val="00AF4785"/>
    <w:rsid w:val="00AF482D"/>
    <w:rsid w:val="00AF5043"/>
    <w:rsid w:val="00AF57E8"/>
    <w:rsid w:val="00AF6578"/>
    <w:rsid w:val="00AF6649"/>
    <w:rsid w:val="00AF66D4"/>
    <w:rsid w:val="00AF6C68"/>
    <w:rsid w:val="00AF7AF7"/>
    <w:rsid w:val="00AF7FA7"/>
    <w:rsid w:val="00B00E90"/>
    <w:rsid w:val="00B0194D"/>
    <w:rsid w:val="00B02B59"/>
    <w:rsid w:val="00B0329B"/>
    <w:rsid w:val="00B03B1B"/>
    <w:rsid w:val="00B03BC2"/>
    <w:rsid w:val="00B0514A"/>
    <w:rsid w:val="00B0530D"/>
    <w:rsid w:val="00B057B8"/>
    <w:rsid w:val="00B05800"/>
    <w:rsid w:val="00B06437"/>
    <w:rsid w:val="00B06985"/>
    <w:rsid w:val="00B06B6D"/>
    <w:rsid w:val="00B06E81"/>
    <w:rsid w:val="00B0762D"/>
    <w:rsid w:val="00B107F5"/>
    <w:rsid w:val="00B11A13"/>
    <w:rsid w:val="00B123D1"/>
    <w:rsid w:val="00B124A9"/>
    <w:rsid w:val="00B14970"/>
    <w:rsid w:val="00B15445"/>
    <w:rsid w:val="00B156F2"/>
    <w:rsid w:val="00B163A1"/>
    <w:rsid w:val="00B16652"/>
    <w:rsid w:val="00B173C5"/>
    <w:rsid w:val="00B1798C"/>
    <w:rsid w:val="00B17D76"/>
    <w:rsid w:val="00B17F23"/>
    <w:rsid w:val="00B20099"/>
    <w:rsid w:val="00B20AD8"/>
    <w:rsid w:val="00B20F54"/>
    <w:rsid w:val="00B22426"/>
    <w:rsid w:val="00B23E90"/>
    <w:rsid w:val="00B246FB"/>
    <w:rsid w:val="00B257E9"/>
    <w:rsid w:val="00B26686"/>
    <w:rsid w:val="00B26E75"/>
    <w:rsid w:val="00B27727"/>
    <w:rsid w:val="00B27C61"/>
    <w:rsid w:val="00B30272"/>
    <w:rsid w:val="00B308F0"/>
    <w:rsid w:val="00B30E02"/>
    <w:rsid w:val="00B310E5"/>
    <w:rsid w:val="00B32BCB"/>
    <w:rsid w:val="00B34A01"/>
    <w:rsid w:val="00B350CD"/>
    <w:rsid w:val="00B354E7"/>
    <w:rsid w:val="00B355F9"/>
    <w:rsid w:val="00B35870"/>
    <w:rsid w:val="00B36262"/>
    <w:rsid w:val="00B3693D"/>
    <w:rsid w:val="00B3785F"/>
    <w:rsid w:val="00B37AF8"/>
    <w:rsid w:val="00B37F83"/>
    <w:rsid w:val="00B40030"/>
    <w:rsid w:val="00B40AB3"/>
    <w:rsid w:val="00B413E3"/>
    <w:rsid w:val="00B421C8"/>
    <w:rsid w:val="00B42377"/>
    <w:rsid w:val="00B42816"/>
    <w:rsid w:val="00B42DAE"/>
    <w:rsid w:val="00B44079"/>
    <w:rsid w:val="00B44195"/>
    <w:rsid w:val="00B458A9"/>
    <w:rsid w:val="00B45C66"/>
    <w:rsid w:val="00B47345"/>
    <w:rsid w:val="00B511BF"/>
    <w:rsid w:val="00B518C9"/>
    <w:rsid w:val="00B52443"/>
    <w:rsid w:val="00B52476"/>
    <w:rsid w:val="00B536C9"/>
    <w:rsid w:val="00B5390C"/>
    <w:rsid w:val="00B53CBD"/>
    <w:rsid w:val="00B53F27"/>
    <w:rsid w:val="00B5414D"/>
    <w:rsid w:val="00B54226"/>
    <w:rsid w:val="00B55B4B"/>
    <w:rsid w:val="00B5627E"/>
    <w:rsid w:val="00B569FE"/>
    <w:rsid w:val="00B573B1"/>
    <w:rsid w:val="00B57494"/>
    <w:rsid w:val="00B57D53"/>
    <w:rsid w:val="00B60304"/>
    <w:rsid w:val="00B60481"/>
    <w:rsid w:val="00B607E5"/>
    <w:rsid w:val="00B611CD"/>
    <w:rsid w:val="00B61FB7"/>
    <w:rsid w:val="00B62A45"/>
    <w:rsid w:val="00B62EFB"/>
    <w:rsid w:val="00B643AD"/>
    <w:rsid w:val="00B64647"/>
    <w:rsid w:val="00B64653"/>
    <w:rsid w:val="00B65C7A"/>
    <w:rsid w:val="00B70769"/>
    <w:rsid w:val="00B70EF8"/>
    <w:rsid w:val="00B70F07"/>
    <w:rsid w:val="00B7111A"/>
    <w:rsid w:val="00B71809"/>
    <w:rsid w:val="00B71944"/>
    <w:rsid w:val="00B71B03"/>
    <w:rsid w:val="00B720E3"/>
    <w:rsid w:val="00B72BE7"/>
    <w:rsid w:val="00B72D55"/>
    <w:rsid w:val="00B73147"/>
    <w:rsid w:val="00B731AC"/>
    <w:rsid w:val="00B734F1"/>
    <w:rsid w:val="00B73637"/>
    <w:rsid w:val="00B7363E"/>
    <w:rsid w:val="00B73DF2"/>
    <w:rsid w:val="00B76457"/>
    <w:rsid w:val="00B76B72"/>
    <w:rsid w:val="00B776BE"/>
    <w:rsid w:val="00B778E8"/>
    <w:rsid w:val="00B77B40"/>
    <w:rsid w:val="00B807DD"/>
    <w:rsid w:val="00B80C57"/>
    <w:rsid w:val="00B81681"/>
    <w:rsid w:val="00B81D3F"/>
    <w:rsid w:val="00B823CB"/>
    <w:rsid w:val="00B824D5"/>
    <w:rsid w:val="00B83624"/>
    <w:rsid w:val="00B83AEF"/>
    <w:rsid w:val="00B84D3E"/>
    <w:rsid w:val="00B854CE"/>
    <w:rsid w:val="00B86BB8"/>
    <w:rsid w:val="00B86FCD"/>
    <w:rsid w:val="00B87744"/>
    <w:rsid w:val="00B87A4D"/>
    <w:rsid w:val="00B902EA"/>
    <w:rsid w:val="00B91877"/>
    <w:rsid w:val="00B93EE8"/>
    <w:rsid w:val="00B9495D"/>
    <w:rsid w:val="00B94BFA"/>
    <w:rsid w:val="00B971EB"/>
    <w:rsid w:val="00B976B6"/>
    <w:rsid w:val="00B97DBE"/>
    <w:rsid w:val="00BA00C6"/>
    <w:rsid w:val="00BA07D0"/>
    <w:rsid w:val="00BA0BEF"/>
    <w:rsid w:val="00BA0D99"/>
    <w:rsid w:val="00BA1284"/>
    <w:rsid w:val="00BA2763"/>
    <w:rsid w:val="00BA29F1"/>
    <w:rsid w:val="00BA2E66"/>
    <w:rsid w:val="00BA4E85"/>
    <w:rsid w:val="00BA6D3F"/>
    <w:rsid w:val="00BB07DE"/>
    <w:rsid w:val="00BB08C0"/>
    <w:rsid w:val="00BB197C"/>
    <w:rsid w:val="00BB1EA8"/>
    <w:rsid w:val="00BB214B"/>
    <w:rsid w:val="00BB260A"/>
    <w:rsid w:val="00BB2AB8"/>
    <w:rsid w:val="00BB2F23"/>
    <w:rsid w:val="00BB373D"/>
    <w:rsid w:val="00BB3754"/>
    <w:rsid w:val="00BB382E"/>
    <w:rsid w:val="00BB4D2F"/>
    <w:rsid w:val="00BB7A21"/>
    <w:rsid w:val="00BC0C26"/>
    <w:rsid w:val="00BC2069"/>
    <w:rsid w:val="00BC2427"/>
    <w:rsid w:val="00BC2F03"/>
    <w:rsid w:val="00BC33A9"/>
    <w:rsid w:val="00BC3DD2"/>
    <w:rsid w:val="00BC3F47"/>
    <w:rsid w:val="00BC4582"/>
    <w:rsid w:val="00BC70B4"/>
    <w:rsid w:val="00BD1152"/>
    <w:rsid w:val="00BD1781"/>
    <w:rsid w:val="00BD3A96"/>
    <w:rsid w:val="00BD3BFF"/>
    <w:rsid w:val="00BD3D0F"/>
    <w:rsid w:val="00BD40E8"/>
    <w:rsid w:val="00BD464D"/>
    <w:rsid w:val="00BD4EE8"/>
    <w:rsid w:val="00BD5E45"/>
    <w:rsid w:val="00BD657F"/>
    <w:rsid w:val="00BD673E"/>
    <w:rsid w:val="00BD6BA3"/>
    <w:rsid w:val="00BD7161"/>
    <w:rsid w:val="00BD7D07"/>
    <w:rsid w:val="00BE006C"/>
    <w:rsid w:val="00BE066C"/>
    <w:rsid w:val="00BE239B"/>
    <w:rsid w:val="00BE2F20"/>
    <w:rsid w:val="00BE30A8"/>
    <w:rsid w:val="00BE3587"/>
    <w:rsid w:val="00BE46E5"/>
    <w:rsid w:val="00BE49E7"/>
    <w:rsid w:val="00BE4D52"/>
    <w:rsid w:val="00BE59DE"/>
    <w:rsid w:val="00BE6444"/>
    <w:rsid w:val="00BE66CE"/>
    <w:rsid w:val="00BE6995"/>
    <w:rsid w:val="00BE7183"/>
    <w:rsid w:val="00BF0714"/>
    <w:rsid w:val="00BF0874"/>
    <w:rsid w:val="00BF0D8B"/>
    <w:rsid w:val="00BF0F98"/>
    <w:rsid w:val="00BF10AC"/>
    <w:rsid w:val="00BF2C46"/>
    <w:rsid w:val="00BF4768"/>
    <w:rsid w:val="00BF52B1"/>
    <w:rsid w:val="00BF55A2"/>
    <w:rsid w:val="00BF62EE"/>
    <w:rsid w:val="00C00807"/>
    <w:rsid w:val="00C04131"/>
    <w:rsid w:val="00C048F1"/>
    <w:rsid w:val="00C04EF5"/>
    <w:rsid w:val="00C05764"/>
    <w:rsid w:val="00C05821"/>
    <w:rsid w:val="00C06A79"/>
    <w:rsid w:val="00C06FEC"/>
    <w:rsid w:val="00C07CF7"/>
    <w:rsid w:val="00C1012C"/>
    <w:rsid w:val="00C11122"/>
    <w:rsid w:val="00C11FAE"/>
    <w:rsid w:val="00C121B5"/>
    <w:rsid w:val="00C12414"/>
    <w:rsid w:val="00C1361D"/>
    <w:rsid w:val="00C13E95"/>
    <w:rsid w:val="00C14594"/>
    <w:rsid w:val="00C15158"/>
    <w:rsid w:val="00C15902"/>
    <w:rsid w:val="00C15D0C"/>
    <w:rsid w:val="00C15D3D"/>
    <w:rsid w:val="00C15DDE"/>
    <w:rsid w:val="00C15E6C"/>
    <w:rsid w:val="00C16542"/>
    <w:rsid w:val="00C1719D"/>
    <w:rsid w:val="00C17479"/>
    <w:rsid w:val="00C177AB"/>
    <w:rsid w:val="00C17C79"/>
    <w:rsid w:val="00C17DC1"/>
    <w:rsid w:val="00C20231"/>
    <w:rsid w:val="00C205E7"/>
    <w:rsid w:val="00C20C69"/>
    <w:rsid w:val="00C210F6"/>
    <w:rsid w:val="00C2129E"/>
    <w:rsid w:val="00C21768"/>
    <w:rsid w:val="00C21AB2"/>
    <w:rsid w:val="00C21FCF"/>
    <w:rsid w:val="00C22DFD"/>
    <w:rsid w:val="00C22ECC"/>
    <w:rsid w:val="00C23441"/>
    <w:rsid w:val="00C236DB"/>
    <w:rsid w:val="00C23C16"/>
    <w:rsid w:val="00C2418D"/>
    <w:rsid w:val="00C24836"/>
    <w:rsid w:val="00C25196"/>
    <w:rsid w:val="00C257D6"/>
    <w:rsid w:val="00C25C02"/>
    <w:rsid w:val="00C25D72"/>
    <w:rsid w:val="00C2722A"/>
    <w:rsid w:val="00C30920"/>
    <w:rsid w:val="00C3122E"/>
    <w:rsid w:val="00C31521"/>
    <w:rsid w:val="00C317D4"/>
    <w:rsid w:val="00C31994"/>
    <w:rsid w:val="00C31D8B"/>
    <w:rsid w:val="00C32061"/>
    <w:rsid w:val="00C3285A"/>
    <w:rsid w:val="00C32B45"/>
    <w:rsid w:val="00C33672"/>
    <w:rsid w:val="00C33701"/>
    <w:rsid w:val="00C33FFF"/>
    <w:rsid w:val="00C34359"/>
    <w:rsid w:val="00C346C4"/>
    <w:rsid w:val="00C34A17"/>
    <w:rsid w:val="00C353A7"/>
    <w:rsid w:val="00C3548B"/>
    <w:rsid w:val="00C36FE8"/>
    <w:rsid w:val="00C37BBC"/>
    <w:rsid w:val="00C403E0"/>
    <w:rsid w:val="00C4041A"/>
    <w:rsid w:val="00C407E1"/>
    <w:rsid w:val="00C411B1"/>
    <w:rsid w:val="00C415D6"/>
    <w:rsid w:val="00C4186E"/>
    <w:rsid w:val="00C41EA5"/>
    <w:rsid w:val="00C41ED0"/>
    <w:rsid w:val="00C421CC"/>
    <w:rsid w:val="00C423C8"/>
    <w:rsid w:val="00C43636"/>
    <w:rsid w:val="00C43B38"/>
    <w:rsid w:val="00C43CC2"/>
    <w:rsid w:val="00C44433"/>
    <w:rsid w:val="00C444DB"/>
    <w:rsid w:val="00C44ACD"/>
    <w:rsid w:val="00C44F50"/>
    <w:rsid w:val="00C45026"/>
    <w:rsid w:val="00C4506E"/>
    <w:rsid w:val="00C452FD"/>
    <w:rsid w:val="00C45A6C"/>
    <w:rsid w:val="00C469A3"/>
    <w:rsid w:val="00C47B31"/>
    <w:rsid w:val="00C47CD4"/>
    <w:rsid w:val="00C51B78"/>
    <w:rsid w:val="00C52239"/>
    <w:rsid w:val="00C53023"/>
    <w:rsid w:val="00C53107"/>
    <w:rsid w:val="00C53987"/>
    <w:rsid w:val="00C552C4"/>
    <w:rsid w:val="00C55668"/>
    <w:rsid w:val="00C55BB9"/>
    <w:rsid w:val="00C55BCD"/>
    <w:rsid w:val="00C563DF"/>
    <w:rsid w:val="00C568F1"/>
    <w:rsid w:val="00C57935"/>
    <w:rsid w:val="00C612D5"/>
    <w:rsid w:val="00C61805"/>
    <w:rsid w:val="00C627D0"/>
    <w:rsid w:val="00C62EFE"/>
    <w:rsid w:val="00C636B1"/>
    <w:rsid w:val="00C638B6"/>
    <w:rsid w:val="00C63BC8"/>
    <w:rsid w:val="00C64944"/>
    <w:rsid w:val="00C650B0"/>
    <w:rsid w:val="00C66231"/>
    <w:rsid w:val="00C66630"/>
    <w:rsid w:val="00C678EC"/>
    <w:rsid w:val="00C71496"/>
    <w:rsid w:val="00C72268"/>
    <w:rsid w:val="00C7280D"/>
    <w:rsid w:val="00C73066"/>
    <w:rsid w:val="00C73788"/>
    <w:rsid w:val="00C73FE5"/>
    <w:rsid w:val="00C74163"/>
    <w:rsid w:val="00C74820"/>
    <w:rsid w:val="00C7543D"/>
    <w:rsid w:val="00C7562A"/>
    <w:rsid w:val="00C75803"/>
    <w:rsid w:val="00C75901"/>
    <w:rsid w:val="00C75F93"/>
    <w:rsid w:val="00C76489"/>
    <w:rsid w:val="00C76674"/>
    <w:rsid w:val="00C76DEC"/>
    <w:rsid w:val="00C77180"/>
    <w:rsid w:val="00C779FC"/>
    <w:rsid w:val="00C8064A"/>
    <w:rsid w:val="00C80A9E"/>
    <w:rsid w:val="00C80E69"/>
    <w:rsid w:val="00C831C1"/>
    <w:rsid w:val="00C83B32"/>
    <w:rsid w:val="00C83C05"/>
    <w:rsid w:val="00C8459A"/>
    <w:rsid w:val="00C84686"/>
    <w:rsid w:val="00C84A76"/>
    <w:rsid w:val="00C85455"/>
    <w:rsid w:val="00C85D56"/>
    <w:rsid w:val="00C8695C"/>
    <w:rsid w:val="00C86A1E"/>
    <w:rsid w:val="00C873EC"/>
    <w:rsid w:val="00C87A02"/>
    <w:rsid w:val="00C90AA3"/>
    <w:rsid w:val="00C91009"/>
    <w:rsid w:val="00C92092"/>
    <w:rsid w:val="00C93E54"/>
    <w:rsid w:val="00C944EC"/>
    <w:rsid w:val="00C9544A"/>
    <w:rsid w:val="00C9546A"/>
    <w:rsid w:val="00C954B8"/>
    <w:rsid w:val="00C976DB"/>
    <w:rsid w:val="00C97A25"/>
    <w:rsid w:val="00C97AD8"/>
    <w:rsid w:val="00C97B57"/>
    <w:rsid w:val="00CA0216"/>
    <w:rsid w:val="00CA116A"/>
    <w:rsid w:val="00CA1AB8"/>
    <w:rsid w:val="00CA2256"/>
    <w:rsid w:val="00CA2A44"/>
    <w:rsid w:val="00CA3B73"/>
    <w:rsid w:val="00CA4831"/>
    <w:rsid w:val="00CA5A8E"/>
    <w:rsid w:val="00CA5AAB"/>
    <w:rsid w:val="00CA5AFD"/>
    <w:rsid w:val="00CA5FFC"/>
    <w:rsid w:val="00CA63F7"/>
    <w:rsid w:val="00CA6FE8"/>
    <w:rsid w:val="00CA716C"/>
    <w:rsid w:val="00CB1A48"/>
    <w:rsid w:val="00CB1D4E"/>
    <w:rsid w:val="00CB1F48"/>
    <w:rsid w:val="00CB2A50"/>
    <w:rsid w:val="00CB30E3"/>
    <w:rsid w:val="00CB3253"/>
    <w:rsid w:val="00CB458A"/>
    <w:rsid w:val="00CB5376"/>
    <w:rsid w:val="00CB5414"/>
    <w:rsid w:val="00CB60AA"/>
    <w:rsid w:val="00CB70B5"/>
    <w:rsid w:val="00CB70BC"/>
    <w:rsid w:val="00CB7458"/>
    <w:rsid w:val="00CB7854"/>
    <w:rsid w:val="00CC12DB"/>
    <w:rsid w:val="00CC15EE"/>
    <w:rsid w:val="00CC1642"/>
    <w:rsid w:val="00CC25D1"/>
    <w:rsid w:val="00CC2CA6"/>
    <w:rsid w:val="00CC3786"/>
    <w:rsid w:val="00CC4173"/>
    <w:rsid w:val="00CC4893"/>
    <w:rsid w:val="00CC55DA"/>
    <w:rsid w:val="00CC577C"/>
    <w:rsid w:val="00CC746D"/>
    <w:rsid w:val="00CD0556"/>
    <w:rsid w:val="00CD2750"/>
    <w:rsid w:val="00CD32B0"/>
    <w:rsid w:val="00CD4085"/>
    <w:rsid w:val="00CD591E"/>
    <w:rsid w:val="00CD5AA9"/>
    <w:rsid w:val="00CD68F0"/>
    <w:rsid w:val="00CD6B0E"/>
    <w:rsid w:val="00CD6F56"/>
    <w:rsid w:val="00CE01BB"/>
    <w:rsid w:val="00CE1114"/>
    <w:rsid w:val="00CE14AC"/>
    <w:rsid w:val="00CE1C60"/>
    <w:rsid w:val="00CE2E27"/>
    <w:rsid w:val="00CE4FBB"/>
    <w:rsid w:val="00CE527D"/>
    <w:rsid w:val="00CE5315"/>
    <w:rsid w:val="00CE56A1"/>
    <w:rsid w:val="00CE60FE"/>
    <w:rsid w:val="00CE698F"/>
    <w:rsid w:val="00CE7BA8"/>
    <w:rsid w:val="00CE7E7E"/>
    <w:rsid w:val="00CF055E"/>
    <w:rsid w:val="00CF1D4C"/>
    <w:rsid w:val="00CF1FA9"/>
    <w:rsid w:val="00CF21C3"/>
    <w:rsid w:val="00CF2360"/>
    <w:rsid w:val="00CF26E2"/>
    <w:rsid w:val="00CF26F4"/>
    <w:rsid w:val="00CF2D51"/>
    <w:rsid w:val="00CF2D78"/>
    <w:rsid w:val="00CF3069"/>
    <w:rsid w:val="00CF5160"/>
    <w:rsid w:val="00CF5265"/>
    <w:rsid w:val="00CF53A9"/>
    <w:rsid w:val="00CF65F4"/>
    <w:rsid w:val="00CF6A12"/>
    <w:rsid w:val="00CF6D63"/>
    <w:rsid w:val="00CF70A9"/>
    <w:rsid w:val="00CF72CE"/>
    <w:rsid w:val="00CF7975"/>
    <w:rsid w:val="00CF7ECF"/>
    <w:rsid w:val="00D0060E"/>
    <w:rsid w:val="00D01C1F"/>
    <w:rsid w:val="00D01CA2"/>
    <w:rsid w:val="00D02015"/>
    <w:rsid w:val="00D026FF"/>
    <w:rsid w:val="00D02750"/>
    <w:rsid w:val="00D0369B"/>
    <w:rsid w:val="00D03824"/>
    <w:rsid w:val="00D03E20"/>
    <w:rsid w:val="00D042CC"/>
    <w:rsid w:val="00D04FB6"/>
    <w:rsid w:val="00D04FD8"/>
    <w:rsid w:val="00D05614"/>
    <w:rsid w:val="00D058DE"/>
    <w:rsid w:val="00D05A36"/>
    <w:rsid w:val="00D07D2C"/>
    <w:rsid w:val="00D10294"/>
    <w:rsid w:val="00D104FE"/>
    <w:rsid w:val="00D11B2D"/>
    <w:rsid w:val="00D11DE2"/>
    <w:rsid w:val="00D1234B"/>
    <w:rsid w:val="00D12A5F"/>
    <w:rsid w:val="00D12FF1"/>
    <w:rsid w:val="00D132C0"/>
    <w:rsid w:val="00D15404"/>
    <w:rsid w:val="00D15A94"/>
    <w:rsid w:val="00D16C2A"/>
    <w:rsid w:val="00D16C35"/>
    <w:rsid w:val="00D16F60"/>
    <w:rsid w:val="00D17295"/>
    <w:rsid w:val="00D17498"/>
    <w:rsid w:val="00D17E9B"/>
    <w:rsid w:val="00D20D94"/>
    <w:rsid w:val="00D216B0"/>
    <w:rsid w:val="00D21B2A"/>
    <w:rsid w:val="00D220D7"/>
    <w:rsid w:val="00D2298E"/>
    <w:rsid w:val="00D23EBA"/>
    <w:rsid w:val="00D24106"/>
    <w:rsid w:val="00D24194"/>
    <w:rsid w:val="00D24E69"/>
    <w:rsid w:val="00D270A3"/>
    <w:rsid w:val="00D272AE"/>
    <w:rsid w:val="00D27BE4"/>
    <w:rsid w:val="00D30841"/>
    <w:rsid w:val="00D309C0"/>
    <w:rsid w:val="00D31C27"/>
    <w:rsid w:val="00D31E86"/>
    <w:rsid w:val="00D32A94"/>
    <w:rsid w:val="00D32EB3"/>
    <w:rsid w:val="00D33228"/>
    <w:rsid w:val="00D33F7B"/>
    <w:rsid w:val="00D3446C"/>
    <w:rsid w:val="00D34742"/>
    <w:rsid w:val="00D34C40"/>
    <w:rsid w:val="00D353C3"/>
    <w:rsid w:val="00D35727"/>
    <w:rsid w:val="00D35B03"/>
    <w:rsid w:val="00D36C99"/>
    <w:rsid w:val="00D37025"/>
    <w:rsid w:val="00D37D8F"/>
    <w:rsid w:val="00D402F3"/>
    <w:rsid w:val="00D40B61"/>
    <w:rsid w:val="00D41297"/>
    <w:rsid w:val="00D41A77"/>
    <w:rsid w:val="00D41CA8"/>
    <w:rsid w:val="00D42B6D"/>
    <w:rsid w:val="00D44F26"/>
    <w:rsid w:val="00D45028"/>
    <w:rsid w:val="00D452F5"/>
    <w:rsid w:val="00D453F3"/>
    <w:rsid w:val="00D4545A"/>
    <w:rsid w:val="00D461C1"/>
    <w:rsid w:val="00D462AA"/>
    <w:rsid w:val="00D4713B"/>
    <w:rsid w:val="00D47463"/>
    <w:rsid w:val="00D4789A"/>
    <w:rsid w:val="00D502C7"/>
    <w:rsid w:val="00D50422"/>
    <w:rsid w:val="00D50C03"/>
    <w:rsid w:val="00D50D2A"/>
    <w:rsid w:val="00D51FFC"/>
    <w:rsid w:val="00D530EB"/>
    <w:rsid w:val="00D53396"/>
    <w:rsid w:val="00D53967"/>
    <w:rsid w:val="00D546FC"/>
    <w:rsid w:val="00D54991"/>
    <w:rsid w:val="00D55FE4"/>
    <w:rsid w:val="00D574C0"/>
    <w:rsid w:val="00D57EF5"/>
    <w:rsid w:val="00D606E3"/>
    <w:rsid w:val="00D61726"/>
    <w:rsid w:val="00D61AEC"/>
    <w:rsid w:val="00D62DF8"/>
    <w:rsid w:val="00D634B8"/>
    <w:rsid w:val="00D6685E"/>
    <w:rsid w:val="00D668C6"/>
    <w:rsid w:val="00D671E4"/>
    <w:rsid w:val="00D674E3"/>
    <w:rsid w:val="00D67832"/>
    <w:rsid w:val="00D67CAF"/>
    <w:rsid w:val="00D67CF1"/>
    <w:rsid w:val="00D7028B"/>
    <w:rsid w:val="00D71465"/>
    <w:rsid w:val="00D723B5"/>
    <w:rsid w:val="00D7243C"/>
    <w:rsid w:val="00D727C8"/>
    <w:rsid w:val="00D73437"/>
    <w:rsid w:val="00D73BAB"/>
    <w:rsid w:val="00D74186"/>
    <w:rsid w:val="00D746BC"/>
    <w:rsid w:val="00D74710"/>
    <w:rsid w:val="00D747B3"/>
    <w:rsid w:val="00D75557"/>
    <w:rsid w:val="00D75D1D"/>
    <w:rsid w:val="00D76899"/>
    <w:rsid w:val="00D76A8F"/>
    <w:rsid w:val="00D776C8"/>
    <w:rsid w:val="00D8086D"/>
    <w:rsid w:val="00D80AB7"/>
    <w:rsid w:val="00D80C1D"/>
    <w:rsid w:val="00D80F88"/>
    <w:rsid w:val="00D81102"/>
    <w:rsid w:val="00D82B28"/>
    <w:rsid w:val="00D83500"/>
    <w:rsid w:val="00D8398F"/>
    <w:rsid w:val="00D83E0A"/>
    <w:rsid w:val="00D84161"/>
    <w:rsid w:val="00D84F3F"/>
    <w:rsid w:val="00D85A31"/>
    <w:rsid w:val="00D85B2A"/>
    <w:rsid w:val="00D86D22"/>
    <w:rsid w:val="00D86E89"/>
    <w:rsid w:val="00D87EFF"/>
    <w:rsid w:val="00D90949"/>
    <w:rsid w:val="00D90CAE"/>
    <w:rsid w:val="00D91322"/>
    <w:rsid w:val="00D91630"/>
    <w:rsid w:val="00D930B3"/>
    <w:rsid w:val="00D9343F"/>
    <w:rsid w:val="00D94AC1"/>
    <w:rsid w:val="00D958E8"/>
    <w:rsid w:val="00D9600A"/>
    <w:rsid w:val="00D96EC8"/>
    <w:rsid w:val="00D97812"/>
    <w:rsid w:val="00D97949"/>
    <w:rsid w:val="00D97FEA"/>
    <w:rsid w:val="00DA02C9"/>
    <w:rsid w:val="00DA0FF7"/>
    <w:rsid w:val="00DA13CB"/>
    <w:rsid w:val="00DA1449"/>
    <w:rsid w:val="00DA1581"/>
    <w:rsid w:val="00DA1642"/>
    <w:rsid w:val="00DA1E57"/>
    <w:rsid w:val="00DA20FF"/>
    <w:rsid w:val="00DA46CC"/>
    <w:rsid w:val="00DA4DAB"/>
    <w:rsid w:val="00DA5345"/>
    <w:rsid w:val="00DA5902"/>
    <w:rsid w:val="00DA6D5A"/>
    <w:rsid w:val="00DA6E11"/>
    <w:rsid w:val="00DA77DF"/>
    <w:rsid w:val="00DA7F60"/>
    <w:rsid w:val="00DB0B65"/>
    <w:rsid w:val="00DB14D0"/>
    <w:rsid w:val="00DB16D9"/>
    <w:rsid w:val="00DB1DC8"/>
    <w:rsid w:val="00DB226F"/>
    <w:rsid w:val="00DB33F3"/>
    <w:rsid w:val="00DB3CB0"/>
    <w:rsid w:val="00DB495F"/>
    <w:rsid w:val="00DB6AD1"/>
    <w:rsid w:val="00DB77AF"/>
    <w:rsid w:val="00DC17C7"/>
    <w:rsid w:val="00DC2C8A"/>
    <w:rsid w:val="00DC3092"/>
    <w:rsid w:val="00DC31D2"/>
    <w:rsid w:val="00DC3326"/>
    <w:rsid w:val="00DC3714"/>
    <w:rsid w:val="00DC392A"/>
    <w:rsid w:val="00DC4C7A"/>
    <w:rsid w:val="00DC55D6"/>
    <w:rsid w:val="00DC6CA1"/>
    <w:rsid w:val="00DC6F73"/>
    <w:rsid w:val="00DC74D8"/>
    <w:rsid w:val="00DC7EFB"/>
    <w:rsid w:val="00DD00BC"/>
    <w:rsid w:val="00DD1DE3"/>
    <w:rsid w:val="00DD270A"/>
    <w:rsid w:val="00DD2741"/>
    <w:rsid w:val="00DD2EE5"/>
    <w:rsid w:val="00DD36F2"/>
    <w:rsid w:val="00DD372B"/>
    <w:rsid w:val="00DD43DC"/>
    <w:rsid w:val="00DD451F"/>
    <w:rsid w:val="00DD4851"/>
    <w:rsid w:val="00DD53A8"/>
    <w:rsid w:val="00DD55E5"/>
    <w:rsid w:val="00DD57F2"/>
    <w:rsid w:val="00DD65A2"/>
    <w:rsid w:val="00DD66DC"/>
    <w:rsid w:val="00DD69F2"/>
    <w:rsid w:val="00DD6BDB"/>
    <w:rsid w:val="00DD7044"/>
    <w:rsid w:val="00DD707C"/>
    <w:rsid w:val="00DD7454"/>
    <w:rsid w:val="00DD7EB2"/>
    <w:rsid w:val="00DE08FF"/>
    <w:rsid w:val="00DE0D18"/>
    <w:rsid w:val="00DE0DBB"/>
    <w:rsid w:val="00DE0E5E"/>
    <w:rsid w:val="00DE157E"/>
    <w:rsid w:val="00DE1DFD"/>
    <w:rsid w:val="00DE306D"/>
    <w:rsid w:val="00DE31DC"/>
    <w:rsid w:val="00DE4F30"/>
    <w:rsid w:val="00DE6AB6"/>
    <w:rsid w:val="00DE6F08"/>
    <w:rsid w:val="00DE7533"/>
    <w:rsid w:val="00DE7A37"/>
    <w:rsid w:val="00DF0CE4"/>
    <w:rsid w:val="00DF1194"/>
    <w:rsid w:val="00DF405F"/>
    <w:rsid w:val="00DF5402"/>
    <w:rsid w:val="00DF6C65"/>
    <w:rsid w:val="00DF6D8A"/>
    <w:rsid w:val="00DF710A"/>
    <w:rsid w:val="00E002A2"/>
    <w:rsid w:val="00E00741"/>
    <w:rsid w:val="00E01CDC"/>
    <w:rsid w:val="00E0294C"/>
    <w:rsid w:val="00E032DA"/>
    <w:rsid w:val="00E0365C"/>
    <w:rsid w:val="00E036A7"/>
    <w:rsid w:val="00E0382B"/>
    <w:rsid w:val="00E047C0"/>
    <w:rsid w:val="00E04D38"/>
    <w:rsid w:val="00E0538E"/>
    <w:rsid w:val="00E055CD"/>
    <w:rsid w:val="00E057CD"/>
    <w:rsid w:val="00E05FA3"/>
    <w:rsid w:val="00E0689A"/>
    <w:rsid w:val="00E06EE0"/>
    <w:rsid w:val="00E07BDA"/>
    <w:rsid w:val="00E1096E"/>
    <w:rsid w:val="00E12827"/>
    <w:rsid w:val="00E12A88"/>
    <w:rsid w:val="00E13B32"/>
    <w:rsid w:val="00E143C9"/>
    <w:rsid w:val="00E15C14"/>
    <w:rsid w:val="00E15C23"/>
    <w:rsid w:val="00E1642F"/>
    <w:rsid w:val="00E17992"/>
    <w:rsid w:val="00E211DC"/>
    <w:rsid w:val="00E21A57"/>
    <w:rsid w:val="00E227FA"/>
    <w:rsid w:val="00E24591"/>
    <w:rsid w:val="00E2582D"/>
    <w:rsid w:val="00E25B6D"/>
    <w:rsid w:val="00E25D7F"/>
    <w:rsid w:val="00E264E9"/>
    <w:rsid w:val="00E27AA8"/>
    <w:rsid w:val="00E311D3"/>
    <w:rsid w:val="00E313EF"/>
    <w:rsid w:val="00E3199A"/>
    <w:rsid w:val="00E3283F"/>
    <w:rsid w:val="00E33880"/>
    <w:rsid w:val="00E3400A"/>
    <w:rsid w:val="00E34F34"/>
    <w:rsid w:val="00E3543F"/>
    <w:rsid w:val="00E37323"/>
    <w:rsid w:val="00E40542"/>
    <w:rsid w:val="00E40692"/>
    <w:rsid w:val="00E41A44"/>
    <w:rsid w:val="00E4282F"/>
    <w:rsid w:val="00E43690"/>
    <w:rsid w:val="00E4486D"/>
    <w:rsid w:val="00E45186"/>
    <w:rsid w:val="00E4605D"/>
    <w:rsid w:val="00E473D2"/>
    <w:rsid w:val="00E47F57"/>
    <w:rsid w:val="00E5142F"/>
    <w:rsid w:val="00E52B70"/>
    <w:rsid w:val="00E531FF"/>
    <w:rsid w:val="00E538F7"/>
    <w:rsid w:val="00E54EDF"/>
    <w:rsid w:val="00E55115"/>
    <w:rsid w:val="00E56088"/>
    <w:rsid w:val="00E56091"/>
    <w:rsid w:val="00E561A1"/>
    <w:rsid w:val="00E5671A"/>
    <w:rsid w:val="00E56F19"/>
    <w:rsid w:val="00E608F0"/>
    <w:rsid w:val="00E60938"/>
    <w:rsid w:val="00E61CBE"/>
    <w:rsid w:val="00E626A1"/>
    <w:rsid w:val="00E63926"/>
    <w:rsid w:val="00E63F07"/>
    <w:rsid w:val="00E6440B"/>
    <w:rsid w:val="00E644F5"/>
    <w:rsid w:val="00E65910"/>
    <w:rsid w:val="00E659BA"/>
    <w:rsid w:val="00E65B90"/>
    <w:rsid w:val="00E6640F"/>
    <w:rsid w:val="00E66474"/>
    <w:rsid w:val="00E666FD"/>
    <w:rsid w:val="00E67A76"/>
    <w:rsid w:val="00E7070E"/>
    <w:rsid w:val="00E72439"/>
    <w:rsid w:val="00E727FF"/>
    <w:rsid w:val="00E72C74"/>
    <w:rsid w:val="00E72D7B"/>
    <w:rsid w:val="00E73E63"/>
    <w:rsid w:val="00E76217"/>
    <w:rsid w:val="00E77460"/>
    <w:rsid w:val="00E8140F"/>
    <w:rsid w:val="00E81F41"/>
    <w:rsid w:val="00E82A59"/>
    <w:rsid w:val="00E834CD"/>
    <w:rsid w:val="00E83FC4"/>
    <w:rsid w:val="00E83FD6"/>
    <w:rsid w:val="00E855F7"/>
    <w:rsid w:val="00E860C1"/>
    <w:rsid w:val="00E865BB"/>
    <w:rsid w:val="00E86E55"/>
    <w:rsid w:val="00E86EA1"/>
    <w:rsid w:val="00E902D1"/>
    <w:rsid w:val="00E90451"/>
    <w:rsid w:val="00E90FF9"/>
    <w:rsid w:val="00E9106F"/>
    <w:rsid w:val="00E91648"/>
    <w:rsid w:val="00E91762"/>
    <w:rsid w:val="00E91C25"/>
    <w:rsid w:val="00E92E59"/>
    <w:rsid w:val="00E9384F"/>
    <w:rsid w:val="00E939E2"/>
    <w:rsid w:val="00E94297"/>
    <w:rsid w:val="00E94CE3"/>
    <w:rsid w:val="00E95099"/>
    <w:rsid w:val="00E956CA"/>
    <w:rsid w:val="00E968C8"/>
    <w:rsid w:val="00E97385"/>
    <w:rsid w:val="00EA1871"/>
    <w:rsid w:val="00EA1F1D"/>
    <w:rsid w:val="00EA2659"/>
    <w:rsid w:val="00EA2D47"/>
    <w:rsid w:val="00EA3287"/>
    <w:rsid w:val="00EA345E"/>
    <w:rsid w:val="00EA3885"/>
    <w:rsid w:val="00EA390D"/>
    <w:rsid w:val="00EA3F0B"/>
    <w:rsid w:val="00EA43BD"/>
    <w:rsid w:val="00EA483E"/>
    <w:rsid w:val="00EA69DA"/>
    <w:rsid w:val="00EA6A15"/>
    <w:rsid w:val="00EA6AFB"/>
    <w:rsid w:val="00EA6CE5"/>
    <w:rsid w:val="00EA761F"/>
    <w:rsid w:val="00EA77BF"/>
    <w:rsid w:val="00EB01C2"/>
    <w:rsid w:val="00EB2649"/>
    <w:rsid w:val="00EB322F"/>
    <w:rsid w:val="00EB3A31"/>
    <w:rsid w:val="00EB3C6D"/>
    <w:rsid w:val="00EB430D"/>
    <w:rsid w:val="00EB4EA7"/>
    <w:rsid w:val="00EB514D"/>
    <w:rsid w:val="00EB52A7"/>
    <w:rsid w:val="00EB56C8"/>
    <w:rsid w:val="00EB5C3E"/>
    <w:rsid w:val="00EB63EA"/>
    <w:rsid w:val="00EB687B"/>
    <w:rsid w:val="00EB752C"/>
    <w:rsid w:val="00EB7E32"/>
    <w:rsid w:val="00EC0478"/>
    <w:rsid w:val="00EC065F"/>
    <w:rsid w:val="00EC1914"/>
    <w:rsid w:val="00EC1E5A"/>
    <w:rsid w:val="00EC30E4"/>
    <w:rsid w:val="00EC3207"/>
    <w:rsid w:val="00EC32B3"/>
    <w:rsid w:val="00EC39C3"/>
    <w:rsid w:val="00EC44BA"/>
    <w:rsid w:val="00EC509B"/>
    <w:rsid w:val="00EC580F"/>
    <w:rsid w:val="00EC631C"/>
    <w:rsid w:val="00EC6B64"/>
    <w:rsid w:val="00ED0EFC"/>
    <w:rsid w:val="00ED0F26"/>
    <w:rsid w:val="00ED1CF7"/>
    <w:rsid w:val="00ED270E"/>
    <w:rsid w:val="00ED3434"/>
    <w:rsid w:val="00ED3592"/>
    <w:rsid w:val="00ED4B13"/>
    <w:rsid w:val="00ED53D5"/>
    <w:rsid w:val="00ED57FE"/>
    <w:rsid w:val="00ED5912"/>
    <w:rsid w:val="00ED59CF"/>
    <w:rsid w:val="00EE2361"/>
    <w:rsid w:val="00EE34A9"/>
    <w:rsid w:val="00EE3A0D"/>
    <w:rsid w:val="00EE3D82"/>
    <w:rsid w:val="00EE5AFA"/>
    <w:rsid w:val="00EE5BA2"/>
    <w:rsid w:val="00EE66EF"/>
    <w:rsid w:val="00EF028A"/>
    <w:rsid w:val="00EF07AD"/>
    <w:rsid w:val="00EF0DDE"/>
    <w:rsid w:val="00EF16F3"/>
    <w:rsid w:val="00EF4A36"/>
    <w:rsid w:val="00EF5407"/>
    <w:rsid w:val="00EF5727"/>
    <w:rsid w:val="00EF5D9B"/>
    <w:rsid w:val="00EF6095"/>
    <w:rsid w:val="00EF6345"/>
    <w:rsid w:val="00EF6D33"/>
    <w:rsid w:val="00F002D9"/>
    <w:rsid w:val="00F00565"/>
    <w:rsid w:val="00F017B1"/>
    <w:rsid w:val="00F01B56"/>
    <w:rsid w:val="00F01C61"/>
    <w:rsid w:val="00F01D30"/>
    <w:rsid w:val="00F02A93"/>
    <w:rsid w:val="00F035AE"/>
    <w:rsid w:val="00F0378A"/>
    <w:rsid w:val="00F03B99"/>
    <w:rsid w:val="00F03D83"/>
    <w:rsid w:val="00F04295"/>
    <w:rsid w:val="00F04320"/>
    <w:rsid w:val="00F04922"/>
    <w:rsid w:val="00F051FC"/>
    <w:rsid w:val="00F05F16"/>
    <w:rsid w:val="00F06028"/>
    <w:rsid w:val="00F065F3"/>
    <w:rsid w:val="00F0675C"/>
    <w:rsid w:val="00F06B99"/>
    <w:rsid w:val="00F06FA3"/>
    <w:rsid w:val="00F072FC"/>
    <w:rsid w:val="00F07D80"/>
    <w:rsid w:val="00F1045F"/>
    <w:rsid w:val="00F128A4"/>
    <w:rsid w:val="00F13074"/>
    <w:rsid w:val="00F13890"/>
    <w:rsid w:val="00F15B05"/>
    <w:rsid w:val="00F15F8E"/>
    <w:rsid w:val="00F1617D"/>
    <w:rsid w:val="00F1709E"/>
    <w:rsid w:val="00F17520"/>
    <w:rsid w:val="00F17898"/>
    <w:rsid w:val="00F20C1A"/>
    <w:rsid w:val="00F214B8"/>
    <w:rsid w:val="00F2153C"/>
    <w:rsid w:val="00F2332E"/>
    <w:rsid w:val="00F2333A"/>
    <w:rsid w:val="00F23DCB"/>
    <w:rsid w:val="00F24A15"/>
    <w:rsid w:val="00F252F1"/>
    <w:rsid w:val="00F255DB"/>
    <w:rsid w:val="00F257DA"/>
    <w:rsid w:val="00F25A38"/>
    <w:rsid w:val="00F25EE2"/>
    <w:rsid w:val="00F263B4"/>
    <w:rsid w:val="00F267C4"/>
    <w:rsid w:val="00F2689A"/>
    <w:rsid w:val="00F277F3"/>
    <w:rsid w:val="00F27A4A"/>
    <w:rsid w:val="00F30767"/>
    <w:rsid w:val="00F309E8"/>
    <w:rsid w:val="00F31F52"/>
    <w:rsid w:val="00F321F5"/>
    <w:rsid w:val="00F32203"/>
    <w:rsid w:val="00F324B8"/>
    <w:rsid w:val="00F33422"/>
    <w:rsid w:val="00F33A65"/>
    <w:rsid w:val="00F33BE6"/>
    <w:rsid w:val="00F33C3E"/>
    <w:rsid w:val="00F33F97"/>
    <w:rsid w:val="00F34D8F"/>
    <w:rsid w:val="00F34F5D"/>
    <w:rsid w:val="00F35C2C"/>
    <w:rsid w:val="00F36A1E"/>
    <w:rsid w:val="00F372A0"/>
    <w:rsid w:val="00F4051C"/>
    <w:rsid w:val="00F40743"/>
    <w:rsid w:val="00F41DD1"/>
    <w:rsid w:val="00F42289"/>
    <w:rsid w:val="00F4233F"/>
    <w:rsid w:val="00F425A9"/>
    <w:rsid w:val="00F42ADF"/>
    <w:rsid w:val="00F43AB0"/>
    <w:rsid w:val="00F44324"/>
    <w:rsid w:val="00F44789"/>
    <w:rsid w:val="00F44852"/>
    <w:rsid w:val="00F451FB"/>
    <w:rsid w:val="00F4538E"/>
    <w:rsid w:val="00F47418"/>
    <w:rsid w:val="00F475D4"/>
    <w:rsid w:val="00F47785"/>
    <w:rsid w:val="00F47DBB"/>
    <w:rsid w:val="00F509FB"/>
    <w:rsid w:val="00F51F10"/>
    <w:rsid w:val="00F51F40"/>
    <w:rsid w:val="00F5204A"/>
    <w:rsid w:val="00F530F5"/>
    <w:rsid w:val="00F53469"/>
    <w:rsid w:val="00F53C3D"/>
    <w:rsid w:val="00F544F7"/>
    <w:rsid w:val="00F54B7C"/>
    <w:rsid w:val="00F56947"/>
    <w:rsid w:val="00F56FD4"/>
    <w:rsid w:val="00F57096"/>
    <w:rsid w:val="00F6076E"/>
    <w:rsid w:val="00F60923"/>
    <w:rsid w:val="00F6095E"/>
    <w:rsid w:val="00F60CA8"/>
    <w:rsid w:val="00F60E6F"/>
    <w:rsid w:val="00F60E88"/>
    <w:rsid w:val="00F60F01"/>
    <w:rsid w:val="00F61191"/>
    <w:rsid w:val="00F617E4"/>
    <w:rsid w:val="00F61A67"/>
    <w:rsid w:val="00F627D4"/>
    <w:rsid w:val="00F62E8B"/>
    <w:rsid w:val="00F63472"/>
    <w:rsid w:val="00F64D18"/>
    <w:rsid w:val="00F65B13"/>
    <w:rsid w:val="00F66108"/>
    <w:rsid w:val="00F66647"/>
    <w:rsid w:val="00F66CB8"/>
    <w:rsid w:val="00F6764C"/>
    <w:rsid w:val="00F6782C"/>
    <w:rsid w:val="00F67CC3"/>
    <w:rsid w:val="00F70240"/>
    <w:rsid w:val="00F7128B"/>
    <w:rsid w:val="00F71CE3"/>
    <w:rsid w:val="00F7314B"/>
    <w:rsid w:val="00F73415"/>
    <w:rsid w:val="00F74ECF"/>
    <w:rsid w:val="00F7587B"/>
    <w:rsid w:val="00F75C8F"/>
    <w:rsid w:val="00F75CA7"/>
    <w:rsid w:val="00F76568"/>
    <w:rsid w:val="00F80AC2"/>
    <w:rsid w:val="00F811DC"/>
    <w:rsid w:val="00F81387"/>
    <w:rsid w:val="00F81A10"/>
    <w:rsid w:val="00F81B1E"/>
    <w:rsid w:val="00F820D6"/>
    <w:rsid w:val="00F82D5D"/>
    <w:rsid w:val="00F8309A"/>
    <w:rsid w:val="00F8398E"/>
    <w:rsid w:val="00F83E90"/>
    <w:rsid w:val="00F85BFE"/>
    <w:rsid w:val="00F864FD"/>
    <w:rsid w:val="00F865A6"/>
    <w:rsid w:val="00F8771F"/>
    <w:rsid w:val="00F87BF0"/>
    <w:rsid w:val="00F90973"/>
    <w:rsid w:val="00F90CCA"/>
    <w:rsid w:val="00F90FBC"/>
    <w:rsid w:val="00F9229B"/>
    <w:rsid w:val="00F92407"/>
    <w:rsid w:val="00F9349E"/>
    <w:rsid w:val="00F93584"/>
    <w:rsid w:val="00F93899"/>
    <w:rsid w:val="00F94D74"/>
    <w:rsid w:val="00F960FB"/>
    <w:rsid w:val="00F96EAA"/>
    <w:rsid w:val="00F973AA"/>
    <w:rsid w:val="00F97A3D"/>
    <w:rsid w:val="00FA0812"/>
    <w:rsid w:val="00FA0980"/>
    <w:rsid w:val="00FA0ACC"/>
    <w:rsid w:val="00FA0B65"/>
    <w:rsid w:val="00FA13F4"/>
    <w:rsid w:val="00FA1539"/>
    <w:rsid w:val="00FA232A"/>
    <w:rsid w:val="00FA27F9"/>
    <w:rsid w:val="00FA31C1"/>
    <w:rsid w:val="00FA3ECC"/>
    <w:rsid w:val="00FA4B26"/>
    <w:rsid w:val="00FA68B6"/>
    <w:rsid w:val="00FA6B9E"/>
    <w:rsid w:val="00FA6BD4"/>
    <w:rsid w:val="00FA72E1"/>
    <w:rsid w:val="00FA76E5"/>
    <w:rsid w:val="00FB0DF6"/>
    <w:rsid w:val="00FB1699"/>
    <w:rsid w:val="00FB1A7E"/>
    <w:rsid w:val="00FB207C"/>
    <w:rsid w:val="00FB2281"/>
    <w:rsid w:val="00FB2282"/>
    <w:rsid w:val="00FB35E9"/>
    <w:rsid w:val="00FB3990"/>
    <w:rsid w:val="00FB3DE0"/>
    <w:rsid w:val="00FB44F8"/>
    <w:rsid w:val="00FB4905"/>
    <w:rsid w:val="00FB49C6"/>
    <w:rsid w:val="00FB6FF3"/>
    <w:rsid w:val="00FB7011"/>
    <w:rsid w:val="00FC03DE"/>
    <w:rsid w:val="00FC0C21"/>
    <w:rsid w:val="00FC0CCC"/>
    <w:rsid w:val="00FC0F67"/>
    <w:rsid w:val="00FC18F7"/>
    <w:rsid w:val="00FC1FC2"/>
    <w:rsid w:val="00FC3A62"/>
    <w:rsid w:val="00FC40D5"/>
    <w:rsid w:val="00FC432C"/>
    <w:rsid w:val="00FC4471"/>
    <w:rsid w:val="00FC497C"/>
    <w:rsid w:val="00FC511A"/>
    <w:rsid w:val="00FC5900"/>
    <w:rsid w:val="00FC5B85"/>
    <w:rsid w:val="00FC6DF9"/>
    <w:rsid w:val="00FC765F"/>
    <w:rsid w:val="00FC7A44"/>
    <w:rsid w:val="00FC7A83"/>
    <w:rsid w:val="00FD0886"/>
    <w:rsid w:val="00FD2287"/>
    <w:rsid w:val="00FD2455"/>
    <w:rsid w:val="00FD39FA"/>
    <w:rsid w:val="00FD3AF2"/>
    <w:rsid w:val="00FD567D"/>
    <w:rsid w:val="00FD5702"/>
    <w:rsid w:val="00FD5787"/>
    <w:rsid w:val="00FD597C"/>
    <w:rsid w:val="00FD5C8B"/>
    <w:rsid w:val="00FD5E2D"/>
    <w:rsid w:val="00FD601E"/>
    <w:rsid w:val="00FD6289"/>
    <w:rsid w:val="00FD62DC"/>
    <w:rsid w:val="00FD6774"/>
    <w:rsid w:val="00FD6B77"/>
    <w:rsid w:val="00FD7FAA"/>
    <w:rsid w:val="00FE021E"/>
    <w:rsid w:val="00FE02DB"/>
    <w:rsid w:val="00FE0EC1"/>
    <w:rsid w:val="00FE24AE"/>
    <w:rsid w:val="00FE26CE"/>
    <w:rsid w:val="00FE2F41"/>
    <w:rsid w:val="00FE32B2"/>
    <w:rsid w:val="00FE415D"/>
    <w:rsid w:val="00FE4772"/>
    <w:rsid w:val="00FE4C4B"/>
    <w:rsid w:val="00FE5085"/>
    <w:rsid w:val="00FE5F40"/>
    <w:rsid w:val="00FE6372"/>
    <w:rsid w:val="00FF0E90"/>
    <w:rsid w:val="00FF1344"/>
    <w:rsid w:val="00FF1DD4"/>
    <w:rsid w:val="00FF2F89"/>
    <w:rsid w:val="00FF3AC6"/>
    <w:rsid w:val="00FF3AFF"/>
    <w:rsid w:val="00FF4239"/>
    <w:rsid w:val="00FF5274"/>
    <w:rsid w:val="00FF5C69"/>
    <w:rsid w:val="00FF6F63"/>
    <w:rsid w:val="00FF7A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3FD439C4-8AF8-4861-BB09-42D8F362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uiPriority w:val="99"/>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 w:id="1986664325">
          <w:marLeft w:val="0"/>
          <w:marRight w:val="0"/>
          <w:marTop w:val="0"/>
          <w:marBottom w:val="0"/>
          <w:divBdr>
            <w:top w:val="none" w:sz="0" w:space="0" w:color="auto"/>
            <w:left w:val="none" w:sz="0" w:space="0" w:color="auto"/>
            <w:bottom w:val="none" w:sz="0" w:space="0" w:color="auto"/>
            <w:right w:val="none" w:sz="0" w:space="0" w:color="auto"/>
          </w:divBdr>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7159">
          <w:marLeft w:val="0"/>
          <w:marRight w:val="0"/>
          <w:marTop w:val="0"/>
          <w:marBottom w:val="0"/>
          <w:divBdr>
            <w:top w:val="none" w:sz="0" w:space="0" w:color="auto"/>
            <w:left w:val="none" w:sz="0" w:space="0" w:color="auto"/>
            <w:bottom w:val="none" w:sz="0" w:space="0" w:color="auto"/>
            <w:right w:val="none" w:sz="0" w:space="0" w:color="auto"/>
          </w:divBdr>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 w:id="513957864">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2371">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jm.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p.warszawa.wsa.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8271</Words>
  <Characters>49628</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Jurzyk Klaudia</cp:lastModifiedBy>
  <cp:revision>2</cp:revision>
  <cp:lastPrinted>2025-11-24T09:29:00Z</cp:lastPrinted>
  <dcterms:created xsi:type="dcterms:W3CDTF">2025-12-16T07:42:00Z</dcterms:created>
  <dcterms:modified xsi:type="dcterms:W3CDTF">2025-12-16T07:42:00Z</dcterms:modified>
</cp:coreProperties>
</file>