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Europejskiego Funduszu Morskiego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lastRenderedPageBreak/>
        <w:t>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5FA12368" w:rsidR="008576F3" w:rsidRPr="00EC580A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proofErr w:type="spellStart"/>
      <w:r w:rsidRPr="00EC580A">
        <w:rPr>
          <w:rFonts w:asciiTheme="minorHAnsi" w:hAnsiTheme="minorHAnsi" w:cstheme="minorHAnsi"/>
          <w:sz w:val="22"/>
        </w:rPr>
        <w:t>ufp</w:t>
      </w:r>
      <w:proofErr w:type="spellEnd"/>
      <w:r w:rsidRPr="00EC580A">
        <w:rPr>
          <w:rFonts w:asciiTheme="minorHAnsi" w:hAnsiTheme="minorHAnsi" w:cstheme="minorHAnsi"/>
          <w:sz w:val="22"/>
        </w:rPr>
        <w:t>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EC580A">
        <w:rPr>
          <w:rFonts w:asciiTheme="minorHAnsi" w:hAnsiTheme="minorHAnsi" w:cstheme="minorHAnsi"/>
          <w:sz w:val="22"/>
        </w:rPr>
        <w:t>minimis</w:t>
      </w:r>
      <w:proofErr w:type="spellEnd"/>
      <w:r w:rsidRPr="00EC580A">
        <w:rPr>
          <w:rFonts w:asciiTheme="minorHAnsi" w:hAnsiTheme="minorHAnsi" w:cstheme="minorHAnsi"/>
          <w:sz w:val="22"/>
        </w:rPr>
        <w:t>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CB4DA5" w:rsidRPr="00EC580A">
        <w:rPr>
          <w:rFonts w:asciiTheme="minorHAnsi" w:hAnsiTheme="minorHAnsi" w:cstheme="minorHAnsi"/>
          <w:sz w:val="22"/>
        </w:rPr>
        <w:t>późn</w:t>
      </w:r>
      <w:proofErr w:type="spellEnd"/>
      <w:r w:rsidR="00CB4DA5" w:rsidRPr="00EC580A">
        <w:rPr>
          <w:rFonts w:asciiTheme="minorHAnsi" w:hAnsiTheme="minorHAnsi" w:cstheme="minorHAnsi"/>
          <w:sz w:val="22"/>
        </w:rPr>
        <w:t>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1F93B47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29 stycznia 2004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EC580A">
        <w:rPr>
          <w:rFonts w:asciiTheme="minorHAnsi" w:hAnsiTheme="minorHAnsi" w:cstheme="minorHAnsi"/>
          <w:sz w:val="22"/>
        </w:rPr>
        <w:t>Pzp</w:t>
      </w:r>
      <w:proofErr w:type="spellEnd"/>
      <w:r w:rsidR="00CD474B" w:rsidRPr="00EC580A">
        <w:rPr>
          <w:rFonts w:asciiTheme="minorHAnsi" w:hAnsiTheme="minorHAnsi" w:cstheme="minorHAnsi"/>
          <w:sz w:val="22"/>
        </w:rPr>
        <w:t>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45CC5EE5" w:rsidR="00F447C0" w:rsidRPr="00EC580A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>dnia 25 lutego 2015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warunków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trybu udzielania pomocy publicznej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 xml:space="preserve">pomocy </w:t>
      </w:r>
      <w:r w:rsidR="00B87BE1" w:rsidRPr="00EC580A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EC580A">
        <w:rPr>
          <w:rFonts w:asciiTheme="minorHAnsi" w:hAnsiTheme="minorHAnsi" w:cstheme="minorHAnsi"/>
          <w:i/>
          <w:sz w:val="22"/>
        </w:rPr>
        <w:t>minimis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A759B" w:rsidRPr="00EC580A">
        <w:rPr>
          <w:rFonts w:asciiTheme="minorHAnsi" w:hAnsiTheme="minorHAnsi" w:cstheme="minorHAnsi"/>
          <w:sz w:val="22"/>
        </w:rPr>
        <w:t>SA.41471(2015/X)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7A4BBBE2" w:rsidR="00E345F9" w:rsidRPr="00F70BC8" w:rsidRDefault="00B72AF8" w:rsidP="00C714BC">
      <w:pPr>
        <w:widowControl w:val="0"/>
        <w:numPr>
          <w:ilvl w:val="0"/>
          <w:numId w:val="5"/>
        </w:numPr>
        <w:tabs>
          <w:tab w:val="left" w:pos="142"/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3D0E3F">
        <w:rPr>
          <w:rFonts w:asciiTheme="minorHAnsi" w:hAnsiTheme="minorHAnsi" w:cstheme="minorHAnsi"/>
          <w:sz w:val="22"/>
        </w:rPr>
        <w:t>oraz 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10C25B2F" w:rsidR="009E334D" w:rsidRPr="00383C2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383C24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- </w:t>
      </w:r>
      <w:r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 xml:space="preserve">mowa </w:t>
      </w:r>
      <w:r w:rsidR="00E21DC3" w:rsidRPr="00F70BC8">
        <w:rPr>
          <w:rFonts w:asciiTheme="minorHAnsi" w:hAnsiTheme="minorHAnsi" w:cstheme="minorHAnsi"/>
          <w:sz w:val="22"/>
        </w:rPr>
        <w:lastRenderedPageBreak/>
        <w:t>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29978F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jednostek samorządu terytorialnego, </w:t>
      </w:r>
      <w:r w:rsidR="00232623" w:rsidRPr="00F70BC8">
        <w:rPr>
          <w:rFonts w:asciiTheme="minorHAnsi" w:eastAsia="Times New Roman" w:hAnsiTheme="minorHAnsi" w:cstheme="minorHAnsi"/>
          <w:sz w:val="22"/>
          <w:lang w:eastAsia="pl-PL"/>
        </w:rPr>
        <w:t>chyba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projektach 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lastRenderedPageBreak/>
        <w:t>PO IR</w:t>
      </w:r>
      <w:r w:rsidR="00E21DC3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"/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D24E87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7FD73E15" w:rsidR="00DE5A30" w:rsidRPr="00F70BC8" w:rsidRDefault="008F1BC9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9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22"/>
        </w:rPr>
        <w:t>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C714BC">
      <w:pPr>
        <w:pStyle w:val="Akapitzlist"/>
        <w:widowControl w:val="0"/>
        <w:numPr>
          <w:ilvl w:val="0"/>
          <w:numId w:val="8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C714BC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D24E87">
      <w:pPr>
        <w:keepNext/>
        <w:keepLines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C714BC">
      <w:pPr>
        <w:widowControl w:val="0"/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lastRenderedPageBreak/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6"/>
      </w:r>
    </w:p>
    <w:p w14:paraId="0DA9300A" w14:textId="6DBD2EAF" w:rsidR="0077040B" w:rsidRPr="00736844" w:rsidRDefault="0038284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C714BC">
      <w:pPr>
        <w:widowControl w:val="0"/>
        <w:numPr>
          <w:ilvl w:val="0"/>
          <w:numId w:val="8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0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daty 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C714BC">
      <w:pPr>
        <w:pStyle w:val="Nagwek1"/>
        <w:keepNext w:val="0"/>
        <w:widowControl w:val="0"/>
        <w:numPr>
          <w:ilvl w:val="1"/>
          <w:numId w:val="41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C714BC">
      <w:pPr>
        <w:pStyle w:val="Nagwek1"/>
        <w:keepNext w:val="0"/>
        <w:widowControl w:val="0"/>
        <w:numPr>
          <w:ilvl w:val="0"/>
          <w:numId w:val="8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lastRenderedPageBreak/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C714BC">
      <w:pPr>
        <w:widowControl w:val="0"/>
        <w:numPr>
          <w:ilvl w:val="0"/>
          <w:numId w:val="8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4"/>
      </w:r>
    </w:p>
    <w:p w14:paraId="032D59F9" w14:textId="0F3D25BE" w:rsidR="004C78BD" w:rsidRPr="00E55966" w:rsidRDefault="00ED47DC" w:rsidP="00D24E87">
      <w:pPr>
        <w:keepNext/>
        <w:keepLines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7F0028">
      <w:pPr>
        <w:numPr>
          <w:ilvl w:val="4"/>
          <w:numId w:val="69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DDE0E95" w:rsidR="00AF7D07" w:rsidRPr="00F70BC8" w:rsidRDefault="00AF7D07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CA1031">
        <w:rPr>
          <w:rFonts w:asciiTheme="minorHAnsi" w:hAnsiTheme="minorHAnsi" w:cstheme="minorHAnsi"/>
          <w:sz w:val="22"/>
        </w:rPr>
        <w:t>lub</w:t>
      </w:r>
      <w:r w:rsidR="003F0EE2">
        <w:rPr>
          <w:rFonts w:asciiTheme="minorHAnsi" w:hAnsiTheme="minorHAnsi" w:cstheme="minorHAnsi"/>
          <w:sz w:val="22"/>
        </w:rPr>
        <w:t xml:space="preserve"> więcej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7F0028">
      <w:pPr>
        <w:widowControl w:val="0"/>
        <w:numPr>
          <w:ilvl w:val="1"/>
          <w:numId w:val="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wykazie </w:t>
      </w:r>
      <w:r w:rsidRPr="00F70BC8">
        <w:rPr>
          <w:rFonts w:asciiTheme="minorHAnsi" w:hAnsiTheme="minorHAnsi" w:cstheme="minorHAnsi"/>
          <w:sz w:val="22"/>
        </w:rPr>
        <w:lastRenderedPageBreak/>
        <w:t>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7F0028">
      <w:pPr>
        <w:widowControl w:val="0"/>
        <w:numPr>
          <w:ilvl w:val="1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7F0028">
      <w:pPr>
        <w:widowControl w:val="0"/>
        <w:numPr>
          <w:ilvl w:val="0"/>
          <w:numId w:val="8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F46665">
      <w:pPr>
        <w:keepNext/>
        <w:keepLines/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7F0028">
      <w:pPr>
        <w:widowControl w:val="0"/>
        <w:numPr>
          <w:ilvl w:val="3"/>
          <w:numId w:val="38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7F0028">
      <w:pPr>
        <w:pStyle w:val="Akapitzlist"/>
        <w:numPr>
          <w:ilvl w:val="3"/>
          <w:numId w:val="38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Pr="00F70BC8">
        <w:rPr>
          <w:rFonts w:asciiTheme="minorHAnsi" w:hAnsiTheme="minorHAnsi" w:cstheme="minorHAnsi"/>
          <w:sz w:val="22"/>
        </w:rPr>
        <w:t>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</w:rPr>
        <w:t>ePUAP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7F0028">
      <w:pPr>
        <w:pStyle w:val="Nagwek1"/>
        <w:keepNext w:val="0"/>
        <w:widowControl w:val="0"/>
        <w:numPr>
          <w:ilvl w:val="3"/>
          <w:numId w:val="38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D24E87">
      <w:pPr>
        <w:keepNext/>
        <w:keepLines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7F0028">
      <w:pPr>
        <w:widowControl w:val="0"/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7F0028">
      <w:pPr>
        <w:pStyle w:val="Akapitzlist"/>
        <w:widowControl w:val="0"/>
        <w:numPr>
          <w:ilvl w:val="0"/>
          <w:numId w:val="8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7F0028">
      <w:pPr>
        <w:widowControl w:val="0"/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7F0028">
      <w:pPr>
        <w:numPr>
          <w:ilvl w:val="0"/>
          <w:numId w:val="37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</w:t>
      </w:r>
      <w:r w:rsidR="00AF2264" w:rsidRPr="00736844">
        <w:rPr>
          <w:rFonts w:asciiTheme="minorHAnsi" w:hAnsiTheme="minorHAnsi" w:cstheme="minorHAnsi"/>
          <w:sz w:val="22"/>
        </w:rPr>
        <w:lastRenderedPageBreak/>
        <w:t>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7F0028">
      <w:pPr>
        <w:widowControl w:val="0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</w:p>
    <w:p w14:paraId="52373501" w14:textId="54EEC769" w:rsidR="00721808" w:rsidRPr="00EC580A" w:rsidRDefault="00721808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7F0028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5B58B604" w:rsidR="00500102" w:rsidRPr="00E55966" w:rsidRDefault="00D6204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EB5DA0"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="00EB5DA0"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7F0028">
      <w:pPr>
        <w:pStyle w:val="Akapitzlist"/>
        <w:widowControl w:val="0"/>
        <w:numPr>
          <w:ilvl w:val="0"/>
          <w:numId w:val="7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lastRenderedPageBreak/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D24E87">
      <w:pPr>
        <w:keepNext/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F70BC8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089ED0DD" w:rsidR="00317484" w:rsidRPr="00F70BC8" w:rsidRDefault="002C3595" w:rsidP="007F0028">
      <w:pPr>
        <w:widowControl w:val="0"/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F12120">
        <w:rPr>
          <w:rStyle w:val="Odwoanieprzypisudolnego"/>
          <w:rFonts w:asciiTheme="minorHAnsi" w:hAnsiTheme="minorHAnsi" w:cstheme="minorHAnsi"/>
          <w:sz w:val="22"/>
          <w:lang w:eastAsia="pl-PL"/>
        </w:rPr>
        <w:footnoteReference w:id="23"/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</w:t>
      </w:r>
      <w:r w:rsidRPr="00E55966">
        <w:rPr>
          <w:rFonts w:asciiTheme="minorHAnsi" w:hAnsiTheme="minorHAnsi" w:cstheme="minorHAnsi"/>
          <w:sz w:val="22"/>
        </w:rPr>
        <w:lastRenderedPageBreak/>
        <w:t xml:space="preserve">nieprzekraczające </w:t>
      </w:r>
      <w:r w:rsidR="00F12120">
        <w:rPr>
          <w:rFonts w:asciiTheme="minorHAnsi" w:hAnsiTheme="minorHAnsi" w:cstheme="minorHAnsi"/>
          <w:sz w:val="22"/>
        </w:rPr>
        <w:t>95</w:t>
      </w:r>
      <w:r w:rsidR="00DA7BA6" w:rsidRPr="00E55966">
        <w:rPr>
          <w:rFonts w:asciiTheme="minorHAnsi" w:hAnsiTheme="minorHAnsi" w:cstheme="minorHAnsi"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2D010513" w:rsidR="00DA7BA6" w:rsidRPr="00E55966" w:rsidRDefault="00732721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 xml:space="preserve"> 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F70BC8">
        <w:rPr>
          <w:rFonts w:asciiTheme="minorHAnsi" w:hAnsiTheme="minorHAnsi" w:cstheme="minorHAnsi"/>
          <w:sz w:val="22"/>
        </w:rPr>
        <w:t>40</w:t>
      </w:r>
      <w:r w:rsidR="005B6AC7" w:rsidRPr="00F70BC8">
        <w:rPr>
          <w:rFonts w:asciiTheme="minorHAnsi" w:hAnsiTheme="minorHAnsi" w:cstheme="minorHAnsi"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7F0028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7F0028">
      <w:pPr>
        <w:widowControl w:val="0"/>
        <w:numPr>
          <w:ilvl w:val="0"/>
          <w:numId w:val="7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70%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7F0028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D24E87">
      <w:pPr>
        <w:keepNext/>
        <w:keepLines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7F002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7F0028">
      <w:pPr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7F0028">
      <w:pPr>
        <w:pStyle w:val="Akapitzlist"/>
        <w:widowControl w:val="0"/>
        <w:numPr>
          <w:ilvl w:val="0"/>
          <w:numId w:val="7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7F0028">
      <w:pPr>
        <w:pStyle w:val="Akapitzlist"/>
        <w:widowControl w:val="0"/>
        <w:numPr>
          <w:ilvl w:val="0"/>
          <w:numId w:val="4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 xml:space="preserve">zatwierdzenia przez </w:t>
      </w:r>
      <w:r w:rsidR="00250ABC" w:rsidRPr="00F70BC8">
        <w:rPr>
          <w:rFonts w:asciiTheme="minorHAnsi" w:hAnsiTheme="minorHAnsi" w:cstheme="minorHAnsi"/>
          <w:sz w:val="22"/>
        </w:rPr>
        <w:lastRenderedPageBreak/>
        <w:t>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7F0028">
      <w:pPr>
        <w:pStyle w:val="Default"/>
        <w:widowControl w:val="0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7F0028">
      <w:pPr>
        <w:pStyle w:val="Tekstpodstawowy2"/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proofErr w:type="spellStart"/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proofErr w:type="spellEnd"/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7F0028">
      <w:pPr>
        <w:widowControl w:val="0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7F0028">
      <w:pPr>
        <w:widowControl w:val="0"/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9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7F0028">
      <w:pPr>
        <w:pStyle w:val="Nagwek1"/>
        <w:keepNext w:val="0"/>
        <w:widowControl w:val="0"/>
        <w:numPr>
          <w:ilvl w:val="1"/>
          <w:numId w:val="4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7F0028">
      <w:pPr>
        <w:widowControl w:val="0"/>
        <w:numPr>
          <w:ilvl w:val="1"/>
          <w:numId w:val="4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7F0028">
      <w:pPr>
        <w:widowControl w:val="0"/>
        <w:numPr>
          <w:ilvl w:val="0"/>
          <w:numId w:val="45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7F0028">
      <w:pPr>
        <w:pStyle w:val="Nagwek1"/>
        <w:keepNext w:val="0"/>
        <w:widowControl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D24E87">
      <w:pPr>
        <w:pStyle w:val="Nagwek1"/>
        <w:keepNext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D24E87">
      <w:pPr>
        <w:keepNext/>
        <w:keepLines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F70BC8">
        <w:rPr>
          <w:rFonts w:asciiTheme="minorHAnsi" w:hAnsiTheme="minorHAnsi" w:cstheme="minorHAnsi"/>
          <w:sz w:val="22"/>
        </w:rPr>
        <w:t>xml</w:t>
      </w:r>
      <w:proofErr w:type="spellEnd"/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701980">
      <w:pPr>
        <w:numPr>
          <w:ilvl w:val="0"/>
          <w:numId w:val="8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7F0028">
      <w:pPr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7F0028">
      <w:pPr>
        <w:widowControl w:val="0"/>
        <w:numPr>
          <w:ilvl w:val="0"/>
          <w:numId w:val="39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F46665">
      <w:pPr>
        <w:pStyle w:val="Nagwek1"/>
        <w:keepLines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F46665">
      <w:pPr>
        <w:keepNext/>
        <w:keepLines/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701980">
      <w:pPr>
        <w:widowControl w:val="0"/>
        <w:numPr>
          <w:ilvl w:val="0"/>
          <w:numId w:val="18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701980">
      <w:pPr>
        <w:widowControl w:val="0"/>
        <w:numPr>
          <w:ilvl w:val="0"/>
          <w:numId w:val="18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D24E87">
      <w:pPr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701980">
      <w:pPr>
        <w:widowControl w:val="0"/>
        <w:numPr>
          <w:ilvl w:val="0"/>
          <w:numId w:val="7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701980">
      <w:pPr>
        <w:pStyle w:val="Akapitzlist"/>
        <w:widowControl w:val="0"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977EF">
      <w:pPr>
        <w:pStyle w:val="Nagwek1"/>
        <w:keepNext w:val="0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D24E87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C67C0F">
      <w:pPr>
        <w:pStyle w:val="Akapitzlist"/>
        <w:widowControl w:val="0"/>
        <w:numPr>
          <w:ilvl w:val="0"/>
          <w:numId w:val="7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D24E87">
      <w:pPr>
        <w:keepNext/>
        <w:keepLines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C67C0F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C67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C67C0F">
      <w:pPr>
        <w:widowControl w:val="0"/>
        <w:numPr>
          <w:ilvl w:val="0"/>
          <w:numId w:val="21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 xml:space="preserve">rojekt </w:t>
      </w:r>
      <w:r w:rsidR="00206BCA" w:rsidRPr="00F70BC8">
        <w:rPr>
          <w:rFonts w:asciiTheme="minorHAnsi" w:hAnsiTheme="minorHAnsi" w:cstheme="minorHAnsi"/>
          <w:sz w:val="22"/>
        </w:rPr>
        <w:lastRenderedPageBreak/>
        <w:t>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 xml:space="preserve">realizację programów </w:t>
      </w:r>
      <w:r w:rsidR="004D52D0" w:rsidRPr="00F70BC8">
        <w:rPr>
          <w:rFonts w:asciiTheme="minorHAnsi" w:hAnsiTheme="minorHAnsi" w:cstheme="minorHAnsi"/>
          <w:sz w:val="22"/>
        </w:rPr>
        <w:lastRenderedPageBreak/>
        <w:t>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C67C0F">
      <w:pPr>
        <w:widowControl w:val="0"/>
        <w:numPr>
          <w:ilvl w:val="0"/>
          <w:numId w:val="22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3B2DA8">
      <w:pPr>
        <w:widowControl w:val="0"/>
        <w:numPr>
          <w:ilvl w:val="0"/>
          <w:numId w:val="22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C67C0F">
      <w:pPr>
        <w:widowControl w:val="0"/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D24E87">
      <w:pPr>
        <w:keepNext/>
        <w:keepLines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C67C0F">
      <w:pPr>
        <w:widowControl w:val="0"/>
        <w:numPr>
          <w:ilvl w:val="0"/>
          <w:numId w:val="2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C67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C67C0F">
      <w:pPr>
        <w:widowControl w:val="0"/>
        <w:numPr>
          <w:ilvl w:val="0"/>
          <w:numId w:val="2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="00C67C0F">
        <w:rPr>
          <w:rFonts w:asciiTheme="minorHAnsi" w:hAnsiTheme="minorHAnsi" w:cstheme="minorHAnsi"/>
          <w:sz w:val="22"/>
        </w:rPr>
        <w:t xml:space="preserve">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</w:t>
      </w:r>
      <w:proofErr w:type="spellStart"/>
      <w:r w:rsidR="00C67C0F">
        <w:rPr>
          <w:rFonts w:asciiTheme="minorHAnsi" w:hAnsiTheme="minorHAnsi" w:cstheme="minorHAnsi"/>
          <w:sz w:val="22"/>
        </w:rPr>
        <w:t>ufp</w:t>
      </w:r>
      <w:proofErr w:type="spellEnd"/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C67C0F">
      <w:pPr>
        <w:widowControl w:val="0"/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D24E87">
      <w:pPr>
        <w:keepNext/>
        <w:keepLines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F70BC8">
        <w:rPr>
          <w:rFonts w:asciiTheme="minorHAnsi" w:hAnsiTheme="minorHAnsi" w:cstheme="minorHAnsi"/>
          <w:sz w:val="22"/>
        </w:rPr>
        <w:t>prawno</w:t>
      </w:r>
      <w:proofErr w:type="spellEnd"/>
      <w:r w:rsidRPr="00F70BC8">
        <w:rPr>
          <w:rFonts w:asciiTheme="minorHAnsi" w:hAnsiTheme="minorHAnsi" w:cstheme="minorHAnsi"/>
          <w:sz w:val="22"/>
        </w:rPr>
        <w:t xml:space="preserve"> – organizacyjnego beneficjenta;</w:t>
      </w:r>
    </w:p>
    <w:p w14:paraId="4CF7AC69" w14:textId="115C5C73" w:rsidR="00E45341" w:rsidRPr="00F70BC8" w:rsidRDefault="00247DE8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C67C0F">
      <w:pPr>
        <w:widowControl w:val="0"/>
        <w:numPr>
          <w:ilvl w:val="1"/>
          <w:numId w:val="18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30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Zmiana:</w:t>
      </w:r>
    </w:p>
    <w:p w14:paraId="1DC9573D" w14:textId="6FB7C951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2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C67C0F">
      <w:pPr>
        <w:widowControl w:val="0"/>
        <w:numPr>
          <w:ilvl w:val="0"/>
          <w:numId w:val="2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F9E7C27" w14:textId="52A4F4F0" w:rsidR="00B73B34" w:rsidRDefault="00B73B34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83584A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C67C0F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83584A">
        <w:rPr>
          <w:rFonts w:asciiTheme="minorHAnsi" w:hAnsiTheme="minorHAnsi" w:cstheme="minorHAnsi"/>
          <w:sz w:val="22"/>
        </w:rPr>
        <w:t xml:space="preserve">ust. 2 pkt 3 i </w:t>
      </w:r>
      <w:r w:rsidR="00C67C0F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5 oraz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 oraz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</w:t>
      </w:r>
      <w:r>
        <w:rPr>
          <w:rFonts w:asciiTheme="minorHAnsi" w:hAnsiTheme="minorHAnsi" w:cstheme="minorHAnsi"/>
          <w:sz w:val="22"/>
        </w:rPr>
        <w:t>ych.</w:t>
      </w:r>
    </w:p>
    <w:p w14:paraId="543C6DD0" w14:textId="43A46E25" w:rsidR="00AB7281" w:rsidRPr="00F70BC8" w:rsidRDefault="00242A35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7F1EF180" w:rsidR="002D6B17" w:rsidRPr="00E55966" w:rsidRDefault="002D6B17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B73B34">
        <w:rPr>
          <w:rFonts w:asciiTheme="minorHAnsi" w:hAnsiTheme="minorHAnsi" w:cstheme="minorHAnsi"/>
          <w:sz w:val="22"/>
        </w:rPr>
        <w:t>9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bezpodstawnie 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4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C67C0F">
      <w:pPr>
        <w:widowControl w:val="0"/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3D0E3F">
        <w:rPr>
          <w:rFonts w:asciiTheme="minorHAnsi" w:hAnsiTheme="minorHAnsi" w:cstheme="minorHAnsi"/>
          <w:sz w:val="22"/>
        </w:rPr>
        <w:t>minimis</w:t>
      </w:r>
      <w:proofErr w:type="spellEnd"/>
      <w:r w:rsidRPr="003D0E3F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5"/>
      </w:r>
    </w:p>
    <w:p w14:paraId="3ECC4FED" w14:textId="255FA3DF" w:rsidR="00153351" w:rsidRPr="00736844" w:rsidRDefault="00153351" w:rsidP="00D24E87">
      <w:pPr>
        <w:keepNext/>
        <w:keepLines/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2B7F9508" w:rsidR="00153351" w:rsidRPr="00EC580A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="00F12120">
        <w:rPr>
          <w:rFonts w:asciiTheme="minorHAnsi" w:eastAsia="Times New Roman" w:hAnsiTheme="minorHAnsi" w:cstheme="minorHAnsi"/>
          <w:sz w:val="22"/>
          <w:lang w:eastAsia="pl-PL"/>
        </w:rPr>
        <w:t xml:space="preserve"> w ramach przyznanego dofinansowania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9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C67C0F">
      <w:pPr>
        <w:numPr>
          <w:ilvl w:val="0"/>
          <w:numId w:val="5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C67C0F">
      <w:pPr>
        <w:numPr>
          <w:ilvl w:val="0"/>
          <w:numId w:val="5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lastRenderedPageBreak/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C67C0F">
      <w:pPr>
        <w:numPr>
          <w:ilvl w:val="0"/>
          <w:numId w:val="55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40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C67C0F">
      <w:pPr>
        <w:numPr>
          <w:ilvl w:val="0"/>
          <w:numId w:val="56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C67C0F">
      <w:pPr>
        <w:numPr>
          <w:ilvl w:val="0"/>
          <w:numId w:val="5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D24E87">
      <w:pPr>
        <w:keepNext/>
        <w:keepLines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C67C0F">
      <w:pPr>
        <w:widowControl w:val="0"/>
        <w:numPr>
          <w:ilvl w:val="0"/>
          <w:numId w:val="3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2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wyznaczonej </w:t>
      </w:r>
      <w:r w:rsidRPr="00EC580A">
        <w:rPr>
          <w:rFonts w:asciiTheme="minorHAnsi" w:hAnsiTheme="minorHAnsi" w:cstheme="minorHAnsi"/>
          <w:sz w:val="22"/>
        </w:rPr>
        <w:lastRenderedPageBreak/>
        <w:t>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366C43BF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</w:t>
      </w:r>
    </w:p>
    <w:p w14:paraId="726FD312" w14:textId="1534C640" w:rsidR="00247DE8" w:rsidRPr="00E55966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C67C0F">
      <w:pPr>
        <w:widowControl w:val="0"/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D24E87">
      <w:pPr>
        <w:keepNext/>
        <w:keepLines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C67C0F">
      <w:pPr>
        <w:pStyle w:val="Tekstkomentarza"/>
        <w:widowControl w:val="0"/>
        <w:numPr>
          <w:ilvl w:val="0"/>
          <w:numId w:val="3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C67C0F">
      <w:pPr>
        <w:pStyle w:val="Tekstkomentarza"/>
        <w:widowControl w:val="0"/>
        <w:numPr>
          <w:ilvl w:val="1"/>
          <w:numId w:val="4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C67C0F">
      <w:pPr>
        <w:widowControl w:val="0"/>
        <w:numPr>
          <w:ilvl w:val="0"/>
          <w:numId w:val="3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6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lastRenderedPageBreak/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D77D1F">
        <w:rPr>
          <w:rFonts w:asciiTheme="minorHAnsi" w:hAnsiTheme="minorHAnsi" w:cstheme="minorHAnsi"/>
          <w:sz w:val="22"/>
        </w:rPr>
        <w:t>;</w:t>
      </w:r>
    </w:p>
    <w:p w14:paraId="56D590D5" w14:textId="106C47E4" w:rsidR="00215D60" w:rsidRPr="00EC580A" w:rsidRDefault="00D77D1F" w:rsidP="00C67C0F">
      <w:pPr>
        <w:widowControl w:val="0"/>
        <w:numPr>
          <w:ilvl w:val="0"/>
          <w:numId w:val="3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847A22" w:rsidRPr="00EC580A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F46665">
      <w:pPr>
        <w:keepNext/>
        <w:keepLines/>
        <w:widowControl w:val="0"/>
        <w:numPr>
          <w:ilvl w:val="0"/>
          <w:numId w:val="33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F46665">
      <w:pPr>
        <w:keepNext/>
        <w:keepLines/>
        <w:widowControl w:val="0"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F46665">
      <w:pPr>
        <w:keepNext/>
        <w:keepLines/>
        <w:widowControl w:val="0"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09DBE" w14:textId="77777777" w:rsidR="004A581D" w:rsidRDefault="004A581D" w:rsidP="00771090">
      <w:pPr>
        <w:spacing w:after="0" w:line="240" w:lineRule="auto"/>
      </w:pPr>
      <w:r>
        <w:separator/>
      </w:r>
    </w:p>
  </w:endnote>
  <w:endnote w:type="continuationSeparator" w:id="0">
    <w:p w14:paraId="65A79218" w14:textId="77777777" w:rsidR="004A581D" w:rsidRDefault="004A581D" w:rsidP="00771090">
      <w:pPr>
        <w:spacing w:after="0" w:line="240" w:lineRule="auto"/>
      </w:pPr>
      <w:r>
        <w:continuationSeparator/>
      </w:r>
    </w:p>
  </w:endnote>
  <w:endnote w:type="continuationNotice" w:id="1">
    <w:p w14:paraId="5B7C50E8" w14:textId="77777777" w:rsidR="004A581D" w:rsidRDefault="004A5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5E2A0C3C" w:rsidR="000E4061" w:rsidRDefault="000E4061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F1533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1C643" w14:textId="77777777" w:rsidR="004A581D" w:rsidRDefault="004A581D" w:rsidP="00771090">
      <w:pPr>
        <w:spacing w:after="0" w:line="240" w:lineRule="auto"/>
      </w:pPr>
      <w:r>
        <w:separator/>
      </w:r>
    </w:p>
  </w:footnote>
  <w:footnote w:type="continuationSeparator" w:id="0">
    <w:p w14:paraId="26C15979" w14:textId="77777777" w:rsidR="004A581D" w:rsidRDefault="004A581D" w:rsidP="00771090">
      <w:pPr>
        <w:spacing w:after="0" w:line="240" w:lineRule="auto"/>
      </w:pPr>
      <w:r>
        <w:continuationSeparator/>
      </w:r>
    </w:p>
  </w:footnote>
  <w:footnote w:type="continuationNotice" w:id="1">
    <w:p w14:paraId="21357F2A" w14:textId="77777777" w:rsidR="004A581D" w:rsidRDefault="004A581D">
      <w:pPr>
        <w:spacing w:after="0" w:line="240" w:lineRule="auto"/>
      </w:pPr>
    </w:p>
  </w:footnote>
  <w:footnote w:id="2">
    <w:p w14:paraId="5FD58D93" w14:textId="15E1E2A8" w:rsidR="000E4061" w:rsidRPr="00F46665" w:rsidRDefault="000E40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0E4061" w:rsidRPr="00F46665" w:rsidRDefault="000E40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0E4061" w:rsidRPr="00F46665" w:rsidRDefault="000E40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502E0CB0" w14:textId="77777777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0E4061" w:rsidRPr="00F46665" w:rsidRDefault="000E40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0E4061" w:rsidRPr="00F46665" w:rsidRDefault="000E4061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4EF468A6" w14:textId="5AB68040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5">
    <w:p w14:paraId="115F7B07" w14:textId="02DF16D0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6">
    <w:p w14:paraId="16FF8367" w14:textId="2296E9C0" w:rsidR="000E4061" w:rsidRPr="00F70BC8" w:rsidRDefault="000E4061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7">
    <w:p w14:paraId="6360C14F" w14:textId="0EC31906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11E4EB10" w14:textId="6DA3BC11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0E4061" w:rsidRPr="00F70BC8" w:rsidRDefault="000E4061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0E4061" w:rsidRPr="00F70BC8" w:rsidRDefault="000E4061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0E4061" w:rsidRPr="00F70BC8" w:rsidRDefault="000E4061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0E4061" w:rsidRPr="00F70BC8" w:rsidRDefault="000E4061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9">
    <w:p w14:paraId="204E8EE7" w14:textId="77777777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0">
    <w:p w14:paraId="00CCF795" w14:textId="485091E7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1">
    <w:p w14:paraId="5242C36E" w14:textId="64DE8F52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2">
    <w:p w14:paraId="3EB4C64A" w14:textId="77777777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3">
    <w:p w14:paraId="1C409AFA" w14:textId="77777777" w:rsidR="000E4061" w:rsidRPr="00F70BC8" w:rsidRDefault="000E4061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4">
    <w:p w14:paraId="69445F12" w14:textId="77777777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5">
    <w:p w14:paraId="7F001691" w14:textId="04D8215D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6">
    <w:p w14:paraId="416EC17F" w14:textId="72848DD3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7">
    <w:p w14:paraId="5101F2B0" w14:textId="77777777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8">
    <w:p w14:paraId="52C823B3" w14:textId="261B3C0D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 xml:space="preserve">de </w:t>
      </w:r>
      <w:proofErr w:type="spellStart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minimis</w:t>
      </w:r>
      <w:proofErr w:type="spellEnd"/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19">
    <w:p w14:paraId="630E7B18" w14:textId="67B5D4D1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20">
    <w:p w14:paraId="3D95253B" w14:textId="45B24472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1">
    <w:p w14:paraId="1DC21649" w14:textId="51CBE3EC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2">
    <w:p w14:paraId="39DDBDCB" w14:textId="402C32CA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3">
    <w:p w14:paraId="4FBF55FF" w14:textId="1302FEBC" w:rsidR="00F12120" w:rsidRPr="00F12120" w:rsidRDefault="00F12120" w:rsidP="00F12120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12120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12120">
        <w:rPr>
          <w:rFonts w:asciiTheme="minorHAnsi" w:hAnsiTheme="minorHAnsi"/>
          <w:sz w:val="14"/>
          <w:szCs w:val="14"/>
        </w:rPr>
        <w:t xml:space="preserve"> </w:t>
      </w:r>
      <w:r w:rsidRPr="00F12120">
        <w:rPr>
          <w:rFonts w:asciiTheme="minorHAnsi" w:hAnsiTheme="minorHAnsi"/>
          <w:sz w:val="14"/>
          <w:szCs w:val="14"/>
          <w:lang w:val="pl-PL"/>
        </w:rPr>
        <w:t>W okresie obowiązywania ustawy z dnia 3 kwietnia 2020 r. o szczególnych rozwiązaniach wspierających realizację programów operacyjnych w związku z wystąpieniem COVID-19 w 2020 r., termin ulega wydłużeniu o 3 miesiące</w:t>
      </w:r>
      <w:r>
        <w:rPr>
          <w:rFonts w:asciiTheme="minorHAnsi" w:hAnsiTheme="minorHAnsi"/>
          <w:sz w:val="14"/>
          <w:szCs w:val="14"/>
          <w:lang w:val="pl-PL"/>
        </w:rPr>
        <w:t>.</w:t>
      </w:r>
    </w:p>
  </w:footnote>
  <w:footnote w:id="24">
    <w:p w14:paraId="6C2B4345" w14:textId="7CA1D6C8" w:rsidR="000E4061" w:rsidRPr="00F70BC8" w:rsidRDefault="000E4061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5">
    <w:p w14:paraId="4E88EA3A" w14:textId="22EE5642" w:rsidR="000E4061" w:rsidRPr="00F70BC8" w:rsidRDefault="000E4061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</w:t>
      </w:r>
      <w:r w:rsidR="00F12120">
        <w:rPr>
          <w:rFonts w:asciiTheme="minorHAnsi" w:hAnsiTheme="minorHAnsi"/>
          <w:sz w:val="14"/>
          <w:szCs w:val="14"/>
        </w:rPr>
        <w:t>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6">
    <w:p w14:paraId="26A5EA7F" w14:textId="4F4956C5" w:rsidR="000E4061" w:rsidRPr="00F70BC8" w:rsidRDefault="000E4061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7">
    <w:p w14:paraId="0AC6F555" w14:textId="2D7E41A8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  <w:lang w:val="pl-PL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8">
    <w:p w14:paraId="0DBE7687" w14:textId="77777777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9">
    <w:p w14:paraId="5ED5D8CE" w14:textId="011887CC" w:rsidR="000E4061" w:rsidRPr="00F70BC8" w:rsidRDefault="000E4061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30">
    <w:p w14:paraId="4CEB46C7" w14:textId="2AD6D347" w:rsidR="000E4061" w:rsidRPr="00F70BC8" w:rsidRDefault="000E4061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1">
    <w:p w14:paraId="7907285D" w14:textId="77777777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2">
    <w:p w14:paraId="22A48374" w14:textId="16B1636B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pomocą de </w:t>
      </w:r>
      <w:proofErr w:type="spellStart"/>
      <w:r w:rsidRPr="00F70BC8">
        <w:rPr>
          <w:rFonts w:asciiTheme="minorHAnsi" w:hAnsiTheme="minorHAnsi" w:cstheme="minorHAnsi"/>
          <w:sz w:val="14"/>
          <w:szCs w:val="14"/>
          <w:lang w:val="pl-PL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27A45A93" w14:textId="79BF60B9" w:rsidR="000E4061" w:rsidRPr="00F70BC8" w:rsidRDefault="000E4061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</w:t>
      </w:r>
      <w:proofErr w:type="spellStart"/>
      <w:r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4">
    <w:p w14:paraId="1C53C2CC" w14:textId="0615B319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5">
    <w:p w14:paraId="5464D4CA" w14:textId="77777777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6">
    <w:p w14:paraId="3B442A91" w14:textId="6E6BB970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7">
    <w:p w14:paraId="4121C6B5" w14:textId="217829F9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8">
    <w:p w14:paraId="47D0D2EA" w14:textId="7EF780DD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9">
    <w:p w14:paraId="52537165" w14:textId="59A992C9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40">
    <w:p w14:paraId="6632099A" w14:textId="42380CC6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41">
    <w:p w14:paraId="28A757F3" w14:textId="7B4EDBC5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2">
    <w:p w14:paraId="36E5DA8C" w14:textId="386C2A72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3">
    <w:p w14:paraId="2AFDFB76" w14:textId="77777777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F70BC8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44">
    <w:p w14:paraId="6CA4A618" w14:textId="65FA69CA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5">
    <w:p w14:paraId="0CF6B727" w14:textId="2C15C6DE" w:rsidR="000E4061" w:rsidRPr="00383C24" w:rsidRDefault="000E4061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6">
    <w:p w14:paraId="1D3136C2" w14:textId="2B5B1145" w:rsidR="000E4061" w:rsidRPr="00F70BC8" w:rsidRDefault="000E4061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7">
    <w:p w14:paraId="040E7A5C" w14:textId="77777777" w:rsidR="000E4061" w:rsidRPr="00F70BC8" w:rsidRDefault="000E4061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8">
    <w:p w14:paraId="002E7077" w14:textId="71CAA756" w:rsidR="000E4061" w:rsidRPr="00F70BC8" w:rsidRDefault="000E4061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9">
    <w:p w14:paraId="3A78D2A5" w14:textId="55C58972" w:rsidR="000E4061" w:rsidRPr="00F70BC8" w:rsidRDefault="000E4061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0">
    <w:p w14:paraId="4835D8C3" w14:textId="4AB99E47" w:rsidR="000E4061" w:rsidRPr="00F70BC8" w:rsidRDefault="000E4061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77777777" w:rsidR="000E4061" w:rsidRDefault="000E4061" w:rsidP="002E5CE5">
    <w:pPr>
      <w:pStyle w:val="Nagwek"/>
    </w:pPr>
    <w:r>
      <w:rPr>
        <w:noProof/>
        <w:lang w:val="pl-PL" w:eastAsia="pl-PL"/>
      </w:rPr>
      <w:drawing>
        <wp:inline distT="0" distB="0" distL="0" distR="0" wp14:anchorId="6DFE434D" wp14:editId="4E68D2A3">
          <wp:extent cx="5762625" cy="342900"/>
          <wp:effectExtent l="0" t="0" r="9525" b="0"/>
          <wp:docPr id="5" name="Obraz 5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835D5" w14:textId="6757C85D" w:rsidR="000E4061" w:rsidRPr="005D375D" w:rsidRDefault="000E4061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>
      <w:rPr>
        <w:i/>
        <w:sz w:val="16"/>
        <w:szCs w:val="16"/>
        <w:lang w:val="pl-PL"/>
      </w:rPr>
      <w:t xml:space="preserve"> nr 1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>
      <w:rPr>
        <w:i/>
        <w:sz w:val="16"/>
        <w:szCs w:val="16"/>
        <w:lang w:val="pl-PL"/>
      </w:rPr>
      <w:t>20 – aktualizacja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64038"/>
    <w:multiLevelType w:val="hybridMultilevel"/>
    <w:tmpl w:val="AF501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894F26"/>
    <w:multiLevelType w:val="hybridMultilevel"/>
    <w:tmpl w:val="6CA806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B7E03"/>
    <w:multiLevelType w:val="hybridMultilevel"/>
    <w:tmpl w:val="4A82D0E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E85F56"/>
    <w:multiLevelType w:val="hybridMultilevel"/>
    <w:tmpl w:val="57BE894A"/>
    <w:lvl w:ilvl="0" w:tplc="8F3425E4">
      <w:start w:val="4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5285571"/>
    <w:multiLevelType w:val="hybridMultilevel"/>
    <w:tmpl w:val="48681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AED37C2"/>
    <w:multiLevelType w:val="hybridMultilevel"/>
    <w:tmpl w:val="C654223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60CDC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76C5CDB"/>
    <w:multiLevelType w:val="hybridMultilevel"/>
    <w:tmpl w:val="DBAC19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C65659"/>
    <w:multiLevelType w:val="hybridMultilevel"/>
    <w:tmpl w:val="CD64F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4D15BF"/>
    <w:multiLevelType w:val="hybridMultilevel"/>
    <w:tmpl w:val="CB6EDFC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168FC"/>
    <w:multiLevelType w:val="hybridMultilevel"/>
    <w:tmpl w:val="E468E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D06B90"/>
    <w:multiLevelType w:val="hybridMultilevel"/>
    <w:tmpl w:val="6F8CB02E"/>
    <w:lvl w:ilvl="0" w:tplc="7D42E0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5B29F8"/>
    <w:multiLevelType w:val="hybridMultilevel"/>
    <w:tmpl w:val="ADDE9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9E5227"/>
    <w:multiLevelType w:val="hybridMultilevel"/>
    <w:tmpl w:val="F1029A9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3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FB0944"/>
    <w:multiLevelType w:val="hybridMultilevel"/>
    <w:tmpl w:val="A8125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66F22"/>
    <w:multiLevelType w:val="hybridMultilevel"/>
    <w:tmpl w:val="98E61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0D26899"/>
    <w:multiLevelType w:val="multilevel"/>
    <w:tmpl w:val="F27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4CA"/>
    <w:multiLevelType w:val="hybridMultilevel"/>
    <w:tmpl w:val="54A0F0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9576A3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055299"/>
    <w:multiLevelType w:val="multilevel"/>
    <w:tmpl w:val="702A6FF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2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3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46"/>
  </w:num>
  <w:num w:numId="4">
    <w:abstractNumId w:val="2"/>
  </w:num>
  <w:num w:numId="5">
    <w:abstractNumId w:val="11"/>
  </w:num>
  <w:num w:numId="6">
    <w:abstractNumId w:val="71"/>
  </w:num>
  <w:num w:numId="7">
    <w:abstractNumId w:val="27"/>
  </w:num>
  <w:num w:numId="8">
    <w:abstractNumId w:val="21"/>
  </w:num>
  <w:num w:numId="9">
    <w:abstractNumId w:val="42"/>
  </w:num>
  <w:num w:numId="10">
    <w:abstractNumId w:val="36"/>
  </w:num>
  <w:num w:numId="11">
    <w:abstractNumId w:val="57"/>
  </w:num>
  <w:num w:numId="12">
    <w:abstractNumId w:val="73"/>
  </w:num>
  <w:num w:numId="13">
    <w:abstractNumId w:val="31"/>
  </w:num>
  <w:num w:numId="14">
    <w:abstractNumId w:val="49"/>
  </w:num>
  <w:num w:numId="15">
    <w:abstractNumId w:val="23"/>
  </w:num>
  <w:num w:numId="16">
    <w:abstractNumId w:val="18"/>
  </w:num>
  <w:num w:numId="17">
    <w:abstractNumId w:val="8"/>
  </w:num>
  <w:num w:numId="18">
    <w:abstractNumId w:val="53"/>
  </w:num>
  <w:num w:numId="19">
    <w:abstractNumId w:val="69"/>
  </w:num>
  <w:num w:numId="20">
    <w:abstractNumId w:val="20"/>
  </w:num>
  <w:num w:numId="21">
    <w:abstractNumId w:val="52"/>
  </w:num>
  <w:num w:numId="22">
    <w:abstractNumId w:val="43"/>
  </w:num>
  <w:num w:numId="23">
    <w:abstractNumId w:val="6"/>
  </w:num>
  <w:num w:numId="24">
    <w:abstractNumId w:val="62"/>
  </w:num>
  <w:num w:numId="25">
    <w:abstractNumId w:val="7"/>
  </w:num>
  <w:num w:numId="26">
    <w:abstractNumId w:val="39"/>
  </w:num>
  <w:num w:numId="27">
    <w:abstractNumId w:val="34"/>
  </w:num>
  <w:num w:numId="28">
    <w:abstractNumId w:val="40"/>
  </w:num>
  <w:num w:numId="29">
    <w:abstractNumId w:val="70"/>
  </w:num>
  <w:num w:numId="30">
    <w:abstractNumId w:val="5"/>
  </w:num>
  <w:num w:numId="31">
    <w:abstractNumId w:val="58"/>
  </w:num>
  <w:num w:numId="32">
    <w:abstractNumId w:val="60"/>
  </w:num>
  <w:num w:numId="33">
    <w:abstractNumId w:val="59"/>
  </w:num>
  <w:num w:numId="34">
    <w:abstractNumId w:val="26"/>
  </w:num>
  <w:num w:numId="35">
    <w:abstractNumId w:val="28"/>
  </w:num>
  <w:num w:numId="36">
    <w:abstractNumId w:val="55"/>
  </w:num>
  <w:num w:numId="37">
    <w:abstractNumId w:val="14"/>
  </w:num>
  <w:num w:numId="38">
    <w:abstractNumId w:val="15"/>
  </w:num>
  <w:num w:numId="39">
    <w:abstractNumId w:val="13"/>
  </w:num>
  <w:num w:numId="40">
    <w:abstractNumId w:val="16"/>
  </w:num>
  <w:num w:numId="41">
    <w:abstractNumId w:val="24"/>
  </w:num>
  <w:num w:numId="42">
    <w:abstractNumId w:val="35"/>
  </w:num>
  <w:num w:numId="43">
    <w:abstractNumId w:val="45"/>
  </w:num>
  <w:num w:numId="44">
    <w:abstractNumId w:val="9"/>
  </w:num>
  <w:num w:numId="45">
    <w:abstractNumId w:val="48"/>
  </w:num>
  <w:num w:numId="46">
    <w:abstractNumId w:val="1"/>
  </w:num>
  <w:num w:numId="47">
    <w:abstractNumId w:val="63"/>
  </w:num>
  <w:num w:numId="48">
    <w:abstractNumId w:val="25"/>
  </w:num>
  <w:num w:numId="49">
    <w:abstractNumId w:val="68"/>
  </w:num>
  <w:num w:numId="50">
    <w:abstractNumId w:val="4"/>
  </w:num>
  <w:num w:numId="51">
    <w:abstractNumId w:val="67"/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</w:num>
  <w:num w:numId="70">
    <w:abstractNumId w:val="72"/>
  </w:num>
  <w:num w:numId="71">
    <w:abstractNumId w:val="30"/>
  </w:num>
  <w:num w:numId="72">
    <w:abstractNumId w:val="66"/>
  </w:num>
  <w:num w:numId="73">
    <w:abstractNumId w:val="61"/>
  </w:num>
  <w:num w:numId="74">
    <w:abstractNumId w:val="41"/>
  </w:num>
  <w:num w:numId="75">
    <w:abstractNumId w:val="12"/>
  </w:num>
  <w:num w:numId="76">
    <w:abstractNumId w:val="17"/>
  </w:num>
  <w:num w:numId="77">
    <w:abstractNumId w:val="3"/>
  </w:num>
  <w:num w:numId="78">
    <w:abstractNumId w:val="33"/>
  </w:num>
  <w:num w:numId="79">
    <w:abstractNumId w:val="32"/>
  </w:num>
  <w:num w:numId="80">
    <w:abstractNumId w:val="44"/>
  </w:num>
  <w:num w:numId="81">
    <w:abstractNumId w:val="51"/>
  </w:num>
  <w:num w:numId="82">
    <w:abstractNumId w:val="50"/>
  </w:num>
  <w:num w:numId="83">
    <w:abstractNumId w:val="19"/>
  </w:num>
  <w:num w:numId="84">
    <w:abstractNumId w:val="38"/>
  </w:num>
  <w:num w:numId="85">
    <w:abstractNumId w:val="64"/>
  </w:num>
  <w:num w:numId="86">
    <w:abstractNumId w:val="56"/>
  </w:num>
  <w:num w:numId="87">
    <w:abstractNumId w:val="37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71D5"/>
    <w:rsid w:val="00357944"/>
    <w:rsid w:val="00357D06"/>
    <w:rsid w:val="00357F62"/>
    <w:rsid w:val="003604A0"/>
    <w:rsid w:val="0036167C"/>
    <w:rsid w:val="0036169D"/>
    <w:rsid w:val="00361A5D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81D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4244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699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1533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DD2EC"/>
  <w15:docId w15:val="{D58F9FEF-A574-4DDE-8DE0-D2336D4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5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08F8F-5057-4E23-B6DD-3055BB65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12361</Words>
  <Characters>74167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86356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Dorota Maroń</cp:lastModifiedBy>
  <cp:revision>2</cp:revision>
  <cp:lastPrinted>2018-02-01T08:08:00Z</cp:lastPrinted>
  <dcterms:created xsi:type="dcterms:W3CDTF">2020-09-04T10:12:00Z</dcterms:created>
  <dcterms:modified xsi:type="dcterms:W3CDTF">2020-09-04T10:12:00Z</dcterms:modified>
</cp:coreProperties>
</file>