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D402" w14:textId="7C1C46ED" w:rsidR="00BD5DA4" w:rsidRDefault="002663F3" w:rsidP="00B271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</w:t>
      </w:r>
      <w:r w:rsidR="00B5772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5DA4" w:rsidRPr="00BD5DA4">
        <w:rPr>
          <w:rFonts w:ascii="Times New Roman" w:eastAsia="Times New Roman" w:hAnsi="Times New Roman" w:cs="Times New Roman"/>
          <w:lang w:eastAsia="pl-PL"/>
        </w:rPr>
        <w:t>B.33</w:t>
      </w:r>
    </w:p>
    <w:p w14:paraId="32F1162B" w14:textId="77777777" w:rsidR="00B27143" w:rsidRPr="00BD5DA4" w:rsidRDefault="00B27143" w:rsidP="00B271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121523" w14:textId="2A509D1C" w:rsidR="009D7AE1" w:rsidRPr="009D7AE1" w:rsidRDefault="009D7AE1" w:rsidP="009D7AE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85B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AKTYWNEJ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85B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POSTACI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REUMATOIDALNEGO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ZAPALENIA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STAWÓW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MŁODZIEŃCZEGO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IDIOPATYCZNEGO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ZAPALENIA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STAWÓW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05,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06,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</w:t>
      </w:r>
      <w:r w:rsidR="00B5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08)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4294"/>
        <w:gridCol w:w="4295"/>
      </w:tblGrid>
      <w:tr w:rsidR="009D7AE1" w:rsidRPr="00B27143" w14:paraId="5F09B8FE" w14:textId="77777777" w:rsidTr="00CB2AC0">
        <w:trPr>
          <w:trHeight w:val="567"/>
        </w:trPr>
        <w:tc>
          <w:tcPr>
            <w:tcW w:w="0" w:type="auto"/>
            <w:gridSpan w:val="3"/>
            <w:vAlign w:val="center"/>
          </w:tcPr>
          <w:p w14:paraId="61C1B355" w14:textId="4B1A03B3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GWARANTOWANEGO</w:t>
            </w:r>
          </w:p>
        </w:tc>
      </w:tr>
      <w:tr w:rsidR="009D7AE1" w:rsidRPr="00B27143" w14:paraId="458D3A4B" w14:textId="77777777" w:rsidTr="00B57721">
        <w:trPr>
          <w:trHeight w:val="567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130ABE72" w14:textId="77777777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1E38CA8C" w14:textId="6F13859A" w:rsidR="00CB2AC0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SCHEMAT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LEKÓW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3BF1A01" w14:textId="2931FC97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4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5543B" w14:textId="0A88EC1A" w:rsidR="009D7AE1" w:rsidRPr="00B27143" w:rsidRDefault="009D7AE1" w:rsidP="00B27143">
            <w:pPr>
              <w:spacing w:after="0" w:line="240" w:lineRule="auto"/>
              <w:ind w:left="35" w:hanging="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DIAGNOSTYCZNE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WYKONYWANE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</w:tc>
      </w:tr>
      <w:tr w:rsidR="009D7AE1" w:rsidRPr="00B27143" w14:paraId="2BAFC583" w14:textId="77777777" w:rsidTr="00CB2AC0">
        <w:trPr>
          <w:trHeight w:val="567"/>
        </w:trPr>
        <w:tc>
          <w:tcPr>
            <w:tcW w:w="0" w:type="auto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22770" w14:textId="5226F67F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REUMATOIDALNE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ZAPALENIE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STAWÓW</w:t>
            </w:r>
          </w:p>
        </w:tc>
      </w:tr>
      <w:tr w:rsidR="009D7AE1" w:rsidRPr="00B27143" w14:paraId="1285A49E" w14:textId="77777777" w:rsidTr="00B5772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F38E" w14:textId="7E9EB448" w:rsidR="009D7AE1" w:rsidRPr="00B27143" w:rsidRDefault="009D7AE1" w:rsidP="00357466">
            <w:pPr>
              <w:numPr>
                <w:ilvl w:val="0"/>
                <w:numId w:val="1"/>
              </w:num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50E45491" w14:textId="09D5C57A" w:rsidR="009D7AE1" w:rsidRPr="00B27143" w:rsidRDefault="009D7AE1" w:rsidP="00357466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zaznaczone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powyżej.</w:t>
            </w:r>
          </w:p>
          <w:p w14:paraId="628D318A" w14:textId="34E32A84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143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143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rozpoznaniem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RZS,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nastąpiło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dwoma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lekami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immunosupresyjnymi,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takimi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jak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</w:t>
            </w:r>
            <w:proofErr w:type="spellEnd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leflunomid</w:t>
            </w:r>
            <w:proofErr w:type="spellEnd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sulfasalazyna</w:t>
            </w:r>
            <w:proofErr w:type="spellEnd"/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leki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antymalaryczne,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zaleceniami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EULAR,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każdy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zastosowany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był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łączonej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niepowodzeniu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doustnej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podskórnej)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lastRenderedPageBreak/>
              <w:t>po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niepowodzeniu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doustnej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podskórnej,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która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była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zastosowana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występowaniem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czynników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złej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prognozy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EULAR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5DB2666E" w14:textId="44004436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spełnione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60B3DC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0106800" w14:textId="0799ABCE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9B1E4F8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07279E7" w14:textId="71E0D756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FBBB6D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2BB6BB6" w14:textId="18A9D922" w:rsidR="009D7AE1" w:rsidRPr="00B27143" w:rsidRDefault="009D7AE1" w:rsidP="00A857A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B1FE1F5" w14:textId="22E79E58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C38D62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uogólnioną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(Zespół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Stilla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dorosłych)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2C60B9" w14:textId="7A41F0E5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733CC48C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wtórną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amyloidozą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87888D" w14:textId="3F13BCBF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08E6011" w14:textId="194D0444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towarzyszącym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naczyń.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10833A9" w14:textId="335DFADD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22B298D0" w14:textId="115312EC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07B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07B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baricytinbem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1FE77CA1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89D22CE" w14:textId="2B02A7AE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7F42419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4CF7FF" w14:textId="0EA4EBBB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46D2F68F" w14:textId="2DE168B1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2649AEC8" w14:textId="5E644331" w:rsidR="009D7AE1" w:rsidRPr="00B27143" w:rsidRDefault="009D7AE1" w:rsidP="00357466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tylko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uniknąć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stosując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alfa.</w:t>
            </w:r>
          </w:p>
          <w:p w14:paraId="73C2F888" w14:textId="2B7E20C2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20C0C343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9C57D5C" w14:textId="1C19B1A5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811B8FC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</w:p>
          <w:p w14:paraId="4866E0F4" w14:textId="3AF26F9E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2DD0C2C3" w14:textId="23ED6023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3CCC8FAD" w14:textId="276647D7" w:rsidR="009D7AE1" w:rsidRPr="00B27143" w:rsidRDefault="009D7AE1" w:rsidP="00357466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0EB0BBB7" w14:textId="61597DE7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1E031E" w14:textId="2C9C6CB3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9B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D79B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778BF505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6A731B" w14:textId="01B0D299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500491C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CED183" w14:textId="4F43BEEC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7A486E6B" w14:textId="2FA6F0A8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RZS);</w:t>
            </w:r>
          </w:p>
          <w:p w14:paraId="47C10B49" w14:textId="33DB67E6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06831F75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DAD8A5" w14:textId="2701AE29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EEE4788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DB605B7" w14:textId="6F5A86B2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1B05F3CE" w14:textId="62867A1E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4E66F3C3" w14:textId="25DDEDFC" w:rsidR="009D7AE1" w:rsidRPr="00B27143" w:rsidRDefault="009D7AE1" w:rsidP="00357466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5EA25615" w14:textId="4E756945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14CD4018" w14:textId="2098E45A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5F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A5F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76BDF354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12091BE" w14:textId="163B29C4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5B57CD6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83E243" w14:textId="702CE762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38C260A" w14:textId="49E96C45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429C37A8" w14:textId="74766597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7E1002B1" w14:textId="359AB2A6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,dwoma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1C649A39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443843" w14:textId="1E82D651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9C5F7C" w14:textId="77777777" w:rsidR="00A857A0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2F34D7" w14:textId="5A7D4A68" w:rsidR="009D7AE1" w:rsidRPr="00B27143" w:rsidRDefault="009D7AE1" w:rsidP="00A857A0">
            <w:pPr>
              <w:spacing w:after="60" w:line="276" w:lineRule="auto"/>
              <w:ind w:left="6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710ACF0E" w14:textId="50BB7998" w:rsidR="009D7AE1" w:rsidRPr="00B27143" w:rsidRDefault="009D7AE1" w:rsidP="00357466">
            <w:pPr>
              <w:numPr>
                <w:ilvl w:val="4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46B639B5" w14:textId="0688F7FB" w:rsidR="005441A9" w:rsidRPr="00B27143" w:rsidRDefault="009D7AE1" w:rsidP="00357466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Kwalifikacja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57D0A4B4" w14:textId="2F0C0B1F" w:rsidR="00C134CF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siedmiu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biologicznych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,baricytynibu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zastrzeżeniem,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</w:t>
            </w:r>
            <w:r w:rsidR="007F17F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7F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7F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7F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17F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7A4B5FF5" w14:textId="1B4B0F40" w:rsidR="00C134CF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nieskutecznie.</w:t>
            </w:r>
          </w:p>
          <w:p w14:paraId="38AD40A7" w14:textId="4979EB45" w:rsidR="00C134CF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14:paraId="699609E0" w14:textId="1BD45B96" w:rsidR="00C134CF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przypadkach,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pacjentowi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kalectwo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zakwalifikowany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39D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939D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niespełnienia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medyczną.</w:t>
            </w:r>
          </w:p>
          <w:p w14:paraId="3C05D3F5" w14:textId="41232DCC" w:rsidR="00C134CF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urodzeń,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odbywa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leczenie.</w:t>
            </w:r>
          </w:p>
          <w:p w14:paraId="46A121F7" w14:textId="77777777" w:rsidR="009D7AE1" w:rsidRPr="00B27143" w:rsidRDefault="009D7AE1" w:rsidP="0035746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A0D0E8" w14:textId="5C6C7941" w:rsidR="009D7AE1" w:rsidRPr="00B27143" w:rsidRDefault="009D7AE1" w:rsidP="0035746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stanowiące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przeciwwskazania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udziału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6A7B1564" w14:textId="7A6D0961" w:rsidR="009D7AE1" w:rsidRDefault="009D7AE1" w:rsidP="0035746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wynikają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określonych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Charakterystykach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poszczególnych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czynnych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ujętych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lekowym,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rekomendacji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EULAR/ACR.</w:t>
            </w:r>
          </w:p>
          <w:p w14:paraId="6869E8BC" w14:textId="77777777" w:rsidR="004038D2" w:rsidRPr="004038D2" w:rsidRDefault="004038D2" w:rsidP="0035746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0979D" w14:textId="04012FE2" w:rsidR="009D7AE1" w:rsidRPr="00B27143" w:rsidRDefault="009D7AE1" w:rsidP="0035746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3EF5264C" w14:textId="3407AD68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7DCF3D" w14:textId="2E753DCF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063" w:rsidRPr="00B27143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AF4063" w:rsidRPr="00B271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schemat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ulega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podawaniu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leku.</w:t>
            </w:r>
          </w:p>
          <w:p w14:paraId="28AF064E" w14:textId="77777777" w:rsidR="009D7AE1" w:rsidRPr="00B27143" w:rsidRDefault="009D7AE1" w:rsidP="0035746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919E53" w14:textId="1085B357" w:rsidR="009D7AE1" w:rsidRPr="00B27143" w:rsidRDefault="009D7AE1" w:rsidP="0035746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3673B4A3" w14:textId="6D3D7125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65BA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65BA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≤3,7,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26;</w:t>
            </w:r>
          </w:p>
          <w:p w14:paraId="0FE5ACEE" w14:textId="6D49EF2B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≤2,4,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≤1,6,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3,3;</w:t>
            </w:r>
          </w:p>
          <w:p w14:paraId="7927E685" w14:textId="29BB0C2D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zaostrzenia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przestaje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możliwe;</w:t>
            </w:r>
          </w:p>
          <w:p w14:paraId="61225F18" w14:textId="5904BC9E" w:rsidR="00322658" w:rsidRPr="004038D2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czynną;</w:t>
            </w:r>
          </w:p>
          <w:p w14:paraId="7EA6F568" w14:textId="284668C8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zwrócić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Reumatycznych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wyrażenie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kontynuację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klinicznych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nieuzyskania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niskiej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szczególnie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wyjściową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bardzo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dużą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występowaniem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czynników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złej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prognozy.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dalsze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braku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niskiej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656" w:rsidRPr="00B27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możliwe.</w:t>
            </w:r>
          </w:p>
          <w:p w14:paraId="662180E1" w14:textId="77777777" w:rsidR="009D7AE1" w:rsidRPr="00B27143" w:rsidRDefault="009D7AE1" w:rsidP="00357466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5A195F" w14:textId="5057FCAA" w:rsidR="009D7AE1" w:rsidRPr="00B27143" w:rsidRDefault="009D7AE1" w:rsidP="0035746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ponownego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włączenia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518C1EFD" w14:textId="6BF99FD1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0C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C70C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r w:rsidR="000357F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78DA2B6" w14:textId="27EB9F74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momencie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57F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357F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wzrost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wartości:</w:t>
            </w:r>
          </w:p>
          <w:p w14:paraId="2BDC36FD" w14:textId="77777777" w:rsidR="00FA0590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FA7C894" w14:textId="1238E600" w:rsidR="009D7AE1" w:rsidRPr="00B27143" w:rsidRDefault="009D7AE1" w:rsidP="00FA059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4F9F1EF8" w14:textId="77777777" w:rsidR="00FA0590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2,4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2C6B2E7" w14:textId="3A364919" w:rsidR="009D7AE1" w:rsidRPr="00B27143" w:rsidRDefault="009D7AE1" w:rsidP="00FA059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BCA194A" w14:textId="2C78E7D9" w:rsidR="009D7AE1" w:rsidRPr="00B27143" w:rsidRDefault="009D7AE1" w:rsidP="00357466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  <w:p w14:paraId="73390FC2" w14:textId="23F82E62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wywołało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F1E8A8C" w14:textId="20197234" w:rsidR="009D7AE1" w:rsidRPr="00B27143" w:rsidRDefault="009D7AE1" w:rsidP="00357466">
            <w:pPr>
              <w:numPr>
                <w:ilvl w:val="2"/>
                <w:numId w:val="1"/>
              </w:numPr>
              <w:spacing w:after="60" w:line="276" w:lineRule="auto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bądź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1B60D7B" w14:textId="77777777" w:rsidR="009D7AE1" w:rsidRPr="00B27143" w:rsidRDefault="009D7AE1" w:rsidP="0035746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402FDB76" w14:textId="61646198" w:rsidR="009D7AE1" w:rsidRPr="00B27143" w:rsidRDefault="009D7AE1" w:rsidP="0035746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0703050E" w14:textId="377D17C3" w:rsidR="009D7AE1" w:rsidRPr="00B27143" w:rsidRDefault="009D7AE1" w:rsidP="00357466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245A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245A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</w:t>
            </w:r>
            <w:proofErr w:type="spellEnd"/>
            <w:r w:rsidR="008245A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</w:t>
            </w:r>
            <w:proofErr w:type="spellEnd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95D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353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7D8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B57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7CEE" w:rsidRPr="00B271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EULAR/ACR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wydłużenia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pomiędzy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9E5A3A2" w14:textId="144E20F7" w:rsidR="009D7AE1" w:rsidRPr="00B27143" w:rsidRDefault="009D7AE1" w:rsidP="00357466">
            <w:pPr>
              <w:numPr>
                <w:ilvl w:val="2"/>
                <w:numId w:val="2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7D8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nadzorem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wykwalifikowanego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personelu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medycznego.</w:t>
            </w:r>
          </w:p>
          <w:p w14:paraId="19C34483" w14:textId="5EC7B317" w:rsidR="009D7AE1" w:rsidRPr="00B27143" w:rsidRDefault="009D7AE1" w:rsidP="00357466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podskórnej)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chorego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chyba,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281414" w14:textId="16F5E3F4" w:rsidR="009D7AE1" w:rsidRPr="00B27143" w:rsidRDefault="009D7AE1" w:rsidP="00357466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certolizumab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pegol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</w:t>
            </w:r>
            <w:proofErr w:type="spellEnd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EULAR/ACR.</w:t>
            </w:r>
          </w:p>
          <w:p w14:paraId="63972FD6" w14:textId="77777777" w:rsidR="009D7AE1" w:rsidRPr="00B27143" w:rsidRDefault="009D7AE1" w:rsidP="00357466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130639" w14:textId="77777777" w:rsidR="009D7AE1" w:rsidRPr="00B27143" w:rsidRDefault="009D7AE1" w:rsidP="00357466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E9D" w14:textId="6A0A6756" w:rsidR="009D7AE1" w:rsidRPr="00B27143" w:rsidRDefault="0043742A" w:rsidP="0035746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Badania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3EEBA1B6" w14:textId="66AA4C29" w:rsidR="009D7AE1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reumatoidalny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aCCP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kiedykolwiek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przeszłości;</w:t>
            </w:r>
          </w:p>
          <w:p w14:paraId="70A79131" w14:textId="05BB1AB4" w:rsidR="009D7AE1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tuberkulinowa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Quantiferon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779E8FA" w14:textId="445E8A8B" w:rsidR="009D7AE1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AEBB97A" w14:textId="20DFC105" w:rsidR="009D7AE1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anty-HCV,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pozytywnego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PCR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HCV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metodą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ilościową;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037646C" w14:textId="05A4E573" w:rsidR="009D7AE1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antygen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wirusa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HIV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(HIV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Ag/Ab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Combo);</w:t>
            </w:r>
          </w:p>
          <w:p w14:paraId="78145AAC" w14:textId="4691FF0E" w:rsidR="009D7AE1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kwalifikacją);</w:t>
            </w:r>
          </w:p>
          <w:p w14:paraId="3FE777B7" w14:textId="778FDE3D" w:rsidR="006A7CEE" w:rsidRPr="00B27143" w:rsidRDefault="009D7AE1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opisem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2DE86B71" w14:textId="70F0C4ED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granulocytów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limfocytów;</w:t>
            </w:r>
          </w:p>
          <w:p w14:paraId="486E9E39" w14:textId="1B95C4BE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56B8D82F" w14:textId="625D6491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0C4A56FF" w14:textId="7143E8D4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1AF838E6" w14:textId="7886F80A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3FAB953D" w14:textId="059F51C8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asparaginianowa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34891C27" w14:textId="321B852C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0B09D997" w14:textId="25BE2800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lekarza);</w:t>
            </w:r>
          </w:p>
          <w:p w14:paraId="13ED2C08" w14:textId="6D6E4FA1" w:rsidR="006A7CEE" w:rsidRPr="00B27143" w:rsidRDefault="006A7CEE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immunoglobulin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CBEEEE6" w14:textId="000B77B5" w:rsidR="000219B9" w:rsidRPr="00B27143" w:rsidRDefault="000219B9" w:rsidP="00357466">
            <w:pPr>
              <w:numPr>
                <w:ilvl w:val="2"/>
                <w:numId w:val="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3DFA5AE" w14:textId="77777777" w:rsidR="007050E5" w:rsidRPr="00B27143" w:rsidRDefault="007050E5" w:rsidP="00357466">
            <w:pPr>
              <w:suppressAutoHyphens/>
              <w:snapToGrid w:val="0"/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E3B990" w14:textId="2D1943D2" w:rsidR="009D7AE1" w:rsidRPr="00B27143" w:rsidRDefault="009D7AE1" w:rsidP="00357466">
            <w:pPr>
              <w:pStyle w:val="Akapitzlist"/>
              <w:numPr>
                <w:ilvl w:val="0"/>
                <w:numId w:val="3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0C528961" w14:textId="0797C9CE" w:rsidR="009D7AE1" w:rsidRPr="00B27143" w:rsidRDefault="009D7AE1" w:rsidP="00357466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14:paraId="556D0D54" w14:textId="42405D2C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granulocytów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limfocytów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A5271B" w14:textId="267E75B4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01DA1D9D" w14:textId="0B8E551B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27AECB9B" w14:textId="7FF7C902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77C5BC4B" w14:textId="11104308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7D588EC" w14:textId="7ED41538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5F2B35A" w14:textId="4AA77ADF" w:rsidR="009D7AE1" w:rsidRPr="00B27143" w:rsidRDefault="009D7AE1" w:rsidP="00357466">
            <w:pPr>
              <w:numPr>
                <w:ilvl w:val="3"/>
                <w:numId w:val="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AD77A01" w14:textId="2BE29C7F" w:rsidR="009D7AE1" w:rsidRPr="00B27143" w:rsidRDefault="009D7AE1" w:rsidP="0035746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770714D" w14:textId="43E66470" w:rsidR="009D7AE1" w:rsidRPr="00B27143" w:rsidRDefault="009D7AE1" w:rsidP="0035746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4FB750E4" w14:textId="27320616" w:rsidR="009D7AE1" w:rsidRPr="00B27143" w:rsidRDefault="009D7AE1" w:rsidP="00357466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A72454" w14:textId="29838116" w:rsidR="009D7AE1" w:rsidRPr="00B27143" w:rsidRDefault="009D7AE1" w:rsidP="00357466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krwi;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5297AC4" w14:textId="513EDF08" w:rsidR="009D7AE1" w:rsidRPr="00B27143" w:rsidRDefault="009D7AE1" w:rsidP="00357466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73577948" w14:textId="3B0BED1E" w:rsidR="009D7AE1" w:rsidRPr="00B27143" w:rsidRDefault="009D7AE1" w:rsidP="00357466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7DD4B551" w14:textId="64E25950" w:rsidR="009D7AE1" w:rsidRPr="00B27143" w:rsidRDefault="009D7AE1" w:rsidP="00357466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43CCF7F" w14:textId="4D8E4E60" w:rsidR="009D7AE1" w:rsidRPr="00B27143" w:rsidRDefault="009D7AE1" w:rsidP="00357466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BF12AB5" w14:textId="7D5B516B" w:rsidR="009D7AE1" w:rsidRPr="00B27143" w:rsidRDefault="009D7AE1" w:rsidP="00357466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immunoglobulin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</w:p>
          <w:p w14:paraId="3E0026FD" w14:textId="4853F5D7" w:rsidR="009D7AE1" w:rsidRPr="00B27143" w:rsidRDefault="009D7AE1" w:rsidP="0035746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26E48B75" w14:textId="01C27023" w:rsidR="009D7AE1" w:rsidRPr="00B27143" w:rsidRDefault="009D7AE1" w:rsidP="0035746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leku.</w:t>
            </w:r>
          </w:p>
          <w:p w14:paraId="28C6CF49" w14:textId="77777777" w:rsidR="007050E5" w:rsidRPr="00B27143" w:rsidRDefault="007050E5" w:rsidP="00357466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0AFDCE" w14:textId="1ABF0DE1" w:rsidR="009D7AE1" w:rsidRPr="00B27143" w:rsidRDefault="009D7AE1" w:rsidP="0035746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36B7C352" w14:textId="392B669A" w:rsidR="009D7AE1" w:rsidRPr="00B27143" w:rsidRDefault="009D7AE1" w:rsidP="00357466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Zdrowia;</w:t>
            </w:r>
          </w:p>
          <w:p w14:paraId="42CCE174" w14:textId="61EE3548" w:rsidR="009D7AE1" w:rsidRPr="00B27143" w:rsidRDefault="009D7AE1" w:rsidP="00357466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48F1EF9D" w14:textId="41D0EB16" w:rsidR="009D7AE1" w:rsidRPr="00B27143" w:rsidRDefault="009D7AE1" w:rsidP="00357466">
            <w:pPr>
              <w:numPr>
                <w:ilvl w:val="2"/>
                <w:numId w:val="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14:paraId="04823706" w14:textId="77777777" w:rsidR="009D7AE1" w:rsidRPr="00B27143" w:rsidRDefault="009D7AE1" w:rsidP="00357466">
            <w:pPr>
              <w:suppressAutoHyphens/>
              <w:spacing w:after="60" w:line="276" w:lineRule="auto"/>
              <w:ind w:left="4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D7AE1" w:rsidRPr="00B27143" w14:paraId="7164677D" w14:textId="77777777" w:rsidTr="00CB2AC0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0729" w14:textId="50B86C38" w:rsidR="009D7AE1" w:rsidRPr="00B27143" w:rsidRDefault="009D7AE1" w:rsidP="00B2714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MŁODZIEŃCZE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IDIOPATYCZNE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ZAPALENIE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STAWÓW</w:t>
            </w:r>
          </w:p>
        </w:tc>
      </w:tr>
      <w:tr w:rsidR="009D7AE1" w:rsidRPr="00B27143" w14:paraId="280CD3AA" w14:textId="77777777" w:rsidTr="00B57721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31E12" w14:textId="34014056" w:rsidR="009D7AE1" w:rsidRPr="004038D2" w:rsidRDefault="009D7AE1" w:rsidP="00357466">
            <w:pPr>
              <w:numPr>
                <w:ilvl w:val="0"/>
                <w:numId w:val="4"/>
              </w:num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2B057587" w14:textId="4FB1DF34" w:rsidR="009D7AE1" w:rsidRPr="004038D2" w:rsidRDefault="009D7AE1" w:rsidP="00357466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SMPT.</w:t>
            </w:r>
          </w:p>
          <w:p w14:paraId="0B7A7F7B" w14:textId="383707DD" w:rsidR="009D7AE1" w:rsidRPr="004038D2" w:rsidRDefault="009D7AE1" w:rsidP="00357466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zaznaczone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powyżej.</w:t>
            </w:r>
          </w:p>
          <w:p w14:paraId="75795770" w14:textId="6D4947D2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etanerceptem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rozpoznania:</w:t>
            </w:r>
          </w:p>
          <w:p w14:paraId="55568B7C" w14:textId="77777777" w:rsidR="00A857A0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wielostawowej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młodzieńczego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idiopatycznego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(MIZS)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obrzękniętymi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ruchomości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bolesnością,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przyspieszonym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CRP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10-punktowej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B1C6803" w14:textId="7107DA81" w:rsidR="009D7AE1" w:rsidRPr="004038D2" w:rsidRDefault="009D7AE1" w:rsidP="00A857A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3D6B4D83" w14:textId="77777777" w:rsidR="00A857A0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nielicznostawowej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rozszerzającej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przetrwałej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ACR)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obrzękniętych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ograniczoną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ruchomością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bolesnością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10-punktowej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towarzyszącym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bólem,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tkliwością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obiema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cechami,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BCF0C8A" w14:textId="7432015D" w:rsidR="009D7AE1" w:rsidRPr="004038D2" w:rsidRDefault="009D7AE1" w:rsidP="00A857A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20CE9D" w14:textId="041DA684" w:rsidR="009D7AE1" w:rsidRPr="004038D2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naczyniowej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niepoddającym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stawów.</w:t>
            </w:r>
          </w:p>
          <w:p w14:paraId="12A35DFD" w14:textId="25BA1FF0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rozpoznaniem:</w:t>
            </w:r>
          </w:p>
          <w:p w14:paraId="2CA06D7F" w14:textId="77777777" w:rsidR="00A857A0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uogólnionym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(rozpoznanie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ILAR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1997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układowymi,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dawek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glikokortykosteroidów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(GKS)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(doustnie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mg/dobę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metyloprednizolonu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10-30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./wlew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ewentualnie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utrzymuje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gorączka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10-punktowej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0597D9E" w14:textId="588976D3" w:rsidR="009D7AE1" w:rsidRPr="004038D2" w:rsidRDefault="009D7AE1" w:rsidP="00A857A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2434CD8C" w14:textId="1C154722" w:rsidR="009D7AE1" w:rsidRPr="004038D2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uogólnionym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(rozpoznanie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ILAR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1997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towarzyszącą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gorączką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utrzymuje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niewystarczająco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GKS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niższej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(ewentualnie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podskórnej),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modyfikującym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8BE41B6" w14:textId="535697AD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7C06783C" w14:textId="77777777" w:rsidR="00A857A0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EBB264" w14:textId="219569BF" w:rsidR="009D7AE1" w:rsidRPr="004038D2" w:rsidRDefault="009D7AE1" w:rsidP="00A857A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63A9E3EB" w14:textId="77777777" w:rsidR="00A857A0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2786E9" w14:textId="1F3F8A50" w:rsidR="009D7AE1" w:rsidRPr="004038D2" w:rsidRDefault="009D7AE1" w:rsidP="00A857A0">
            <w:pPr>
              <w:spacing w:after="6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D6F77A7" w14:textId="43B39BE0" w:rsidR="009D7AE1" w:rsidRPr="004038D2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lekowego).</w:t>
            </w:r>
          </w:p>
          <w:p w14:paraId="184E27CC" w14:textId="4170D24A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również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uprzednio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hospitalizacji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jednorodnych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(JGP)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Reumatycznych.</w:t>
            </w:r>
          </w:p>
          <w:p w14:paraId="095986B1" w14:textId="19FF3840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ukończył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zależności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ZZSK.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MIZS.</w:t>
            </w:r>
          </w:p>
          <w:p w14:paraId="4A90F603" w14:textId="7C13A9AD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nieskutecznie.</w:t>
            </w:r>
          </w:p>
          <w:p w14:paraId="363AB665" w14:textId="0A801A94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Kwalifikacja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14:paraId="05740A5A" w14:textId="50CA7C8A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wynoszą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10-20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mg/m²/tydzień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mg/tydzień),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sulfasalazyny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20-50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cyklosporyny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chlorochiny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(ewentualnie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hydroksychlorochiny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azatiopryny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1,0-2,5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BDC103" w14:textId="6CDEAC93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przypadkach,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pacjentowi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grozi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kalectwo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zagrożone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życie,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decyzją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Chorobach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Reumatycznych,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zakwalifikowany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opisanych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programie,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zgodne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wiedzą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medyczną.</w:t>
            </w:r>
          </w:p>
          <w:p w14:paraId="3DA27146" w14:textId="26D11A56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miesiączkujących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dziewcząt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urodzeń,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odbywa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biologiczne.</w:t>
            </w:r>
          </w:p>
          <w:p w14:paraId="1BE05476" w14:textId="77777777" w:rsidR="009D7AE1" w:rsidRPr="004038D2" w:rsidRDefault="009D7AE1" w:rsidP="0035746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14F808" w14:textId="40742A48" w:rsidR="009D7AE1" w:rsidRPr="004038D2" w:rsidRDefault="009D7AE1" w:rsidP="00357466">
            <w:pPr>
              <w:numPr>
                <w:ilvl w:val="0"/>
                <w:numId w:val="4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stanowiące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przeciwwskazania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277BF11F" w14:textId="5AACF796" w:rsidR="009D7AE1" w:rsidRPr="004038D2" w:rsidRDefault="009D7AE1" w:rsidP="0035746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wynikają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określonych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Charakterystykach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czynnych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ujętych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lekowym,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rekomendacji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EULAR/ACR.</w:t>
            </w:r>
          </w:p>
          <w:p w14:paraId="58DDFE2A" w14:textId="77777777" w:rsidR="009D7AE1" w:rsidRPr="004038D2" w:rsidRDefault="009D7AE1" w:rsidP="0035746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C6B2C" w14:textId="5FE40F7F" w:rsidR="009D7AE1" w:rsidRPr="004038D2" w:rsidRDefault="009D7AE1" w:rsidP="00357466">
            <w:pPr>
              <w:numPr>
                <w:ilvl w:val="0"/>
                <w:numId w:val="4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75584F9F" w14:textId="0D5AE142" w:rsidR="009D7AE1" w:rsidRPr="004038D2" w:rsidRDefault="009D7AE1" w:rsidP="00357466">
            <w:pPr>
              <w:numPr>
                <w:ilvl w:val="2"/>
                <w:numId w:val="4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3DE2B71" w14:textId="7BE87ABD" w:rsidR="009D7AE1" w:rsidRPr="004038D2" w:rsidRDefault="009D7AE1" w:rsidP="00357466">
            <w:pPr>
              <w:numPr>
                <w:ilvl w:val="2"/>
                <w:numId w:val="4"/>
              </w:numPr>
              <w:tabs>
                <w:tab w:val="left" w:pos="0"/>
              </w:tabs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4038D2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schemat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ulega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4038D2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4038D2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8A20BD" w:rsidRPr="004038D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podawaniu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leku.</w:t>
            </w:r>
          </w:p>
          <w:p w14:paraId="6D356437" w14:textId="7271B71A" w:rsidR="009D7AE1" w:rsidRPr="004038D2" w:rsidRDefault="009D7AE1" w:rsidP="00357466">
            <w:pPr>
              <w:numPr>
                <w:ilvl w:val="2"/>
                <w:numId w:val="4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ukończył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pediatrycznym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ośrodku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4528DD7" w14:textId="77777777" w:rsidR="009D7AE1" w:rsidRPr="004038D2" w:rsidRDefault="009D7AE1" w:rsidP="00357466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82E52" w14:textId="77541141" w:rsidR="009D7AE1" w:rsidRPr="004038D2" w:rsidRDefault="00437CEE" w:rsidP="0035746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59264" behindDoc="0" locked="0" layoutInCell="1" allowOverlap="1" wp14:anchorId="6F9A1FFA" wp14:editId="06C9AFD6">
                      <wp:simplePos x="0" y="0"/>
                      <wp:positionH relativeFrom="page">
                        <wp:posOffset>6644640</wp:posOffset>
                      </wp:positionH>
                      <wp:positionV relativeFrom="paragraph">
                        <wp:posOffset>-41275</wp:posOffset>
                      </wp:positionV>
                      <wp:extent cx="5080" cy="64135"/>
                      <wp:effectExtent l="0" t="0" r="0" b="0"/>
                      <wp:wrapSquare wrapText="largest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76A935" w14:textId="77777777" w:rsidR="00251138" w:rsidRDefault="00251138" w:rsidP="009D7AE1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A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3.2pt;margin-top:-3.25pt;width:.4pt;height:5.05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" stroked="f">
                      <v:fill opacity="0"/>
                      <v:textbox inset="0,0,0,0">
                        <w:txbxContent>
                          <w:p w14:paraId="6F76A935" w14:textId="77777777" w:rsidR="00251138" w:rsidRDefault="00251138" w:rsidP="009D7AE1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Pr="004038D2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60288" behindDoc="0" locked="0" layoutInCell="1" allowOverlap="1" wp14:anchorId="026B5B85" wp14:editId="6BA2A853">
                      <wp:simplePos x="0" y="0"/>
                      <wp:positionH relativeFrom="page">
                        <wp:posOffset>6644640</wp:posOffset>
                      </wp:positionH>
                      <wp:positionV relativeFrom="paragraph">
                        <wp:posOffset>-41275</wp:posOffset>
                      </wp:positionV>
                      <wp:extent cx="5080" cy="64135"/>
                      <wp:effectExtent l="0" t="0" r="0" b="0"/>
                      <wp:wrapSquare wrapText="largest"/>
                      <wp:docPr id="1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92C4BD" w14:textId="77777777" w:rsidR="00251138" w:rsidRDefault="00251138" w:rsidP="009D7AE1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5B85" id="Pole tekstowe 1" o:spid="_x0000_s1027" type="#_x0000_t202" style="position:absolute;left:0;text-align:left;margin-left:523.2pt;margin-top:-3.25pt;width:.4pt;height:5.05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" stroked="f">
                      <v:fill opacity="0"/>
                      <v:textbox inset="0,0,0,0">
                        <w:txbxContent>
                          <w:p w14:paraId="3F92C4BD" w14:textId="77777777" w:rsidR="00251138" w:rsidRDefault="00251138" w:rsidP="009D7AE1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wyłączenia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60B5E8FD" w14:textId="1394F718" w:rsidR="009D7AE1" w:rsidRPr="004038D2" w:rsidRDefault="009D7AE1" w:rsidP="00357466">
            <w:pPr>
              <w:numPr>
                <w:ilvl w:val="2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odpowiedź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definiujemy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jako:</w:t>
            </w:r>
          </w:p>
          <w:p w14:paraId="3DB80CA6" w14:textId="4CDE457C" w:rsidR="009D7AE1" w:rsidRPr="004038D2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30%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wyjściowych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Gianniniego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stawów,</w:t>
            </w:r>
          </w:p>
          <w:p w14:paraId="58CA14DE" w14:textId="73076420" w:rsidR="009D7AE1" w:rsidRPr="004038D2" w:rsidRDefault="009D7AE1" w:rsidP="00357466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układowymi;</w:t>
            </w:r>
          </w:p>
          <w:p w14:paraId="5B8F7D4F" w14:textId="7F040F73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2AC738C9" w14:textId="78F26BED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niespełnienie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poprawy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ACR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Pediatric</w:t>
            </w:r>
            <w:proofErr w:type="spellEnd"/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pierwszych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miesiącach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(±</w:t>
            </w:r>
            <w:r w:rsidR="00251138"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51138"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miesiąc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leczenia,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więc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nieuzyskanie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przynajmniej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50-procentowej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poprawy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następujących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parametrów,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przy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jednoczesnym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braku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pogorszenia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jednym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poniższych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parametrów:</w:t>
            </w:r>
          </w:p>
          <w:p w14:paraId="37DA3EE0" w14:textId="172E0E02" w:rsidR="009D7AE1" w:rsidRPr="004038D2" w:rsidRDefault="009D7AE1" w:rsidP="00357466">
            <w:pPr>
              <w:numPr>
                <w:ilvl w:val="3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stawów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czynnym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zapaleniem;</w:t>
            </w:r>
          </w:p>
          <w:p w14:paraId="4AAAF8A2" w14:textId="67C28363" w:rsidR="009D7AE1" w:rsidRPr="004038D2" w:rsidRDefault="009D7AE1" w:rsidP="00357466">
            <w:pPr>
              <w:numPr>
                <w:ilvl w:val="3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stawów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ograniczeniem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ruchomości;</w:t>
            </w:r>
          </w:p>
          <w:p w14:paraId="1C112FDA" w14:textId="438AE16E" w:rsidR="009D7AE1" w:rsidRPr="004038D2" w:rsidRDefault="009D7AE1" w:rsidP="00357466">
            <w:pPr>
              <w:numPr>
                <w:ilvl w:val="3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aktywności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dokonana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10-centymetrowej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VAS;</w:t>
            </w:r>
          </w:p>
          <w:p w14:paraId="5A657F3B" w14:textId="4C996B4F" w:rsidR="009D7AE1" w:rsidRPr="004038D2" w:rsidRDefault="009D7AE1" w:rsidP="00357466">
            <w:pPr>
              <w:numPr>
                <w:ilvl w:val="3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ogólnego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samopoczucia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dokonana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rodzica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chore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dziecko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10-centymetrowej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VAS;</w:t>
            </w:r>
          </w:p>
          <w:p w14:paraId="02CEEDC1" w14:textId="628982B0" w:rsidR="009D7AE1" w:rsidRPr="004038D2" w:rsidRDefault="009D7AE1" w:rsidP="00357466">
            <w:pPr>
              <w:numPr>
                <w:ilvl w:val="3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wskaźnik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stanu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funkcjonalnego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dziecka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(np.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CHAQ);</w:t>
            </w:r>
          </w:p>
          <w:p w14:paraId="5783A721" w14:textId="53ED83BA" w:rsidR="009D7AE1" w:rsidRPr="004038D2" w:rsidRDefault="009D7AE1" w:rsidP="00357466">
            <w:pPr>
              <w:numPr>
                <w:ilvl w:val="3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laboratoryjny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wskaźnik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ostrej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fazy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(OB.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B577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bCs/>
                <w:sz w:val="20"/>
                <w:szCs w:val="20"/>
              </w:rPr>
              <w:t>CRP).</w:t>
            </w:r>
          </w:p>
          <w:p w14:paraId="70AF88A9" w14:textId="2FE93F7F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utrata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ACR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Pediatric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trakcie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dwóch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wizyt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monitorujących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każdych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(±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);</w:t>
            </w:r>
          </w:p>
          <w:p w14:paraId="2F6847AE" w14:textId="0BD715D5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zakwalifikowanych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podstawie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2c)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(MIZS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dominującym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zapaleniem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błony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naczyniowej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niespełniających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jednocześnie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określonych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2b)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3a)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3b)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uzyskania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istotnej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klinicznie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zakresie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zapalenia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błony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naczyniowej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pierwszych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(±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potwierdzonej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badaniem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okulistycznym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utrzymywani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istotnej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klinicznie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każdych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E5655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0E4233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14:paraId="4E929A4E" w14:textId="2F266000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wystąpienie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działań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niepożądanych,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opinii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prowadzącego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Charakterystyką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Leczniczego,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prowadzona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terapia,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przeciwwskazaniami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czynną;</w:t>
            </w:r>
          </w:p>
          <w:p w14:paraId="6869717C" w14:textId="10755FB3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zwrócić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Chorobach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Reumatycznych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wyrażenie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kontynuację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chorego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poprawy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ACR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szczególnie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wyjściową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bardzo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dużą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występowaniem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czynników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złej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prognozy.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dalsze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ACR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4233" w:rsidRPr="00403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E4233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±1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8D2">
              <w:rPr>
                <w:rFonts w:ascii="Times New Roman" w:hAnsi="Times New Roman" w:cs="Times New Roman"/>
                <w:sz w:val="20"/>
                <w:szCs w:val="20"/>
              </w:rPr>
              <w:t>możliwe.</w:t>
            </w:r>
          </w:p>
          <w:p w14:paraId="30339B5B" w14:textId="77777777" w:rsidR="009D7AE1" w:rsidRPr="004038D2" w:rsidRDefault="009D7AE1" w:rsidP="00357466">
            <w:pPr>
              <w:suppressAutoHyphens/>
              <w:spacing w:after="6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6DBCED2" w14:textId="79060B80" w:rsidR="009D7AE1" w:rsidRPr="004038D2" w:rsidRDefault="009D7AE1" w:rsidP="00357466">
            <w:pPr>
              <w:keepNext/>
              <w:numPr>
                <w:ilvl w:val="0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Kryteria</w:t>
            </w:r>
            <w:r w:rsidR="00B57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ponownego</w:t>
            </w:r>
            <w:r w:rsidR="00B57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włączenia</w:t>
            </w:r>
            <w:r w:rsidR="00B57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programu</w:t>
            </w:r>
          </w:p>
          <w:p w14:paraId="799A232E" w14:textId="2FF64481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zaprzestano,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pkt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ppkt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podawania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biologicznego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zastosowanej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zapisami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utrzymywania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ACR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Pediatric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kwalifikacji.</w:t>
            </w:r>
          </w:p>
          <w:p w14:paraId="29449433" w14:textId="3A91DEB1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włączany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ponownego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czynną,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zastosowanie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spowodowało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spełnienie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kryteriów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ACR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Pediatric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50.</w:t>
            </w:r>
          </w:p>
          <w:p w14:paraId="46F61F00" w14:textId="431B2829" w:rsidR="009D7AE1" w:rsidRPr="004038D2" w:rsidRDefault="009D7AE1" w:rsidP="00357466">
            <w:pPr>
              <w:numPr>
                <w:ilvl w:val="2"/>
                <w:numId w:val="4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włączony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ustąpiły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bądź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101EDC" w14:textId="77777777" w:rsidR="00CB2AC0" w:rsidRPr="004038D2" w:rsidRDefault="00CB2AC0" w:rsidP="00357466">
            <w:pPr>
              <w:suppressAutoHyphens/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647CD249" w14:textId="53254F13" w:rsidR="009D7AE1" w:rsidRPr="004038D2" w:rsidRDefault="009D7AE1" w:rsidP="00357466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239C17CF" w14:textId="27EDCBBC" w:rsidR="009D7AE1" w:rsidRPr="004038D2" w:rsidRDefault="009D7AE1" w:rsidP="00357466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6A59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6A59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6A59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EULAR/ACR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wydłużenia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pomiędzy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</w:p>
          <w:p w14:paraId="364A1925" w14:textId="514F8D2C" w:rsidR="009D7AE1" w:rsidRPr="004038D2" w:rsidRDefault="009D7AE1" w:rsidP="00357466">
            <w:pPr>
              <w:widowControl w:val="0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chyba,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przeciwwskazań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rozważyć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adalimumabu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tocilizumabu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innym,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choroby/immunosupresyjnym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dawce.</w:t>
            </w:r>
          </w:p>
          <w:p w14:paraId="53B37C14" w14:textId="77777777" w:rsidR="009D7AE1" w:rsidRPr="004038D2" w:rsidRDefault="009D7AE1" w:rsidP="00357466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ABA" w14:textId="1698D9DA" w:rsidR="009D7AE1" w:rsidRPr="004038D2" w:rsidRDefault="00417414" w:rsidP="0035746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0958A4C9" w14:textId="69EB5384" w:rsidR="009D7AE1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tuberkulinowa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Quantiferon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8B663E0" w14:textId="74C4E26B" w:rsidR="009D7AE1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8224C55" w14:textId="6BEE3B3C" w:rsidR="009D7AE1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anty-HCV;</w:t>
            </w:r>
          </w:p>
          <w:p w14:paraId="56D74F6A" w14:textId="0872FD26" w:rsidR="009D7AE1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antygen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wirusa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HIV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(HIV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Ag/Ab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Combo);</w:t>
            </w:r>
          </w:p>
          <w:p w14:paraId="1D0E7D23" w14:textId="71006899" w:rsidR="009D7AE1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kwalifikacją);</w:t>
            </w:r>
          </w:p>
          <w:p w14:paraId="4FE36335" w14:textId="7420E3E9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opisem.</w:t>
            </w:r>
          </w:p>
          <w:p w14:paraId="6161CAA2" w14:textId="7792639C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obojętnochłonnych;</w:t>
            </w:r>
          </w:p>
          <w:p w14:paraId="7FA795A5" w14:textId="0B465661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5B24D140" w14:textId="5888A58B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2E7C7D43" w14:textId="7E39A189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78DE3439" w14:textId="4B7ABAC1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7F867A72" w14:textId="670F0B54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asparaginianowa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65145E79" w14:textId="60EA1BA1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597939EC" w14:textId="249165C1" w:rsidR="004144A9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lekarza);</w:t>
            </w:r>
          </w:p>
          <w:p w14:paraId="1AAFF724" w14:textId="0FC559AD" w:rsidR="009D7AE1" w:rsidRPr="004038D2" w:rsidRDefault="009D7AE1" w:rsidP="00357466">
            <w:pPr>
              <w:numPr>
                <w:ilvl w:val="2"/>
                <w:numId w:val="6"/>
              </w:numPr>
              <w:tabs>
                <w:tab w:val="num" w:pos="234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BA8E2D6" w14:textId="77777777" w:rsidR="009D7AE1" w:rsidRPr="004038D2" w:rsidRDefault="009D7AE1" w:rsidP="00357466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91325E0" w14:textId="2F838316" w:rsidR="009D7AE1" w:rsidRPr="004038D2" w:rsidRDefault="009D7AE1" w:rsidP="0035746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7EA0DF35" w14:textId="21774434" w:rsidR="009D7AE1" w:rsidRPr="004038D2" w:rsidRDefault="009D7AE1" w:rsidP="00357466">
            <w:pPr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sześciu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rzadziej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):</w:t>
            </w:r>
          </w:p>
          <w:p w14:paraId="7C9FF67A" w14:textId="7D4247E7" w:rsidR="009D7AE1" w:rsidRPr="004038D2" w:rsidRDefault="009D7AE1" w:rsidP="00357466">
            <w:pPr>
              <w:numPr>
                <w:ilvl w:val="3"/>
                <w:numId w:val="6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krwi,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obojętnochłonnych;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BF9AD6" w14:textId="04343AB6" w:rsidR="009D7AE1" w:rsidRPr="004038D2" w:rsidRDefault="009D7AE1" w:rsidP="00357466">
            <w:pPr>
              <w:numPr>
                <w:ilvl w:val="3"/>
                <w:numId w:val="6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odczyn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Biernackiego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14A3C89B" w14:textId="027E8A64" w:rsidR="009D7AE1" w:rsidRPr="004038D2" w:rsidRDefault="009D7AE1" w:rsidP="00357466">
            <w:pPr>
              <w:numPr>
                <w:ilvl w:val="3"/>
                <w:numId w:val="6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białka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C-reaktywnego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6A539302" w14:textId="29C7B8C1" w:rsidR="009D7AE1" w:rsidRPr="004038D2" w:rsidRDefault="009D7AE1" w:rsidP="00357466">
            <w:pPr>
              <w:numPr>
                <w:ilvl w:val="3"/>
                <w:numId w:val="6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kreatyniny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233BB67A" w14:textId="11E4B1A0" w:rsidR="009D7AE1" w:rsidRPr="004038D2" w:rsidRDefault="009D7AE1" w:rsidP="00357466">
            <w:pPr>
              <w:numPr>
                <w:ilvl w:val="3"/>
                <w:numId w:val="6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4D43EBC" w14:textId="1726F1EB" w:rsidR="009D7AE1" w:rsidRPr="004038D2" w:rsidRDefault="009D7AE1" w:rsidP="00357466">
            <w:pPr>
              <w:numPr>
                <w:ilvl w:val="3"/>
                <w:numId w:val="6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cholesterolu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całkowitego,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LDL,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HDL,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-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pacjentów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leczonych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tocilizumabem</w:t>
            </w:r>
            <w:proofErr w:type="spellEnd"/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postaci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dożylnej</w:t>
            </w:r>
          </w:p>
          <w:p w14:paraId="1D779907" w14:textId="0D741E64" w:rsidR="009D7AE1" w:rsidRPr="004038D2" w:rsidRDefault="009D7AE1" w:rsidP="00357466">
            <w:pPr>
              <w:pStyle w:val="Akapitzlist"/>
              <w:suppressAutoHyphens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dokonać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oceny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skuteczności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zastosowanej</w:t>
            </w:r>
            <w:r w:rsidR="00B57721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terapii.</w:t>
            </w:r>
          </w:p>
          <w:p w14:paraId="10365625" w14:textId="59FC3642" w:rsidR="009D7AE1" w:rsidRPr="004038D2" w:rsidRDefault="009D7AE1" w:rsidP="00357466">
            <w:pPr>
              <w:pStyle w:val="Akapitzlist"/>
              <w:suppressAutoHyphens/>
              <w:spacing w:after="60" w:line="276" w:lineRule="auto"/>
              <w:ind w:left="454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94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94E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0F93908D" w14:textId="77777777" w:rsidR="009D7AE1" w:rsidRPr="004038D2" w:rsidRDefault="009D7AE1" w:rsidP="0035746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  <w:p w14:paraId="2B1D3329" w14:textId="62AC429B" w:rsidR="009D7AE1" w:rsidRPr="004038D2" w:rsidRDefault="009D7AE1" w:rsidP="0035746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programu:</w:t>
            </w:r>
            <w:r w:rsidR="00B57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A407FBE" w14:textId="199FB74F" w:rsidR="009D7AE1" w:rsidRPr="004038D2" w:rsidRDefault="009D7AE1" w:rsidP="00357466">
            <w:pPr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gromadzenie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żądanie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Zdrowia;</w:t>
            </w:r>
          </w:p>
          <w:p w14:paraId="37715951" w14:textId="2596D566" w:rsidR="009D7AE1" w:rsidRPr="004038D2" w:rsidRDefault="009D7AE1" w:rsidP="00357466">
            <w:pPr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uzupełnianie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rejestrze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leczenia;</w:t>
            </w:r>
          </w:p>
          <w:p w14:paraId="127C423C" w14:textId="311E63D5" w:rsidR="009D7AE1" w:rsidRPr="004038D2" w:rsidRDefault="009D7AE1" w:rsidP="00357466">
            <w:pPr>
              <w:numPr>
                <w:ilvl w:val="0"/>
                <w:numId w:val="6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przekazywanie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B577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038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14:paraId="4405A80D" w14:textId="77777777" w:rsidR="009D7AE1" w:rsidRPr="004038D2" w:rsidRDefault="009D7AE1" w:rsidP="0035746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F20EB8A" w14:textId="77777777" w:rsidR="009D7AE1" w:rsidRPr="009D7AE1" w:rsidRDefault="009D7AE1" w:rsidP="009D7AE1">
      <w:pPr>
        <w:autoSpaceDE w:val="0"/>
        <w:autoSpaceDN w:val="0"/>
        <w:adjustRightInd w:val="0"/>
        <w:spacing w:after="0" w:line="260" w:lineRule="atLeast"/>
        <w:jc w:val="both"/>
        <w:rPr>
          <w:rFonts w:ascii="Calibri" w:eastAsia="Calibri" w:hAnsi="Calibri" w:cs="Times New Roman"/>
        </w:rPr>
      </w:pPr>
    </w:p>
    <w:p w14:paraId="7CF8CB3F" w14:textId="77777777" w:rsidR="00D41D26" w:rsidRDefault="00D41D26"/>
    <w:sectPr w:rsidR="00D41D26" w:rsidSect="00CB2AC0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95AC3" w14:textId="77777777" w:rsidR="00DB19BC" w:rsidRDefault="00DB19BC" w:rsidP="009D7AE1">
      <w:pPr>
        <w:spacing w:after="0" w:line="240" w:lineRule="auto"/>
      </w:pPr>
      <w:r>
        <w:separator/>
      </w:r>
    </w:p>
  </w:endnote>
  <w:endnote w:type="continuationSeparator" w:id="0">
    <w:p w14:paraId="7C0E3B05" w14:textId="77777777" w:rsidR="00DB19BC" w:rsidRDefault="00DB19BC" w:rsidP="009D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05C08" w14:textId="77777777" w:rsidR="00DB19BC" w:rsidRDefault="00DB19BC" w:rsidP="009D7AE1">
      <w:pPr>
        <w:spacing w:after="0" w:line="240" w:lineRule="auto"/>
      </w:pPr>
      <w:r>
        <w:separator/>
      </w:r>
    </w:p>
  </w:footnote>
  <w:footnote w:type="continuationSeparator" w:id="0">
    <w:p w14:paraId="548D58F3" w14:textId="77777777" w:rsidR="00DB19BC" w:rsidRDefault="00DB19BC" w:rsidP="009D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1C6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A812393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E8422D1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451576CD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531E6E39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630037B4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28"/>
    <w:rsid w:val="00000D86"/>
    <w:rsid w:val="000058E7"/>
    <w:rsid w:val="00013536"/>
    <w:rsid w:val="000219B9"/>
    <w:rsid w:val="00024A28"/>
    <w:rsid w:val="00026AEE"/>
    <w:rsid w:val="00027398"/>
    <w:rsid w:val="000357FD"/>
    <w:rsid w:val="0004660E"/>
    <w:rsid w:val="00057286"/>
    <w:rsid w:val="00066C3F"/>
    <w:rsid w:val="00087EB3"/>
    <w:rsid w:val="000A785E"/>
    <w:rsid w:val="000B0A18"/>
    <w:rsid w:val="000D78D7"/>
    <w:rsid w:val="000E4233"/>
    <w:rsid w:val="000F7868"/>
    <w:rsid w:val="00142A03"/>
    <w:rsid w:val="00165F2C"/>
    <w:rsid w:val="001B1928"/>
    <w:rsid w:val="001F56D8"/>
    <w:rsid w:val="00204A53"/>
    <w:rsid w:val="0021270D"/>
    <w:rsid w:val="00226BBD"/>
    <w:rsid w:val="00247678"/>
    <w:rsid w:val="00251138"/>
    <w:rsid w:val="00261A82"/>
    <w:rsid w:val="002663F3"/>
    <w:rsid w:val="00296619"/>
    <w:rsid w:val="002A0280"/>
    <w:rsid w:val="002A4AF0"/>
    <w:rsid w:val="002F4704"/>
    <w:rsid w:val="002F4B92"/>
    <w:rsid w:val="00322658"/>
    <w:rsid w:val="00344BD2"/>
    <w:rsid w:val="00353076"/>
    <w:rsid w:val="00357466"/>
    <w:rsid w:val="00370A55"/>
    <w:rsid w:val="00390D64"/>
    <w:rsid w:val="003915A1"/>
    <w:rsid w:val="003A2ADC"/>
    <w:rsid w:val="003E5655"/>
    <w:rsid w:val="004038D2"/>
    <w:rsid w:val="004144A9"/>
    <w:rsid w:val="00417414"/>
    <w:rsid w:val="0043742A"/>
    <w:rsid w:val="00437CEE"/>
    <w:rsid w:val="0048212E"/>
    <w:rsid w:val="004A101F"/>
    <w:rsid w:val="004A5FF5"/>
    <w:rsid w:val="004C0083"/>
    <w:rsid w:val="004E4524"/>
    <w:rsid w:val="0051058B"/>
    <w:rsid w:val="005441A9"/>
    <w:rsid w:val="00556656"/>
    <w:rsid w:val="0058794E"/>
    <w:rsid w:val="005B4D28"/>
    <w:rsid w:val="0062454F"/>
    <w:rsid w:val="0068170D"/>
    <w:rsid w:val="006A7CEE"/>
    <w:rsid w:val="006C0F6A"/>
    <w:rsid w:val="007050E5"/>
    <w:rsid w:val="00732CF6"/>
    <w:rsid w:val="00797D42"/>
    <w:rsid w:val="007F17F1"/>
    <w:rsid w:val="008163E9"/>
    <w:rsid w:val="008245AD"/>
    <w:rsid w:val="008325C5"/>
    <w:rsid w:val="008444A0"/>
    <w:rsid w:val="00875174"/>
    <w:rsid w:val="008939D6"/>
    <w:rsid w:val="008A07B8"/>
    <w:rsid w:val="008A20BD"/>
    <w:rsid w:val="008D1B73"/>
    <w:rsid w:val="008F3740"/>
    <w:rsid w:val="00947B80"/>
    <w:rsid w:val="00947D88"/>
    <w:rsid w:val="00970FF7"/>
    <w:rsid w:val="009807A4"/>
    <w:rsid w:val="00984813"/>
    <w:rsid w:val="00985BEF"/>
    <w:rsid w:val="009905F1"/>
    <w:rsid w:val="009D2AF5"/>
    <w:rsid w:val="009D7AE1"/>
    <w:rsid w:val="00A078B7"/>
    <w:rsid w:val="00A1439C"/>
    <w:rsid w:val="00A15999"/>
    <w:rsid w:val="00A36956"/>
    <w:rsid w:val="00A36FED"/>
    <w:rsid w:val="00A857A0"/>
    <w:rsid w:val="00AC25A8"/>
    <w:rsid w:val="00AF4063"/>
    <w:rsid w:val="00B27143"/>
    <w:rsid w:val="00B57721"/>
    <w:rsid w:val="00B85345"/>
    <w:rsid w:val="00BC4FFC"/>
    <w:rsid w:val="00BD5DA4"/>
    <w:rsid w:val="00BD79BD"/>
    <w:rsid w:val="00BE41F7"/>
    <w:rsid w:val="00C134CF"/>
    <w:rsid w:val="00C15816"/>
    <w:rsid w:val="00C20548"/>
    <w:rsid w:val="00C75EA1"/>
    <w:rsid w:val="00CB0468"/>
    <w:rsid w:val="00CB2AC0"/>
    <w:rsid w:val="00CC2624"/>
    <w:rsid w:val="00D130F0"/>
    <w:rsid w:val="00D41D26"/>
    <w:rsid w:val="00D423E2"/>
    <w:rsid w:val="00D43FFC"/>
    <w:rsid w:val="00D50502"/>
    <w:rsid w:val="00D65BA7"/>
    <w:rsid w:val="00D76175"/>
    <w:rsid w:val="00D95D33"/>
    <w:rsid w:val="00DB19BC"/>
    <w:rsid w:val="00DE0F1A"/>
    <w:rsid w:val="00DF47D9"/>
    <w:rsid w:val="00E04BA2"/>
    <w:rsid w:val="00E233C5"/>
    <w:rsid w:val="00E46108"/>
    <w:rsid w:val="00E4719C"/>
    <w:rsid w:val="00E5726E"/>
    <w:rsid w:val="00E71C43"/>
    <w:rsid w:val="00E928F6"/>
    <w:rsid w:val="00ED6B72"/>
    <w:rsid w:val="00F16A59"/>
    <w:rsid w:val="00F907C9"/>
    <w:rsid w:val="00F924F7"/>
    <w:rsid w:val="00F943A7"/>
    <w:rsid w:val="00FA0590"/>
    <w:rsid w:val="00FC70C1"/>
    <w:rsid w:val="00FD2A37"/>
    <w:rsid w:val="00FF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BABE"/>
  <w15:docId w15:val="{D7CEFEC3-99B5-4F45-B621-DF3AE844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A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D7A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AE1"/>
  </w:style>
  <w:style w:type="paragraph" w:styleId="Akapitzlist">
    <w:name w:val="List Paragraph"/>
    <w:basedOn w:val="Normalny"/>
    <w:uiPriority w:val="34"/>
    <w:qFormat/>
    <w:rsid w:val="00893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7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6D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5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3102-9ECC-4DAD-BBD3-662CCBF6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4277</Words>
  <Characters>25665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Żmuda Katarzyna</dc:creator>
  <cp:lastModifiedBy>Królak-Buzakowska Joanna</cp:lastModifiedBy>
  <cp:revision>3</cp:revision>
  <dcterms:created xsi:type="dcterms:W3CDTF">2021-04-12T20:47:00Z</dcterms:created>
  <dcterms:modified xsi:type="dcterms:W3CDTF">2021-04-13T07:23:00Z</dcterms:modified>
</cp:coreProperties>
</file>