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3748" w14:textId="78FC0EBA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 xml:space="preserve">Załącznik nr </w:t>
      </w:r>
      <w:r w:rsidR="00433DFB">
        <w:rPr>
          <w:rFonts w:cstheme="minorHAnsi"/>
          <w:bCs/>
          <w:sz w:val="20"/>
          <w:szCs w:val="20"/>
          <w:u w:val="single"/>
        </w:rPr>
        <w:t>…..</w:t>
      </w:r>
      <w:r w:rsidRPr="00646FFB">
        <w:rPr>
          <w:rFonts w:cstheme="minorHAnsi"/>
          <w:bCs/>
          <w:sz w:val="20"/>
          <w:szCs w:val="20"/>
        </w:rPr>
        <w:t xml:space="preserve"> do Umowy nr </w:t>
      </w:r>
      <w:r w:rsidR="001549C2" w:rsidRPr="00646FFB">
        <w:rPr>
          <w:rFonts w:cstheme="minorHAnsi"/>
          <w:bCs/>
          <w:sz w:val="20"/>
          <w:szCs w:val="20"/>
        </w:rPr>
        <w:t>….</w:t>
      </w:r>
    </w:p>
    <w:p w14:paraId="09F2A837" w14:textId="1268579E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powierzeni</w:t>
      </w:r>
      <w:r w:rsidR="0021633C">
        <w:rPr>
          <w:rFonts w:cstheme="minorHAnsi"/>
          <w:bCs/>
          <w:sz w:val="20"/>
          <w:szCs w:val="20"/>
        </w:rPr>
        <w:t>a</w:t>
      </w:r>
      <w:r w:rsidR="001F41CA" w:rsidRPr="00646FFB">
        <w:rPr>
          <w:rFonts w:cstheme="minorHAnsi"/>
          <w:bCs/>
          <w:sz w:val="20"/>
          <w:szCs w:val="20"/>
        </w:rPr>
        <w:t xml:space="preserve">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A51FDB3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POWIERZENI</w:t>
      </w:r>
      <w:r w:rsidR="0021633C">
        <w:rPr>
          <w:rFonts w:asciiTheme="minorHAnsi" w:hAnsiTheme="minorHAnsi" w:cstheme="minorHAnsi"/>
          <w:b/>
          <w:sz w:val="22"/>
          <w:szCs w:val="22"/>
        </w:rPr>
        <w:t>A</w:t>
      </w:r>
      <w:r w:rsidRPr="00646FFB">
        <w:rPr>
          <w:rFonts w:asciiTheme="minorHAnsi" w:hAnsiTheme="minorHAnsi" w:cstheme="minorHAnsi"/>
          <w:b/>
          <w:sz w:val="22"/>
          <w:szCs w:val="22"/>
        </w:rPr>
        <w:t xml:space="preserve">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E83AB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b/>
          <w:bCs/>
          <w:sz w:val="22"/>
          <w:szCs w:val="22"/>
        </w:rPr>
        <w:t xml:space="preserve">Skarbem Państwa - Ministrem Sprawiedliwości, </w:t>
      </w:r>
      <w:r w:rsidRPr="00E83ABC">
        <w:rPr>
          <w:rFonts w:asciiTheme="minorHAnsi" w:hAnsiTheme="minorHAnsi" w:cstheme="minorHAnsi"/>
          <w:sz w:val="22"/>
          <w:szCs w:val="22"/>
        </w:rPr>
        <w:t>adres do doręczeń: Aleje Ujazdowskie 11, 00-950 Warszawa, w imieniu którego działa:</w:t>
      </w:r>
    </w:p>
    <w:p w14:paraId="2F19D07E" w14:textId="4A47B259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……………………. na podstawie upoważnienia …………….. z dnia 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zwanym dalej „Administratorem”</w:t>
      </w:r>
    </w:p>
    <w:p w14:paraId="62389EDD" w14:textId="77777777" w:rsidR="00F85CBD" w:rsidRPr="008A0DED" w:rsidRDefault="00F85CB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B24A7" w14:textId="77777777" w:rsidR="001F41CA" w:rsidRPr="008A0DED" w:rsidRDefault="001F41CA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CDCE56" w14:textId="5FAF48A9" w:rsidR="001F41CA" w:rsidRPr="008A0DED" w:rsidRDefault="002A121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A0DED" w:rsidRDefault="008D639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zwanym dalej „Podmiotem przetwarzającym”.</w:t>
      </w:r>
    </w:p>
    <w:p w14:paraId="6B079F4E" w14:textId="77777777" w:rsidR="00C7003B" w:rsidRPr="008A0DED" w:rsidRDefault="00C7003B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EB350" w14:textId="77777777" w:rsidR="009A6D08" w:rsidRPr="00646FFB" w:rsidRDefault="009A6D0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1EC90457" w:rsidR="001F41CA" w:rsidRPr="00646FFB" w:rsidRDefault="001F41CA" w:rsidP="00FC38DF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bookmarkStart w:id="0" w:name="_Hlk169166885"/>
      <w:r w:rsidRPr="00646FFB">
        <w:rPr>
          <w:rFonts w:eastAsia="Arial Unicode MS" w:cstheme="minorHAnsi"/>
          <w:bCs/>
          <w:lang w:eastAsia="pl-PL"/>
        </w:rPr>
        <w:t xml:space="preserve">[•] </w:t>
      </w:r>
      <w:bookmarkEnd w:id="0"/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</w:t>
      </w:r>
      <w:r w:rsidR="00180A4B">
        <w:rPr>
          <w:rFonts w:cstheme="minorHAnsi"/>
          <w:bCs/>
          <w:lang w:eastAsia="pl-PL"/>
        </w:rPr>
        <w:t>r</w:t>
      </w:r>
      <w:r w:rsidRPr="00646FFB">
        <w:rPr>
          <w:rFonts w:cstheme="minorHAnsi"/>
          <w:bCs/>
          <w:lang w:eastAsia="pl-PL"/>
        </w:rPr>
        <w:t>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1527B8B6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 do przetwarzania dane osobowe, a Podmiot przetwarzający zobowiązuje się do ich przetwarzania zgodnie z </w:t>
      </w:r>
      <w:r w:rsidR="00180A4B">
        <w:rPr>
          <w:rFonts w:cstheme="minorHAnsi"/>
          <w:bCs/>
        </w:rPr>
        <w:t>r</w:t>
      </w:r>
      <w:r w:rsidRPr="00646FFB">
        <w:rPr>
          <w:rFonts w:cstheme="minorHAnsi"/>
          <w:bCs/>
        </w:rPr>
        <w:t xml:space="preserve">ozporządzeniem i innymi </w:t>
      </w:r>
      <w:r w:rsidRPr="00646FFB">
        <w:rPr>
          <w:rFonts w:cstheme="minorHAnsi"/>
          <w:bCs/>
        </w:rPr>
        <w:lastRenderedPageBreak/>
        <w:t xml:space="preserve">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4A6D75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38DF5D98" w:rsidR="001F41CA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</w:t>
      </w:r>
      <w:r w:rsidR="005B7099">
        <w:rPr>
          <w:rFonts w:cstheme="minorHAnsi"/>
          <w:bCs/>
        </w:rPr>
        <w:t xml:space="preserve"> i oświadcza, </w:t>
      </w:r>
      <w:r w:rsidR="000F2213">
        <w:rPr>
          <w:rFonts w:cstheme="minorHAnsi"/>
          <w:bCs/>
        </w:rPr>
        <w:t xml:space="preserve">że zapewnia wystarczające gwarancje wdrożenia odpowiednich środków technicznych i organizacyjnych, by powierzone przetwarzanie spełniało wymogi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 xml:space="preserve">ozporządzenia i chroniło prawa osób, których dane dotyczą, a w szczególności, że zgodnie z art. 32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>ozporządzenia wdrożył środki techniczne i organizacyjne zapewniające stopień bezpieczeństwa danych osobowych odpowiedni do ryzyka naruszenia praw lub wolności osób, których dane dotyczą, obejmujące ochronę danych przed naruszeniem</w:t>
      </w:r>
      <w:r w:rsidR="00A71145">
        <w:rPr>
          <w:rFonts w:cstheme="minorHAnsi"/>
          <w:bCs/>
        </w:rPr>
        <w:t xml:space="preserve"> bezpieczeństwa prowadzącym do przypadkowego lub niezgodnego z prawem zniszczenia, utracenia, zmodyfikowania, nieuprawnionego ujawnienia lub nieuprawnionego dostępu do danych.</w:t>
      </w:r>
    </w:p>
    <w:p w14:paraId="6F5E8A84" w14:textId="16A27462" w:rsidR="0050627E" w:rsidRPr="0050627E" w:rsidRDefault="0050627E" w:rsidP="00CA769A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50627E">
        <w:rPr>
          <w:rFonts w:cstheme="minorHAnsi"/>
          <w:bCs/>
        </w:rPr>
        <w:t xml:space="preserve">W celu wykazania spełnienia wymagań, o których mowa w ustępie poprzedzającym, Podmiot przetwarzający sporządza i dołącza do niniejszej Umowy </w:t>
      </w:r>
      <w:r w:rsidR="002C07D3">
        <w:rPr>
          <w:rFonts w:cstheme="minorHAnsi"/>
          <w:bCs/>
        </w:rPr>
        <w:t xml:space="preserve">Ankietę spełnienia wymagań bezpiecznego przetwarzania danych osobowych </w:t>
      </w:r>
      <w:r w:rsidRPr="0050627E">
        <w:rPr>
          <w:rFonts w:cstheme="minorHAnsi"/>
          <w:bCs/>
        </w:rPr>
        <w:t xml:space="preserve">według wzoru określonego załącznikiem nr 1 do </w:t>
      </w:r>
      <w:r>
        <w:rPr>
          <w:rFonts w:cstheme="minorHAnsi"/>
          <w:bCs/>
        </w:rPr>
        <w:t xml:space="preserve">niniejszej </w:t>
      </w:r>
      <w:r w:rsidRPr="0050627E">
        <w:rPr>
          <w:rFonts w:cstheme="minorHAnsi"/>
          <w:bCs/>
        </w:rPr>
        <w:t xml:space="preserve">Umowy lub opis środków technicznych i organizacyjnych stosowanych przez </w:t>
      </w:r>
      <w:r>
        <w:rPr>
          <w:rFonts w:cstheme="minorHAnsi"/>
          <w:bCs/>
        </w:rPr>
        <w:t xml:space="preserve">Podmiot </w:t>
      </w:r>
      <w:r w:rsidR="0021633C">
        <w:rPr>
          <w:rFonts w:cstheme="minorHAnsi"/>
          <w:bCs/>
        </w:rPr>
        <w:t>p</w:t>
      </w:r>
      <w:r w:rsidRPr="0050627E">
        <w:rPr>
          <w:rFonts w:cstheme="minorHAnsi"/>
          <w:bCs/>
        </w:rPr>
        <w:t>rzetwarzając</w:t>
      </w:r>
      <w:r w:rsidR="0021633C">
        <w:rPr>
          <w:rFonts w:cstheme="minorHAnsi"/>
          <w:bCs/>
        </w:rPr>
        <w:t>y</w:t>
      </w:r>
      <w:r w:rsidRPr="0050627E">
        <w:rPr>
          <w:rFonts w:cstheme="minorHAnsi"/>
          <w:bCs/>
        </w:rPr>
        <w:t xml:space="preserve"> z uwzględnieniem zagadnień wskazanych w</w:t>
      </w:r>
      <w:r w:rsidR="002C07D3">
        <w:rPr>
          <w:rFonts w:cstheme="minorHAnsi"/>
          <w:bCs/>
        </w:rPr>
        <w:t xml:space="preserve"> tej ankiecie</w:t>
      </w:r>
      <w:r w:rsidRPr="0050627E">
        <w:rPr>
          <w:rFonts w:cstheme="minorHAnsi"/>
          <w:bCs/>
        </w:rPr>
        <w:t>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721AA7E6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 opracowywania)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zobowiązuje się do ścisłego przestrzegania warunków niniejszej umowy oraz Umowy o współpracę, które wiążą się z ochroną danych osobowych, w szczególności nie </w:t>
      </w:r>
      <w:r w:rsidRPr="00646FFB">
        <w:rPr>
          <w:rFonts w:cstheme="minorHAnsi"/>
          <w:bCs/>
        </w:rPr>
        <w:lastRenderedPageBreak/>
        <w:t>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zobowiązuje się zwrócić przekazane przez Administratora dane osobowe oraz usunąć wszelkie dane osobowe z </w:t>
      </w:r>
      <w:r w:rsidRPr="00646FFB">
        <w:rPr>
          <w:rFonts w:cstheme="minorHAnsi"/>
          <w:bCs/>
        </w:rPr>
        <w:lastRenderedPageBreak/>
        <w:t>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Sądem właściwym dla rozpatrzenia sporów wynikających z niniejszej umowy będzie sąd właściwy dla Administratora.</w:t>
      </w:r>
    </w:p>
    <w:p w14:paraId="54265F98" w14:textId="77777777" w:rsid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68B3517C" w14:textId="49E0110A" w:rsidR="002721C4" w:rsidRDefault="002721C4" w:rsidP="002721C4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1- </w:t>
      </w:r>
      <w:r w:rsidR="002C07D3">
        <w:rPr>
          <w:rFonts w:cstheme="minorHAnsi"/>
          <w:bCs/>
        </w:rPr>
        <w:t xml:space="preserve">Ankieta spełnienia wymagań bezpiecznego przetwarzania danych </w:t>
      </w:r>
      <w:r>
        <w:rPr>
          <w:rFonts w:cstheme="minorHAnsi"/>
          <w:bCs/>
        </w:rPr>
        <w:t>stanowi integralną część niniejszej Umowy.</w:t>
      </w:r>
      <w:r w:rsidR="002C07D3">
        <w:rPr>
          <w:rFonts w:cstheme="minorHAnsi"/>
          <w:bCs/>
        </w:rPr>
        <w:t xml:space="preserve"> 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4570D" w14:textId="77777777" w:rsidR="006C46D0" w:rsidRDefault="006C46D0" w:rsidP="00E24348">
      <w:pPr>
        <w:spacing w:after="0" w:line="240" w:lineRule="auto"/>
      </w:pPr>
      <w:r>
        <w:separator/>
      </w:r>
    </w:p>
  </w:endnote>
  <w:endnote w:type="continuationSeparator" w:id="0">
    <w:p w14:paraId="248E95BB" w14:textId="77777777" w:rsidR="006C46D0" w:rsidRDefault="006C46D0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73A08" w14:textId="77777777" w:rsidR="006C46D0" w:rsidRDefault="006C46D0" w:rsidP="00E24348">
      <w:pPr>
        <w:spacing w:after="0" w:line="240" w:lineRule="auto"/>
      </w:pPr>
      <w:r>
        <w:separator/>
      </w:r>
    </w:p>
  </w:footnote>
  <w:footnote w:type="continuationSeparator" w:id="0">
    <w:p w14:paraId="64C13B11" w14:textId="77777777" w:rsidR="006C46D0" w:rsidRDefault="006C46D0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833FE"/>
    <w:rsid w:val="000C37C2"/>
    <w:rsid w:val="000F2213"/>
    <w:rsid w:val="00101FA6"/>
    <w:rsid w:val="0012418F"/>
    <w:rsid w:val="00133A9D"/>
    <w:rsid w:val="001434BC"/>
    <w:rsid w:val="001549C2"/>
    <w:rsid w:val="00180A4B"/>
    <w:rsid w:val="001B6E68"/>
    <w:rsid w:val="001D1E98"/>
    <w:rsid w:val="001F41CA"/>
    <w:rsid w:val="002141DA"/>
    <w:rsid w:val="0021633C"/>
    <w:rsid w:val="0025398A"/>
    <w:rsid w:val="002552FE"/>
    <w:rsid w:val="002570D6"/>
    <w:rsid w:val="002721C4"/>
    <w:rsid w:val="002A121D"/>
    <w:rsid w:val="002B2EB4"/>
    <w:rsid w:val="002C07D3"/>
    <w:rsid w:val="002E38C5"/>
    <w:rsid w:val="003C355C"/>
    <w:rsid w:val="00406568"/>
    <w:rsid w:val="00425F8F"/>
    <w:rsid w:val="00433DFB"/>
    <w:rsid w:val="0047012A"/>
    <w:rsid w:val="004A4F48"/>
    <w:rsid w:val="004A6D75"/>
    <w:rsid w:val="004F53C6"/>
    <w:rsid w:val="0050627E"/>
    <w:rsid w:val="005208E9"/>
    <w:rsid w:val="005A5A1A"/>
    <w:rsid w:val="005B7099"/>
    <w:rsid w:val="005D4CDD"/>
    <w:rsid w:val="005E6B7B"/>
    <w:rsid w:val="00627FD5"/>
    <w:rsid w:val="00646FFB"/>
    <w:rsid w:val="0068225B"/>
    <w:rsid w:val="006A6721"/>
    <w:rsid w:val="006C46D0"/>
    <w:rsid w:val="006D1262"/>
    <w:rsid w:val="007179C4"/>
    <w:rsid w:val="0072444C"/>
    <w:rsid w:val="00737797"/>
    <w:rsid w:val="00862D9A"/>
    <w:rsid w:val="00881026"/>
    <w:rsid w:val="008A0DED"/>
    <w:rsid w:val="008D6398"/>
    <w:rsid w:val="0093166F"/>
    <w:rsid w:val="00944689"/>
    <w:rsid w:val="00955156"/>
    <w:rsid w:val="00982757"/>
    <w:rsid w:val="009A6D08"/>
    <w:rsid w:val="009E26D7"/>
    <w:rsid w:val="00A15167"/>
    <w:rsid w:val="00A71145"/>
    <w:rsid w:val="00B53621"/>
    <w:rsid w:val="00B74D4F"/>
    <w:rsid w:val="00BC7A0F"/>
    <w:rsid w:val="00C128FD"/>
    <w:rsid w:val="00C24DC3"/>
    <w:rsid w:val="00C3181B"/>
    <w:rsid w:val="00C7003B"/>
    <w:rsid w:val="00C776C0"/>
    <w:rsid w:val="00CA769A"/>
    <w:rsid w:val="00CC5285"/>
    <w:rsid w:val="00CE1E06"/>
    <w:rsid w:val="00D1718B"/>
    <w:rsid w:val="00D3035E"/>
    <w:rsid w:val="00DE605E"/>
    <w:rsid w:val="00E216B0"/>
    <w:rsid w:val="00E24348"/>
    <w:rsid w:val="00E30F98"/>
    <w:rsid w:val="00E803BE"/>
    <w:rsid w:val="00E83ABC"/>
    <w:rsid w:val="00EB0A2A"/>
    <w:rsid w:val="00F148E7"/>
    <w:rsid w:val="00F77598"/>
    <w:rsid w:val="00F85CBD"/>
    <w:rsid w:val="00FC38DF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B709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1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2828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2024-09-24T05:52:00Z</dcterms:created>
  <dcterms:modified xsi:type="dcterms:W3CDTF">2024-09-24T05:52:00Z</dcterms:modified>
</cp:coreProperties>
</file>