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C25318">
      <w:pPr>
        <w:autoSpaceDE w:val="0"/>
        <w:jc w:val="center"/>
        <w:rPr>
          <w:rFonts w:eastAsia="Arial" w:cs="Arial"/>
          <w:b/>
          <w:bCs/>
          <w:color w:val="000000"/>
          <w:sz w:val="20"/>
          <w:szCs w:val="20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Treść ogłoszenia </w:t>
      </w:r>
    </w:p>
    <w:p w:rsidR="00000000" w:rsidRDefault="00C25318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WAŁBRZYSKI RYNEK HURTOWY S.A.</w:t>
      </w:r>
    </w:p>
    <w:p w:rsidR="00000000" w:rsidRDefault="00C25318">
      <w:pPr>
        <w:pStyle w:val="Default"/>
        <w:jc w:val="center"/>
        <w:rPr>
          <w:b/>
          <w:bCs/>
          <w:i/>
          <w:iCs/>
          <w:sz w:val="20"/>
          <w:szCs w:val="20"/>
        </w:rPr>
      </w:pPr>
      <w:r>
        <w:rPr>
          <w:b/>
          <w:bCs/>
          <w:sz w:val="20"/>
          <w:szCs w:val="20"/>
        </w:rPr>
        <w:t xml:space="preserve">ul. Wysockiego 17 , 58-300 Wałbrzych </w:t>
      </w:r>
    </w:p>
    <w:p w:rsidR="00000000" w:rsidRDefault="00C25318">
      <w:pPr>
        <w:pStyle w:val="Default"/>
        <w:jc w:val="center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ogłasza przetarg ustny nieograniczony </w:t>
      </w:r>
    </w:p>
    <w:p w:rsidR="00000000" w:rsidRDefault="00C25318">
      <w:pPr>
        <w:pStyle w:val="Default"/>
        <w:jc w:val="center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na sprzedaż </w:t>
      </w:r>
    </w:p>
    <w:p w:rsidR="00000000" w:rsidRDefault="00C25318">
      <w:pPr>
        <w:pStyle w:val="Default"/>
        <w:jc w:val="center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prasy HSM VL 600</w:t>
      </w:r>
    </w:p>
    <w:p w:rsidR="00000000" w:rsidRDefault="00C25318">
      <w:pPr>
        <w:pStyle w:val="Default"/>
        <w:rPr>
          <w:b/>
          <w:bCs/>
          <w:i/>
          <w:iCs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5"/>
        <w:gridCol w:w="2267"/>
        <w:gridCol w:w="1356"/>
        <w:gridCol w:w="1738"/>
        <w:gridCol w:w="1348"/>
        <w:gridCol w:w="1047"/>
        <w:gridCol w:w="1381"/>
      </w:tblGrid>
      <w:tr w:rsidR="00000000">
        <w:tc>
          <w:tcPr>
            <w:tcW w:w="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25318">
            <w:pPr>
              <w:pStyle w:val="Zawartotabeli"/>
              <w:jc w:val="center"/>
            </w:pPr>
            <w:r>
              <w:t xml:space="preserve">L.p. </w:t>
            </w:r>
          </w:p>
        </w:tc>
        <w:tc>
          <w:tcPr>
            <w:tcW w:w="22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25318">
            <w:pPr>
              <w:pStyle w:val="Zawartotabeli"/>
              <w:jc w:val="center"/>
            </w:pPr>
            <w:r>
              <w:t>Nazwa</w:t>
            </w:r>
          </w:p>
        </w:tc>
        <w:tc>
          <w:tcPr>
            <w:tcW w:w="13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25318">
            <w:pPr>
              <w:pStyle w:val="Zawartotabeli"/>
              <w:jc w:val="center"/>
            </w:pPr>
            <w:r>
              <w:t xml:space="preserve">Nr seryjny </w:t>
            </w:r>
          </w:p>
        </w:tc>
        <w:tc>
          <w:tcPr>
            <w:tcW w:w="17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25318">
            <w:pPr>
              <w:pStyle w:val="Zawartotabeli"/>
              <w:jc w:val="center"/>
            </w:pPr>
            <w:r>
              <w:t>Producent</w:t>
            </w:r>
          </w:p>
        </w:tc>
        <w:tc>
          <w:tcPr>
            <w:tcW w:w="13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25318">
            <w:pPr>
              <w:pStyle w:val="Zawartotabeli"/>
              <w:jc w:val="center"/>
            </w:pPr>
            <w:r>
              <w:t>Typ</w:t>
            </w:r>
          </w:p>
        </w:tc>
        <w:tc>
          <w:tcPr>
            <w:tcW w:w="10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25318">
            <w:pPr>
              <w:pStyle w:val="Zawartotabeli"/>
              <w:jc w:val="center"/>
            </w:pPr>
            <w:r>
              <w:t>Rok bud.</w:t>
            </w:r>
          </w:p>
        </w:tc>
        <w:tc>
          <w:tcPr>
            <w:tcW w:w="13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25318">
            <w:pPr>
              <w:pStyle w:val="Zawartotabeli"/>
              <w:jc w:val="center"/>
            </w:pPr>
            <w:r>
              <w:t xml:space="preserve">Cena wywoławcza </w:t>
            </w:r>
          </w:p>
          <w:p w:rsidR="00000000" w:rsidRDefault="00C25318">
            <w:pPr>
              <w:pStyle w:val="Zawartotabeli"/>
              <w:jc w:val="center"/>
            </w:pPr>
            <w:r>
              <w:t>( netto ) zł</w:t>
            </w: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25318">
            <w:pPr>
              <w:pStyle w:val="Zawartotabeli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25318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Pionowa prasa ściska</w:t>
            </w:r>
            <w:r>
              <w:rPr>
                <w:sz w:val="20"/>
                <w:szCs w:val="20"/>
              </w:rPr>
              <w:t>jąca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25318">
            <w:pPr>
              <w:pStyle w:val="Zawartotabeli"/>
              <w:jc w:val="center"/>
              <w:rPr>
                <w:rFonts w:ascii="TimesNewRoman" w:eastAsia="TimesNewRoman" w:hAnsi="TimesNewRoman" w:cs="TimesNewRoman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250191048 S</w:t>
            </w:r>
          </w:p>
        </w:tc>
        <w:tc>
          <w:tcPr>
            <w:tcW w:w="17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25318">
            <w:pPr>
              <w:pStyle w:val="Zawartotabeli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NewRoman" w:eastAsia="TimesNewRoman" w:hAnsi="TimesNewRoman" w:cs="TimesNewRoman"/>
                <w:b/>
                <w:bCs/>
                <w:sz w:val="20"/>
                <w:szCs w:val="20"/>
              </w:rPr>
              <w:t>HSM – Pressen GmbH + Co.KG</w:t>
            </w:r>
          </w:p>
        </w:tc>
        <w:tc>
          <w:tcPr>
            <w:tcW w:w="13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25318">
            <w:pPr>
              <w:pStyle w:val="Zawartotabeli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HSM VL 600</w:t>
            </w:r>
          </w:p>
        </w:tc>
        <w:tc>
          <w:tcPr>
            <w:tcW w:w="10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25318">
            <w:pPr>
              <w:pStyle w:val="Zawartotabeli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</w:rPr>
              <w:t>2004</w:t>
            </w:r>
          </w:p>
        </w:tc>
        <w:tc>
          <w:tcPr>
            <w:tcW w:w="13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25318">
            <w:pPr>
              <w:pStyle w:val="Zawartotabeli"/>
              <w:jc w:val="center"/>
            </w:pPr>
            <w:r>
              <w:t>16 400,00</w:t>
            </w:r>
          </w:p>
        </w:tc>
      </w:tr>
    </w:tbl>
    <w:p w:rsidR="00000000" w:rsidRDefault="00C25318">
      <w:pPr>
        <w:pStyle w:val="Default"/>
        <w:rPr>
          <w:b/>
          <w:bCs/>
          <w:i/>
          <w:iCs/>
          <w:sz w:val="20"/>
          <w:szCs w:val="20"/>
        </w:rPr>
      </w:pPr>
    </w:p>
    <w:p w:rsidR="00000000" w:rsidRDefault="00C25318">
      <w:pPr>
        <w:autoSpaceDE w:val="0"/>
        <w:rPr>
          <w:rFonts w:eastAsia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Uwaga: cena nie obejmuje demontażu i wysyłki prasy </w:t>
      </w:r>
    </w:p>
    <w:p w:rsidR="00000000" w:rsidRDefault="00C25318">
      <w:pPr>
        <w:pStyle w:val="Default"/>
      </w:pPr>
      <w:r>
        <w:rPr>
          <w:b/>
          <w:bCs/>
          <w:sz w:val="20"/>
          <w:szCs w:val="20"/>
        </w:rPr>
        <w:t xml:space="preserve">Przetarg odbędzie się w dniu </w:t>
      </w:r>
      <w:r>
        <w:rPr>
          <w:b/>
          <w:bCs/>
          <w:sz w:val="20"/>
          <w:szCs w:val="20"/>
        </w:rPr>
        <w:t xml:space="preserve">27 lutego 2020 roku, o godz. 11.00 </w:t>
      </w:r>
      <w:r>
        <w:rPr>
          <w:b/>
          <w:bCs/>
          <w:sz w:val="20"/>
          <w:szCs w:val="20"/>
        </w:rPr>
        <w:t>w siedzibie Spółki, ul. Wysockiego 17</w:t>
      </w:r>
    </w:p>
    <w:p w:rsidR="00000000" w:rsidRDefault="00C25318">
      <w:pPr>
        <w:pStyle w:val="Default"/>
      </w:pPr>
    </w:p>
    <w:p w:rsidR="00000000" w:rsidRDefault="00C2531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Oględzin oferowanego wózka mo</w:t>
      </w:r>
      <w:r>
        <w:rPr>
          <w:sz w:val="20"/>
          <w:szCs w:val="20"/>
        </w:rPr>
        <w:t xml:space="preserve">żna dokonać po uprzednim uzgodnieniu telefonicznym w dniu 19.02.2020 roku, w godz. 9.00 – 11.00 w Wałbrzychu, ul. Wysockiego 17 (tel. kontaktowe – 602 608 318). </w:t>
      </w:r>
    </w:p>
    <w:p w:rsidR="00000000" w:rsidRDefault="00C2531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Warunkiem przystąpienia do przetargu jest wniesienie w gotówce w PLN wadium w wysokości 10% ce</w:t>
      </w:r>
      <w:r>
        <w:rPr>
          <w:sz w:val="20"/>
          <w:szCs w:val="20"/>
        </w:rPr>
        <w:t xml:space="preserve">ny wywoławczej - najpóźniej na dzień przed terminem przetargu, przy czym za termin wpłaty uważa się dzień wpływu środków pieniężnych na rachunek bankowy Spółki. W treści operacji należy określić, której pozycji przetargowej dotyczy wpłacone wadium. </w:t>
      </w:r>
    </w:p>
    <w:p w:rsidR="00000000" w:rsidRDefault="00C2531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Rachun</w:t>
      </w:r>
      <w:r>
        <w:rPr>
          <w:sz w:val="20"/>
          <w:szCs w:val="20"/>
        </w:rPr>
        <w:t>ek bankowy:</w:t>
      </w:r>
      <w:r>
        <w:rPr>
          <w:sz w:val="20"/>
          <w:szCs w:val="20"/>
        </w:rPr>
        <w:t xml:space="preserve"> 25 1560 0013 2000 1701 4045 3600 </w:t>
      </w:r>
    </w:p>
    <w:p w:rsidR="00000000" w:rsidRDefault="00C2531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Przed rozpoczęciem licytacji należy okazać licytatorowi oryginał dowodu wpłaty wadium oraz dokumenty z których wynika prawo do reprezentowania podmiotu biorącego udział w przetargu. </w:t>
      </w:r>
    </w:p>
    <w:p w:rsidR="00000000" w:rsidRDefault="00C2531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Wysokość postąpienia zostan</w:t>
      </w:r>
      <w:r>
        <w:rPr>
          <w:sz w:val="20"/>
          <w:szCs w:val="20"/>
        </w:rPr>
        <w:t xml:space="preserve">ie określona przez licytatora w trakcie przetargu, jednak nie może wynosić mniej niż 1% ceny wywoławczej. </w:t>
      </w:r>
    </w:p>
    <w:p w:rsidR="00000000" w:rsidRDefault="00C2531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Wadium przepada na rzecz Spółki, jeżeli żaden z uczestników licytacji nie zaoferuje co najmniej ceny wywoławczej. </w:t>
      </w:r>
    </w:p>
    <w:p w:rsidR="00000000" w:rsidRDefault="00C2531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Wadium złożone przez oferentów, kt</w:t>
      </w:r>
      <w:r>
        <w:rPr>
          <w:sz w:val="20"/>
          <w:szCs w:val="20"/>
        </w:rPr>
        <w:t xml:space="preserve">órych oferty nie zostaną przyjęte, zostanie niezwłocznie zwrócone po zakończeniu przetargu. Oferentowi, którego oferta została przyjęta, wadium zostaje zarachowane na poczet ceny nabycia. </w:t>
      </w:r>
    </w:p>
    <w:p w:rsidR="00000000" w:rsidRDefault="00C2531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Wadium przepada na rzecz spółki, jeżeli oferent, którego oferta zos</w:t>
      </w:r>
      <w:r>
        <w:rPr>
          <w:sz w:val="20"/>
          <w:szCs w:val="20"/>
        </w:rPr>
        <w:t xml:space="preserve">tała przyjęta uchyli się od zawarcia umowy (wpłaty pozostałej kwoty). </w:t>
      </w:r>
    </w:p>
    <w:p w:rsidR="00000000" w:rsidRDefault="00C2531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Całość wylicytowanej kwoty pomniejszonej o wadium musi zostać wpłacona na ten sam rachunek bankowy co wadium w terminie 14 dni od daty przetargu. </w:t>
      </w:r>
    </w:p>
    <w:p w:rsidR="00000000" w:rsidRDefault="00C2531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Nabywca, który w terminie nie uiści ce</w:t>
      </w:r>
      <w:r>
        <w:rPr>
          <w:sz w:val="20"/>
          <w:szCs w:val="20"/>
        </w:rPr>
        <w:t xml:space="preserve">ny nabycia, traci prawa wynikające z przybicia oraz złożone wadium. </w:t>
      </w:r>
    </w:p>
    <w:p w:rsidR="00000000" w:rsidRDefault="00C2531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Informacje dodatkowe: </w:t>
      </w:r>
      <w:r>
        <w:rPr>
          <w:sz w:val="20"/>
          <w:szCs w:val="20"/>
        </w:rPr>
        <w:t>Wałbrzyski Rynek Hurtowy S.A.</w:t>
      </w:r>
      <w:r>
        <w:rPr>
          <w:sz w:val="20"/>
          <w:szCs w:val="20"/>
        </w:rPr>
        <w:t xml:space="preserve"> jest jednocześnie prowadzącym przetarg. Licytator jest upoważniony do rozstrzygania kwestii spornych dotyczących organizacji przebiegu </w:t>
      </w:r>
      <w:r>
        <w:rPr>
          <w:sz w:val="20"/>
          <w:szCs w:val="20"/>
        </w:rPr>
        <w:t xml:space="preserve">przetargu. </w:t>
      </w:r>
    </w:p>
    <w:p w:rsidR="00000000" w:rsidRDefault="00C2531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W przetargu jako oferenci mogą brać udział osoby fizyczne i osoby prawne, jeżeli wpłacą prowadzącemu przetarg wadium w wysokości, terminie i sposobie określonych w ogłoszeniu o przetargu. </w:t>
      </w:r>
    </w:p>
    <w:p w:rsidR="00000000" w:rsidRDefault="00C2531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W przetargu jako oferenci nie mogą uczestniczyć: </w:t>
      </w:r>
    </w:p>
    <w:p w:rsidR="00000000" w:rsidRDefault="00C25318">
      <w:pPr>
        <w:pStyle w:val="Default"/>
        <w:spacing w:after="13"/>
        <w:rPr>
          <w:sz w:val="20"/>
          <w:szCs w:val="20"/>
        </w:rPr>
      </w:pPr>
      <w:r>
        <w:rPr>
          <w:sz w:val="20"/>
          <w:szCs w:val="20"/>
        </w:rPr>
        <w:t>1. cz</w:t>
      </w:r>
      <w:r>
        <w:rPr>
          <w:sz w:val="20"/>
          <w:szCs w:val="20"/>
        </w:rPr>
        <w:t xml:space="preserve">łonkowie zarządu Spółki i jej organu nadzorującego; </w:t>
      </w:r>
    </w:p>
    <w:p w:rsidR="00000000" w:rsidRDefault="00C25318">
      <w:pPr>
        <w:pStyle w:val="Default"/>
        <w:spacing w:after="13"/>
        <w:rPr>
          <w:sz w:val="20"/>
          <w:szCs w:val="20"/>
        </w:rPr>
      </w:pPr>
      <w:r>
        <w:rPr>
          <w:sz w:val="20"/>
          <w:szCs w:val="20"/>
        </w:rPr>
        <w:t xml:space="preserve">2. podmiot gospodarczy prowadzący przetarg oraz członkowie jego władz i organu nadzorującego; </w:t>
      </w:r>
    </w:p>
    <w:p w:rsidR="00000000" w:rsidRDefault="00C25318">
      <w:pPr>
        <w:pStyle w:val="Default"/>
        <w:spacing w:after="13"/>
        <w:rPr>
          <w:sz w:val="20"/>
          <w:szCs w:val="20"/>
        </w:rPr>
      </w:pPr>
      <w:r>
        <w:rPr>
          <w:sz w:val="20"/>
          <w:szCs w:val="20"/>
        </w:rPr>
        <w:t xml:space="preserve">3. osoby, którym powierzono wykonanie czynności związanych z przeprowadzeniem przetargu; </w:t>
      </w:r>
    </w:p>
    <w:p w:rsidR="00000000" w:rsidRDefault="00C25318">
      <w:pPr>
        <w:pStyle w:val="Default"/>
        <w:spacing w:after="13"/>
        <w:rPr>
          <w:sz w:val="20"/>
          <w:szCs w:val="20"/>
        </w:rPr>
      </w:pPr>
      <w:r>
        <w:rPr>
          <w:sz w:val="20"/>
          <w:szCs w:val="20"/>
        </w:rPr>
        <w:t>4. małżonek, dziec</w:t>
      </w:r>
      <w:r>
        <w:rPr>
          <w:sz w:val="20"/>
          <w:szCs w:val="20"/>
        </w:rPr>
        <w:t xml:space="preserve">i, rodzice i rodzeństwo osób, o których mowa w pkt 1-3; </w:t>
      </w:r>
    </w:p>
    <w:p w:rsidR="00000000" w:rsidRDefault="00C2531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5. osoby, które pozostają z prowadzącym przetarg w takim stosunku prawnym lub faktycznym, że może to budzić uzasadnione wątpliwości co do bezstronności prowadzącego przetarg. </w:t>
      </w:r>
    </w:p>
    <w:p w:rsidR="00000000" w:rsidRDefault="00C25318">
      <w:pPr>
        <w:pStyle w:val="Default"/>
        <w:rPr>
          <w:sz w:val="20"/>
          <w:szCs w:val="20"/>
        </w:rPr>
      </w:pPr>
    </w:p>
    <w:p w:rsidR="00000000" w:rsidRDefault="00C25318">
      <w:pPr>
        <w:pStyle w:val="Default"/>
        <w:rPr>
          <w:b/>
          <w:bCs/>
          <w:i/>
          <w:iCs/>
          <w:sz w:val="20"/>
          <w:szCs w:val="20"/>
        </w:rPr>
      </w:pPr>
      <w:r>
        <w:rPr>
          <w:b/>
          <w:bCs/>
          <w:sz w:val="20"/>
          <w:szCs w:val="20"/>
        </w:rPr>
        <w:t>Zastrzega się prawo za</w:t>
      </w:r>
      <w:r>
        <w:rPr>
          <w:b/>
          <w:bCs/>
          <w:sz w:val="20"/>
          <w:szCs w:val="20"/>
        </w:rPr>
        <w:t xml:space="preserve">mknięcia części lub całości przetargu bez wybrania którejkolwiek z ofert bez podania przyczyny. W przypadku naruszenia przepisów prowadzący przetarg stwierdza unieważnienie przetargu. </w:t>
      </w:r>
    </w:p>
    <w:p w:rsidR="00C25318" w:rsidRDefault="00C25318">
      <w:pPr>
        <w:pStyle w:val="Default"/>
        <w:rPr>
          <w:b/>
          <w:bCs/>
          <w:i/>
          <w:iCs/>
          <w:sz w:val="20"/>
          <w:szCs w:val="20"/>
        </w:rPr>
      </w:pPr>
    </w:p>
    <w:sectPr w:rsidR="00C25318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NewRoman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ADC"/>
    <w:rsid w:val="00371ADC"/>
    <w:rsid w:val="00C2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271D2CC-5B6C-4600-A57B-63F3D017A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Default">
    <w:name w:val="Default"/>
    <w:basedOn w:val="Normalny"/>
    <w:pPr>
      <w:autoSpaceDE w:val="0"/>
    </w:pPr>
    <w:rPr>
      <w:rFonts w:ascii="Arial" w:eastAsia="Arial" w:hAnsi="Arial" w:cs="Arial"/>
      <w:color w:val="000000"/>
    </w:rPr>
  </w:style>
  <w:style w:type="paragraph" w:customStyle="1" w:styleId="Zawartotabeli">
    <w:name w:val="Zawartość tabeli"/>
    <w:basedOn w:val="Normalny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Kusio Tomasz</dc:creator>
  <cp:keywords/>
  <cp:lastModifiedBy>Kusio Tomasz</cp:lastModifiedBy>
  <cp:revision>2</cp:revision>
  <cp:lastPrinted>2020-02-05T09:39:00Z</cp:lastPrinted>
  <dcterms:created xsi:type="dcterms:W3CDTF">2020-02-06T11:18:00Z</dcterms:created>
  <dcterms:modified xsi:type="dcterms:W3CDTF">2020-02-06T11:18:00Z</dcterms:modified>
</cp:coreProperties>
</file>