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33C2" w14:textId="77777777" w:rsidR="00C8534D" w:rsidRPr="00C8534D" w:rsidRDefault="00C8534D" w:rsidP="00C8534D">
      <w:pPr>
        <w:widowControl w:val="0"/>
        <w:suppressAutoHyphens/>
        <w:spacing w:after="0" w:line="240" w:lineRule="auto"/>
        <w:jc w:val="center"/>
        <w:rPr>
          <w:rFonts w:ascii="Calibri" w:eastAsia="Calibri" w:hAnsi="Calibri" w:cs="Arial"/>
          <w:b/>
          <w:lang w:val="en-GB" w:eastAsia="ar-SA"/>
        </w:rPr>
      </w:pPr>
    </w:p>
    <w:p w14:paraId="48B24742" w14:textId="77777777" w:rsidR="00C8534D" w:rsidRPr="00C8534D" w:rsidRDefault="00C8534D" w:rsidP="00C8534D">
      <w:pPr>
        <w:widowControl w:val="0"/>
        <w:suppressAutoHyphens/>
        <w:spacing w:after="0" w:line="240" w:lineRule="auto"/>
        <w:jc w:val="center"/>
        <w:rPr>
          <w:rFonts w:ascii="Calibri" w:eastAsia="Calibri" w:hAnsi="Calibri" w:cs="Arial"/>
          <w:b/>
          <w:lang w:val="en-GB" w:eastAsia="ar-SA"/>
        </w:rPr>
      </w:pPr>
      <w:r w:rsidRPr="00C8534D">
        <w:rPr>
          <w:rFonts w:ascii="Calibri" w:eastAsia="Calibri" w:hAnsi="Calibri" w:cs="Arial"/>
          <w:b/>
          <w:bCs/>
          <w:lang w:val="en" w:eastAsia="ar-SA"/>
        </w:rPr>
        <w:t>Information clause under Article 13 of the GDPR in connection with the processing of personal data</w:t>
      </w:r>
    </w:p>
    <w:p w14:paraId="7A648823" w14:textId="77777777" w:rsidR="00C8534D" w:rsidRPr="00C8534D" w:rsidRDefault="00C8534D" w:rsidP="00C8534D">
      <w:pPr>
        <w:widowControl w:val="0"/>
        <w:suppressAutoHyphens/>
        <w:spacing w:before="120" w:after="120" w:line="240" w:lineRule="auto"/>
        <w:jc w:val="both"/>
        <w:rPr>
          <w:rFonts w:ascii="Calibri" w:eastAsia="Lucida Sans Unicode" w:hAnsi="Calibri" w:cs="Arial"/>
          <w:lang w:val="en-GB" w:eastAsia="ar-SA"/>
        </w:rPr>
      </w:pPr>
    </w:p>
    <w:p w14:paraId="7DC7ACC2" w14:textId="77777777" w:rsidR="00C8534D" w:rsidRPr="00C8534D" w:rsidRDefault="00C8534D" w:rsidP="00C8534D">
      <w:pPr>
        <w:widowControl w:val="0"/>
        <w:numPr>
          <w:ilvl w:val="0"/>
          <w:numId w:val="2"/>
        </w:numPr>
        <w:suppressAutoHyphens/>
        <w:spacing w:after="120" w:line="240" w:lineRule="auto"/>
        <w:jc w:val="both"/>
        <w:rPr>
          <w:rFonts w:ascii="Calibri" w:eastAsia="Courier New" w:hAnsi="Calibri" w:cs="Calibri"/>
          <w:bCs/>
          <w:lang w:val="en-GB"/>
        </w:rPr>
      </w:pPr>
      <w:r w:rsidRPr="00C8534D">
        <w:rPr>
          <w:rFonts w:ascii="Calibri" w:eastAsia="Courier New" w:hAnsi="Calibri" w:cs="Calibri"/>
          <w:lang w:val="en"/>
        </w:rPr>
        <w:t xml:space="preserve">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of 04.05.2016, p. 1, as amended), hereinafter referred to as the “GDPR”, please be advised that: </w:t>
      </w:r>
    </w:p>
    <w:p w14:paraId="703B8D07" w14:textId="467D9CA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lang w:val="en-US"/>
        </w:rPr>
      </w:pPr>
      <w:r w:rsidRPr="00C8534D">
        <w:rPr>
          <w:rFonts w:ascii="Calibri" w:eastAsia="Calibri" w:hAnsi="Calibri" w:cs="Calibri"/>
          <w:lang w:val="en"/>
        </w:rPr>
        <w:t xml:space="preserve">Within the meaning of Article 4(7) of the GDPR, the controller of your personal data is: The Minister of Foreign Affairs, with his or her office in Warsaw, Poland, Al. J. Ch. </w:t>
      </w:r>
      <w:proofErr w:type="spellStart"/>
      <w:r w:rsidRPr="00C8534D">
        <w:rPr>
          <w:rFonts w:ascii="Calibri" w:eastAsia="Calibri" w:hAnsi="Calibri" w:cs="Calibri"/>
          <w:lang w:val="en"/>
        </w:rPr>
        <w:t>Szucha</w:t>
      </w:r>
      <w:proofErr w:type="spellEnd"/>
      <w:r w:rsidRPr="00C8534D">
        <w:rPr>
          <w:rFonts w:ascii="Calibri" w:eastAsia="Calibri" w:hAnsi="Calibri" w:cs="Calibri"/>
          <w:lang w:val="en"/>
        </w:rPr>
        <w:t xml:space="preserve"> 23, phone no. +48 225230000. The duties of controller are performed by the head of </w:t>
      </w:r>
      <w:r w:rsidR="002A24B7">
        <w:rPr>
          <w:rFonts w:ascii="Calibri" w:eastAsia="Calibri" w:hAnsi="Calibri" w:cs="Calibri"/>
          <w:lang w:val="en"/>
        </w:rPr>
        <w:t>Polish</w:t>
      </w:r>
      <w:r w:rsidR="00286016">
        <w:rPr>
          <w:rFonts w:ascii="Calibri" w:eastAsia="Calibri" w:hAnsi="Calibri" w:cs="Calibri"/>
          <w:lang w:val="en"/>
        </w:rPr>
        <w:t xml:space="preserve"> Institute Bucharest Natalia Mosor </w:t>
      </w:r>
      <w:r w:rsidRPr="00C8534D">
        <w:rPr>
          <w:rFonts w:ascii="Calibri" w:eastAsia="Calibri" w:hAnsi="Calibri" w:cs="Calibri"/>
          <w:lang w:val="en"/>
        </w:rPr>
        <w:t xml:space="preserve"> - </w:t>
      </w:r>
      <w:r w:rsidR="00286016">
        <w:rPr>
          <w:rFonts w:ascii="Calibri" w:eastAsia="Calibri" w:hAnsi="Calibri" w:cs="Calibri"/>
          <w:lang w:val="en"/>
        </w:rPr>
        <w:t xml:space="preserve">Str. Popa </w:t>
      </w:r>
      <w:proofErr w:type="spellStart"/>
      <w:r w:rsidR="00286016">
        <w:rPr>
          <w:rFonts w:ascii="Calibri" w:eastAsia="Calibri" w:hAnsi="Calibri" w:cs="Calibri"/>
          <w:lang w:val="en"/>
        </w:rPr>
        <w:t>Savu</w:t>
      </w:r>
      <w:proofErr w:type="spellEnd"/>
      <w:r w:rsidR="00286016">
        <w:rPr>
          <w:rFonts w:ascii="Calibri" w:eastAsia="Calibri" w:hAnsi="Calibri" w:cs="Calibri"/>
          <w:lang w:val="en"/>
        </w:rPr>
        <w:t xml:space="preserve"> nr 28, Bucharest sec. 1</w:t>
      </w:r>
    </w:p>
    <w:p w14:paraId="379E3DCE"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lang w:val="en-GB"/>
        </w:rPr>
      </w:pPr>
      <w:r w:rsidRPr="00C8534D">
        <w:rPr>
          <w:rFonts w:ascii="Calibri" w:eastAsia="Times New Roman" w:hAnsi="Calibri" w:cs="Arial"/>
          <w:lang w:val="en"/>
        </w:rPr>
        <w:t>The Minister of Foreign Affairs has appointed the Data Protection Officer (DPO) who performs his duties with respect to data processed at the Ministry of Foreign Affairs and diplomatic missions abroad.</w:t>
      </w:r>
    </w:p>
    <w:p w14:paraId="4CB5CFD7" w14:textId="77777777" w:rsidR="00C8534D" w:rsidRPr="00C8534D" w:rsidRDefault="00C8534D" w:rsidP="00C8534D">
      <w:pPr>
        <w:widowControl w:val="0"/>
        <w:suppressAutoHyphens/>
        <w:autoSpaceDE w:val="0"/>
        <w:autoSpaceDN w:val="0"/>
        <w:adjustRightInd w:val="0"/>
        <w:spacing w:after="0" w:line="240" w:lineRule="auto"/>
        <w:ind w:left="556" w:firstLine="295"/>
        <w:jc w:val="both"/>
        <w:rPr>
          <w:rFonts w:ascii="Calibri" w:eastAsia="Times New Roman" w:hAnsi="Calibri" w:cs="Arial"/>
          <w:bCs/>
          <w:lang w:val="en-GB"/>
        </w:rPr>
      </w:pPr>
      <w:r w:rsidRPr="00C8534D">
        <w:rPr>
          <w:rFonts w:ascii="Calibri" w:eastAsia="Calibri" w:hAnsi="Calibri" w:cs="Calibri"/>
          <w:lang w:val="en"/>
        </w:rPr>
        <w:t>DPO contact details:</w:t>
      </w:r>
    </w:p>
    <w:p w14:paraId="75F35A4C" w14:textId="77777777" w:rsidR="00C8534D" w:rsidRPr="00C8534D" w:rsidRDefault="00C8534D" w:rsidP="00C8534D">
      <w:pPr>
        <w:widowControl w:val="0"/>
        <w:suppressAutoHyphens/>
        <w:autoSpaceDE w:val="0"/>
        <w:autoSpaceDN w:val="0"/>
        <w:adjustRightInd w:val="0"/>
        <w:spacing w:after="0" w:line="240" w:lineRule="auto"/>
        <w:ind w:left="556" w:firstLine="295"/>
        <w:jc w:val="both"/>
        <w:rPr>
          <w:rFonts w:ascii="Calibri" w:eastAsia="Times New Roman" w:hAnsi="Calibri" w:cs="Arial"/>
          <w:bCs/>
          <w:lang w:val="en-GB"/>
        </w:rPr>
      </w:pPr>
      <w:r w:rsidRPr="00C8534D">
        <w:rPr>
          <w:rFonts w:ascii="Calibri" w:eastAsia="Times New Roman" w:hAnsi="Calibri" w:cs="Arial"/>
          <w:lang w:val="en"/>
        </w:rPr>
        <w:t xml:space="preserve">Registered address: Al. J. Ch. </w:t>
      </w:r>
      <w:proofErr w:type="spellStart"/>
      <w:r w:rsidRPr="00C8534D">
        <w:rPr>
          <w:rFonts w:ascii="Calibri" w:eastAsia="Times New Roman" w:hAnsi="Calibri" w:cs="Arial"/>
          <w:lang w:val="en"/>
        </w:rPr>
        <w:t>Szucha</w:t>
      </w:r>
      <w:proofErr w:type="spellEnd"/>
      <w:r w:rsidRPr="00C8534D">
        <w:rPr>
          <w:rFonts w:ascii="Calibri" w:eastAsia="Times New Roman" w:hAnsi="Calibri" w:cs="Arial"/>
          <w:lang w:val="en"/>
        </w:rPr>
        <w:t xml:space="preserve"> 23, 00-580 Warsaw </w:t>
      </w:r>
    </w:p>
    <w:p w14:paraId="13DC04BB" w14:textId="77777777" w:rsidR="00C8534D" w:rsidRPr="00C8534D" w:rsidRDefault="00C8534D" w:rsidP="00C8534D">
      <w:pPr>
        <w:widowControl w:val="0"/>
        <w:suppressAutoHyphens/>
        <w:autoSpaceDE w:val="0"/>
        <w:autoSpaceDN w:val="0"/>
        <w:adjustRightInd w:val="0"/>
        <w:spacing w:after="120" w:line="240" w:lineRule="auto"/>
        <w:ind w:left="556" w:firstLine="295"/>
        <w:jc w:val="both"/>
        <w:rPr>
          <w:rFonts w:ascii="Calibri" w:eastAsia="Times New Roman" w:hAnsi="Calibri" w:cs="Arial"/>
          <w:bCs/>
          <w:lang w:val="en-GB"/>
        </w:rPr>
      </w:pPr>
      <w:r w:rsidRPr="00C8534D">
        <w:rPr>
          <w:rFonts w:ascii="Calibri" w:eastAsia="Times New Roman" w:hAnsi="Calibri" w:cs="Arial"/>
          <w:lang w:val="en"/>
        </w:rPr>
        <w:t xml:space="preserve">Email address: </w:t>
      </w:r>
      <w:hyperlink r:id="rId5" w:history="1">
        <w:r w:rsidRPr="00C8534D">
          <w:rPr>
            <w:rFonts w:ascii="Calibri" w:eastAsia="Times New Roman" w:hAnsi="Calibri" w:cs="Arial"/>
            <w:color w:val="0000FF"/>
            <w:u w:val="single"/>
            <w:lang w:val="en"/>
          </w:rPr>
          <w:t>iod@msz.gov.pl</w:t>
        </w:r>
      </w:hyperlink>
      <w:r w:rsidRPr="00C8534D">
        <w:rPr>
          <w:rFonts w:ascii="Calibri" w:eastAsia="Times New Roman" w:hAnsi="Calibri" w:cs="Arial"/>
          <w:lang w:val="en"/>
        </w:rPr>
        <w:t xml:space="preserve"> </w:t>
      </w:r>
    </w:p>
    <w:p w14:paraId="7AAE3BCB" w14:textId="11498C2F"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i/>
          <w:lang w:val="en-GB"/>
        </w:rPr>
      </w:pPr>
      <w:r w:rsidRPr="00C8534D">
        <w:rPr>
          <w:rFonts w:ascii="Calibri" w:eastAsia="Calibri" w:hAnsi="Calibri" w:cs="Calibri"/>
          <w:lang w:val="en"/>
        </w:rPr>
        <w:t xml:space="preserve">Your personal data will be processed pursuant to Article 6(1)(c) of the GDPR for the purposes of the public procurement procedure </w:t>
      </w:r>
      <w:r w:rsidR="00286016">
        <w:rPr>
          <w:rFonts w:ascii="Calibri" w:eastAsia="Calibri" w:hAnsi="Calibri" w:cs="Calibri"/>
          <w:lang w:val="en"/>
        </w:rPr>
        <w:t xml:space="preserve">selling of company car </w:t>
      </w:r>
      <w:r w:rsidRPr="00C8534D">
        <w:rPr>
          <w:rFonts w:ascii="Calibri" w:eastAsia="Calibri" w:hAnsi="Calibri" w:cs="Calibri"/>
          <w:lang w:val="en"/>
        </w:rPr>
        <w:t xml:space="preserve">conducted through </w:t>
      </w:r>
      <w:r w:rsidR="00286016">
        <w:rPr>
          <w:rFonts w:ascii="Calibri" w:eastAsia="Calibri" w:hAnsi="Calibri" w:cs="Calibri"/>
          <w:lang w:val="en"/>
        </w:rPr>
        <w:t>public tender.</w:t>
      </w:r>
    </w:p>
    <w:p w14:paraId="0938CDFD"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i/>
          <w:lang w:val="en-GB"/>
        </w:rPr>
      </w:pPr>
      <w:r w:rsidRPr="00C8534D">
        <w:rPr>
          <w:rFonts w:ascii="Calibri" w:eastAsia="Calibri" w:hAnsi="Calibri" w:cs="Arial"/>
          <w:lang w:val="en"/>
        </w:rPr>
        <w:t>The recipients of your personal data will be persons or entities to whom tender documentation will be disclosed under Article 18 and Article 74 of the Act of 11 September 2019 – Public Procurement Law (Journal of Laws of 2019, item 2019, as amended), hereinafter referred to as the “PPL.”</w:t>
      </w:r>
    </w:p>
    <w:p w14:paraId="63432478"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i/>
          <w:lang w:val="en-GB"/>
        </w:rPr>
      </w:pPr>
      <w:r w:rsidRPr="00C8534D">
        <w:rPr>
          <w:rFonts w:ascii="Calibri" w:eastAsia="Times New Roman" w:hAnsi="Calibri" w:cs="Arial"/>
          <w:lang w:val="en"/>
        </w:rPr>
        <w:t>In accordance with Article 78(1) and (4) of the PPL, your personal data will be stored for four years from the closing date of the procurement procedure and, if the term of the public procurement agreement is longer than four years, your personal data will be stored throughout the agreement term.</w:t>
      </w:r>
    </w:p>
    <w:p w14:paraId="21DB0D53"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Calibri" w:hAnsi="Calibri" w:cs="Arial"/>
          <w:lang w:val="en"/>
        </w:rPr>
      </w:pPr>
      <w:r w:rsidRPr="00C8534D">
        <w:rPr>
          <w:rFonts w:ascii="Calibri" w:eastAsia="Calibri" w:hAnsi="Calibri" w:cs="Arial"/>
          <w:lang w:val="en"/>
        </w:rPr>
        <w:t xml:space="preserve">  The requirement for you to provide personal data that relate directly to you is a statutory requirement set out in provisions of the PPL and connected with your taking part in a public procurement procedure; the failure to provide relevant data will carry consequences under the PPL.</w:t>
      </w:r>
    </w:p>
    <w:p w14:paraId="6B9AFB0C"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i/>
          <w:lang w:val="en-GB"/>
        </w:rPr>
      </w:pPr>
      <w:r w:rsidRPr="00C8534D">
        <w:rPr>
          <w:rFonts w:ascii="Calibri" w:eastAsia="Calibri" w:hAnsi="Calibri" w:cs="Calibri"/>
          <w:lang w:val="en"/>
        </w:rPr>
        <w:t>Your personal data will not be subject to decisions made on an automated basis, in accordance with Article 22 of the GDPR.</w:t>
      </w:r>
    </w:p>
    <w:p w14:paraId="339DE9A8"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i/>
        </w:rPr>
      </w:pPr>
      <w:r w:rsidRPr="00C8534D">
        <w:rPr>
          <w:rFonts w:ascii="Calibri" w:eastAsia="Times New Roman" w:hAnsi="Calibri" w:cs="Arial"/>
          <w:lang w:val="en"/>
        </w:rPr>
        <w:t>You have:</w:t>
      </w:r>
    </w:p>
    <w:p w14:paraId="4C1993E5"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color w:val="00B0F0"/>
          <w:lang w:val="en-GB"/>
        </w:rPr>
      </w:pPr>
      <w:r w:rsidRPr="00C8534D">
        <w:rPr>
          <w:rFonts w:ascii="Calibri" w:eastAsia="Calibri" w:hAnsi="Calibri" w:cs="Calibri"/>
          <w:lang w:val="en"/>
        </w:rPr>
        <w:t>under Article 15 of the GDPR, the right of access to personal data concerning you;</w:t>
      </w:r>
    </w:p>
    <w:p w14:paraId="0C4B8512"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lang w:val="en-GB"/>
        </w:rPr>
      </w:pPr>
      <w:r w:rsidRPr="00C8534D">
        <w:rPr>
          <w:rFonts w:ascii="Calibri" w:eastAsia="Calibri" w:hAnsi="Calibri" w:cs="Calibri"/>
          <w:lang w:val="en"/>
        </w:rPr>
        <w:t>under Article 16 of the GDPR, the right to rectify your personal data*;</w:t>
      </w:r>
    </w:p>
    <w:p w14:paraId="483CC4F4"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lang w:val="en-GB"/>
        </w:rPr>
      </w:pPr>
      <w:r w:rsidRPr="00C8534D">
        <w:rPr>
          <w:rFonts w:ascii="Calibri" w:eastAsia="Calibri" w:hAnsi="Calibri" w:cs="Calibri"/>
          <w:lang w:val="en"/>
        </w:rPr>
        <w:t>under Article 18 of the GDPR, the right to obtain from the controller restriction of processing of personal data subject to cases referred to in Article 18(2) of the GDPR**;</w:t>
      </w:r>
    </w:p>
    <w:p w14:paraId="5E5C8E12"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i/>
          <w:color w:val="00B0F0"/>
          <w:lang w:val="en-GB"/>
        </w:rPr>
      </w:pPr>
      <w:r w:rsidRPr="00C8534D">
        <w:rPr>
          <w:rFonts w:ascii="Calibri" w:eastAsia="Calibri" w:hAnsi="Calibri" w:cs="Calibri"/>
          <w:lang w:val="en"/>
        </w:rPr>
        <w:t>the right to file a complaint with the President of the Personal Data Protection Office, when you consider that the processing of personal data concerning you violates GDPR provisions.</w:t>
      </w:r>
    </w:p>
    <w:p w14:paraId="1FC322AE" w14:textId="77777777" w:rsidR="00C8534D" w:rsidRPr="00C8534D" w:rsidRDefault="00C8534D" w:rsidP="00C8534D">
      <w:pPr>
        <w:widowControl w:val="0"/>
        <w:numPr>
          <w:ilvl w:val="0"/>
          <w:numId w:val="3"/>
        </w:numPr>
        <w:suppressAutoHyphens/>
        <w:spacing w:after="120" w:line="240" w:lineRule="auto"/>
        <w:ind w:left="851" w:hanging="284"/>
        <w:jc w:val="both"/>
        <w:rPr>
          <w:rFonts w:ascii="Calibri" w:eastAsia="Times New Roman" w:hAnsi="Calibri" w:cs="Arial"/>
          <w:i/>
          <w:color w:val="00B0F0"/>
        </w:rPr>
      </w:pPr>
      <w:r w:rsidRPr="00C8534D">
        <w:rPr>
          <w:rFonts w:ascii="Calibri" w:eastAsia="Times New Roman" w:hAnsi="Calibri" w:cs="Arial"/>
          <w:lang w:val="en"/>
        </w:rPr>
        <w:t>You do not have:</w:t>
      </w:r>
    </w:p>
    <w:p w14:paraId="1C163465"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i/>
          <w:color w:val="00B0F0"/>
          <w:lang w:val="en-GB"/>
        </w:rPr>
      </w:pPr>
      <w:r w:rsidRPr="00C8534D">
        <w:rPr>
          <w:rFonts w:ascii="Calibri" w:eastAsia="Calibri" w:hAnsi="Calibri" w:cs="Calibri"/>
          <w:lang w:val="en"/>
        </w:rPr>
        <w:lastRenderedPageBreak/>
        <w:t>in connection with Article 17(3)(b), (d) or (e) of the GDPR, the right to erase your personal data;</w:t>
      </w:r>
    </w:p>
    <w:p w14:paraId="1AE4CF99"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b/>
          <w:i/>
          <w:lang w:val="en-GB"/>
        </w:rPr>
      </w:pPr>
      <w:r w:rsidRPr="00C8534D">
        <w:rPr>
          <w:rFonts w:ascii="Calibri" w:eastAsia="Calibri" w:hAnsi="Calibri" w:cs="Calibri"/>
          <w:lang w:val="en"/>
        </w:rPr>
        <w:t>the right to data portability referred to under Article 20 of the GDPR;</w:t>
      </w:r>
    </w:p>
    <w:p w14:paraId="56FCF04E" w14:textId="77777777" w:rsidR="00C8534D" w:rsidRPr="00C8534D" w:rsidRDefault="00C8534D" w:rsidP="00C8534D">
      <w:pPr>
        <w:widowControl w:val="0"/>
        <w:numPr>
          <w:ilvl w:val="0"/>
          <w:numId w:val="1"/>
        </w:numPr>
        <w:suppressAutoHyphens/>
        <w:spacing w:after="120" w:line="240" w:lineRule="auto"/>
        <w:ind w:left="1418" w:hanging="283"/>
        <w:jc w:val="both"/>
        <w:rPr>
          <w:rFonts w:ascii="Calibri" w:eastAsia="Times New Roman" w:hAnsi="Calibri" w:cs="Arial"/>
          <w:i/>
          <w:lang w:val="en-GB"/>
        </w:rPr>
      </w:pPr>
      <w:r w:rsidRPr="00C8534D">
        <w:rPr>
          <w:rFonts w:ascii="Calibri" w:eastAsia="Calibri" w:hAnsi="Calibri" w:cs="Calibri"/>
          <w:lang w:val="en"/>
        </w:rPr>
        <w:t xml:space="preserve">under Article 21 of the GDPR, the right to object to processing of personal data the reason being that your personal data are processed under Article 6(1)(c) of the GDPR. </w:t>
      </w:r>
    </w:p>
    <w:p w14:paraId="409BC45E" w14:textId="77777777" w:rsidR="00C8534D" w:rsidRPr="00C8534D" w:rsidRDefault="00C8534D" w:rsidP="00C8534D">
      <w:pPr>
        <w:widowControl w:val="0"/>
        <w:suppressAutoHyphens/>
        <w:spacing w:after="120" w:line="240" w:lineRule="auto"/>
        <w:jc w:val="both"/>
        <w:rPr>
          <w:rFonts w:ascii="Calibri" w:eastAsia="Times New Roman" w:hAnsi="Calibri" w:cs="Arial"/>
          <w:lang w:val="en-GB" w:eastAsia="ar-SA"/>
        </w:rPr>
      </w:pPr>
    </w:p>
    <w:p w14:paraId="32C9106F"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66883456"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124CA20F"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20F1D29F"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7829E7F0"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7AB3DBA5"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60FE33B6"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1312C72E"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526FDF11"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28CD6139"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6A179D93"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2704F063"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0386D398" w14:textId="77777777" w:rsidR="00C8534D" w:rsidRPr="00C8534D" w:rsidRDefault="00C8534D" w:rsidP="00C8534D">
      <w:pPr>
        <w:widowControl w:val="0"/>
        <w:suppressAutoHyphens/>
        <w:spacing w:before="120" w:after="120" w:line="276" w:lineRule="auto"/>
        <w:jc w:val="both"/>
        <w:rPr>
          <w:rFonts w:ascii="Arial" w:eastAsia="Lucida Sans Unicode" w:hAnsi="Arial" w:cs="Arial"/>
          <w:sz w:val="24"/>
          <w:szCs w:val="24"/>
          <w:lang w:val="en-GB" w:eastAsia="ar-SA"/>
        </w:rPr>
      </w:pPr>
    </w:p>
    <w:p w14:paraId="66702896" w14:textId="77777777" w:rsidR="00C8534D" w:rsidRPr="00C8534D" w:rsidRDefault="00C8534D" w:rsidP="00C8534D">
      <w:pPr>
        <w:widowControl w:val="0"/>
        <w:suppressAutoHyphens/>
        <w:spacing w:before="120" w:after="120" w:line="276" w:lineRule="auto"/>
        <w:jc w:val="both"/>
        <w:rPr>
          <w:rFonts w:ascii="Calibri" w:eastAsia="Lucida Sans Unicode" w:hAnsi="Calibri" w:cs="Arial"/>
          <w:sz w:val="24"/>
          <w:szCs w:val="24"/>
          <w:lang w:val="en-GB" w:eastAsia="ar-SA"/>
        </w:rPr>
      </w:pPr>
      <w:r w:rsidRPr="00C8534D">
        <w:rPr>
          <w:rFonts w:ascii="Calibri" w:eastAsia="Lucida Sans Unicode" w:hAnsi="Calibri" w:cs="Arial"/>
          <w:sz w:val="24"/>
          <w:szCs w:val="24"/>
          <w:lang w:val="en" w:eastAsia="ar-SA"/>
        </w:rPr>
        <w:t>______________________</w:t>
      </w:r>
    </w:p>
    <w:p w14:paraId="77D1EF6F" w14:textId="77777777" w:rsidR="00C8534D" w:rsidRPr="00C8534D" w:rsidRDefault="00C8534D" w:rsidP="00C8534D">
      <w:pPr>
        <w:widowControl w:val="0"/>
        <w:suppressAutoHyphens/>
        <w:spacing w:after="0" w:line="240" w:lineRule="auto"/>
        <w:ind w:left="426"/>
        <w:contextualSpacing/>
        <w:jc w:val="both"/>
        <w:rPr>
          <w:rFonts w:ascii="Calibri" w:eastAsia="Calibri" w:hAnsi="Calibri" w:cs="Arial"/>
          <w:i/>
          <w:sz w:val="18"/>
          <w:szCs w:val="18"/>
          <w:lang w:val="en-GB" w:eastAsia="ar-SA"/>
        </w:rPr>
      </w:pPr>
      <w:r w:rsidRPr="00C8534D">
        <w:rPr>
          <w:rFonts w:ascii="Calibri" w:eastAsia="Lucida Sans Unicode" w:hAnsi="Calibri" w:cs="Arial"/>
          <w:b/>
          <w:bCs/>
          <w:i/>
          <w:iCs/>
          <w:sz w:val="18"/>
          <w:szCs w:val="18"/>
          <w:lang w:val="en" w:eastAsia="ar-SA"/>
        </w:rPr>
        <w:t>* Explanation:</w:t>
      </w:r>
      <w:r w:rsidRPr="00C8534D">
        <w:rPr>
          <w:rFonts w:ascii="Calibri" w:eastAsia="Lucida Sans Unicode" w:hAnsi="Calibri" w:cs="Arial"/>
          <w:i/>
          <w:iCs/>
          <w:sz w:val="18"/>
          <w:szCs w:val="18"/>
          <w:lang w:val="en" w:eastAsia="ar-SA"/>
        </w:rPr>
        <w:t xml:space="preserve"> The exercise of the right to rectify must not result in a change of the outcome of a public procurement</w:t>
      </w:r>
      <w:r w:rsidRPr="00C8534D">
        <w:rPr>
          <w:rFonts w:ascii="Calibri" w:eastAsia="Lucida Sans Unicode" w:hAnsi="Calibri" w:cs="Arial"/>
          <w:sz w:val="18"/>
          <w:szCs w:val="18"/>
          <w:lang w:val="en" w:eastAsia="ar-SA"/>
        </w:rPr>
        <w:br/>
      </w:r>
      <w:r w:rsidRPr="00C8534D">
        <w:rPr>
          <w:rFonts w:ascii="Calibri" w:eastAsia="Lucida Sans Unicode" w:hAnsi="Calibri" w:cs="Arial"/>
          <w:i/>
          <w:iCs/>
          <w:sz w:val="18"/>
          <w:szCs w:val="18"/>
          <w:lang w:val="en" w:eastAsia="ar-SA"/>
        </w:rPr>
        <w:t>procedure or in amendments to agreement provisions that would be outside the scope defined in the PPL and it must not violate the integrity of protocol or its attachments.</w:t>
      </w:r>
    </w:p>
    <w:p w14:paraId="4BDB7992" w14:textId="77777777" w:rsidR="00C8534D" w:rsidRPr="00C8534D" w:rsidRDefault="00C8534D" w:rsidP="00C8534D">
      <w:pPr>
        <w:widowControl w:val="0"/>
        <w:suppressAutoHyphens/>
        <w:spacing w:after="0" w:line="240" w:lineRule="auto"/>
        <w:ind w:left="426"/>
        <w:contextualSpacing/>
        <w:jc w:val="both"/>
        <w:rPr>
          <w:rFonts w:ascii="Calibri" w:eastAsia="Times New Roman" w:hAnsi="Calibri" w:cs="Arial"/>
          <w:i/>
          <w:sz w:val="18"/>
          <w:szCs w:val="18"/>
          <w:lang w:val="en-GB" w:eastAsia="ar-SA"/>
        </w:rPr>
      </w:pPr>
      <w:r w:rsidRPr="00C8534D">
        <w:rPr>
          <w:rFonts w:ascii="Calibri" w:eastAsia="Lucida Sans Unicode" w:hAnsi="Calibri" w:cs="Arial"/>
          <w:b/>
          <w:bCs/>
          <w:i/>
          <w:iCs/>
          <w:sz w:val="18"/>
          <w:szCs w:val="18"/>
          <w:lang w:val="en" w:eastAsia="ar-SA"/>
        </w:rPr>
        <w:t>** Explanation:</w:t>
      </w:r>
      <w:r w:rsidRPr="00C8534D">
        <w:rPr>
          <w:rFonts w:ascii="Calibri" w:eastAsia="Lucida Sans Unicode" w:hAnsi="Calibri" w:cs="Arial"/>
          <w:i/>
          <w:iCs/>
          <w:sz w:val="18"/>
          <w:szCs w:val="18"/>
          <w:lang w:val="en" w:eastAsia="ar-SA"/>
        </w:rPr>
        <w:t xml:space="preserve"> The right to restriction of processing does not apply to storing personal information in order to ensure the exercise of legal remedies or for the protection of the rights of another natural or legal person or for reasons of important public interest of the European Union or of a Member State.</w:t>
      </w:r>
    </w:p>
    <w:p w14:paraId="3DD3C6CE" w14:textId="77777777" w:rsidR="00C8534D" w:rsidRPr="00C8534D" w:rsidRDefault="00C8534D" w:rsidP="00C8534D">
      <w:pPr>
        <w:widowControl w:val="0"/>
        <w:suppressAutoHyphens/>
        <w:spacing w:before="120" w:after="0" w:line="240" w:lineRule="auto"/>
        <w:rPr>
          <w:rFonts w:ascii="Calibri" w:eastAsia="Courier New" w:hAnsi="Calibri" w:cs="Times New Roman"/>
          <w:sz w:val="20"/>
          <w:szCs w:val="20"/>
          <w:lang w:val="en-GB" w:eastAsia="ar-SA"/>
        </w:rPr>
      </w:pPr>
    </w:p>
    <w:p w14:paraId="6C5F0D7C" w14:textId="77777777" w:rsidR="00223376" w:rsidRPr="00C8534D" w:rsidRDefault="00223376">
      <w:pPr>
        <w:rPr>
          <w:lang w:val="en-GB"/>
        </w:rPr>
      </w:pPr>
    </w:p>
    <w:sectPr w:rsidR="00223376" w:rsidRPr="00C8534D" w:rsidSect="00DF6DBC">
      <w:footnotePr>
        <w:numRestart w:val="eachPage"/>
      </w:footnotePr>
      <w:pgSz w:w="11906" w:h="16838" w:code="9"/>
      <w:pgMar w:top="1418" w:right="1418" w:bottom="1418" w:left="1418" w:header="709"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401823AE"/>
    <w:multiLevelType w:val="hybridMultilevel"/>
    <w:tmpl w:val="76528E50"/>
    <w:lvl w:ilvl="0" w:tplc="F3F25530">
      <w:start w:val="1"/>
      <w:numFmt w:val="lowerLetter"/>
      <w:lvlText w:val="%1)"/>
      <w:lvlJc w:val="left"/>
      <w:pPr>
        <w:ind w:left="1244" w:hanging="360"/>
      </w:pPr>
      <w:rPr>
        <w:i w:val="0"/>
        <w:color w:val="auto"/>
      </w:rPr>
    </w:lvl>
    <w:lvl w:ilvl="1" w:tplc="04150019" w:tentative="1">
      <w:start w:val="1"/>
      <w:numFmt w:val="lowerLetter"/>
      <w:lvlText w:val="%2."/>
      <w:lvlJc w:val="left"/>
      <w:pPr>
        <w:ind w:left="1964" w:hanging="360"/>
      </w:pPr>
    </w:lvl>
    <w:lvl w:ilvl="2" w:tplc="0415001B" w:tentative="1">
      <w:start w:val="1"/>
      <w:numFmt w:val="lowerRoman"/>
      <w:lvlText w:val="%3."/>
      <w:lvlJc w:val="right"/>
      <w:pPr>
        <w:ind w:left="2684" w:hanging="180"/>
      </w:pPr>
    </w:lvl>
    <w:lvl w:ilvl="3" w:tplc="0415000F" w:tentative="1">
      <w:start w:val="1"/>
      <w:numFmt w:val="decimal"/>
      <w:lvlText w:val="%4."/>
      <w:lvlJc w:val="left"/>
      <w:pPr>
        <w:ind w:left="3404" w:hanging="360"/>
      </w:pPr>
    </w:lvl>
    <w:lvl w:ilvl="4" w:tplc="04150019" w:tentative="1">
      <w:start w:val="1"/>
      <w:numFmt w:val="lowerLetter"/>
      <w:lvlText w:val="%5."/>
      <w:lvlJc w:val="left"/>
      <w:pPr>
        <w:ind w:left="4124" w:hanging="360"/>
      </w:pPr>
    </w:lvl>
    <w:lvl w:ilvl="5" w:tplc="0415001B" w:tentative="1">
      <w:start w:val="1"/>
      <w:numFmt w:val="lowerRoman"/>
      <w:lvlText w:val="%6."/>
      <w:lvlJc w:val="right"/>
      <w:pPr>
        <w:ind w:left="4844" w:hanging="180"/>
      </w:pPr>
    </w:lvl>
    <w:lvl w:ilvl="6" w:tplc="0415000F" w:tentative="1">
      <w:start w:val="1"/>
      <w:numFmt w:val="decimal"/>
      <w:lvlText w:val="%7."/>
      <w:lvlJc w:val="left"/>
      <w:pPr>
        <w:ind w:left="5564" w:hanging="360"/>
      </w:pPr>
    </w:lvl>
    <w:lvl w:ilvl="7" w:tplc="04150019" w:tentative="1">
      <w:start w:val="1"/>
      <w:numFmt w:val="lowerLetter"/>
      <w:lvlText w:val="%8."/>
      <w:lvlJc w:val="left"/>
      <w:pPr>
        <w:ind w:left="6284" w:hanging="360"/>
      </w:pPr>
    </w:lvl>
    <w:lvl w:ilvl="8" w:tplc="0415001B" w:tentative="1">
      <w:start w:val="1"/>
      <w:numFmt w:val="lowerRoman"/>
      <w:lvlText w:val="%9."/>
      <w:lvlJc w:val="right"/>
      <w:pPr>
        <w:ind w:left="7004" w:hanging="180"/>
      </w:pPr>
    </w:lvl>
  </w:abstractNum>
  <w:abstractNum w:abstractNumId="2" w15:restartNumberingAfterBreak="0">
    <w:nsid w:val="5F730E3B"/>
    <w:multiLevelType w:val="multilevel"/>
    <w:tmpl w:val="AD16A7B6"/>
    <w:lvl w:ilvl="0">
      <w:start w:val="1"/>
      <w:numFmt w:val="decimal"/>
      <w:lvlText w:val="%1."/>
      <w:lvlJc w:val="left"/>
      <w:pPr>
        <w:ind w:left="502" w:hanging="360"/>
      </w:pPr>
      <w:rPr>
        <w:b w:val="0"/>
      </w:rPr>
    </w:lvl>
    <w:lvl w:ilvl="1">
      <w:start w:val="1"/>
      <w:numFmt w:val="decimal"/>
      <w:isLgl/>
      <w:lvlText w:val="%1.%2"/>
      <w:lvlJc w:val="left"/>
      <w:pPr>
        <w:ind w:left="1637" w:hanging="360"/>
      </w:pPr>
      <w:rPr>
        <w:rFonts w:ascii="Calibri" w:hAnsi="Calibri" w:hint="default"/>
        <w:color w:val="auto"/>
        <w:sz w:val="22"/>
        <w:szCs w:val="22"/>
      </w:rPr>
    </w:lvl>
    <w:lvl w:ilvl="2">
      <w:start w:val="1"/>
      <w:numFmt w:val="lowerLetter"/>
      <w:lvlText w:val="%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4D"/>
    <w:rsid w:val="00223376"/>
    <w:rsid w:val="00286016"/>
    <w:rsid w:val="002A24B7"/>
    <w:rsid w:val="007A3FCA"/>
    <w:rsid w:val="00C85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9374"/>
  <w15:chartTrackingRefBased/>
  <w15:docId w15:val="{B81B4DF4-8B3C-4CC9-81C0-7110C0F4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3402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Wiśniewska Anna</dc:creator>
  <cp:keywords/>
  <dc:description/>
  <cp:lastModifiedBy>Wiśniewska Anna</cp:lastModifiedBy>
  <cp:revision>2</cp:revision>
  <dcterms:created xsi:type="dcterms:W3CDTF">2025-03-19T11:52:00Z</dcterms:created>
  <dcterms:modified xsi:type="dcterms:W3CDTF">2025-03-19T11:52:00Z</dcterms:modified>
</cp:coreProperties>
</file>