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bookmarkStart w:id="0" w:name="_GoBack"/>
      <w:bookmarkEnd w:id="0"/>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1" w:name="Text307"/>
      <w:r w:rsidR="00B71BBC" w:rsidRPr="0096127B">
        <w:rPr>
          <w:rFonts w:asciiTheme="minorHAnsi" w:hAnsiTheme="minorHAnsi"/>
          <w:b/>
          <w:bCs/>
          <w:sz w:val="36"/>
          <w:szCs w:val="36"/>
        </w:rPr>
        <w:instrText xml:space="preserve"> FORMTEXT </w:instrText>
      </w:r>
      <w:r w:rsidR="00A912A3">
        <w:rPr>
          <w:rFonts w:asciiTheme="minorHAnsi" w:hAnsiTheme="minorHAnsi"/>
          <w:b/>
          <w:bCs/>
          <w:sz w:val="36"/>
          <w:szCs w:val="36"/>
        </w:rPr>
      </w:r>
      <w:r w:rsidR="00A912A3">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1"/>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2" w:name="Text301"/>
      <w:r w:rsidR="001A6F10" w:rsidRPr="000552AD">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3" w:name="Text302"/>
      <w:r w:rsidR="001A6F10" w:rsidRPr="000552AD">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3"/>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4" w:name="Miejscowosc"/>
      <w:r w:rsidR="001A6F10" w:rsidRPr="000552AD">
        <w:rPr>
          <w:rFonts w:asciiTheme="minorHAnsi" w:hAnsiTheme="minorHAnsi"/>
          <w:spacing w:val="-3"/>
          <w:sz w:val="22"/>
          <w:szCs w:val="22"/>
        </w:rPr>
        <w:instrText xml:space="preserve"> FORMTEXT </w:instrText>
      </w:r>
      <w:r w:rsidR="00A912A3">
        <w:rPr>
          <w:rFonts w:asciiTheme="minorHAnsi" w:hAnsiTheme="minorHAnsi"/>
          <w:spacing w:val="-3"/>
          <w:sz w:val="22"/>
          <w:szCs w:val="22"/>
        </w:rPr>
      </w:r>
      <w:r w:rsidR="00A912A3">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4"/>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5" w:name="Text303"/>
      <w:r w:rsidR="006C7FA8" w:rsidRPr="000552AD">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5"/>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40E09629"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F5575">
        <w:rPr>
          <w:rFonts w:asciiTheme="minorHAnsi" w:hAnsiTheme="minorHAnsi"/>
          <w:sz w:val="22"/>
          <w:szCs w:val="22"/>
        </w:rPr>
        <w:t>2020</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F5575">
        <w:rPr>
          <w:rFonts w:asciiTheme="minorHAnsi" w:hAnsiTheme="minorHAnsi"/>
          <w:sz w:val="22"/>
          <w:szCs w:val="22"/>
        </w:rPr>
        <w:t>poz. 1219</w:t>
      </w:r>
      <w:r w:rsidR="00511AEA">
        <w:rPr>
          <w:rFonts w:asciiTheme="minorHAnsi" w:hAnsiTheme="minorHAnsi"/>
          <w:sz w:val="22"/>
          <w:szCs w:val="22"/>
        </w:rPr>
        <w:t xml:space="preserve">, </w:t>
      </w:r>
      <w:r w:rsidR="007F035E">
        <w:rPr>
          <w:rFonts w:asciiTheme="minorHAnsi" w:hAnsiTheme="minorHAnsi"/>
          <w:sz w:val="22"/>
          <w:szCs w:val="22"/>
        </w:rPr>
        <w:t>z</w:t>
      </w:r>
      <w:r w:rsidR="00511AEA">
        <w:rPr>
          <w:rFonts w:asciiTheme="minorHAnsi" w:hAnsiTheme="minorHAnsi"/>
          <w:sz w:val="22"/>
          <w:szCs w:val="22"/>
        </w:rPr>
        <w:t xml:space="preserve"> późn. zm.</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6" w:name="Text305"/>
      <w:r w:rsidR="00EF285F" w:rsidRPr="000552AD">
        <w:rPr>
          <w:rFonts w:asciiTheme="minorHAnsi" w:hAnsiTheme="minorHAnsi"/>
          <w:b/>
          <w:sz w:val="22"/>
          <w:szCs w:val="22"/>
        </w:rPr>
        <w:instrText xml:space="preserve"> FORMTEXT </w:instrText>
      </w:r>
      <w:r w:rsidR="00A912A3">
        <w:rPr>
          <w:rFonts w:asciiTheme="minorHAnsi" w:hAnsiTheme="minorHAnsi"/>
          <w:b/>
          <w:sz w:val="22"/>
          <w:szCs w:val="22"/>
        </w:rPr>
      </w:r>
      <w:r w:rsidR="00A912A3">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6"/>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7" w:name="Text304"/>
      <w:r w:rsidR="00EF285F" w:rsidRPr="000552AD">
        <w:rPr>
          <w:rFonts w:asciiTheme="minorHAnsi" w:hAnsiTheme="minorHAnsi"/>
          <w:b/>
          <w:sz w:val="22"/>
          <w:szCs w:val="22"/>
        </w:rPr>
        <w:instrText xml:space="preserve"> FORMTEXT </w:instrText>
      </w:r>
      <w:r w:rsidR="00A912A3">
        <w:rPr>
          <w:rFonts w:asciiTheme="minorHAnsi" w:hAnsiTheme="minorHAnsi"/>
          <w:b/>
          <w:sz w:val="22"/>
          <w:szCs w:val="22"/>
        </w:rPr>
      </w:r>
      <w:r w:rsidR="00A912A3">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8" w:name="Text313_shortdate"/>
      <w:r w:rsidR="00CE558D" w:rsidRPr="000552AD">
        <w:rPr>
          <w:rFonts w:asciiTheme="minorHAnsi" w:hAnsiTheme="minorHAnsi"/>
          <w:b/>
          <w:sz w:val="22"/>
          <w:szCs w:val="22"/>
        </w:rPr>
        <w:instrText xml:space="preserve"> FORMTEXT </w:instrText>
      </w:r>
      <w:r w:rsidR="00A912A3">
        <w:rPr>
          <w:rFonts w:asciiTheme="minorHAnsi" w:hAnsiTheme="minorHAnsi"/>
          <w:b/>
          <w:sz w:val="22"/>
          <w:szCs w:val="22"/>
        </w:rPr>
      </w:r>
      <w:r w:rsidR="00A912A3">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9" w:name="Text314"/>
      <w:r w:rsidR="00CE558D" w:rsidRPr="000552AD">
        <w:rPr>
          <w:rFonts w:asciiTheme="minorHAnsi" w:hAnsiTheme="minorHAnsi"/>
          <w:b/>
          <w:sz w:val="22"/>
          <w:szCs w:val="22"/>
        </w:rPr>
        <w:instrText xml:space="preserve"> FORMTEXT </w:instrText>
      </w:r>
      <w:r w:rsidR="00A912A3">
        <w:rPr>
          <w:rFonts w:asciiTheme="minorHAnsi" w:hAnsiTheme="minorHAnsi"/>
          <w:b/>
          <w:sz w:val="22"/>
          <w:szCs w:val="22"/>
        </w:rPr>
      </w:r>
      <w:r w:rsidR="00A912A3">
        <w:rPr>
          <w:rFonts w:asciiTheme="minorHAnsi" w:hAnsiTheme="minorHAnsi"/>
          <w:b/>
          <w:sz w:val="22"/>
          <w:szCs w:val="22"/>
        </w:rPr>
        <w:fldChar w:fldCharType="separate"/>
      </w:r>
      <w:r w:rsidRPr="000552AD">
        <w:rPr>
          <w:rFonts w:asciiTheme="minorHAnsi" w:hAnsiTheme="minorHAnsi"/>
          <w:b/>
          <w:sz w:val="22"/>
          <w:szCs w:val="22"/>
        </w:rPr>
        <w:fldChar w:fldCharType="end"/>
      </w:r>
      <w:bookmarkEnd w:id="9"/>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8EC2D2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078C383D"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956293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45C99059"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555B057F"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lastRenderedPageBreak/>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10" w:name="_PictureBullets"/>
      <w:bookmarkEnd w:id="10"/>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rodzaj pliku: jpg, wielkość zdjęcia: min. 4 megapiksele, fullkolor,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lastRenderedPageBreak/>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77777777" w:rsidR="00FB26C0" w:rsidRDefault="00FB26C0"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7C80D884"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203DCF">
        <w:rPr>
          <w:rFonts w:asciiTheme="minorHAnsi" w:hAnsiTheme="minorHAnsi"/>
          <w:sz w:val="22"/>
          <w:szCs w:val="22"/>
        </w:rPr>
        <w:t>20</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203DCF">
        <w:rPr>
          <w:rFonts w:asciiTheme="minorHAnsi" w:hAnsiTheme="minorHAnsi"/>
          <w:sz w:val="22"/>
          <w:szCs w:val="22"/>
        </w:rPr>
        <w:t>708</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lastRenderedPageBreak/>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2098C61"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1"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1"/>
      <w:r w:rsidR="00DE5018">
        <w:rPr>
          <w:rFonts w:ascii="Calibri" w:hAnsi="Calibri" w:cs="Calibri"/>
          <w:sz w:val="22"/>
          <w:szCs w:val="22"/>
        </w:rPr>
        <w:t xml:space="preserve">, zwanym dalej: „ogólnym rozporządzeniem o ochronie danych osobowych”,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ewentualnych wyłą</w:t>
      </w:r>
      <w:r w:rsidRPr="00C75008">
        <w:rPr>
          <w:rFonts w:asciiTheme="minorHAnsi" w:hAnsiTheme="minorHAnsi"/>
          <w:b w:val="0"/>
          <w:sz w:val="22"/>
          <w:szCs w:val="22"/>
        </w:rPr>
        <w:t>czeń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lastRenderedPageBreak/>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2" w:name="Text307_1"/>
      <w:r w:rsidR="00AE462E" w:rsidRPr="000552AD">
        <w:rPr>
          <w:rFonts w:asciiTheme="minorHAnsi" w:hAnsiTheme="minorHAnsi"/>
          <w:b w:val="0"/>
          <w:i/>
          <w:sz w:val="22"/>
          <w:szCs w:val="22"/>
        </w:rPr>
        <w:instrText xml:space="preserve"> FORMTEXT </w:instrText>
      </w:r>
      <w:r w:rsidR="00A912A3">
        <w:rPr>
          <w:rFonts w:asciiTheme="minorHAnsi" w:hAnsiTheme="minorHAnsi"/>
          <w:b w:val="0"/>
          <w:i/>
          <w:sz w:val="22"/>
          <w:szCs w:val="22"/>
        </w:rPr>
      </w:r>
      <w:r w:rsidR="00A912A3">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2"/>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w:t>
      </w:r>
      <w:r w:rsidRPr="000552AD">
        <w:rPr>
          <w:rFonts w:asciiTheme="minorHAnsi" w:hAnsiTheme="minorHAnsi"/>
          <w:b w:val="0"/>
          <w:sz w:val="22"/>
          <w:szCs w:val="22"/>
        </w:rPr>
        <w:lastRenderedPageBreak/>
        <w:t xml:space="preserve">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"overnight",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lastRenderedPageBreak/>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7C6F892E"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0930743A"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(Dz. U.</w:t>
      </w:r>
      <w:r w:rsidR="00E46A10">
        <w:rPr>
          <w:rFonts w:asciiTheme="minorHAnsi" w:hAnsiTheme="minorHAnsi"/>
          <w:b w:val="0"/>
          <w:bCs/>
          <w:sz w:val="22"/>
          <w:szCs w:val="22"/>
        </w:rPr>
        <w:t xml:space="preserve"> z 2019 r. poz. 2019</w:t>
      </w:r>
      <w:r w:rsidRPr="0099444E">
        <w:rPr>
          <w:rFonts w:asciiTheme="minorHAnsi" w:hAnsiTheme="minorHAnsi"/>
          <w:b w:val="0"/>
          <w:bCs/>
          <w:sz w:val="22"/>
          <w:szCs w:val="22"/>
        </w:rPr>
        <w:t>, z późn. zm.), zwanej dalej „ustawą Pzp”, w przypadku, gdy udziela zamówień, o których mowa w art. 2 tej ustawy oraz jest zamawiającym, o którym mowa w art. 4, 5 lub 6 ustawy Pzp</w:t>
      </w:r>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608BFA71"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r w:rsidR="0005377C" w:rsidRPr="007A778B">
        <w:rPr>
          <w:rFonts w:asciiTheme="minorHAnsi" w:hAnsiTheme="minorHAnsi"/>
          <w:b w:val="0"/>
          <w:sz w:val="22"/>
          <w:szCs w:val="22"/>
        </w:rPr>
        <w:t xml:space="preserve">t.j.: </w:t>
      </w:r>
      <w:r w:rsidR="000B1CF9">
        <w:rPr>
          <w:rFonts w:asciiTheme="minorHAnsi" w:hAnsiTheme="minorHAnsi"/>
          <w:b w:val="0"/>
          <w:sz w:val="22"/>
          <w:szCs w:val="22"/>
        </w:rPr>
        <w:t>Dz. U. z 20</w:t>
      </w:r>
      <w:r w:rsidR="00FE5DC7">
        <w:rPr>
          <w:rFonts w:asciiTheme="minorHAnsi" w:hAnsiTheme="minorHAnsi"/>
          <w:b w:val="0"/>
          <w:sz w:val="22"/>
          <w:szCs w:val="22"/>
        </w:rPr>
        <w:t>21</w:t>
      </w:r>
      <w:r w:rsidR="00283EBD" w:rsidRPr="0096127B">
        <w:rPr>
          <w:rFonts w:asciiTheme="minorHAnsi" w:hAnsiTheme="minorHAnsi"/>
          <w:b w:val="0"/>
          <w:sz w:val="22"/>
          <w:szCs w:val="22"/>
        </w:rPr>
        <w:t xml:space="preserve"> r. poz. </w:t>
      </w:r>
      <w:r w:rsidR="00FE5DC7">
        <w:rPr>
          <w:rFonts w:asciiTheme="minorHAnsi" w:hAnsiTheme="minorHAnsi"/>
          <w:b w:val="0"/>
          <w:sz w:val="22"/>
          <w:szCs w:val="22"/>
        </w:rPr>
        <w:t>1062</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w:t>
      </w:r>
      <w:r w:rsidRPr="007A778B">
        <w:rPr>
          <w:rFonts w:asciiTheme="minorHAnsi" w:hAnsiTheme="minorHAnsi"/>
          <w:b w:val="0"/>
          <w:sz w:val="22"/>
          <w:szCs w:val="22"/>
        </w:rPr>
        <w:lastRenderedPageBreak/>
        <w:t xml:space="preserve">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lastRenderedPageBreak/>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zobowiązany jest do bieżącego przekazywania NFOŚiGW wszelkich informacji dotyczących ewentualnego pogorszenia lub utraty Trwałości Przedsięwzięcia w stopniu powodującym lub mogącym powodować trwałe </w:t>
      </w:r>
      <w:r w:rsidR="00EF63E9" w:rsidRPr="007A778B">
        <w:rPr>
          <w:rFonts w:asciiTheme="minorHAnsi" w:hAnsiTheme="minorHAnsi"/>
          <w:b w:val="0"/>
          <w:sz w:val="22"/>
          <w:szCs w:val="22"/>
        </w:rPr>
        <w:lastRenderedPageBreak/>
        <w:t>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lastRenderedPageBreak/>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lastRenderedPageBreak/>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lastRenderedPageBreak/>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70033877"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r w:rsidR="00F656FC">
        <w:rPr>
          <w:rStyle w:val="Odwoanieprzypisudolnego"/>
          <w:rFonts w:asciiTheme="minorHAnsi" w:hAnsiTheme="minorHAnsi"/>
          <w:sz w:val="22"/>
          <w:szCs w:val="22"/>
        </w:rPr>
        <w:footnoteReference w:id="5"/>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2409EEB2"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Pr="000C7CFC">
        <w:rPr>
          <w:rFonts w:asciiTheme="minorHAnsi" w:hAnsiTheme="minorHAnsi" w:cstheme="minorHAnsi"/>
          <w:sz w:val="22"/>
          <w:szCs w:val="22"/>
        </w:rPr>
        <w:t xml:space="preserve">NFOŚiGW Danych osobowych będzie wykonywane  z zachowaniem przepisów </w:t>
      </w:r>
      <w:r>
        <w:rPr>
          <w:rFonts w:ascii="Calibri" w:hAnsi="Calibri" w:cs="Calibri"/>
          <w:sz w:val="22"/>
          <w:szCs w:val="22"/>
        </w:rPr>
        <w:t>ogólnego rozporządzenia o ochronie danych osobowych</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(t.j.: Dz. U. z 2019 r. poz. 1781)</w:t>
      </w:r>
      <w:r w:rsidRPr="000C7CFC">
        <w:rPr>
          <w:rFonts w:asciiTheme="minorHAnsi" w:hAnsiTheme="minorHAnsi" w:cstheme="minorHAnsi"/>
          <w:color w:val="000000"/>
          <w:sz w:val="22"/>
          <w:szCs w:val="22"/>
          <w:shd w:val="clear" w:color="auto" w:fill="FFFFFF"/>
          <w:lang w:eastAsia="ar-SA"/>
        </w:rPr>
        <w:t>.</w:t>
      </w:r>
    </w:p>
    <w:p w14:paraId="3C66C31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w:t>
      </w:r>
      <w:r w:rsidRPr="000C7CFC">
        <w:rPr>
          <w:rFonts w:asciiTheme="minorHAnsi" w:eastAsia="Calibri" w:hAnsiTheme="minorHAnsi" w:cstheme="minorHAnsi"/>
          <w:color w:val="000000"/>
          <w:sz w:val="22"/>
          <w:szCs w:val="22"/>
        </w:rPr>
        <w:t>Dane pozwalające zrealizować żądanie</w:t>
      </w:r>
      <w:r>
        <w:rPr>
          <w:rFonts w:asciiTheme="minorHAnsi" w:eastAsia="Calibri" w:hAnsiTheme="minorHAnsi" w:cstheme="minorHAnsi"/>
          <w:color w:val="000000"/>
          <w:sz w:val="22"/>
          <w:szCs w:val="22"/>
        </w:rPr>
        <w:t>,</w:t>
      </w:r>
      <w:r w:rsidRPr="000C7CFC">
        <w:rPr>
          <w:rFonts w:asciiTheme="minorHAnsi" w:eastAsia="Calibri" w:hAnsiTheme="minorHAnsi" w:cstheme="minorHAnsi"/>
          <w:color w:val="000000"/>
          <w:sz w:val="22"/>
          <w:szCs w:val="22"/>
        </w:rPr>
        <w:t xml:space="preserve"> NFOŚiGW przekaże Beneficjentowi w ciągu 14 dni od dnia otrzymania</w:t>
      </w:r>
      <w:r>
        <w:rPr>
          <w:rFonts w:asciiTheme="minorHAnsi" w:eastAsia="Calibri" w:hAnsiTheme="minorHAnsi" w:cstheme="minorHAnsi"/>
          <w:color w:val="000000"/>
          <w:sz w:val="22"/>
          <w:szCs w:val="22"/>
        </w:rPr>
        <w:t xml:space="preserve"> ww.</w:t>
      </w:r>
      <w:r w:rsidRPr="000C7CFC">
        <w:rPr>
          <w:rFonts w:asciiTheme="minorHAnsi" w:eastAsia="Calibri" w:hAnsiTheme="minorHAnsi" w:cstheme="minorHAnsi"/>
          <w:color w:val="000000"/>
          <w:sz w:val="22"/>
          <w:szCs w:val="22"/>
        </w:rPr>
        <w:t xml:space="preserve"> informacji.</w:t>
      </w:r>
    </w:p>
    <w:p w14:paraId="4D581A62"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sz w:val="22"/>
          <w:szCs w:val="22"/>
        </w:rPr>
        <w:t xml:space="preserve">NFOŚiGW, po stwierdzeniu naruszenia ochrony </w:t>
      </w:r>
      <w:r>
        <w:rPr>
          <w:rFonts w:ascii="Calibri" w:hAnsi="Calibri"/>
          <w:sz w:val="22"/>
          <w:szCs w:val="22"/>
        </w:rPr>
        <w:t>D</w:t>
      </w:r>
      <w:r w:rsidRPr="000C7CFC">
        <w:rPr>
          <w:rFonts w:ascii="Calibri" w:hAnsi="Calibri"/>
          <w:sz w:val="22"/>
          <w:szCs w:val="22"/>
        </w:rPr>
        <w:t>anych osobowych, bez zbędnej zwłoki, nie później</w:t>
      </w:r>
      <w:r w:rsidRPr="000C7CFC">
        <w:rPr>
          <w:rFonts w:asciiTheme="minorHAnsi" w:hAnsiTheme="minorHAnsi" w:cstheme="minorHAnsi"/>
          <w:sz w:val="22"/>
          <w:szCs w:val="22"/>
        </w:rPr>
        <w:t xml:space="preserve"> jednak niż w terminie 36 godzin, zgłasza ten fakt Beneficjentowi. </w:t>
      </w:r>
      <w:r w:rsidRPr="000C7CFC">
        <w:rPr>
          <w:rFonts w:asciiTheme="minorHAnsi" w:hAnsiTheme="minorHAnsi" w:cstheme="minorHAnsi"/>
          <w:iCs/>
          <w:sz w:val="22"/>
          <w:szCs w:val="22"/>
        </w:rPr>
        <w:t xml:space="preserve">Zgłoszenie powinno, oprócz elementów określonych w art. 33 ust. 3 </w:t>
      </w:r>
      <w:r>
        <w:rPr>
          <w:rFonts w:asciiTheme="minorHAnsi" w:hAnsiTheme="minorHAnsi" w:cstheme="minorHAnsi"/>
          <w:iCs/>
          <w:sz w:val="22"/>
          <w:szCs w:val="22"/>
        </w:rPr>
        <w:t xml:space="preserve">ogólnego </w:t>
      </w:r>
      <w:r w:rsidRPr="000C7CFC">
        <w:rPr>
          <w:rFonts w:asciiTheme="minorHAnsi" w:hAnsiTheme="minorHAnsi" w:cstheme="minorHAnsi"/>
          <w:iCs/>
          <w:sz w:val="22"/>
          <w:szCs w:val="22"/>
        </w:rPr>
        <w:t>rozporządzenia</w:t>
      </w:r>
      <w:r w:rsidRPr="007E5A33">
        <w:rPr>
          <w:rFonts w:ascii="Calibri" w:hAnsi="Calibri" w:cs="Calibri"/>
          <w:sz w:val="22"/>
          <w:szCs w:val="22"/>
        </w:rPr>
        <w:t xml:space="preserve"> </w:t>
      </w:r>
      <w:r>
        <w:rPr>
          <w:rFonts w:ascii="Calibri" w:hAnsi="Calibri" w:cs="Calibri"/>
          <w:sz w:val="22"/>
          <w:szCs w:val="22"/>
        </w:rPr>
        <w:t>o ochronie danych osobowych</w:t>
      </w:r>
      <w:r w:rsidRPr="000C7CFC">
        <w:rPr>
          <w:rFonts w:asciiTheme="minorHAnsi" w:hAnsiTheme="minorHAnsi" w:cstheme="minorHAnsi"/>
          <w:iCs/>
          <w:sz w:val="22"/>
          <w:szCs w:val="22"/>
        </w:rPr>
        <w:t>, zawierać informacje umożliwiające Beneficjentowi określenie czy naruszenie skutkuje wysokim ryzykiem naruszenia praw lub wolności osób fizycznych.</w:t>
      </w:r>
    </w:p>
    <w:p w14:paraId="47F8FC31"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W przypadku wystąpienia naruszenia ochrony </w:t>
      </w:r>
      <w:r>
        <w:rPr>
          <w:rFonts w:asciiTheme="minorHAnsi" w:hAnsiTheme="minorHAnsi" w:cstheme="minorHAnsi"/>
          <w:sz w:val="22"/>
          <w:szCs w:val="22"/>
        </w:rPr>
        <w:t>D</w:t>
      </w:r>
      <w:r w:rsidRPr="000C7CFC">
        <w:rPr>
          <w:rFonts w:asciiTheme="minorHAnsi" w:hAnsiTheme="minorHAnsi" w:cstheme="minorHAnsi"/>
          <w:sz w:val="22"/>
          <w:szCs w:val="22"/>
        </w:rPr>
        <w:t xml:space="preserve">anych osobowych, powstałego w systemach, za które odpowiedzialność ponosi </w:t>
      </w:r>
      <w:r w:rsidRPr="000C7CFC">
        <w:rPr>
          <w:rFonts w:asciiTheme="minorHAnsi" w:hAnsiTheme="minorHAnsi" w:cstheme="minorHAnsi"/>
          <w:iCs/>
          <w:sz w:val="22"/>
          <w:szCs w:val="22"/>
        </w:rPr>
        <w:t>NFOŚiGW</w:t>
      </w:r>
      <w:r w:rsidRPr="000C7CFC">
        <w:rPr>
          <w:rFonts w:asciiTheme="minorHAnsi" w:hAnsiTheme="minorHAnsi" w:cstheme="minorHAnsi"/>
          <w:sz w:val="22"/>
          <w:szCs w:val="22"/>
        </w:rPr>
        <w:t>, mogącego powodować w ocenie Beneficjenta wysokie ryzyko naruszenia praw lub wolności osób fizycznych, na wniosek i</w:t>
      </w:r>
      <w:r>
        <w:rPr>
          <w:rFonts w:asciiTheme="minorHAnsi" w:hAnsiTheme="minorHAnsi" w:cstheme="minorHAnsi"/>
          <w:sz w:val="22"/>
          <w:szCs w:val="22"/>
        </w:rPr>
        <w:t xml:space="preserve"> </w:t>
      </w:r>
      <w:r w:rsidRPr="000C7CFC">
        <w:rPr>
          <w:rFonts w:asciiTheme="minorHAnsi" w:hAnsiTheme="minorHAnsi" w:cstheme="minorHAnsi"/>
          <w:sz w:val="22"/>
          <w:szCs w:val="22"/>
        </w:rPr>
        <w:t> zgodnie z zaleceniami Beneficjenta, NFOŚiGW</w:t>
      </w:r>
      <w:r w:rsidRPr="000C7CFC">
        <w:rPr>
          <w:rFonts w:asciiTheme="minorHAnsi" w:hAnsiTheme="minorHAnsi" w:cstheme="minorHAnsi"/>
          <w:iCs/>
          <w:sz w:val="22"/>
          <w:szCs w:val="22"/>
        </w:rPr>
        <w:t xml:space="preserve"> działający w imieniu i na rzecz Beneficjenta,</w:t>
      </w:r>
      <w:r w:rsidRPr="000C7CFC">
        <w:rPr>
          <w:rFonts w:asciiTheme="minorHAnsi" w:hAnsiTheme="minorHAnsi" w:cstheme="minorHAnsi"/>
          <w:sz w:val="22"/>
          <w:szCs w:val="22"/>
        </w:rPr>
        <w:t xml:space="preserve"> zawiadomi bez zbędnej zwłoki osoby, których to naruszenie dotyczy.</w:t>
      </w:r>
      <w:r w:rsidRPr="000C7CFC">
        <w:rPr>
          <w:rFonts w:asciiTheme="minorHAnsi" w:eastAsia="Calibri" w:hAnsiTheme="minorHAnsi" w:cstheme="minorHAnsi"/>
          <w:color w:val="000000"/>
          <w:sz w:val="22"/>
          <w:szCs w:val="22"/>
        </w:rPr>
        <w:t> </w:t>
      </w:r>
    </w:p>
    <w:p w14:paraId="35EFAE6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3" w:name="_Hlk37411495"/>
      <w:r w:rsidRPr="000C7CFC">
        <w:rPr>
          <w:rFonts w:asciiTheme="minorHAnsi" w:eastAsia="Calibri" w:hAnsiTheme="minorHAnsi" w:cstheme="minorHAnsi"/>
          <w:color w:val="000000"/>
          <w:sz w:val="22"/>
          <w:szCs w:val="22"/>
        </w:rPr>
        <w:lastRenderedPageBreak/>
        <w:t xml:space="preserve">W przypadku zaistnienia okoliczności, które spowodują konieczność przetwarzania przez NFOŚiGW </w:t>
      </w:r>
      <w:r>
        <w:rPr>
          <w:rFonts w:asciiTheme="minorHAnsi" w:eastAsia="Calibri" w:hAnsiTheme="minorHAnsi" w:cstheme="minorHAnsi"/>
          <w:color w:val="000000"/>
          <w:sz w:val="22"/>
          <w:szCs w:val="22"/>
        </w:rPr>
        <w:t>D</w:t>
      </w:r>
      <w:r w:rsidRPr="000C7CFC">
        <w:rPr>
          <w:rFonts w:asciiTheme="minorHAnsi" w:eastAsia="Calibri" w:hAnsiTheme="minorHAnsi" w:cstheme="minorHAnsi"/>
          <w:color w:val="000000"/>
          <w:sz w:val="22"/>
          <w:szCs w:val="22"/>
        </w:rPr>
        <w:t>anych osobowych w dokumentach przekazywanych przez Beneficjenta w związku z realizacją Umowy, Beneficjent powiadomi o tym NFOŚiGW. Strony zobowiązują się do niezwłocznego zawarcia porozumienia w tym zakresie.</w:t>
      </w:r>
      <w:bookmarkEnd w:id="13"/>
    </w:p>
    <w:p w14:paraId="47038881" w14:textId="2737447F"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4" w:name="_Hlk37411520"/>
      <w:r w:rsidRPr="000C7CFC">
        <w:rPr>
          <w:rFonts w:asciiTheme="minorHAnsi" w:eastAsia="Calibri" w:hAnsiTheme="minorHAnsi" w:cstheme="minorHAnsi"/>
          <w:color w:val="000000"/>
          <w:sz w:val="22"/>
          <w:szCs w:val="22"/>
        </w:rPr>
        <w:t>Porozumienie, o którym mowa w ust. 5, powinno być zawarte jeszcze przed dokonaniem jakiejkolwiek czynności przetwarzania</w:t>
      </w:r>
      <w:r w:rsidR="00AE5B32">
        <w:rPr>
          <w:rFonts w:asciiTheme="minorHAnsi" w:eastAsia="Calibri" w:hAnsiTheme="minorHAnsi" w:cstheme="minorHAnsi"/>
          <w:color w:val="000000"/>
          <w:sz w:val="22"/>
          <w:szCs w:val="22"/>
        </w:rPr>
        <w:t xml:space="preserve"> </w:t>
      </w:r>
      <w:r w:rsidRPr="000C7CFC">
        <w:rPr>
          <w:rFonts w:asciiTheme="minorHAnsi" w:eastAsia="Calibri" w:hAnsiTheme="minorHAnsi" w:cstheme="minorHAnsi"/>
          <w:color w:val="000000"/>
          <w:sz w:val="22"/>
          <w:szCs w:val="22"/>
        </w:rPr>
        <w:t>danych.</w:t>
      </w:r>
      <w:bookmarkEnd w:id="14"/>
    </w:p>
    <w:p w14:paraId="6D988ED5" w14:textId="10569CDB"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cs="Calibri"/>
          <w:sz w:val="22"/>
          <w:szCs w:val="22"/>
        </w:rPr>
        <w:t>Wobec udo</w:t>
      </w:r>
      <w:r w:rsidR="004372B7">
        <w:rPr>
          <w:rFonts w:ascii="Calibri" w:hAnsi="Calibri" w:cs="Calibri"/>
          <w:sz w:val="22"/>
          <w:szCs w:val="22"/>
        </w:rPr>
        <w:t>stępnienia przez Beneficjenta</w:t>
      </w:r>
      <w:r w:rsidRPr="000C7CFC">
        <w:rPr>
          <w:rFonts w:ascii="Calibri" w:hAnsi="Calibri" w:cs="Calibri"/>
          <w:sz w:val="22"/>
          <w:szCs w:val="22"/>
        </w:rPr>
        <w:t xml:space="preserve"> NFOŚiGW, w związku z realizacją Umowy, </w:t>
      </w:r>
      <w:r>
        <w:rPr>
          <w:rFonts w:ascii="Calibri" w:hAnsi="Calibri" w:cs="Calibri"/>
          <w:sz w:val="22"/>
          <w:szCs w:val="22"/>
        </w:rPr>
        <w:t>D</w:t>
      </w:r>
      <w:r w:rsidRPr="000C7CFC">
        <w:rPr>
          <w:rFonts w:ascii="Calibri" w:hAnsi="Calibri" w:cs="Calibri"/>
          <w:sz w:val="22"/>
          <w:szCs w:val="22"/>
        </w:rPr>
        <w:t xml:space="preserve">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w:t>
      </w:r>
      <w:r>
        <w:rPr>
          <w:rFonts w:ascii="Calibri" w:hAnsi="Calibri" w:cs="Calibri"/>
          <w:sz w:val="22"/>
          <w:szCs w:val="22"/>
        </w:rPr>
        <w:t xml:space="preserve">„Klauzuli informacyjnej, stanowiącej załącznik </w:t>
      </w:r>
      <w:r w:rsidRPr="000C7CFC">
        <w:rPr>
          <w:rFonts w:ascii="Calibri" w:hAnsi="Calibri" w:cs="Calibri"/>
          <w:sz w:val="22"/>
          <w:szCs w:val="22"/>
        </w:rPr>
        <w:t>do Umowy:</w:t>
      </w:r>
    </w:p>
    <w:p w14:paraId="10AC76A5"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zakresie </w:t>
      </w:r>
      <w:r>
        <w:rPr>
          <w:rFonts w:ascii="Calibri" w:hAnsi="Calibri" w:cs="Calibri"/>
          <w:sz w:val="22"/>
          <w:szCs w:val="22"/>
        </w:rPr>
        <w:t>D</w:t>
      </w:r>
      <w:r w:rsidRPr="000C7CFC">
        <w:rPr>
          <w:rFonts w:ascii="Calibri" w:hAnsi="Calibri" w:cs="Calibri"/>
          <w:sz w:val="22"/>
          <w:szCs w:val="22"/>
        </w:rPr>
        <w:t>anych osobowych dotyczących tych osób, a przekazanych NFOŚiGW,</w:t>
      </w:r>
    </w:p>
    <w:p w14:paraId="435055C2"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tym, że NFOŚiGW jest administratorem ich </w:t>
      </w:r>
      <w:r>
        <w:rPr>
          <w:rFonts w:ascii="Calibri" w:hAnsi="Calibri" w:cs="Calibri"/>
          <w:sz w:val="22"/>
          <w:szCs w:val="22"/>
        </w:rPr>
        <w:t>D</w:t>
      </w:r>
      <w:r w:rsidRPr="000C7CFC">
        <w:rPr>
          <w:rFonts w:ascii="Calibri" w:hAnsi="Calibri" w:cs="Calibri"/>
          <w:sz w:val="22"/>
          <w:szCs w:val="22"/>
        </w:rPr>
        <w:t xml:space="preserve">anych osobowych oraz że przetwarza ich </w:t>
      </w:r>
      <w:r>
        <w:rPr>
          <w:rFonts w:ascii="Calibri" w:hAnsi="Calibri" w:cs="Calibri"/>
          <w:sz w:val="22"/>
          <w:szCs w:val="22"/>
        </w:rPr>
        <w:t>D</w:t>
      </w:r>
      <w:r w:rsidRPr="000C7CFC">
        <w:rPr>
          <w:rFonts w:ascii="Calibri" w:hAnsi="Calibri" w:cs="Calibri"/>
          <w:sz w:val="22"/>
          <w:szCs w:val="22"/>
        </w:rPr>
        <w:t>ane osobowe na zasadach określonych w przekazywanym dokumencie,</w:t>
      </w:r>
    </w:p>
    <w:p w14:paraId="7BF6C7B1"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o tym, że Beneficjent jest źródłem, od którego NFOŚiGW pozyskał ich dane,</w:t>
      </w:r>
    </w:p>
    <w:p w14:paraId="4557D7CC"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prawach przysługujących tym osobom, w związku z przetwarzaniem ich </w:t>
      </w:r>
      <w:r>
        <w:rPr>
          <w:rFonts w:ascii="Calibri" w:hAnsi="Calibri" w:cs="Calibri"/>
          <w:sz w:val="22"/>
          <w:szCs w:val="22"/>
        </w:rPr>
        <w:t>D</w:t>
      </w:r>
      <w:r w:rsidRPr="000C7CFC">
        <w:rPr>
          <w:rFonts w:ascii="Calibri" w:hAnsi="Calibri" w:cs="Calibri"/>
          <w:sz w:val="22"/>
          <w:szCs w:val="22"/>
        </w:rPr>
        <w:t>anych</w:t>
      </w:r>
      <w:r>
        <w:rPr>
          <w:rFonts w:ascii="Calibri" w:hAnsi="Calibri" w:cs="Calibri"/>
          <w:sz w:val="22"/>
          <w:szCs w:val="22"/>
        </w:rPr>
        <w:t xml:space="preserve"> osobowych</w:t>
      </w:r>
      <w:r w:rsidRPr="000C7CFC">
        <w:rPr>
          <w:rFonts w:ascii="Calibri" w:hAnsi="Calibri" w:cs="Calibri"/>
          <w:sz w:val="22"/>
          <w:szCs w:val="22"/>
        </w:rPr>
        <w:t xml:space="preserve"> przez NFOŚiGW.</w:t>
      </w:r>
    </w:p>
    <w:p w14:paraId="55FE88BF" w14:textId="77777777" w:rsidR="00227D80" w:rsidRPr="000C7CFC" w:rsidRDefault="00227D80" w:rsidP="00227D80">
      <w:pPr>
        <w:ind w:left="284"/>
        <w:jc w:val="both"/>
        <w:rPr>
          <w:rFonts w:asciiTheme="minorHAnsi" w:hAnsiTheme="minorHAnsi" w:cstheme="minorHAnsi"/>
          <w:sz w:val="22"/>
          <w:szCs w:val="22"/>
        </w:rPr>
      </w:pPr>
      <w:r w:rsidRPr="000C7CFC">
        <w:rPr>
          <w:rFonts w:ascii="Calibri" w:hAnsi="Calibri" w:cs="Calibri"/>
          <w:sz w:val="22"/>
          <w:szCs w:val="22"/>
        </w:rPr>
        <w:t>Dodatkowo, na żądanie NFOŚiGW, Beneficjent zobowiązuje się do dostarczenia NFOŚiGW potwierdzenia przekazania ww. informacji.</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5" w:name="Text110_1"/>
      <w:r w:rsidR="00E3458A" w:rsidRPr="0096127B">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5"/>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6" w:name="Text116"/>
      <w:r w:rsidR="0000308C" w:rsidRPr="0096127B">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6"/>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7" w:name="Text116_slownie"/>
      <w:r w:rsidR="006A483E" w:rsidRPr="00023AB3">
        <w:rPr>
          <w:rFonts w:asciiTheme="minorHAnsi" w:hAnsiTheme="minorHAnsi"/>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7"/>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8" w:name="Text117"/>
      <w:r w:rsidR="0000308C" w:rsidRPr="00023AB3">
        <w:rPr>
          <w:rFonts w:asciiTheme="minorHAnsi" w:hAnsiTheme="minorHAnsi"/>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8"/>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9" w:name="Text118"/>
      <w:r w:rsidR="0000308C" w:rsidRPr="0096127B">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9"/>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20" w:name="Text126"/>
      <w:r w:rsidR="003C604F" w:rsidRPr="00023AB3">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20"/>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21" w:name="Text127_shortdate"/>
      <w:r w:rsidR="003C604F"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1"/>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22" w:name="Text129"/>
      <w:r w:rsidR="003C604F"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2"/>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3" w:name="Text130_shortdate"/>
      <w:r w:rsidR="003C604F"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3"/>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4" w:name="Text131"/>
      <w:r w:rsidR="00827009"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Pr="00023AB3">
        <w:rPr>
          <w:rFonts w:asciiTheme="minorHAnsi" w:hAnsiTheme="minorHAnsi"/>
          <w:sz w:val="22"/>
          <w:szCs w:val="22"/>
        </w:rPr>
        <w:fldChar w:fldCharType="end"/>
      </w:r>
      <w:bookmarkEnd w:id="24"/>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5" w:name="CopyOfTable6"/>
      <w:bookmarkEnd w:id="25"/>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6" w:name="CopyOfTable7"/>
      <w:bookmarkEnd w:id="26"/>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7" w:name="Text892"/>
      <w:r w:rsidR="00502A36" w:rsidRPr="00023AB3">
        <w:rPr>
          <w:rFonts w:asciiTheme="minorHAnsi" w:hAnsiTheme="minorHAnsi"/>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7"/>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8" w:name="CopyOfTable2"/>
      <w:bookmarkEnd w:id="28"/>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9" w:name="CopyOfTable3"/>
      <w:bookmarkEnd w:id="29"/>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30" w:name="Text43"/>
      <w:r w:rsidR="000465B4"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0"/>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31" w:name="Text121"/>
      <w:r w:rsidR="00AB7776"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32" w:name="Text121_slownie"/>
      <w:r w:rsidR="00AB7776"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2"/>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3" w:name="Text120"/>
      <w:r w:rsidR="006D327F" w:rsidRPr="00023AB3">
        <w:rPr>
          <w:rFonts w:asciiTheme="minorHAnsi" w:hAnsiTheme="minorHAnsi"/>
          <w:b/>
          <w:sz w:val="22"/>
          <w:szCs w:val="22"/>
        </w:rPr>
        <w:instrText xml:space="preserve"> FORMTEXT </w:instrText>
      </w:r>
      <w:r w:rsidR="00A912A3">
        <w:rPr>
          <w:rFonts w:asciiTheme="minorHAnsi" w:hAnsiTheme="minorHAnsi"/>
          <w:b/>
          <w:sz w:val="22"/>
          <w:szCs w:val="22"/>
        </w:rPr>
      </w:r>
      <w:r w:rsidR="00A912A3">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3"/>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4" w:name="Text123_shortdate"/>
      <w:r w:rsidR="00AB7776" w:rsidRPr="00023AB3">
        <w:rPr>
          <w:rFonts w:asciiTheme="minorHAnsi" w:hAnsiTheme="minorHAnsi"/>
          <w:b w:val="0"/>
          <w:sz w:val="22"/>
          <w:szCs w:val="22"/>
        </w:rPr>
        <w:instrText xml:space="preserve"> FORMTEXT </w:instrText>
      </w:r>
      <w:r w:rsidR="00A912A3">
        <w:rPr>
          <w:rFonts w:asciiTheme="minorHAnsi" w:hAnsiTheme="minorHAnsi"/>
          <w:sz w:val="22"/>
          <w:szCs w:val="22"/>
        </w:rPr>
      </w:r>
      <w:r w:rsidR="00A912A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4"/>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5" w:name="Text74"/>
            <w:r w:rsidR="00A72E87"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bookmarkEnd w:id="35"/>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6" w:name="Text76_shortdate"/>
            <w:r w:rsidR="00A72E87"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bookmarkEnd w:id="36"/>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7" w:name="CopyOfTable1_U"/>
      <w:bookmarkEnd w:id="37"/>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43C9AAE8" w14:textId="1B389DB2" w:rsidR="005B7383" w:rsidRPr="0096127B" w:rsidRDefault="005B7383" w:rsidP="00672A14">
      <w:pPr>
        <w:ind w:left="-284"/>
        <w:jc w:val="both"/>
        <w:rPr>
          <w:rFonts w:asciiTheme="minorHAnsi" w:hAnsiTheme="minorHAnsi"/>
          <w:sz w:val="22"/>
          <w:szCs w:val="22"/>
        </w:rPr>
      </w:pPr>
      <w:r w:rsidRPr="0096127B">
        <w:rPr>
          <w:rFonts w:asciiTheme="minorHAnsi" w:hAnsiTheme="minorHAnsi"/>
          <w:sz w:val="20"/>
          <w:szCs w:val="20"/>
        </w:rPr>
        <w:t>Dopuszcza się przesunięcie w harmonogramie wypłat, kwoty do 1.000,00 zł pomiędzy następującymi po sobie kwartałami w danym roku kalendarzowym</w:t>
      </w:r>
      <w:r w:rsidR="0056777C">
        <w:rPr>
          <w:rFonts w:asciiTheme="minorHAnsi" w:hAnsiTheme="minorHAnsi"/>
          <w:sz w:val="20"/>
          <w:szCs w:val="20"/>
        </w:rPr>
        <w:t>.</w:t>
      </w: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A912A3">
              <w:rPr>
                <w:rFonts w:asciiTheme="minorHAnsi" w:hAnsiTheme="minorHAnsi"/>
                <w:sz w:val="18"/>
                <w:szCs w:val="18"/>
              </w:rPr>
            </w:r>
            <w:r w:rsidR="00A912A3">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8" w:name="CopyOfTable20_U"/>
      <w:bookmarkEnd w:id="38"/>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303EB3C1" w14:textId="1F3B98E8" w:rsidR="005B7383" w:rsidRPr="0096127B" w:rsidRDefault="005B7383" w:rsidP="00910B2B">
      <w:pPr>
        <w:ind w:left="-284"/>
        <w:jc w:val="both"/>
        <w:rPr>
          <w:rFonts w:asciiTheme="minorHAnsi" w:hAnsiTheme="minorHAnsi"/>
          <w:sz w:val="20"/>
          <w:szCs w:val="20"/>
        </w:rPr>
      </w:pPr>
      <w:r w:rsidRPr="0096127B">
        <w:rPr>
          <w:rFonts w:asciiTheme="minorHAnsi" w:hAnsiTheme="minorHAnsi"/>
          <w:sz w:val="20"/>
          <w:szCs w:val="20"/>
        </w:rPr>
        <w:t>Dopuszcza się przesunięcie w harmonogramie wypłat, kwoty do 1.000,00 zł pomiędzy następującymi po sobie kwartałami w danym roku kalendarzowym</w:t>
      </w: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9" w:name="CopyOfTable8"/>
      <w:bookmarkEnd w:id="39"/>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40" w:name="CopyOfTable9"/>
      <w:bookmarkEnd w:id="40"/>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41" w:name="CopyOfTable19"/>
      <w:bookmarkEnd w:id="41"/>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35AEC7F4" w:rsidR="00EF63E9" w:rsidRPr="0096127B" w:rsidRDefault="00EF63E9" w:rsidP="0096127B">
      <w:pPr>
        <w:pStyle w:val="Tytu"/>
        <w:jc w:val="both"/>
        <w:rPr>
          <w:rFonts w:asciiTheme="minorHAnsi" w:hAnsiTheme="minorHAnsi"/>
          <w:b w:val="0"/>
          <w:sz w:val="22"/>
          <w:szCs w:val="22"/>
        </w:rPr>
      </w:pPr>
      <w:bookmarkStart w:id="42" w:name="CopyOfTable12"/>
      <w:bookmarkEnd w:id="42"/>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3" w:name="Text152_shortdate"/>
      <w:r w:rsidR="000F5A94" w:rsidRPr="0096127B">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 xml:space="preserve">r.,( nie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1B839B01" w:rsidR="00EF63E9" w:rsidRPr="0096127B" w:rsidRDefault="00EF63E9" w:rsidP="0096127B">
      <w:pPr>
        <w:pStyle w:val="Tytu"/>
        <w:jc w:val="left"/>
        <w:rPr>
          <w:rFonts w:asciiTheme="minorHAnsi" w:hAnsiTheme="minorHAnsi"/>
          <w:b w:val="0"/>
          <w:sz w:val="22"/>
          <w:szCs w:val="22"/>
        </w:rPr>
      </w:pPr>
      <w:bookmarkStart w:id="44" w:name="Table17"/>
      <w:bookmarkStart w:id="45" w:name="CopyOfTable18"/>
      <w:bookmarkEnd w:id="44"/>
      <w:bookmarkEnd w:id="45"/>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6" w:name="Text151_shortdate"/>
      <w:r w:rsidR="00564448" w:rsidRPr="0096127B">
        <w:rPr>
          <w:rFonts w:asciiTheme="minorHAnsi" w:hAnsiTheme="minorHAnsi"/>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6"/>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7" w:name="Text310"/>
      <w:r w:rsidR="0059004A" w:rsidRPr="0096127B">
        <w:rPr>
          <w:rFonts w:asciiTheme="minorHAnsi" w:hAnsiTheme="minorHAnsi"/>
          <w:b w:val="0"/>
          <w:sz w:val="22"/>
          <w:szCs w:val="22"/>
        </w:rPr>
        <w:instrText xml:space="preserve"> FORMTEXT </w:instrText>
      </w:r>
      <w:r w:rsidR="00A912A3">
        <w:rPr>
          <w:rFonts w:asciiTheme="minorHAnsi" w:hAnsiTheme="minorHAnsi"/>
          <w:b w:val="0"/>
          <w:sz w:val="22"/>
          <w:szCs w:val="22"/>
        </w:rPr>
      </w:r>
      <w:r w:rsidR="00A912A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7"/>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8" w:name="Table21"/>
      <w:bookmarkStart w:id="49" w:name="Table15"/>
      <w:bookmarkEnd w:id="48"/>
      <w:bookmarkEnd w:id="49"/>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21AF09AF" w14:textId="224D3471" w:rsidR="00964D64" w:rsidRPr="00964D64" w:rsidRDefault="00AD73C9" w:rsidP="0096127B">
      <w:pPr>
        <w:pStyle w:val="Tekstpodstawowy"/>
        <w:keepNext/>
        <w:numPr>
          <w:ilvl w:val="0"/>
          <w:numId w:val="23"/>
        </w:numPr>
        <w:suppressAutoHyphens/>
        <w:ind w:left="425" w:hanging="357"/>
        <w:jc w:val="both"/>
        <w:rPr>
          <w:rFonts w:asciiTheme="minorHAnsi" w:hAnsiTheme="minorHAnsi"/>
          <w:sz w:val="22"/>
          <w:szCs w:val="22"/>
        </w:rPr>
      </w:pPr>
      <w:r>
        <w:rPr>
          <w:rFonts w:ascii="Calibri" w:hAnsi="Calibri"/>
          <w:sz w:val="22"/>
          <w:szCs w:val="22"/>
        </w:rPr>
        <w:t xml:space="preserve">Porozumienie – </w:t>
      </w:r>
      <w:r w:rsidR="00964D64" w:rsidRPr="00964D64">
        <w:rPr>
          <w:rFonts w:ascii="Calibri" w:hAnsi="Calibri"/>
          <w:sz w:val="22"/>
          <w:szCs w:val="22"/>
        </w:rPr>
        <w:t>Umowa</w:t>
      </w:r>
      <w:r w:rsidR="000E7C32">
        <w:rPr>
          <w:rFonts w:ascii="Calibri" w:hAnsi="Calibri"/>
          <w:sz w:val="22"/>
          <w:szCs w:val="22"/>
        </w:rPr>
        <w:t xml:space="preserve"> powierzenia</w:t>
      </w:r>
      <w:r w:rsidR="00964D64" w:rsidRPr="00964D64">
        <w:rPr>
          <w:rFonts w:ascii="Calibri" w:hAnsi="Calibri"/>
          <w:sz w:val="22"/>
          <w:szCs w:val="22"/>
        </w:rPr>
        <w:t xml:space="preserve"> przetwarzania danych osobowych</w:t>
      </w:r>
      <w:r w:rsidR="00964D64">
        <w:rPr>
          <w:rStyle w:val="Odwoanieprzypisudolnego"/>
          <w:rFonts w:ascii="Calibri" w:hAnsi="Calibri"/>
          <w:sz w:val="22"/>
          <w:szCs w:val="22"/>
        </w:rPr>
        <w:footnoteReference w:id="12"/>
      </w:r>
    </w:p>
    <w:p w14:paraId="2A647588" w14:textId="01FAB391"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0C626E">
        <w:rPr>
          <w:rFonts w:ascii="Calibri" w:hAnsi="Calibri"/>
          <w:sz w:val="22"/>
          <w:szCs w:val="22"/>
        </w:rPr>
        <w:t>dla reprezentantów, w tym pełnomocników oraz osób wskazanych do kontaktu</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A912A3">
        <w:rPr>
          <w:rFonts w:asciiTheme="minorHAnsi" w:hAnsiTheme="minorHAnsi"/>
          <w:b/>
        </w:rPr>
      </w:r>
      <w:r w:rsidR="00A912A3">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A912A3">
              <w:rPr>
                <w:rFonts w:asciiTheme="minorHAnsi" w:hAnsiTheme="minorHAnsi"/>
                <w:b w:val="0"/>
              </w:rPr>
            </w:r>
            <w:r w:rsidR="00A912A3">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50" w:name="BookmarkContractsEnd"/>
      <w:bookmarkEnd w:id="50"/>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AF6051" w:rsidRDefault="00AF6051">
      <w:r>
        <w:separator/>
      </w:r>
    </w:p>
  </w:endnote>
  <w:endnote w:type="continuationSeparator" w:id="0">
    <w:p w14:paraId="46CCE082" w14:textId="77777777" w:rsidR="00AF6051" w:rsidRDefault="00AF6051">
      <w:r>
        <w:continuationSeparator/>
      </w:r>
    </w:p>
  </w:endnote>
  <w:endnote w:type="continuationNotice" w:id="1">
    <w:p w14:paraId="3B09DA73" w14:textId="77777777" w:rsidR="00AF6051" w:rsidRDefault="00AF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0AA7BDFC" w:rsidR="00AF6051" w:rsidRPr="00DE6279" w:rsidRDefault="00AF6051"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35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2BECBF2E" w:rsidR="00AF6051" w:rsidRPr="00C636F8" w:rsidRDefault="00AF6051"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A912A3">
      <w:rPr>
        <w:rFonts w:asciiTheme="minorHAnsi" w:hAnsiTheme="minorHAnsi"/>
        <w:noProof/>
        <w:sz w:val="16"/>
        <w:szCs w:val="16"/>
      </w:rPr>
      <w:t>22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A912A3">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A912A3">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7.5pt;height:7.5pt;visibility:visible" filled="t">
          <v:imagedata r:id="rId1" o:title=""/>
        </v:shape>
      </w:pict>
    </w:r>
    <w:r>
      <w:rPr>
        <w:sz w:val="16"/>
        <w:szCs w:val="16"/>
      </w:rPr>
      <w:object w:dxaOrig="225" w:dyaOrig="225" w14:anchorId="60BABC2A">
        <v:shape id="_x0000_i1032" type="#_x0000_t75" style="width:9.35pt;height:9.35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AF6051" w:rsidRDefault="00AF6051">
      <w:r>
        <w:separator/>
      </w:r>
    </w:p>
  </w:footnote>
  <w:footnote w:type="continuationSeparator" w:id="0">
    <w:p w14:paraId="0155278A" w14:textId="77777777" w:rsidR="00AF6051" w:rsidRDefault="00AF6051">
      <w:r>
        <w:continuationSeparator/>
      </w:r>
    </w:p>
  </w:footnote>
  <w:footnote w:type="continuationNotice" w:id="1">
    <w:p w14:paraId="6D11D130" w14:textId="77777777" w:rsidR="00AF6051" w:rsidRDefault="00AF6051"/>
  </w:footnote>
  <w:footnote w:id="2">
    <w:p w14:paraId="77EDA017"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69A0E0A" w14:textId="77777777" w:rsidR="00AF6051" w:rsidRPr="007F0C93" w:rsidRDefault="00AF6051" w:rsidP="00F656FC">
      <w:pPr>
        <w:pStyle w:val="Tekstprzypisudolnego"/>
        <w:rPr>
          <w:rFonts w:asciiTheme="minorHAnsi" w:hAnsiTheme="minorHAnsi"/>
          <w:sz w:val="18"/>
          <w:szCs w:val="18"/>
        </w:rPr>
      </w:pPr>
      <w:r w:rsidRPr="007F0C93">
        <w:rPr>
          <w:rStyle w:val="Odwoanieprzypisudolnego"/>
          <w:rFonts w:asciiTheme="minorHAnsi" w:hAnsiTheme="minorHAnsi"/>
          <w:sz w:val="18"/>
          <w:szCs w:val="18"/>
        </w:rPr>
        <w:footnoteRef/>
      </w:r>
      <w:r w:rsidRPr="007F0C93">
        <w:rPr>
          <w:rFonts w:asciiTheme="minorHAnsi" w:hAnsiTheme="minorHAnsi"/>
          <w:sz w:val="18"/>
          <w:szCs w:val="18"/>
        </w:rPr>
        <w:t xml:space="preserve"> </w:t>
      </w:r>
      <w:r>
        <w:rPr>
          <w:rFonts w:asciiTheme="minorHAnsi" w:hAnsiTheme="minorHAnsi"/>
          <w:sz w:val="18"/>
          <w:szCs w:val="18"/>
        </w:rPr>
        <w:t xml:space="preserve">Przepis ma zastosowanie, w przypadku przedkładania przez beneficjenta danych osobowych </w:t>
      </w:r>
    </w:p>
  </w:footnote>
  <w:footnote w:id="6">
    <w:p w14:paraId="65DD42F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AF6051" w:rsidRPr="00C75008" w:rsidRDefault="00AF6051"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AF6051" w:rsidRPr="00C75008" w:rsidRDefault="00AF6051"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56FEE4D" w:rsidR="00243B27" w:rsidRPr="00422264" w:rsidRDefault="00243B27"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00F22C9C"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2017 r. poz. 1153),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12">
    <w:p w14:paraId="2B66323B" w14:textId="391861CD" w:rsidR="00AF6051" w:rsidRDefault="00AF6051">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AF6051" w:rsidRPr="00A1437C" w:rsidRDefault="00A912A3"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AF6051" w:rsidRPr="0096127B" w:rsidRDefault="00AF6051"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AF6051" w:rsidRPr="00A1437C" w:rsidRDefault="00A912A3"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AF6051" w:rsidRPr="000552AD" w:rsidRDefault="00AF6051"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AF6051" w:rsidRPr="000552AD" w:rsidRDefault="00AF6051"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AF6051" w:rsidRPr="000552AD" w:rsidRDefault="00AF6051"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AF6051" w:rsidRPr="00A1437C" w:rsidRDefault="00AF6051" w:rsidP="00417DAC">
    <w:pPr>
      <w:pStyle w:val="Nagwek"/>
      <w:jc w:val="right"/>
    </w:pPr>
  </w:p>
  <w:p w14:paraId="2F7D75E2" w14:textId="77777777" w:rsidR="00AF6051" w:rsidRPr="00427AEB" w:rsidRDefault="00AF6051"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6"/>
  </w:num>
  <w:num w:numId="2">
    <w:abstractNumId w:val="5"/>
  </w:num>
  <w:num w:numId="3">
    <w:abstractNumId w:val="7"/>
  </w:num>
  <w:num w:numId="4">
    <w:abstractNumId w:val="27"/>
  </w:num>
  <w:num w:numId="5">
    <w:abstractNumId w:val="39"/>
  </w:num>
  <w:num w:numId="6">
    <w:abstractNumId w:val="12"/>
  </w:num>
  <w:num w:numId="7">
    <w:abstractNumId w:val="25"/>
  </w:num>
  <w:num w:numId="8">
    <w:abstractNumId w:val="33"/>
  </w:num>
  <w:num w:numId="9">
    <w:abstractNumId w:val="13"/>
  </w:num>
  <w:num w:numId="10">
    <w:abstractNumId w:val="17"/>
  </w:num>
  <w:num w:numId="11">
    <w:abstractNumId w:val="34"/>
  </w:num>
  <w:num w:numId="12">
    <w:abstractNumId w:val="32"/>
  </w:num>
  <w:num w:numId="13">
    <w:abstractNumId w:val="19"/>
  </w:num>
  <w:num w:numId="14">
    <w:abstractNumId w:val="9"/>
  </w:num>
  <w:num w:numId="15">
    <w:abstractNumId w:val="22"/>
  </w:num>
  <w:num w:numId="16">
    <w:abstractNumId w:val="41"/>
  </w:num>
  <w:num w:numId="17">
    <w:abstractNumId w:val="31"/>
  </w:num>
  <w:num w:numId="18">
    <w:abstractNumId w:val="29"/>
  </w:num>
  <w:num w:numId="19">
    <w:abstractNumId w:val="26"/>
  </w:num>
  <w:num w:numId="20">
    <w:abstractNumId w:val="2"/>
  </w:num>
  <w:num w:numId="21">
    <w:abstractNumId w:val="3"/>
  </w:num>
  <w:num w:numId="22">
    <w:abstractNumId w:val="24"/>
  </w:num>
  <w:num w:numId="23">
    <w:abstractNumId w:val="30"/>
  </w:num>
  <w:num w:numId="24">
    <w:abstractNumId w:val="0"/>
  </w:num>
  <w:num w:numId="25">
    <w:abstractNumId w:val="42"/>
  </w:num>
  <w:num w:numId="26">
    <w:abstractNumId w:val="18"/>
  </w:num>
  <w:num w:numId="27">
    <w:abstractNumId w:val="28"/>
  </w:num>
  <w:num w:numId="28">
    <w:abstractNumId w:val="38"/>
  </w:num>
  <w:num w:numId="29">
    <w:abstractNumId w:val="36"/>
  </w:num>
  <w:num w:numId="30">
    <w:abstractNumId w:val="35"/>
  </w:num>
  <w:num w:numId="31">
    <w:abstractNumId w:val="37"/>
  </w:num>
  <w:num w:numId="32">
    <w:abstractNumId w:val="40"/>
  </w:num>
  <w:num w:numId="33">
    <w:abstractNumId w:val="8"/>
  </w:num>
  <w:num w:numId="34">
    <w:abstractNumId w:val="4"/>
  </w:num>
  <w:num w:numId="35">
    <w:abstractNumId w:val="15"/>
  </w:num>
  <w:num w:numId="36">
    <w:abstractNumId w:val="11"/>
  </w:num>
  <w:num w:numId="37">
    <w:abstractNumId w:val="43"/>
  </w:num>
  <w:num w:numId="38">
    <w:abstractNumId w:val="1"/>
  </w:num>
  <w:num w:numId="39">
    <w:abstractNumId w:val="16"/>
  </w:num>
  <w:num w:numId="40">
    <w:abstractNumId w:val="14"/>
  </w:num>
  <w:num w:numId="41">
    <w:abstractNumId w:val="21"/>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636B"/>
    <w:rsid w:val="000A22E7"/>
    <w:rsid w:val="000A410E"/>
    <w:rsid w:val="000A4263"/>
    <w:rsid w:val="000A7323"/>
    <w:rsid w:val="000B011F"/>
    <w:rsid w:val="000B0B21"/>
    <w:rsid w:val="000B1107"/>
    <w:rsid w:val="000B15EE"/>
    <w:rsid w:val="000B1CF9"/>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207E5"/>
    <w:rsid w:val="00120B66"/>
    <w:rsid w:val="00121200"/>
    <w:rsid w:val="001217D0"/>
    <w:rsid w:val="00121D4B"/>
    <w:rsid w:val="00121D7C"/>
    <w:rsid w:val="001259DB"/>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66EF"/>
    <w:rsid w:val="00450651"/>
    <w:rsid w:val="00452223"/>
    <w:rsid w:val="00455206"/>
    <w:rsid w:val="004554C3"/>
    <w:rsid w:val="00456504"/>
    <w:rsid w:val="00461FA8"/>
    <w:rsid w:val="004630E7"/>
    <w:rsid w:val="004759C9"/>
    <w:rsid w:val="00475B91"/>
    <w:rsid w:val="00480631"/>
    <w:rsid w:val="004820A8"/>
    <w:rsid w:val="004824FD"/>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21E8"/>
    <w:rsid w:val="00845141"/>
    <w:rsid w:val="00845347"/>
    <w:rsid w:val="00846BF7"/>
    <w:rsid w:val="00851E90"/>
    <w:rsid w:val="008525D1"/>
    <w:rsid w:val="00853B1A"/>
    <w:rsid w:val="008559F2"/>
    <w:rsid w:val="00857F61"/>
    <w:rsid w:val="00860E17"/>
    <w:rsid w:val="008628A8"/>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5519"/>
    <w:rsid w:val="00E26820"/>
    <w:rsid w:val="00E3041E"/>
    <w:rsid w:val="00E31D94"/>
    <w:rsid w:val="00E342AC"/>
    <w:rsid w:val="00E3458A"/>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0EF9-4912-4194-B29E-5777E97F2640}">
  <ds:schemaRefs>
    <ds:schemaRef ds:uri="http://schemas.openxmlformats.org/officeDocument/2006/bibliography"/>
  </ds:schemaRefs>
</ds:datastoreItem>
</file>

<file path=customXml/itemProps2.xml><?xml version="1.0" encoding="utf-8"?>
<ds:datastoreItem xmlns:ds="http://schemas.openxmlformats.org/officeDocument/2006/customXml" ds:itemID="{D42B11C0-519E-4A5F-97EA-CA78F04F577B}">
  <ds:schemaRefs>
    <ds:schemaRef ds:uri="http://schemas.openxmlformats.org/officeDocument/2006/bibliography"/>
  </ds:schemaRefs>
</ds:datastoreItem>
</file>

<file path=customXml/itemProps3.xml><?xml version="1.0" encoding="utf-8"?>
<ds:datastoreItem xmlns:ds="http://schemas.openxmlformats.org/officeDocument/2006/customXml" ds:itemID="{7137D017-A09E-4E2F-B2A3-45DEBEEB9A4F}">
  <ds:schemaRefs>
    <ds:schemaRef ds:uri="http://schemas.openxmlformats.org/officeDocument/2006/bibliography"/>
  </ds:schemaRefs>
</ds:datastoreItem>
</file>

<file path=customXml/itemProps4.xml><?xml version="1.0" encoding="utf-8"?>
<ds:datastoreItem xmlns:ds="http://schemas.openxmlformats.org/officeDocument/2006/customXml" ds:itemID="{6323EF7C-C84B-4A1A-ABCD-378086BE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7970</Words>
  <Characters>54502</Characters>
  <Application>Microsoft Office Word</Application>
  <DocSecurity>0</DocSecurity>
  <Lines>454</Lines>
  <Paragraphs>124</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Trześniewski Włodzimierz</cp:lastModifiedBy>
  <cp:revision>3</cp:revision>
  <cp:lastPrinted>2016-12-27T08:11:00Z</cp:lastPrinted>
  <dcterms:created xsi:type="dcterms:W3CDTF">2021-07-01T09:46:00Z</dcterms:created>
  <dcterms:modified xsi:type="dcterms:W3CDTF">2021-07-01T09:54:00Z</dcterms:modified>
</cp:coreProperties>
</file>