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A546" w14:textId="77777777" w:rsidR="009F1A47" w:rsidRPr="00FF42A7" w:rsidRDefault="00000000">
      <w:pPr>
        <w:ind w:left="8523" w:right="-29"/>
        <w:rPr>
          <w:rFonts w:ascii="Times New Roman"/>
          <w:sz w:val="20"/>
        </w:rPr>
      </w:pPr>
      <w:r w:rsidRPr="00FF42A7">
        <w:rPr>
          <w:rFonts w:ascii="Times New Roman"/>
          <w:noProof/>
          <w:sz w:val="20"/>
        </w:rPr>
        <w:drawing>
          <wp:inline distT="0" distB="0" distL="0" distR="0" wp14:anchorId="3593CBE9" wp14:editId="02026E5C">
            <wp:extent cx="1415408" cy="37299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15408" cy="372999"/>
                    </a:xfrm>
                    <a:prstGeom prst="rect">
                      <a:avLst/>
                    </a:prstGeom>
                  </pic:spPr>
                </pic:pic>
              </a:graphicData>
            </a:graphic>
          </wp:inline>
        </w:drawing>
      </w:r>
    </w:p>
    <w:p w14:paraId="4CC8445F" w14:textId="77777777" w:rsidR="009F1A47" w:rsidRPr="00FF42A7" w:rsidRDefault="009F1A47">
      <w:pPr>
        <w:pStyle w:val="Tekstpodstawowy"/>
        <w:ind w:left="0"/>
        <w:jc w:val="left"/>
        <w:rPr>
          <w:rFonts w:ascii="Times New Roman"/>
          <w:sz w:val="19"/>
        </w:rPr>
      </w:pPr>
    </w:p>
    <w:p w14:paraId="39F3D777" w14:textId="77777777" w:rsidR="009F1A47" w:rsidRPr="00FF42A7" w:rsidRDefault="009F1A47">
      <w:pPr>
        <w:pStyle w:val="Tekstpodstawowy"/>
        <w:ind w:left="0"/>
        <w:jc w:val="left"/>
        <w:rPr>
          <w:rFonts w:ascii="Times New Roman"/>
          <w:sz w:val="19"/>
        </w:rPr>
      </w:pPr>
    </w:p>
    <w:p w14:paraId="5A9DB9BC" w14:textId="77777777" w:rsidR="009F1A47" w:rsidRPr="00FF42A7" w:rsidRDefault="009F1A47">
      <w:pPr>
        <w:pStyle w:val="Tekstpodstawowy"/>
        <w:spacing w:before="94"/>
        <w:ind w:left="0"/>
        <w:jc w:val="left"/>
        <w:rPr>
          <w:rFonts w:ascii="Times New Roman"/>
          <w:sz w:val="19"/>
        </w:rPr>
      </w:pPr>
    </w:p>
    <w:p w14:paraId="6FEB4267" w14:textId="77777777" w:rsidR="009F1A47" w:rsidRPr="00FF42A7" w:rsidRDefault="00000000">
      <w:pPr>
        <w:ind w:right="30"/>
        <w:jc w:val="right"/>
        <w:rPr>
          <w:sz w:val="19"/>
        </w:rPr>
      </w:pPr>
      <w:r w:rsidRPr="00FF42A7">
        <w:rPr>
          <w:noProof/>
          <w:sz w:val="19"/>
        </w:rPr>
        <mc:AlternateContent>
          <mc:Choice Requires="wps">
            <w:drawing>
              <wp:anchor distT="0" distB="0" distL="0" distR="0" simplePos="0" relativeHeight="251629568" behindDoc="0" locked="0" layoutInCell="1" allowOverlap="1" wp14:anchorId="32506231" wp14:editId="50D3B011">
                <wp:simplePos x="0" y="0"/>
                <wp:positionH relativeFrom="page">
                  <wp:posOffset>429768</wp:posOffset>
                </wp:positionH>
                <wp:positionV relativeFrom="paragraph">
                  <wp:posOffset>159126</wp:posOffset>
                </wp:positionV>
                <wp:extent cx="6764020" cy="12700"/>
                <wp:effectExtent l="0" t="0" r="0" b="0"/>
                <wp:wrapNone/>
                <wp:docPr id="2" name="Graphic 2"/>
                <wp:cNvGraphicFramePr/>
                <a:graphic xmlns:a="http://schemas.openxmlformats.org/drawingml/2006/main">
                  <a:graphicData uri="http://schemas.microsoft.com/office/word/2010/wordprocessingShape">
                    <wps:wsp>
                      <wps:cNvSpPr/>
                      <wps:spPr>
                        <a:xfrm>
                          <a:off x="0" y="0"/>
                          <a:ext cx="6764020" cy="12700"/>
                        </a:xfrm>
                        <a:custGeom>
                          <a:avLst/>
                          <a:gdLst/>
                          <a:ahLst/>
                          <a:cxnLst/>
                          <a:rect l="l" t="t" r="r" b="b"/>
                          <a:pathLst>
                            <a:path w="6764020" h="12700">
                              <a:moveTo>
                                <a:pt x="6763499" y="0"/>
                              </a:moveTo>
                              <a:lnTo>
                                <a:pt x="6763499" y="0"/>
                              </a:lnTo>
                              <a:lnTo>
                                <a:pt x="0" y="0"/>
                              </a:lnTo>
                              <a:lnTo>
                                <a:pt x="0" y="12166"/>
                              </a:lnTo>
                              <a:lnTo>
                                <a:pt x="6763499" y="12166"/>
                              </a:lnTo>
                              <a:lnTo>
                                <a:pt x="6763499"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0EF21621" id="Graphic 2" o:spid="_x0000_s1026" style="position:absolute;margin-left:33.85pt;margin-top:12.55pt;width:532.6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6764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" path="m6763499,r,l,,,12166r6763499,l6763499,xe" fillcolor="gray" stroked="f">
                <v:path arrowok="t"/>
                <w10:wrap anchorx="page"/>
              </v:shape>
            </w:pict>
          </mc:Fallback>
        </mc:AlternateContent>
      </w:r>
      <w:r w:rsidRPr="00FF42A7">
        <w:rPr>
          <w:noProof/>
          <w:sz w:val="19"/>
        </w:rPr>
        <w:drawing>
          <wp:anchor distT="0" distB="0" distL="0" distR="0" simplePos="0" relativeHeight="251633664" behindDoc="0" locked="0" layoutInCell="1" allowOverlap="1" wp14:anchorId="64166AD8" wp14:editId="4B0DC52C">
            <wp:simplePos x="0" y="0"/>
            <wp:positionH relativeFrom="page">
              <wp:posOffset>442595</wp:posOffset>
            </wp:positionH>
            <wp:positionV relativeFrom="paragraph">
              <wp:posOffset>-772125</wp:posOffset>
            </wp:positionV>
            <wp:extent cx="2392044" cy="88264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92044" cy="882649"/>
                    </a:xfrm>
                    <a:prstGeom prst="rect">
                      <a:avLst/>
                    </a:prstGeom>
                  </pic:spPr>
                </pic:pic>
              </a:graphicData>
            </a:graphic>
          </wp:anchor>
        </w:drawing>
      </w:r>
      <w:r w:rsidRPr="00FF42A7">
        <w:rPr>
          <w:w w:val="120"/>
          <w:sz w:val="19"/>
        </w:rPr>
        <w:t xml:space="preserve">Arkusz informacyjny – </w:t>
      </w:r>
      <w:r w:rsidRPr="00FF42A7">
        <w:rPr>
          <w:spacing w:val="-2"/>
          <w:w w:val="120"/>
          <w:sz w:val="19"/>
        </w:rPr>
        <w:t xml:space="preserve">Równość </w:t>
      </w:r>
      <w:r w:rsidRPr="00FF42A7">
        <w:rPr>
          <w:w w:val="120"/>
          <w:sz w:val="19"/>
        </w:rPr>
        <w:t>płci</w:t>
      </w:r>
    </w:p>
    <w:p w14:paraId="2F5F52D8" w14:textId="77777777" w:rsidR="009F1A47" w:rsidRPr="00FF42A7" w:rsidRDefault="009F1A47">
      <w:pPr>
        <w:pStyle w:val="Tekstpodstawowy"/>
        <w:spacing w:before="119"/>
        <w:ind w:left="0"/>
        <w:jc w:val="left"/>
        <w:rPr>
          <w:sz w:val="18"/>
        </w:rPr>
      </w:pPr>
    </w:p>
    <w:p w14:paraId="76F9F1D2" w14:textId="038B0FC2" w:rsidR="009F1A47" w:rsidRPr="00FF42A7" w:rsidRDefault="00000000" w:rsidP="00146A0A">
      <w:pPr>
        <w:ind w:left="4389" w:right="868" w:firstLine="4184"/>
        <w:jc w:val="right"/>
        <w:rPr>
          <w:sz w:val="18"/>
        </w:rPr>
      </w:pPr>
      <w:r w:rsidRPr="00FF42A7">
        <w:rPr>
          <w:color w:val="EB7E12"/>
          <w:w w:val="125"/>
          <w:sz w:val="18"/>
        </w:rPr>
        <w:t xml:space="preserve">Luty 2024 Niniejsza karta informacyjna nie jest wiążąca dla </w:t>
      </w:r>
      <w:r w:rsidR="00046622" w:rsidRPr="00FF42A7">
        <w:rPr>
          <w:color w:val="EB7E12"/>
          <w:w w:val="125"/>
          <w:sz w:val="18"/>
        </w:rPr>
        <w:br/>
      </w:r>
      <w:r w:rsidRPr="00FF42A7">
        <w:rPr>
          <w:color w:val="EB7E12"/>
          <w:w w:val="125"/>
          <w:sz w:val="18"/>
        </w:rPr>
        <w:t xml:space="preserve">Trybunału i nie ma </w:t>
      </w:r>
      <w:r w:rsidRPr="00FF42A7">
        <w:rPr>
          <w:color w:val="EB7E12"/>
          <w:spacing w:val="-2"/>
          <w:w w:val="125"/>
          <w:sz w:val="18"/>
        </w:rPr>
        <w:t>charakteru wyczerpującego.</w:t>
      </w:r>
    </w:p>
    <w:p w14:paraId="6DBEFED2" w14:textId="77777777" w:rsidR="009F1A47" w:rsidRPr="00FF42A7" w:rsidRDefault="009F1A47">
      <w:pPr>
        <w:pStyle w:val="Tekstpodstawowy"/>
        <w:spacing w:before="36"/>
        <w:ind w:left="0"/>
        <w:jc w:val="left"/>
        <w:rPr>
          <w:sz w:val="18"/>
        </w:rPr>
      </w:pPr>
    </w:p>
    <w:p w14:paraId="5342B01B" w14:textId="77777777" w:rsidR="009F1A47" w:rsidRPr="00FF42A7" w:rsidRDefault="00000000">
      <w:pPr>
        <w:pStyle w:val="Tytu"/>
      </w:pPr>
      <w:r w:rsidRPr="00FF42A7">
        <w:rPr>
          <w:color w:val="0071BB"/>
          <w:spacing w:val="-2"/>
          <w:w w:val="120"/>
          <w:sz w:val="46"/>
        </w:rPr>
        <w:t xml:space="preserve">Równość </w:t>
      </w:r>
      <w:r w:rsidRPr="00FF42A7">
        <w:rPr>
          <w:color w:val="0071BB"/>
          <w:w w:val="120"/>
          <w:sz w:val="46"/>
        </w:rPr>
        <w:t>płci</w:t>
      </w:r>
    </w:p>
    <w:p w14:paraId="406AD25A" w14:textId="77777777" w:rsidR="009F1A47" w:rsidRPr="00FF42A7" w:rsidRDefault="00000000">
      <w:pPr>
        <w:spacing w:line="60" w:lineRule="exact"/>
        <w:ind w:left="845"/>
        <w:rPr>
          <w:sz w:val="6"/>
        </w:rPr>
      </w:pPr>
      <w:r w:rsidRPr="00FF42A7">
        <w:rPr>
          <w:noProof/>
          <w:sz w:val="6"/>
        </w:rPr>
        <mc:AlternateContent>
          <mc:Choice Requires="wpg">
            <w:drawing>
              <wp:inline distT="0" distB="0" distL="0" distR="0" wp14:anchorId="6A52079E" wp14:editId="67FB220C">
                <wp:extent cx="5768340" cy="38100"/>
                <wp:effectExtent l="0" t="0" r="0" b="0"/>
                <wp:docPr id="4" name="Group 4"/>
                <wp:cNvGraphicFramePr/>
                <a:graphic xmlns:a="http://schemas.openxmlformats.org/drawingml/2006/main">
                  <a:graphicData uri="http://schemas.microsoft.com/office/word/2010/wordprocessingGroup">
                    <wpg:wgp>
                      <wpg:cNvGrpSpPr/>
                      <wpg:grpSpPr>
                        <a:xfrm>
                          <a:off x="0" y="0"/>
                          <a:ext cx="5768340" cy="38100"/>
                          <a:chOff x="0" y="0"/>
                          <a:chExt cx="5768340" cy="38100"/>
                        </a:xfrm>
                      </wpg:grpSpPr>
                      <wps:wsp>
                        <wps:cNvPr id="5" name="Graphic 5"/>
                        <wps:cNvSpPr/>
                        <wps:spPr>
                          <a:xfrm>
                            <a:off x="0" y="0"/>
                            <a:ext cx="5768340" cy="38100"/>
                          </a:xfrm>
                          <a:custGeom>
                            <a:avLst/>
                            <a:gdLst/>
                            <a:ahLst/>
                            <a:cxnLst/>
                            <a:rect l="l" t="t" r="r" b="b"/>
                            <a:pathLst>
                              <a:path w="5768340" h="38100">
                                <a:moveTo>
                                  <a:pt x="5768340" y="0"/>
                                </a:moveTo>
                                <a:lnTo>
                                  <a:pt x="0" y="0"/>
                                </a:lnTo>
                                <a:lnTo>
                                  <a:pt x="0" y="38100"/>
                                </a:lnTo>
                                <a:lnTo>
                                  <a:pt x="5768340" y="38100"/>
                                </a:lnTo>
                                <a:lnTo>
                                  <a:pt x="5768340" y="0"/>
                                </a:lnTo>
                                <a:close/>
                              </a:path>
                            </a:pathLst>
                          </a:custGeom>
                          <a:solidFill>
                            <a:srgbClr val="EAEAEA"/>
                          </a:solidFill>
                        </wps:spPr>
                        <wps:bodyPr wrap="square" lIns="0" tIns="0" rIns="0" bIns="0" rtlCol="0">
                          <a:prstTxWarp prst="textNoShape">
                            <a:avLst/>
                          </a:prstTxWarp>
                        </wps:bodyPr>
                      </wps:wsp>
                    </wpg:wgp>
                  </a:graphicData>
                </a:graphic>
              </wp:inline>
            </w:drawing>
          </mc:Choice>
          <mc:Fallback>
            <w:pict>
              <v:group w14:anchorId="230835C9" id="Group 4" o:spid="_x0000_s1026" style="width:454.2pt;height:3pt;mso-position-horizontal-relative:char;mso-position-vertical-relative:line" coordsize="5768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">
                <v:shape id="Graphic 5" o:spid="_x0000_s1027" style="position:absolute;width:57683;height:381;visibility:visible;mso-wrap-style:square;v-text-anchor:top" coordsize="57683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" path="m5768340,l,,,38100r5768340,l5768340,xe" fillcolor="#eaeaea" stroked="f">
                  <v:path arrowok="t"/>
                </v:shape>
                <w10:anchorlock/>
              </v:group>
            </w:pict>
          </mc:Fallback>
        </mc:AlternateContent>
      </w:r>
    </w:p>
    <w:p w14:paraId="5D1498AA" w14:textId="3D83B447" w:rsidR="009F1A47" w:rsidRPr="00FF42A7" w:rsidRDefault="00000000">
      <w:pPr>
        <w:pStyle w:val="Tekstpodstawowy"/>
        <w:spacing w:before="2"/>
        <w:ind w:left="0"/>
        <w:jc w:val="left"/>
        <w:rPr>
          <w:sz w:val="17"/>
        </w:rPr>
      </w:pPr>
      <w:r w:rsidRPr="00FF42A7">
        <w:rPr>
          <w:noProof/>
          <w:sz w:val="17"/>
        </w:rPr>
        <mc:AlternateContent>
          <mc:Choice Requires="wps">
            <w:drawing>
              <wp:anchor distT="0" distB="0" distL="0" distR="0" simplePos="0" relativeHeight="251635712" behindDoc="1" locked="0" layoutInCell="1" allowOverlap="1" wp14:anchorId="2856048C" wp14:editId="06F92EB4">
                <wp:simplePos x="0" y="0"/>
                <wp:positionH relativeFrom="page">
                  <wp:posOffset>842772</wp:posOffset>
                </wp:positionH>
                <wp:positionV relativeFrom="paragraph">
                  <wp:posOffset>152022</wp:posOffset>
                </wp:positionV>
                <wp:extent cx="5875020" cy="911860"/>
                <wp:effectExtent l="0" t="0" r="0" b="0"/>
                <wp:wrapTopAndBottom/>
                <wp:docPr id="6" name="Textbox 6"/>
                <wp:cNvGraphicFramePr/>
                <a:graphic xmlns:a="http://schemas.openxmlformats.org/drawingml/2006/main">
                  <a:graphicData uri="http://schemas.microsoft.com/office/word/2010/wordprocessingShape">
                    <wps:wsp>
                      <wps:cNvSpPr txBox="1"/>
                      <wps:spPr>
                        <a:xfrm>
                          <a:off x="0" y="0"/>
                          <a:ext cx="5875020" cy="911860"/>
                        </a:xfrm>
                        <a:prstGeom prst="rect">
                          <a:avLst/>
                        </a:prstGeom>
                        <a:solidFill>
                          <a:srgbClr val="F3F3F3"/>
                        </a:solidFill>
                        <a:ln w="6096">
                          <a:solidFill>
                            <a:srgbClr val="000000"/>
                          </a:solidFill>
                          <a:prstDash val="dot"/>
                        </a:ln>
                      </wps:spPr>
                      <wps:txbx>
                        <w:txbxContent>
                          <w:p w14:paraId="2377C09F" w14:textId="316A350C" w:rsidR="009F1A47" w:rsidRPr="00FF42A7" w:rsidRDefault="00000000">
                            <w:pPr>
                              <w:spacing w:before="28"/>
                              <w:ind w:left="107" w:right="105"/>
                              <w:jc w:val="both"/>
                              <w:rPr>
                                <w:color w:val="000000"/>
                                <w:sz w:val="19"/>
                              </w:rPr>
                            </w:pPr>
                            <w:r w:rsidRPr="00FF42A7">
                              <w:rPr>
                                <w:color w:val="404040"/>
                                <w:w w:val="120"/>
                                <w:sz w:val="19"/>
                              </w:rPr>
                              <w:t>„... Postęp w zakresie równości płci jest obecnie jednym z głównych celów państw członkowskich Rady Europy i należałoby przedstawić bardzo istotne powody, aby takie różnicowanie traktowania można było uznać za zgodne z Konwencją</w:t>
                            </w:r>
                            <w:r w:rsidR="00C862C8" w:rsidRPr="00FF42A7">
                              <w:rPr>
                                <w:color w:val="404040"/>
                                <w:w w:val="120"/>
                                <w:sz w:val="19"/>
                              </w:rPr>
                              <w:t xml:space="preserve"> </w:t>
                            </w:r>
                            <w:r w:rsidRPr="00FF42A7">
                              <w:rPr>
                                <w:color w:val="404040"/>
                                <w:w w:val="120"/>
                                <w:sz w:val="19"/>
                              </w:rPr>
                              <w:t>... W szczególności odniesienia do tradycji, ogólnych założeń lub panujących postaw społecznych w danym kraju nie stanowią wystarczającego uzasadnienia dla różnicowania traktowania ze względu na płeć”. (</w:t>
                            </w:r>
                            <w:r w:rsidRPr="00FF42A7">
                              <w:rPr>
                                <w:i/>
                                <w:color w:val="404040"/>
                                <w:w w:val="120"/>
                                <w:sz w:val="19"/>
                              </w:rPr>
                              <w:t xml:space="preserve">Konstantin Markin przeciwko Rosji, </w:t>
                            </w:r>
                            <w:hyperlink r:id="rId9">
                              <w:r w:rsidR="009F1A47" w:rsidRPr="00FF42A7">
                                <w:rPr>
                                  <w:color w:val="0071BB"/>
                                  <w:w w:val="120"/>
                                  <w:sz w:val="19"/>
                                  <w:u w:val="single" w:color="0071BB"/>
                                </w:rPr>
                                <w:t>wyrok</w:t>
                              </w:r>
                            </w:hyperlink>
                            <w:r w:rsidRPr="00FF42A7">
                              <w:rPr>
                                <w:color w:val="404040"/>
                                <w:w w:val="120"/>
                                <w:sz w:val="19"/>
                              </w:rPr>
                              <w:t xml:space="preserve"> Wielkiej Izby z dnia 22 marca 2012 r., § 127)</w:t>
                            </w:r>
                          </w:p>
                        </w:txbxContent>
                      </wps:txbx>
                      <wps:bodyPr wrap="square" lIns="0" tIns="0" rIns="0" bIns="0" rtlCol="0"/>
                    </wps:wsp>
                  </a:graphicData>
                </a:graphic>
              </wp:anchor>
            </w:drawing>
          </mc:Choice>
          <mc:Fallback>
            <w:pict>
              <v:shapetype w14:anchorId="2856048C" id="_x0000_t202" coordsize="21600,21600" o:spt="202" path="m,l,21600r21600,l21600,xe">
                <v:stroke joinstyle="miter"/>
                <v:path gradientshapeok="t" o:connecttype="rect"/>
              </v:shapetype>
              <v:shape id="Textbox 6" o:spid="_x0000_s1026" type="#_x0000_t202" style="position:absolute;margin-left:66.35pt;margin-top:11.95pt;width:462.6pt;height:71.8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" fillcolor="#f3f3f3" strokeweight=".48pt">
                <v:stroke dashstyle="dot"/>
                <v:textbox inset="0,0,0,0">
                  <w:txbxContent>
                    <w:p w14:paraId="2377C09F" w14:textId="316A350C" w:rsidR="009F1A47" w:rsidRPr="00FF42A7" w:rsidRDefault="00000000">
                      <w:pPr>
                        <w:spacing w:before="28"/>
                        <w:ind w:left="107" w:right="105"/>
                        <w:jc w:val="both"/>
                        <w:rPr>
                          <w:color w:val="000000"/>
                          <w:sz w:val="19"/>
                        </w:rPr>
                      </w:pPr>
                      <w:r w:rsidRPr="00FF42A7">
                        <w:rPr>
                          <w:color w:val="404040"/>
                          <w:w w:val="120"/>
                          <w:sz w:val="19"/>
                        </w:rPr>
                        <w:t>„... Postęp w zakresie równości płci jest obecnie jednym z głównych celów państw członkowskich Rady Europy i należałoby przedstawić bardzo istotne powody, aby takie różnicowanie traktowania można było uznać za zgodne z Konwencją</w:t>
                      </w:r>
                      <w:r w:rsidR="00C862C8" w:rsidRPr="00FF42A7">
                        <w:rPr>
                          <w:color w:val="404040"/>
                          <w:w w:val="120"/>
                          <w:sz w:val="19"/>
                        </w:rPr>
                        <w:t xml:space="preserve"> </w:t>
                      </w:r>
                      <w:r w:rsidRPr="00FF42A7">
                        <w:rPr>
                          <w:color w:val="404040"/>
                          <w:w w:val="120"/>
                          <w:sz w:val="19"/>
                        </w:rPr>
                        <w:t>... W szczególności odniesienia do tradycji, ogólnych założeń lub panujących postaw społecznych w danym kraju nie stanowią wystarczającego uzasadnienia dla różnicowania traktowania ze względu na płeć”. (</w:t>
                      </w:r>
                      <w:r w:rsidRPr="00FF42A7">
                        <w:rPr>
                          <w:i/>
                          <w:color w:val="404040"/>
                          <w:w w:val="120"/>
                          <w:sz w:val="19"/>
                        </w:rPr>
                        <w:t xml:space="preserve">Konstantin Markin przeciwko Rosji, </w:t>
                      </w:r>
                      <w:hyperlink r:id="rId10">
                        <w:r w:rsidR="009F1A47" w:rsidRPr="00FF42A7">
                          <w:rPr>
                            <w:color w:val="0071BB"/>
                            <w:w w:val="120"/>
                            <w:sz w:val="19"/>
                            <w:u w:val="single" w:color="0071BB"/>
                          </w:rPr>
                          <w:t>wyrok</w:t>
                        </w:r>
                      </w:hyperlink>
                      <w:r w:rsidRPr="00FF42A7">
                        <w:rPr>
                          <w:color w:val="404040"/>
                          <w:w w:val="120"/>
                          <w:sz w:val="19"/>
                        </w:rPr>
                        <w:t xml:space="preserve"> Wielkiej Izby z dnia 22 marca 2012 r., § 127)</w:t>
                      </w:r>
                    </w:p>
                  </w:txbxContent>
                </v:textbox>
                <w10:wrap type="topAndBottom" anchorx="page"/>
              </v:shape>
            </w:pict>
          </mc:Fallback>
        </mc:AlternateContent>
      </w:r>
    </w:p>
    <w:p w14:paraId="7A31A704" w14:textId="00A7CF81" w:rsidR="009F1A47" w:rsidRPr="00FF42A7" w:rsidRDefault="008E7CFC">
      <w:pPr>
        <w:pStyle w:val="Tekstpodstawowy"/>
        <w:spacing w:before="3"/>
        <w:ind w:left="0"/>
        <w:jc w:val="left"/>
        <w:rPr>
          <w:sz w:val="18"/>
        </w:rPr>
      </w:pPr>
      <w:r w:rsidRPr="00FF42A7">
        <w:rPr>
          <w:noProof/>
          <w:sz w:val="17"/>
        </w:rPr>
        <mc:AlternateContent>
          <mc:Choice Requires="wps">
            <w:drawing>
              <wp:anchor distT="0" distB="0" distL="0" distR="0" simplePos="0" relativeHeight="251631616" behindDoc="1" locked="0" layoutInCell="1" allowOverlap="1" wp14:anchorId="20815994" wp14:editId="072EB6E6">
                <wp:simplePos x="0" y="0"/>
                <wp:positionH relativeFrom="page">
                  <wp:posOffset>842010</wp:posOffset>
                </wp:positionH>
                <wp:positionV relativeFrom="paragraph">
                  <wp:posOffset>1085215</wp:posOffset>
                </wp:positionV>
                <wp:extent cx="5875020" cy="2259965"/>
                <wp:effectExtent l="0" t="0" r="11430" b="26035"/>
                <wp:wrapTopAndBottom/>
                <wp:docPr id="7" name="Textbox 7"/>
                <wp:cNvGraphicFramePr/>
                <a:graphic xmlns:a="http://schemas.openxmlformats.org/drawingml/2006/main">
                  <a:graphicData uri="http://schemas.microsoft.com/office/word/2010/wordprocessingShape">
                    <wps:wsp>
                      <wps:cNvSpPr txBox="1"/>
                      <wps:spPr>
                        <a:xfrm>
                          <a:off x="0" y="0"/>
                          <a:ext cx="5875020" cy="2259965"/>
                        </a:xfrm>
                        <a:prstGeom prst="rect">
                          <a:avLst/>
                        </a:prstGeom>
                        <a:solidFill>
                          <a:srgbClr val="F3F3F3"/>
                        </a:solidFill>
                        <a:ln w="6096">
                          <a:solidFill>
                            <a:srgbClr val="000000"/>
                          </a:solidFill>
                          <a:prstDash val="dot"/>
                        </a:ln>
                      </wps:spPr>
                      <wps:txbx>
                        <w:txbxContent>
                          <w:p w14:paraId="693B5204" w14:textId="2C458A65" w:rsidR="009F1A47" w:rsidRPr="00FF42A7" w:rsidRDefault="00000000">
                            <w:pPr>
                              <w:spacing w:before="30"/>
                              <w:ind w:left="107" w:right="106"/>
                              <w:jc w:val="both"/>
                              <w:rPr>
                                <w:b/>
                                <w:color w:val="000000"/>
                                <w:sz w:val="19"/>
                              </w:rPr>
                            </w:pPr>
                            <w:r w:rsidRPr="00FF42A7">
                              <w:rPr>
                                <w:b/>
                                <w:color w:val="404040"/>
                                <w:w w:val="135"/>
                                <w:sz w:val="19"/>
                              </w:rPr>
                              <w:t xml:space="preserve">Artykuł 14 (zakaz dyskryminacji) </w:t>
                            </w:r>
                            <w:hyperlink r:id="rId11">
                              <w:r w:rsidR="008E7CFC" w:rsidRPr="00FF42A7">
                                <w:rPr>
                                  <w:b/>
                                  <w:color w:val="0071BB"/>
                                  <w:w w:val="135"/>
                                  <w:sz w:val="19"/>
                                  <w:u w:val="single" w:color="0071BB"/>
                                </w:rPr>
                                <w:t xml:space="preserve">Europejskiej Konwencji </w:t>
                              </w:r>
                            </w:hyperlink>
                            <w:hyperlink r:id="rId12">
                              <w:r w:rsidR="008E7CFC" w:rsidRPr="00FF42A7">
                                <w:rPr>
                                  <w:b/>
                                  <w:color w:val="0071BB"/>
                                  <w:w w:val="135"/>
                                  <w:sz w:val="19"/>
                                  <w:u w:val="single" w:color="0071BB"/>
                                </w:rPr>
                                <w:t xml:space="preserve">Praw </w:t>
                              </w:r>
                            </w:hyperlink>
                            <w:hyperlink r:id="rId13">
                              <w:r w:rsidR="008E7CFC" w:rsidRPr="00FF42A7">
                                <w:rPr>
                                  <w:b/>
                                  <w:color w:val="0071BB"/>
                                  <w:w w:val="135"/>
                                  <w:sz w:val="19"/>
                                  <w:u w:val="single" w:color="0071BB"/>
                                </w:rPr>
                                <w:t>Człowieka</w:t>
                              </w:r>
                            </w:hyperlink>
                            <w:r w:rsidRPr="00FF42A7">
                              <w:rPr>
                                <w:b/>
                                <w:color w:val="404040"/>
                                <w:w w:val="135"/>
                                <w:sz w:val="19"/>
                              </w:rPr>
                              <w:t xml:space="preserve"> z dnia 4 listopada 1950 r.:</w:t>
                            </w:r>
                          </w:p>
                          <w:p w14:paraId="23C64131" w14:textId="02DB18C4" w:rsidR="009F1A47" w:rsidRPr="00FF42A7" w:rsidRDefault="00000000">
                            <w:pPr>
                              <w:spacing w:before="57"/>
                              <w:ind w:left="107" w:right="106"/>
                              <w:jc w:val="both"/>
                              <w:rPr>
                                <w:color w:val="000000"/>
                                <w:sz w:val="19"/>
                              </w:rPr>
                            </w:pPr>
                            <w:r w:rsidRPr="00FF42A7">
                              <w:rPr>
                                <w:color w:val="404040"/>
                                <w:w w:val="120"/>
                                <w:sz w:val="19"/>
                              </w:rPr>
                              <w:t>„</w:t>
                            </w:r>
                            <w:r w:rsidR="00057000" w:rsidRPr="00FF42A7">
                              <w:rPr>
                                <w:color w:val="404040"/>
                                <w:w w:val="120"/>
                                <w:sz w:val="19"/>
                              </w:rPr>
                              <w:t xml:space="preserve">Korzystanie z praw i wolności wymienionych w niniejszej </w:t>
                            </w:r>
                            <w:r w:rsidR="006E2703" w:rsidRPr="00FF42A7">
                              <w:rPr>
                                <w:color w:val="404040"/>
                                <w:w w:val="120"/>
                                <w:sz w:val="19"/>
                              </w:rPr>
                              <w:t>K</w:t>
                            </w:r>
                            <w:r w:rsidR="00057000" w:rsidRPr="00FF42A7">
                              <w:rPr>
                                <w:color w:val="404040"/>
                                <w:w w:val="120"/>
                                <w:sz w:val="19"/>
                              </w:rPr>
                              <w:t>onwencji powinno być zapewnione bez dyskryminacji wynikającej z takich powodów, jak płeć, rasa, kolor skóry, język, religia, przekonania polityczne i inne, pochodzenie narodowe lub społeczne, przynależność do mniejszości narodowej, majątek, urodzenie bądź z jakichkolwiek innych przyczyn</w:t>
                            </w:r>
                            <w:r w:rsidRPr="00FF42A7">
                              <w:rPr>
                                <w:color w:val="404040"/>
                                <w:w w:val="120"/>
                                <w:sz w:val="19"/>
                              </w:rPr>
                              <w:t>”.</w:t>
                            </w:r>
                          </w:p>
                          <w:p w14:paraId="07BFB132" w14:textId="2A51C30A" w:rsidR="009F1A47" w:rsidRPr="00FF42A7" w:rsidRDefault="00000000">
                            <w:pPr>
                              <w:spacing w:before="116"/>
                              <w:ind w:left="107" w:right="106"/>
                              <w:jc w:val="both"/>
                              <w:rPr>
                                <w:b/>
                                <w:color w:val="000000"/>
                                <w:sz w:val="19"/>
                              </w:rPr>
                            </w:pPr>
                            <w:r w:rsidRPr="00FF42A7">
                              <w:rPr>
                                <w:b/>
                                <w:color w:val="404040"/>
                                <w:w w:val="135"/>
                                <w:sz w:val="19"/>
                              </w:rPr>
                              <w:t xml:space="preserve">Artykuł 1 (ogólny zakaz dyskryminacji) protokołu nr 12 do </w:t>
                            </w:r>
                            <w:r w:rsidR="006E2703" w:rsidRPr="00FF42A7">
                              <w:rPr>
                                <w:b/>
                                <w:color w:val="404040"/>
                                <w:w w:val="135"/>
                                <w:sz w:val="19"/>
                              </w:rPr>
                              <w:t xml:space="preserve">Konwencji </w:t>
                            </w:r>
                            <w:r w:rsidRPr="00FF42A7">
                              <w:rPr>
                                <w:b/>
                                <w:color w:val="404040"/>
                                <w:w w:val="135"/>
                                <w:sz w:val="19"/>
                              </w:rPr>
                              <w:t>z dnia 4 listopada 2000 r.:</w:t>
                            </w:r>
                          </w:p>
                          <w:p w14:paraId="5FFD8E13" w14:textId="1DB41414" w:rsidR="009F1A47" w:rsidRPr="00FF42A7" w:rsidRDefault="00000000">
                            <w:pPr>
                              <w:spacing w:before="38"/>
                              <w:ind w:left="107" w:right="105"/>
                              <w:jc w:val="both"/>
                              <w:rPr>
                                <w:color w:val="000000"/>
                                <w:sz w:val="19"/>
                              </w:rPr>
                            </w:pPr>
                            <w:r w:rsidRPr="00FF42A7">
                              <w:rPr>
                                <w:color w:val="404040"/>
                                <w:w w:val="120"/>
                                <w:sz w:val="19"/>
                              </w:rPr>
                              <w:t xml:space="preserve">„1. </w:t>
                            </w:r>
                            <w:r w:rsidR="00057000" w:rsidRPr="00FF42A7">
                              <w:rPr>
                                <w:color w:val="404040"/>
                                <w:w w:val="120"/>
                                <w:sz w:val="19"/>
                              </w:rPr>
                              <w:t>Korzystanie z każdego prawa ustanowionego przez prawo powinno być zapewnione bez dyskryminacji wynikającej z takich powodów, jak płeć, rasa, kolor skóry, język, religia, przekonania polityczne lub inne, pochodzenie narodowe lub społeczne, przynależność do mniejszości narodowej, majątek, urodzenie lub z jakichkolwiek innych przyczyn.</w:t>
                            </w:r>
                            <w:r w:rsidR="00057000" w:rsidRPr="00FF42A7" w:rsidDel="00057000">
                              <w:rPr>
                                <w:color w:val="404040"/>
                                <w:w w:val="120"/>
                                <w:sz w:val="19"/>
                              </w:rPr>
                              <w:t xml:space="preserve"> </w:t>
                            </w:r>
                          </w:p>
                          <w:p w14:paraId="1D40509C" w14:textId="20730BA6" w:rsidR="009F1A47" w:rsidRPr="00FF42A7" w:rsidRDefault="00000000">
                            <w:pPr>
                              <w:spacing w:before="39"/>
                              <w:ind w:left="107" w:right="108" w:firstLine="134"/>
                              <w:jc w:val="both"/>
                              <w:rPr>
                                <w:color w:val="000000"/>
                                <w:sz w:val="19"/>
                              </w:rPr>
                            </w:pPr>
                            <w:r w:rsidRPr="00FF42A7">
                              <w:rPr>
                                <w:color w:val="404040"/>
                                <w:w w:val="120"/>
                                <w:sz w:val="19"/>
                              </w:rPr>
                              <w:t>2.</w:t>
                            </w:r>
                            <w:r w:rsidR="00057000" w:rsidRPr="00FF42A7">
                              <w:rPr>
                                <w:rFonts w:ascii="Arial" w:hAnsi="Arial" w:cs="Arial"/>
                                <w:color w:val="000000"/>
                                <w:shd w:val="clear" w:color="auto" w:fill="FFFFFF"/>
                              </w:rPr>
                              <w:t xml:space="preserve"> </w:t>
                            </w:r>
                            <w:r w:rsidR="00057000" w:rsidRPr="00FF42A7">
                              <w:rPr>
                                <w:color w:val="404040"/>
                                <w:w w:val="120"/>
                                <w:sz w:val="19"/>
                              </w:rPr>
                              <w:t>Nikt nie może być dyskryminowany przez jakiekolwiek władze publiczne z któregokolwiek z powodów wymienionych w ustępie 1</w:t>
                            </w:r>
                            <w:r w:rsidRPr="00FF42A7">
                              <w:rPr>
                                <w:color w:val="404040"/>
                                <w:w w:val="120"/>
                                <w:sz w:val="19"/>
                              </w:rPr>
                              <w:t>”.</w:t>
                            </w:r>
                          </w:p>
                        </w:txbxContent>
                      </wps:txbx>
                      <wps:bodyPr wrap="square" lIns="0" tIns="0" rIns="0" bIns="0" rtlCol="0">
                        <a:noAutofit/>
                      </wps:bodyPr>
                    </wps:wsp>
                  </a:graphicData>
                </a:graphic>
                <wp14:sizeRelV relativeFrom="margin">
                  <wp14:pctHeight>0</wp14:pctHeight>
                </wp14:sizeRelV>
              </wp:anchor>
            </w:drawing>
          </mc:Choice>
          <mc:Fallback>
            <w:pict>
              <v:shape w14:anchorId="20815994" id="Textbox 7" o:spid="_x0000_s1027" type="#_x0000_t202" style="position:absolute;margin-left:66.3pt;margin-top:85.45pt;width:462.6pt;height:177.95pt;z-index:-2516848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" fillcolor="#f3f3f3" strokeweight=".48pt">
                <v:stroke dashstyle="dot"/>
                <v:textbox inset="0,0,0,0">
                  <w:txbxContent>
                    <w:p w14:paraId="693B5204" w14:textId="2C458A65" w:rsidR="009F1A47" w:rsidRPr="00FF42A7" w:rsidRDefault="00000000">
                      <w:pPr>
                        <w:spacing w:before="30"/>
                        <w:ind w:left="107" w:right="106"/>
                        <w:jc w:val="both"/>
                        <w:rPr>
                          <w:b/>
                          <w:color w:val="000000"/>
                          <w:sz w:val="19"/>
                        </w:rPr>
                      </w:pPr>
                      <w:r w:rsidRPr="00FF42A7">
                        <w:rPr>
                          <w:b/>
                          <w:color w:val="404040"/>
                          <w:w w:val="135"/>
                          <w:sz w:val="19"/>
                        </w:rPr>
                        <w:t xml:space="preserve">Artykuł 14 (zakaz dyskryminacji) </w:t>
                      </w:r>
                      <w:hyperlink r:id="rId14">
                        <w:r w:rsidR="008E7CFC" w:rsidRPr="00FF42A7">
                          <w:rPr>
                            <w:b/>
                            <w:color w:val="0071BB"/>
                            <w:w w:val="135"/>
                            <w:sz w:val="19"/>
                            <w:u w:val="single" w:color="0071BB"/>
                          </w:rPr>
                          <w:t xml:space="preserve">Europejskiej Konwencji </w:t>
                        </w:r>
                      </w:hyperlink>
                      <w:hyperlink r:id="rId15">
                        <w:r w:rsidR="008E7CFC" w:rsidRPr="00FF42A7">
                          <w:rPr>
                            <w:b/>
                            <w:color w:val="0071BB"/>
                            <w:w w:val="135"/>
                            <w:sz w:val="19"/>
                            <w:u w:val="single" w:color="0071BB"/>
                          </w:rPr>
                          <w:t xml:space="preserve">Praw </w:t>
                        </w:r>
                      </w:hyperlink>
                      <w:hyperlink r:id="rId16">
                        <w:r w:rsidR="008E7CFC" w:rsidRPr="00FF42A7">
                          <w:rPr>
                            <w:b/>
                            <w:color w:val="0071BB"/>
                            <w:w w:val="135"/>
                            <w:sz w:val="19"/>
                            <w:u w:val="single" w:color="0071BB"/>
                          </w:rPr>
                          <w:t>Człowieka</w:t>
                        </w:r>
                      </w:hyperlink>
                      <w:r w:rsidRPr="00FF42A7">
                        <w:rPr>
                          <w:b/>
                          <w:color w:val="404040"/>
                          <w:w w:val="135"/>
                          <w:sz w:val="19"/>
                        </w:rPr>
                        <w:t xml:space="preserve"> z dnia 4 listopada 1950 r.:</w:t>
                      </w:r>
                    </w:p>
                    <w:p w14:paraId="23C64131" w14:textId="02DB18C4" w:rsidR="009F1A47" w:rsidRPr="00FF42A7" w:rsidRDefault="00000000">
                      <w:pPr>
                        <w:spacing w:before="57"/>
                        <w:ind w:left="107" w:right="106"/>
                        <w:jc w:val="both"/>
                        <w:rPr>
                          <w:color w:val="000000"/>
                          <w:sz w:val="19"/>
                        </w:rPr>
                      </w:pPr>
                      <w:r w:rsidRPr="00FF42A7">
                        <w:rPr>
                          <w:color w:val="404040"/>
                          <w:w w:val="120"/>
                          <w:sz w:val="19"/>
                        </w:rPr>
                        <w:t>„</w:t>
                      </w:r>
                      <w:r w:rsidR="00057000" w:rsidRPr="00FF42A7">
                        <w:rPr>
                          <w:color w:val="404040"/>
                          <w:w w:val="120"/>
                          <w:sz w:val="19"/>
                        </w:rPr>
                        <w:t xml:space="preserve">Korzystanie z praw i wolności wymienionych w niniejszej </w:t>
                      </w:r>
                      <w:r w:rsidR="006E2703" w:rsidRPr="00FF42A7">
                        <w:rPr>
                          <w:color w:val="404040"/>
                          <w:w w:val="120"/>
                          <w:sz w:val="19"/>
                        </w:rPr>
                        <w:t>K</w:t>
                      </w:r>
                      <w:r w:rsidR="00057000" w:rsidRPr="00FF42A7">
                        <w:rPr>
                          <w:color w:val="404040"/>
                          <w:w w:val="120"/>
                          <w:sz w:val="19"/>
                        </w:rPr>
                        <w:t>onwencji powinno być zapewnione bez dyskryminacji wynikającej z takich powodów, jak płeć, rasa, kolor skóry, język, religia, przekonania polityczne i inne, pochodzenie narodowe lub społeczne, przynależność do mniejszości narodowej, majątek, urodzenie bądź z jakichkolwiek innych przyczyn</w:t>
                      </w:r>
                      <w:r w:rsidRPr="00FF42A7">
                        <w:rPr>
                          <w:color w:val="404040"/>
                          <w:w w:val="120"/>
                          <w:sz w:val="19"/>
                        </w:rPr>
                        <w:t>”.</w:t>
                      </w:r>
                    </w:p>
                    <w:p w14:paraId="07BFB132" w14:textId="2A51C30A" w:rsidR="009F1A47" w:rsidRPr="00FF42A7" w:rsidRDefault="00000000">
                      <w:pPr>
                        <w:spacing w:before="116"/>
                        <w:ind w:left="107" w:right="106"/>
                        <w:jc w:val="both"/>
                        <w:rPr>
                          <w:b/>
                          <w:color w:val="000000"/>
                          <w:sz w:val="19"/>
                        </w:rPr>
                      </w:pPr>
                      <w:r w:rsidRPr="00FF42A7">
                        <w:rPr>
                          <w:b/>
                          <w:color w:val="404040"/>
                          <w:w w:val="135"/>
                          <w:sz w:val="19"/>
                        </w:rPr>
                        <w:t xml:space="preserve">Artykuł 1 (ogólny zakaz dyskryminacji) protokołu nr 12 do </w:t>
                      </w:r>
                      <w:r w:rsidR="006E2703" w:rsidRPr="00FF42A7">
                        <w:rPr>
                          <w:b/>
                          <w:color w:val="404040"/>
                          <w:w w:val="135"/>
                          <w:sz w:val="19"/>
                        </w:rPr>
                        <w:t xml:space="preserve">Konwencji </w:t>
                      </w:r>
                      <w:r w:rsidRPr="00FF42A7">
                        <w:rPr>
                          <w:b/>
                          <w:color w:val="404040"/>
                          <w:w w:val="135"/>
                          <w:sz w:val="19"/>
                        </w:rPr>
                        <w:t>z dnia 4 listopada 2000 r.:</w:t>
                      </w:r>
                    </w:p>
                    <w:p w14:paraId="5FFD8E13" w14:textId="1DB41414" w:rsidR="009F1A47" w:rsidRPr="00FF42A7" w:rsidRDefault="00000000">
                      <w:pPr>
                        <w:spacing w:before="38"/>
                        <w:ind w:left="107" w:right="105"/>
                        <w:jc w:val="both"/>
                        <w:rPr>
                          <w:color w:val="000000"/>
                          <w:sz w:val="19"/>
                        </w:rPr>
                      </w:pPr>
                      <w:r w:rsidRPr="00FF42A7">
                        <w:rPr>
                          <w:color w:val="404040"/>
                          <w:w w:val="120"/>
                          <w:sz w:val="19"/>
                        </w:rPr>
                        <w:t xml:space="preserve">„1. </w:t>
                      </w:r>
                      <w:r w:rsidR="00057000" w:rsidRPr="00FF42A7">
                        <w:rPr>
                          <w:color w:val="404040"/>
                          <w:w w:val="120"/>
                          <w:sz w:val="19"/>
                        </w:rPr>
                        <w:t>Korzystanie z każdego prawa ustanowionego przez prawo powinno być zapewnione bez dyskryminacji wynikającej z takich powodów, jak płeć, rasa, kolor skóry, język, religia, przekonania polityczne lub inne, pochodzenie narodowe lub społeczne, przynależność do mniejszości narodowej, majątek, urodzenie lub z jakichkolwiek innych przyczyn.</w:t>
                      </w:r>
                      <w:r w:rsidR="00057000" w:rsidRPr="00FF42A7" w:rsidDel="00057000">
                        <w:rPr>
                          <w:color w:val="404040"/>
                          <w:w w:val="120"/>
                          <w:sz w:val="19"/>
                        </w:rPr>
                        <w:t xml:space="preserve"> </w:t>
                      </w:r>
                    </w:p>
                    <w:p w14:paraId="1D40509C" w14:textId="20730BA6" w:rsidR="009F1A47" w:rsidRPr="00FF42A7" w:rsidRDefault="00000000">
                      <w:pPr>
                        <w:spacing w:before="39"/>
                        <w:ind w:left="107" w:right="108" w:firstLine="134"/>
                        <w:jc w:val="both"/>
                        <w:rPr>
                          <w:color w:val="000000"/>
                          <w:sz w:val="19"/>
                        </w:rPr>
                      </w:pPr>
                      <w:r w:rsidRPr="00FF42A7">
                        <w:rPr>
                          <w:color w:val="404040"/>
                          <w:w w:val="120"/>
                          <w:sz w:val="19"/>
                        </w:rPr>
                        <w:t>2.</w:t>
                      </w:r>
                      <w:r w:rsidR="00057000" w:rsidRPr="00FF42A7">
                        <w:rPr>
                          <w:rFonts w:ascii="Arial" w:hAnsi="Arial" w:cs="Arial"/>
                          <w:color w:val="000000"/>
                          <w:shd w:val="clear" w:color="auto" w:fill="FFFFFF"/>
                        </w:rPr>
                        <w:t xml:space="preserve"> </w:t>
                      </w:r>
                      <w:r w:rsidR="00057000" w:rsidRPr="00FF42A7">
                        <w:rPr>
                          <w:color w:val="404040"/>
                          <w:w w:val="120"/>
                          <w:sz w:val="19"/>
                        </w:rPr>
                        <w:t>Nikt nie może być dyskryminowany przez jakiekolwiek władze publiczne z któregokolwiek z powodów wymienionych w ustępie 1</w:t>
                      </w:r>
                      <w:r w:rsidRPr="00FF42A7">
                        <w:rPr>
                          <w:color w:val="404040"/>
                          <w:w w:val="120"/>
                          <w:sz w:val="19"/>
                        </w:rPr>
                        <w:t>”.</w:t>
                      </w:r>
                    </w:p>
                  </w:txbxContent>
                </v:textbox>
                <w10:wrap type="topAndBottom" anchorx="page"/>
              </v:shape>
            </w:pict>
          </mc:Fallback>
        </mc:AlternateContent>
      </w:r>
    </w:p>
    <w:p w14:paraId="5DE14EEB" w14:textId="48733430" w:rsidR="009F1A47" w:rsidRPr="00FF42A7" w:rsidRDefault="00000000" w:rsidP="00146A0A">
      <w:pPr>
        <w:pStyle w:val="Nagwek1"/>
        <w:tabs>
          <w:tab w:val="left" w:pos="1862"/>
          <w:tab w:val="left" w:pos="2397"/>
          <w:tab w:val="left" w:pos="3072"/>
          <w:tab w:val="left" w:pos="3847"/>
          <w:tab w:val="left" w:pos="5604"/>
          <w:tab w:val="left" w:pos="6127"/>
          <w:tab w:val="left" w:pos="7358"/>
          <w:tab w:val="left" w:pos="8128"/>
          <w:tab w:val="left" w:pos="9611"/>
        </w:tabs>
        <w:spacing w:before="261" w:after="61"/>
        <w:ind w:right="869"/>
      </w:pPr>
      <w:r w:rsidRPr="00FF42A7">
        <w:rPr>
          <w:color w:val="0071BB"/>
          <w:spacing w:val="-2"/>
          <w:w w:val="120"/>
          <w:sz w:val="29"/>
        </w:rPr>
        <w:t>Prawo</w:t>
      </w:r>
      <w:r w:rsidRPr="00FF42A7">
        <w:rPr>
          <w:color w:val="0071BB"/>
          <w:sz w:val="29"/>
        </w:rPr>
        <w:tab/>
      </w:r>
      <w:r w:rsidRPr="00FF42A7">
        <w:rPr>
          <w:color w:val="0071BB"/>
          <w:spacing w:val="-6"/>
          <w:w w:val="120"/>
          <w:sz w:val="29"/>
        </w:rPr>
        <w:t>do</w:t>
      </w:r>
      <w:r w:rsidR="00CC5EBA" w:rsidRPr="00FF42A7">
        <w:rPr>
          <w:color w:val="0071BB"/>
          <w:spacing w:val="-6"/>
          <w:w w:val="120"/>
          <w:sz w:val="29"/>
        </w:rPr>
        <w:t xml:space="preserve"> życia i zakaz tortur i nieludzkiego i poniżającego traktowania</w:t>
      </w:r>
    </w:p>
    <w:p w14:paraId="279D80FD" w14:textId="77777777" w:rsidR="009F1A47" w:rsidRPr="00FF42A7" w:rsidRDefault="00000000">
      <w:pPr>
        <w:spacing w:line="28" w:lineRule="exact"/>
        <w:ind w:left="845"/>
        <w:rPr>
          <w:sz w:val="2"/>
        </w:rPr>
      </w:pPr>
      <w:r w:rsidRPr="00FF42A7">
        <w:rPr>
          <w:noProof/>
          <w:sz w:val="2"/>
        </w:rPr>
        <mc:AlternateContent>
          <mc:Choice Requires="wpg">
            <w:drawing>
              <wp:inline distT="0" distB="0" distL="0" distR="0" wp14:anchorId="10EFC8BD" wp14:editId="59F4C0CB">
                <wp:extent cx="5768340" cy="18415"/>
                <wp:effectExtent l="0" t="0" r="0" b="0"/>
                <wp:docPr id="8" name="Group 8"/>
                <wp:cNvGraphicFramePr/>
                <a:graphic xmlns:a="http://schemas.openxmlformats.org/drawingml/2006/main">
                  <a:graphicData uri="http://schemas.microsoft.com/office/word/2010/wordprocessingGroup">
                    <wpg:wgp>
                      <wpg:cNvGrpSpPr/>
                      <wpg:grpSpPr>
                        <a:xfrm>
                          <a:off x="0" y="0"/>
                          <a:ext cx="5768340" cy="18415"/>
                          <a:chOff x="0" y="0"/>
                          <a:chExt cx="5768340" cy="18415"/>
                        </a:xfrm>
                      </wpg:grpSpPr>
                      <wps:wsp>
                        <wps:cNvPr id="9" name="Graphic 9"/>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wpg:wgp>
                  </a:graphicData>
                </a:graphic>
              </wp:inline>
            </w:drawing>
          </mc:Choice>
          <mc:Fallback>
            <w:pict>
              <v:group w14:anchorId="29375990" id="Group 8" o:spid="_x0000_s1026" style="width:454.2pt;height:1.45pt;mso-position-horizontal-relative:char;mso-position-vertical-relative:line" coordsize="5768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">
                <v:shape id="Graphic 9" o:spid="_x0000_s1027" style="position:absolute;width:57683;height:184;visibility:visible;mso-wrap-style:square;v-text-anchor:top" coordsize="57683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" path="m5768340,l,,,18287r5768340,l5768340,xe" fillcolor="#999" stroked="f">
                  <v:path arrowok="t"/>
                </v:shape>
                <w10:anchorlock/>
              </v:group>
            </w:pict>
          </mc:Fallback>
        </mc:AlternateContent>
      </w:r>
    </w:p>
    <w:p w14:paraId="606A27CD" w14:textId="77777777" w:rsidR="009F1A47" w:rsidRPr="00FF42A7" w:rsidRDefault="00000000">
      <w:pPr>
        <w:pStyle w:val="Nagwek1"/>
      </w:pPr>
      <w:r w:rsidRPr="00FF42A7">
        <w:rPr>
          <w:color w:val="808080"/>
          <w:spacing w:val="-2"/>
          <w:w w:val="120"/>
          <w:sz w:val="29"/>
        </w:rPr>
        <w:t xml:space="preserve">Przemoc </w:t>
      </w:r>
      <w:r w:rsidRPr="00FF42A7">
        <w:rPr>
          <w:color w:val="808080"/>
          <w:w w:val="120"/>
          <w:sz w:val="29"/>
        </w:rPr>
        <w:t>domowa</w:t>
      </w:r>
    </w:p>
    <w:p w14:paraId="6385BEA9" w14:textId="77777777" w:rsidR="009F1A47" w:rsidRPr="00FF42A7" w:rsidRDefault="009F1A47">
      <w:pPr>
        <w:pStyle w:val="Nagwek2"/>
        <w:rPr>
          <w:u w:val="none"/>
        </w:rPr>
      </w:pPr>
      <w:hyperlink r:id="rId17">
        <w:proofErr w:type="spellStart"/>
        <w:r w:rsidRPr="00FF42A7">
          <w:rPr>
            <w:color w:val="0071BB"/>
            <w:w w:val="135"/>
            <w:u w:color="0071BB"/>
          </w:rPr>
          <w:t>Opuz</w:t>
        </w:r>
        <w:proofErr w:type="spellEnd"/>
        <w:r w:rsidRPr="00FF42A7">
          <w:rPr>
            <w:color w:val="0071BB"/>
            <w:w w:val="135"/>
            <w:u w:color="0071BB"/>
          </w:rPr>
          <w:t xml:space="preserve"> przeciwko </w:t>
        </w:r>
        <w:r w:rsidRPr="00FF42A7">
          <w:rPr>
            <w:color w:val="0071BB"/>
            <w:spacing w:val="-2"/>
            <w:w w:val="135"/>
            <w:u w:color="0071BB"/>
          </w:rPr>
          <w:t>Turcji</w:t>
        </w:r>
      </w:hyperlink>
    </w:p>
    <w:p w14:paraId="1CF03569" w14:textId="77777777" w:rsidR="009F1A47" w:rsidRPr="00FF42A7" w:rsidRDefault="00000000">
      <w:pPr>
        <w:spacing w:before="56"/>
        <w:ind w:left="874"/>
        <w:jc w:val="both"/>
        <w:rPr>
          <w:sz w:val="18"/>
        </w:rPr>
      </w:pPr>
      <w:r w:rsidRPr="00FF42A7">
        <w:rPr>
          <w:color w:val="808080"/>
          <w:w w:val="125"/>
          <w:sz w:val="18"/>
        </w:rPr>
        <w:t>9 czerwca</w:t>
      </w:r>
      <w:r w:rsidRPr="00FF42A7">
        <w:rPr>
          <w:color w:val="808080"/>
          <w:spacing w:val="-4"/>
          <w:w w:val="125"/>
          <w:sz w:val="18"/>
        </w:rPr>
        <w:t xml:space="preserve"> 2009 r.</w:t>
      </w:r>
    </w:p>
    <w:p w14:paraId="463DB2B8" w14:textId="4CFE232D" w:rsidR="009F1A47" w:rsidRPr="00FF42A7" w:rsidRDefault="00047F0D">
      <w:pPr>
        <w:pStyle w:val="Tekstpodstawowy"/>
        <w:spacing w:before="1"/>
        <w:ind w:right="872"/>
      </w:pPr>
      <w:r w:rsidRPr="00FF42A7">
        <w:rPr>
          <w:w w:val="120"/>
        </w:rPr>
        <w:t>Skarżąca twierdziła, że władze tureckie nie zapewniły ochrony prawa do życia jej matce, która została zabita przez męża skarżącej, oraz że dopuściły się zaniedbania w obliczu powtarzającej się przemocy, gróźb śmierci i obrażeń, których sama była ofiarą ze strony męża. Skarżyła się również na brak ochrony kobiet przed przemocą domową w tureckim prawie krajowym.</w:t>
      </w:r>
    </w:p>
    <w:p w14:paraId="78FE31A6" w14:textId="5A734C4D" w:rsidR="009F1A47" w:rsidRPr="00FF42A7" w:rsidRDefault="00000000" w:rsidP="00146A0A">
      <w:pPr>
        <w:pStyle w:val="Tekstpodstawowy"/>
        <w:ind w:right="870"/>
        <w:sectPr w:rsidR="009F1A47" w:rsidRPr="00FF42A7">
          <w:type w:val="continuous"/>
          <w:pgSz w:w="11910" w:h="16840"/>
          <w:pgMar w:top="720" w:right="566" w:bottom="280" w:left="566" w:header="708" w:footer="708" w:gutter="0"/>
          <w:cols w:space="708"/>
        </w:sectPr>
      </w:pPr>
      <w:r w:rsidRPr="00FF42A7">
        <w:rPr>
          <w:noProof/>
        </w:rPr>
        <w:drawing>
          <wp:anchor distT="0" distB="0" distL="0" distR="0" simplePos="0" relativeHeight="251637760" behindDoc="1" locked="0" layoutInCell="1" allowOverlap="1" wp14:anchorId="1D950630" wp14:editId="791B1C20">
            <wp:simplePos x="0" y="0"/>
            <wp:positionH relativeFrom="page">
              <wp:posOffset>3399154</wp:posOffset>
            </wp:positionH>
            <wp:positionV relativeFrom="paragraph">
              <wp:posOffset>1717941</wp:posOffset>
            </wp:positionV>
            <wp:extent cx="738934" cy="590550"/>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738934" cy="590550"/>
                    </a:xfrm>
                    <a:prstGeom prst="rect">
                      <a:avLst/>
                    </a:prstGeom>
                  </pic:spPr>
                </pic:pic>
              </a:graphicData>
            </a:graphic>
          </wp:anchor>
        </w:drawing>
      </w:r>
      <w:r w:rsidRPr="00FF42A7">
        <w:rPr>
          <w:color w:val="0071BB"/>
          <w:w w:val="120"/>
        </w:rPr>
        <w:t xml:space="preserve">Europejski Trybunał Praw Człowieka stwierdził, że doszło </w:t>
      </w:r>
      <w:r w:rsidRPr="00FF42A7">
        <w:rPr>
          <w:b/>
          <w:color w:val="0071BB"/>
          <w:w w:val="120"/>
        </w:rPr>
        <w:t xml:space="preserve">do naruszenia art. 2 </w:t>
      </w:r>
      <w:r w:rsidRPr="00FF42A7">
        <w:rPr>
          <w:color w:val="0071BB"/>
          <w:w w:val="120"/>
        </w:rPr>
        <w:t xml:space="preserve">(prawo do życia) Europejskiej Konwencji Praw Człowieka w związku z zabójstwem matki skarżącej oraz </w:t>
      </w:r>
      <w:r w:rsidRPr="00FF42A7">
        <w:rPr>
          <w:b/>
          <w:color w:val="0071BB"/>
          <w:w w:val="120"/>
        </w:rPr>
        <w:t xml:space="preserve">naruszenia art. 3 </w:t>
      </w:r>
      <w:r w:rsidRPr="00FF42A7">
        <w:rPr>
          <w:color w:val="0071BB"/>
          <w:w w:val="120"/>
        </w:rPr>
        <w:t xml:space="preserve">(zakaz nieludzkiego lub poniżającego traktowania) Konwencji w związku z nieudzielaniem przez </w:t>
      </w:r>
      <w:r w:rsidR="004D58D3" w:rsidRPr="00FF42A7">
        <w:rPr>
          <w:color w:val="0071BB"/>
          <w:w w:val="120"/>
        </w:rPr>
        <w:t>P</w:t>
      </w:r>
      <w:r w:rsidRPr="00FF42A7">
        <w:rPr>
          <w:color w:val="0071BB"/>
          <w:w w:val="120"/>
        </w:rPr>
        <w:t xml:space="preserve">aństwo ochrony skarżącej. Stwierdził również – po raz pierwszy w sprawie dotyczącej przemocy domowej – że doszło </w:t>
      </w:r>
      <w:r w:rsidRPr="00FF42A7">
        <w:rPr>
          <w:b/>
          <w:color w:val="0071BB"/>
          <w:w w:val="120"/>
        </w:rPr>
        <w:t xml:space="preserve">do naruszenia art. 14 </w:t>
      </w:r>
      <w:r w:rsidRPr="00FF42A7">
        <w:rPr>
          <w:b/>
          <w:color w:val="0071BB"/>
          <w:spacing w:val="40"/>
          <w:w w:val="120"/>
        </w:rPr>
        <w:t>(</w:t>
      </w:r>
      <w:r w:rsidRPr="00FF42A7">
        <w:rPr>
          <w:color w:val="0071BB"/>
          <w:w w:val="120"/>
        </w:rPr>
        <w:t xml:space="preserve">zakaz dyskryminacji) Konwencji </w:t>
      </w:r>
      <w:r w:rsidRPr="00FF42A7">
        <w:rPr>
          <w:b/>
          <w:color w:val="0071BB"/>
          <w:w w:val="120"/>
        </w:rPr>
        <w:t xml:space="preserve">w związku z art. 2 i 3. </w:t>
      </w:r>
      <w:r w:rsidRPr="00FF42A7">
        <w:rPr>
          <w:color w:val="0071BB"/>
          <w:w w:val="120"/>
        </w:rPr>
        <w:t>W tym względzie Trybunał zauważył w szczególności, że przemoc domowa dotyka głównie kobiety, a ogólna i dyskryminacyjna bierność wymiaru sprawiedliwości w Turcji stworzyła klimat sprzyjający jej występowaniu. Przemoc, której doświadczyła skarżąca i jej matka, można zatem uznać za przemoc ze względu na płeć i dyskryminującą wobec kobiet. Ponadto, pomimo refor</w:t>
      </w:r>
      <w:r w:rsidR="00D4259C" w:rsidRPr="00FF42A7">
        <w:rPr>
          <w:color w:val="0071BB"/>
          <w:w w:val="120"/>
        </w:rPr>
        <w:t xml:space="preserve">m </w:t>
      </w:r>
    </w:p>
    <w:p w14:paraId="4AC3AC62" w14:textId="77777777" w:rsidR="009F1A47" w:rsidRPr="00FF42A7" w:rsidRDefault="009F1A47">
      <w:pPr>
        <w:pStyle w:val="Tekstpodstawowy"/>
        <w:spacing w:before="59"/>
        <w:ind w:left="0"/>
        <w:jc w:val="left"/>
      </w:pPr>
    </w:p>
    <w:p w14:paraId="4FB907D6" w14:textId="14430330" w:rsidR="009F1A47" w:rsidRPr="00FF42A7" w:rsidRDefault="00D4259C">
      <w:pPr>
        <w:pStyle w:val="Tekstpodstawowy"/>
        <w:spacing w:before="1"/>
        <w:ind w:right="872"/>
      </w:pPr>
      <w:r w:rsidRPr="00FF42A7">
        <w:rPr>
          <w:color w:val="0071BB"/>
          <w:w w:val="120"/>
        </w:rPr>
        <w:t>przeprowadzonych przez turecki rząd w ostatnich latach ogólna bierność wymiaru sprawiedliwości i bezkarność sprawców przemocy, jak w przypadku skarżące</w:t>
      </w:r>
      <w:r w:rsidR="004D58D3" w:rsidRPr="00FF42A7">
        <w:rPr>
          <w:color w:val="0071BB"/>
          <w:w w:val="120"/>
        </w:rPr>
        <w:t>j</w:t>
      </w:r>
      <w:r w:rsidRPr="00FF42A7">
        <w:rPr>
          <w:color w:val="0071BB"/>
          <w:w w:val="120"/>
        </w:rPr>
        <w:t>, wskazywały na niewystarczające zaangażowanie władz w podejmowanie odpowiednich działań w celu zwalczania przemocy domowej.</w:t>
      </w:r>
    </w:p>
    <w:p w14:paraId="086E8D97" w14:textId="77777777" w:rsidR="009F1A47" w:rsidRPr="00FF42A7" w:rsidRDefault="009F1A47">
      <w:pPr>
        <w:pStyle w:val="Nagwek2"/>
        <w:spacing w:before="115"/>
        <w:rPr>
          <w:u w:val="none"/>
        </w:rPr>
      </w:pPr>
      <w:hyperlink r:id="rId19">
        <w:r w:rsidRPr="00FF42A7">
          <w:rPr>
            <w:color w:val="0071BB"/>
            <w:w w:val="135"/>
            <w:u w:color="0071BB"/>
          </w:rPr>
          <w:t>A. przeciwko Chorwacji (skarga nr</w:t>
        </w:r>
        <w:r w:rsidRPr="00FF42A7">
          <w:rPr>
            <w:color w:val="0071BB"/>
            <w:spacing w:val="-2"/>
            <w:w w:val="135"/>
            <w:u w:color="0071BB"/>
          </w:rPr>
          <w:t xml:space="preserve"> 55164/08)</w:t>
        </w:r>
      </w:hyperlink>
    </w:p>
    <w:p w14:paraId="143A7C1A" w14:textId="0B5A1867" w:rsidR="009F1A47" w:rsidRPr="00FF42A7" w:rsidRDefault="00000000">
      <w:pPr>
        <w:spacing w:before="56"/>
        <w:ind w:left="874"/>
        <w:jc w:val="both"/>
        <w:rPr>
          <w:sz w:val="18"/>
        </w:rPr>
      </w:pPr>
      <w:r w:rsidRPr="00FF42A7">
        <w:rPr>
          <w:color w:val="808080"/>
          <w:w w:val="120"/>
          <w:sz w:val="18"/>
        </w:rPr>
        <w:t>14 października</w:t>
      </w:r>
      <w:r w:rsidRPr="00FF42A7">
        <w:rPr>
          <w:color w:val="808080"/>
          <w:spacing w:val="-4"/>
          <w:w w:val="120"/>
          <w:sz w:val="18"/>
        </w:rPr>
        <w:t xml:space="preserve"> 2010</w:t>
      </w:r>
      <w:r w:rsidR="007A5EA4" w:rsidRPr="00FF42A7">
        <w:rPr>
          <w:color w:val="808080"/>
          <w:spacing w:val="-4"/>
          <w:w w:val="120"/>
          <w:sz w:val="18"/>
        </w:rPr>
        <w:t xml:space="preserve"> r.</w:t>
      </w:r>
    </w:p>
    <w:p w14:paraId="22B7A54C" w14:textId="7D63C669" w:rsidR="009F1A47" w:rsidRPr="00FF42A7" w:rsidRDefault="00000000">
      <w:pPr>
        <w:pStyle w:val="Tekstpodstawowy"/>
        <w:spacing w:before="1"/>
        <w:ind w:left="873" w:right="870"/>
      </w:pPr>
      <w:r w:rsidRPr="00FF42A7">
        <w:rPr>
          <w:w w:val="120"/>
        </w:rPr>
        <w:t xml:space="preserve">Sprawa dotyczyła skargi skarżącej, która </w:t>
      </w:r>
      <w:r w:rsidR="004B6597" w:rsidRPr="00FF42A7">
        <w:rPr>
          <w:w w:val="120"/>
        </w:rPr>
        <w:t>podnosiła</w:t>
      </w:r>
      <w:r w:rsidRPr="00FF42A7">
        <w:rPr>
          <w:w w:val="120"/>
        </w:rPr>
        <w:t>, że władze nie zapewniły jej ochrony przed przemocą domową ze strony jej chorego psychicznie byłego męża, mimo że informowała je o jego powtarzających się napaściach fizycznych i słownych oraz groźbach śmierci. Twierdziła również, ż</w:t>
      </w:r>
      <w:r w:rsidR="007A5EA4" w:rsidRPr="00FF42A7">
        <w:rPr>
          <w:w w:val="120"/>
        </w:rPr>
        <w:t xml:space="preserve">e </w:t>
      </w:r>
      <w:r w:rsidRPr="00FF42A7">
        <w:rPr>
          <w:w w:val="120"/>
        </w:rPr>
        <w:t>odpowiednie przepis</w:t>
      </w:r>
      <w:r w:rsidR="007A5EA4" w:rsidRPr="00FF42A7">
        <w:rPr>
          <w:w w:val="120"/>
        </w:rPr>
        <w:t xml:space="preserve">y </w:t>
      </w:r>
      <w:r w:rsidRPr="00FF42A7">
        <w:rPr>
          <w:w w:val="120"/>
        </w:rPr>
        <w:t>w</w:t>
      </w:r>
      <w:r w:rsidR="007A5EA4" w:rsidRPr="00FF42A7">
        <w:rPr>
          <w:w w:val="120"/>
        </w:rPr>
        <w:t xml:space="preserve"> </w:t>
      </w:r>
      <w:r w:rsidRPr="00FF42A7">
        <w:rPr>
          <w:w w:val="120"/>
        </w:rPr>
        <w:t>Chorwacji</w:t>
      </w:r>
      <w:r w:rsidR="007A5EA4" w:rsidRPr="00FF42A7">
        <w:rPr>
          <w:w w:val="120"/>
        </w:rPr>
        <w:t xml:space="preserve"> </w:t>
      </w:r>
      <w:r w:rsidRPr="00FF42A7">
        <w:rPr>
          <w:w w:val="120"/>
        </w:rPr>
        <w:t>dotyczące</w:t>
      </w:r>
      <w:r w:rsidR="007A5EA4" w:rsidRPr="00FF42A7">
        <w:rPr>
          <w:w w:val="120"/>
        </w:rPr>
        <w:t xml:space="preserve"> </w:t>
      </w:r>
      <w:r w:rsidRPr="00FF42A7">
        <w:rPr>
          <w:w w:val="120"/>
        </w:rPr>
        <w:t>przemocy domowej</w:t>
      </w:r>
      <w:r w:rsidR="007A5EA4" w:rsidRPr="00FF42A7">
        <w:rPr>
          <w:w w:val="120"/>
        </w:rPr>
        <w:t xml:space="preserve"> </w:t>
      </w:r>
      <w:r w:rsidRPr="00FF42A7">
        <w:rPr>
          <w:w w:val="120"/>
        </w:rPr>
        <w:t>były dyskryminujące.</w:t>
      </w:r>
    </w:p>
    <w:p w14:paraId="33A9B4F0" w14:textId="77777777" w:rsidR="00AA5183" w:rsidRPr="00FF42A7" w:rsidRDefault="00000000">
      <w:pPr>
        <w:pStyle w:val="Tekstpodstawowy"/>
        <w:ind w:right="869"/>
        <w:rPr>
          <w:bCs/>
          <w:color w:val="0071BB"/>
          <w:spacing w:val="40"/>
          <w:w w:val="120"/>
        </w:rPr>
      </w:pPr>
      <w:r w:rsidRPr="00FF42A7">
        <w:rPr>
          <w:color w:val="0071BB"/>
          <w:w w:val="120"/>
        </w:rPr>
        <w:t xml:space="preserve">Trybunał uznał </w:t>
      </w:r>
      <w:r w:rsidRPr="00FF42A7">
        <w:rPr>
          <w:b/>
          <w:color w:val="0071BB"/>
          <w:w w:val="120"/>
        </w:rPr>
        <w:t>skargę</w:t>
      </w:r>
      <w:r w:rsidRPr="00FF42A7">
        <w:rPr>
          <w:color w:val="0071BB"/>
          <w:w w:val="120"/>
        </w:rPr>
        <w:t xml:space="preserve"> skarżącej </w:t>
      </w:r>
      <w:r w:rsidRPr="00FF42A7">
        <w:rPr>
          <w:b/>
          <w:color w:val="0071BB"/>
          <w:w w:val="120"/>
        </w:rPr>
        <w:t xml:space="preserve">na podstawie art. 14 </w:t>
      </w:r>
      <w:r w:rsidRPr="00FF42A7">
        <w:rPr>
          <w:color w:val="0071BB"/>
          <w:w w:val="120"/>
        </w:rPr>
        <w:t xml:space="preserve">(zakaz dyskryminacji) Konwencji </w:t>
      </w:r>
      <w:r w:rsidRPr="00FF42A7">
        <w:rPr>
          <w:b/>
          <w:color w:val="0071BB"/>
          <w:w w:val="120"/>
        </w:rPr>
        <w:t>za niedopuszczalną</w:t>
      </w:r>
      <w:r w:rsidRPr="00FF42A7">
        <w:rPr>
          <w:color w:val="0071BB"/>
          <w:w w:val="120"/>
        </w:rPr>
        <w:t xml:space="preserve">, w szczególności na tej podstawie, że nie przedstawiła ona wystarczających dowodów (takich jak raporty lub statystyki) na to, że środki lub praktyki przyjęte w Chorwacji w celu zwalczania przemocy domowej lub skutki takich środków lub praktyk miały charakter dyskryminacyjny. Ponadto stwierdził, że doszło </w:t>
      </w:r>
      <w:r w:rsidRPr="00FF42A7">
        <w:rPr>
          <w:b/>
          <w:color w:val="0071BB"/>
          <w:w w:val="120"/>
        </w:rPr>
        <w:t>do naruszenia art</w:t>
      </w:r>
      <w:r w:rsidRPr="00FF42A7">
        <w:rPr>
          <w:b/>
          <w:color w:val="0071BB"/>
          <w:spacing w:val="40"/>
          <w:w w:val="120"/>
        </w:rPr>
        <w:t xml:space="preserve">. 8 </w:t>
      </w:r>
      <w:r w:rsidR="007A5EA4" w:rsidRPr="00FF42A7">
        <w:rPr>
          <w:bCs/>
          <w:color w:val="0071BB"/>
          <w:spacing w:val="40"/>
          <w:w w:val="120"/>
        </w:rPr>
        <w:t>(</w:t>
      </w:r>
    </w:p>
    <w:p w14:paraId="7A4D22C2" w14:textId="4DA0FA28" w:rsidR="009F1A47" w:rsidRPr="00FF42A7" w:rsidRDefault="00000000">
      <w:pPr>
        <w:pStyle w:val="Tekstpodstawowy"/>
        <w:ind w:right="869"/>
      </w:pPr>
      <w:r w:rsidRPr="00FF42A7">
        <w:rPr>
          <w:color w:val="0071BB"/>
          <w:w w:val="120"/>
        </w:rPr>
        <w:t>prawo do poszanowania życia prywatnego i rodzinnego) Konwencji, ponieważ władze chorwackie nie wdrożyły wielu środków nakazanych przez sądy w celu ochrony skarżącej lub rozwiązania problemów psychiatrycznych jej byłego męża, które wydawały się być przyczyną jego agresywnego zachowania.</w:t>
      </w:r>
    </w:p>
    <w:p w14:paraId="7C3B579F" w14:textId="105E39D7" w:rsidR="009F1A47" w:rsidRPr="00FF42A7" w:rsidRDefault="009F1A47">
      <w:pPr>
        <w:pStyle w:val="Nagwek2"/>
        <w:spacing w:before="105"/>
        <w:rPr>
          <w:u w:val="none"/>
        </w:rPr>
      </w:pPr>
      <w:hyperlink r:id="rId20">
        <w:proofErr w:type="spellStart"/>
        <w:r w:rsidRPr="00FF42A7">
          <w:rPr>
            <w:color w:val="0071BB"/>
            <w:w w:val="135"/>
            <w:u w:color="0071BB"/>
          </w:rPr>
          <w:t>Eremia</w:t>
        </w:r>
        <w:proofErr w:type="spellEnd"/>
        <w:r w:rsidRPr="00FF42A7">
          <w:rPr>
            <w:color w:val="0071BB"/>
            <w:w w:val="135"/>
            <w:u w:color="0071BB"/>
          </w:rPr>
          <w:t xml:space="preserve"> i </w:t>
        </w:r>
        <w:r w:rsidR="007A5EA4" w:rsidRPr="00FF42A7">
          <w:rPr>
            <w:color w:val="0071BB"/>
            <w:w w:val="135"/>
            <w:u w:color="0071BB"/>
          </w:rPr>
          <w:t>Inni</w:t>
        </w:r>
        <w:r w:rsidRPr="00FF42A7">
          <w:rPr>
            <w:color w:val="0071BB"/>
            <w:w w:val="135"/>
            <w:u w:color="0071BB"/>
          </w:rPr>
          <w:t xml:space="preserve"> przeciwko Republice </w:t>
        </w:r>
        <w:r w:rsidRPr="00FF42A7">
          <w:rPr>
            <w:color w:val="0071BB"/>
            <w:spacing w:val="-2"/>
            <w:w w:val="135"/>
            <w:u w:color="0071BB"/>
          </w:rPr>
          <w:t>Mołdawii</w:t>
        </w:r>
      </w:hyperlink>
    </w:p>
    <w:p w14:paraId="0B9D6560" w14:textId="147555B0" w:rsidR="009F1A47" w:rsidRPr="00FF42A7" w:rsidRDefault="00000000">
      <w:pPr>
        <w:spacing w:before="56"/>
        <w:ind w:left="874"/>
        <w:jc w:val="both"/>
        <w:rPr>
          <w:sz w:val="18"/>
        </w:rPr>
      </w:pPr>
      <w:r w:rsidRPr="00FF42A7">
        <w:rPr>
          <w:color w:val="808080"/>
          <w:w w:val="125"/>
          <w:sz w:val="18"/>
        </w:rPr>
        <w:t>28 maja</w:t>
      </w:r>
      <w:r w:rsidRPr="00FF42A7">
        <w:rPr>
          <w:color w:val="808080"/>
          <w:spacing w:val="-4"/>
          <w:w w:val="125"/>
          <w:sz w:val="18"/>
        </w:rPr>
        <w:t xml:space="preserve"> 2013</w:t>
      </w:r>
      <w:r w:rsidR="007A5EA4" w:rsidRPr="00FF42A7">
        <w:rPr>
          <w:color w:val="808080"/>
          <w:spacing w:val="-4"/>
          <w:w w:val="125"/>
          <w:sz w:val="18"/>
        </w:rPr>
        <w:t xml:space="preserve"> r.</w:t>
      </w:r>
    </w:p>
    <w:p w14:paraId="3046DC08" w14:textId="69DDFA6A" w:rsidR="009F1A47" w:rsidRPr="00FF42A7" w:rsidRDefault="00000000">
      <w:pPr>
        <w:pStyle w:val="Tekstpodstawowy"/>
        <w:spacing w:before="3"/>
        <w:ind w:right="871" w:hanging="1"/>
      </w:pPr>
      <w:r w:rsidRPr="00FF42A7">
        <w:rPr>
          <w:w w:val="120"/>
        </w:rPr>
        <w:t>Pierwsza skarżąca i jej dwie córki skarżyły się na brak ochrony ze strony władz mołdawskich przed przemocą i znęcaniem się ze strony męża i ojca,</w:t>
      </w:r>
      <w:r w:rsidR="002267D5" w:rsidRPr="00FF42A7">
        <w:rPr>
          <w:w w:val="120"/>
        </w:rPr>
        <w:t xml:space="preserve"> który był</w:t>
      </w:r>
      <w:r w:rsidRPr="00FF42A7">
        <w:rPr>
          <w:w w:val="120"/>
        </w:rPr>
        <w:t xml:space="preserve"> funkcjonarius</w:t>
      </w:r>
      <w:r w:rsidR="002267D5" w:rsidRPr="00FF42A7">
        <w:rPr>
          <w:w w:val="120"/>
        </w:rPr>
        <w:t>zem</w:t>
      </w:r>
      <w:r w:rsidRPr="00FF42A7">
        <w:rPr>
          <w:w w:val="120"/>
        </w:rPr>
        <w:t xml:space="preserve"> policji.</w:t>
      </w:r>
    </w:p>
    <w:p w14:paraId="2973F5AD" w14:textId="3C994B5C" w:rsidR="009F1A47" w:rsidRPr="00FF42A7" w:rsidRDefault="00000000">
      <w:pPr>
        <w:pStyle w:val="Tekstpodstawowy"/>
        <w:ind w:left="873" w:right="868"/>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3 </w:t>
      </w:r>
      <w:r w:rsidRPr="00FF42A7">
        <w:rPr>
          <w:color w:val="0071BB"/>
          <w:w w:val="120"/>
        </w:rPr>
        <w:t xml:space="preserve">(zakaz nieludzkiego i poniżającego traktowania) Konwencji w odniesieniu do pierwszej skarżącej, ponieważ pomimo wiedzy o znęcaniu się, władze nie podjęły skutecznych środków przeciwko jej mężowi i nie zapewniły jej ochrony przed dalszą przemocą domową. Trybunał uznał również, że doszło </w:t>
      </w:r>
      <w:r w:rsidRPr="00FF42A7">
        <w:rPr>
          <w:b/>
          <w:color w:val="0071BB"/>
          <w:w w:val="120"/>
        </w:rPr>
        <w:t xml:space="preserve">do naruszenia art. 14 </w:t>
      </w:r>
      <w:r w:rsidRPr="00FF42A7">
        <w:rPr>
          <w:bCs/>
          <w:color w:val="0071BB"/>
          <w:w w:val="120"/>
        </w:rPr>
        <w:t>(</w:t>
      </w:r>
      <w:r w:rsidRPr="00FF42A7">
        <w:rPr>
          <w:color w:val="0071BB"/>
          <w:w w:val="120"/>
        </w:rPr>
        <w:t xml:space="preserve">zakaz dyskryminacji) Konwencji </w:t>
      </w:r>
      <w:r w:rsidRPr="00FF42A7">
        <w:rPr>
          <w:b/>
          <w:color w:val="0071BB"/>
          <w:w w:val="120"/>
        </w:rPr>
        <w:t>w związku z art</w:t>
      </w:r>
      <w:r w:rsidRPr="00FF42A7">
        <w:rPr>
          <w:b/>
          <w:color w:val="0071BB"/>
          <w:spacing w:val="80"/>
          <w:w w:val="120"/>
        </w:rPr>
        <w:t>.3</w:t>
      </w:r>
      <w:r w:rsidRPr="00FF42A7">
        <w:rPr>
          <w:b/>
          <w:color w:val="0071BB"/>
          <w:w w:val="120"/>
        </w:rPr>
        <w:t xml:space="preserve">, </w:t>
      </w:r>
      <w:r w:rsidRPr="00FF42A7">
        <w:rPr>
          <w:color w:val="0071BB"/>
          <w:w w:val="120"/>
        </w:rPr>
        <w:t xml:space="preserve">stwierdzając, że działania władz nie były zwykłym zaniechaniem lub opóźnieniem w reagowaniu na przemoc wobec pierwszej skarżącej, ale stanowiły powtarzające się tolerowanie takiej przemocy i odzwierciedlały dyskryminujące podejście do niej jako kobiety. W tym względzie Trybunał zauważył, że ustalenia </w:t>
      </w:r>
      <w:hyperlink r:id="rId21">
        <w:r w:rsidR="009F1A47" w:rsidRPr="00FF42A7">
          <w:rPr>
            <w:color w:val="0071BB"/>
            <w:w w:val="120"/>
            <w:u w:val="single" w:color="0071BB"/>
          </w:rPr>
          <w:t>specjalnego sprawozdawcy</w:t>
        </w:r>
      </w:hyperlink>
      <w:r w:rsidRPr="00FF42A7">
        <w:rPr>
          <w:color w:val="0071BB"/>
          <w:w w:val="120"/>
        </w:rPr>
        <w:t xml:space="preserve"> </w:t>
      </w:r>
      <w:hyperlink r:id="rId22">
        <w:r w:rsidR="009F1A47" w:rsidRPr="00FF42A7">
          <w:rPr>
            <w:color w:val="0071BB"/>
            <w:w w:val="120"/>
            <w:u w:val="single" w:color="0071BB"/>
          </w:rPr>
          <w:t xml:space="preserve">ONZ ds. przemocy wobec kobiet, jej przyczyn i </w:t>
        </w:r>
      </w:hyperlink>
      <w:hyperlink r:id="rId23">
        <w:r w:rsidR="009F1A47" w:rsidRPr="00FF42A7">
          <w:rPr>
            <w:color w:val="0071BB"/>
            <w:w w:val="120"/>
            <w:u w:val="single" w:color="0071BB"/>
          </w:rPr>
          <w:t>skutków</w:t>
        </w:r>
      </w:hyperlink>
      <w:r w:rsidRPr="00FF42A7">
        <w:rPr>
          <w:color w:val="0071BB"/>
          <w:w w:val="120"/>
        </w:rPr>
        <w:t xml:space="preserve"> tylko potwierdziły wrażenie, że władze nie doceniły </w:t>
      </w:r>
      <w:r w:rsidR="002267D5" w:rsidRPr="00FF42A7">
        <w:rPr>
          <w:color w:val="0071BB"/>
          <w:w w:val="120"/>
        </w:rPr>
        <w:t xml:space="preserve">w pełni </w:t>
      </w:r>
      <w:r w:rsidRPr="00FF42A7">
        <w:rPr>
          <w:color w:val="0071BB"/>
          <w:w w:val="120"/>
        </w:rPr>
        <w:t>powa</w:t>
      </w:r>
      <w:r w:rsidR="00AB46AB" w:rsidRPr="00FF42A7">
        <w:rPr>
          <w:color w:val="0071BB"/>
          <w:w w:val="120"/>
        </w:rPr>
        <w:t>gi</w:t>
      </w:r>
      <w:r w:rsidRPr="00FF42A7">
        <w:rPr>
          <w:color w:val="0071BB"/>
          <w:w w:val="120"/>
        </w:rPr>
        <w:t xml:space="preserve"> i </w:t>
      </w:r>
      <w:r w:rsidR="002267D5" w:rsidRPr="00FF42A7">
        <w:rPr>
          <w:color w:val="0071BB"/>
          <w:w w:val="120"/>
        </w:rPr>
        <w:t>skal</w:t>
      </w:r>
      <w:r w:rsidR="00AB46AB" w:rsidRPr="00FF42A7">
        <w:rPr>
          <w:color w:val="0071BB"/>
          <w:w w:val="120"/>
        </w:rPr>
        <w:t>i</w:t>
      </w:r>
      <w:r w:rsidRPr="00FF42A7">
        <w:rPr>
          <w:color w:val="0071BB"/>
          <w:w w:val="120"/>
        </w:rPr>
        <w:t xml:space="preserve"> problemu przemocy domowej w Republice Mołdawii oraz jego dyskryminując</w:t>
      </w:r>
      <w:r w:rsidR="002267D5" w:rsidRPr="00FF42A7">
        <w:rPr>
          <w:color w:val="0071BB"/>
          <w:w w:val="120"/>
        </w:rPr>
        <w:t>ego</w:t>
      </w:r>
      <w:r w:rsidRPr="00FF42A7">
        <w:rPr>
          <w:color w:val="0071BB"/>
          <w:w w:val="120"/>
        </w:rPr>
        <w:t xml:space="preserve"> wpływ</w:t>
      </w:r>
      <w:r w:rsidR="002267D5" w:rsidRPr="00FF42A7">
        <w:rPr>
          <w:color w:val="0071BB"/>
          <w:w w:val="120"/>
        </w:rPr>
        <w:t>u</w:t>
      </w:r>
      <w:r w:rsidRPr="00FF42A7">
        <w:rPr>
          <w:color w:val="0071BB"/>
          <w:w w:val="120"/>
        </w:rPr>
        <w:t xml:space="preserve"> na kobiety.</w:t>
      </w:r>
    </w:p>
    <w:p w14:paraId="60A4AE5C" w14:textId="3D33B8B8" w:rsidR="009F1A47" w:rsidRPr="00FF42A7" w:rsidRDefault="00000000">
      <w:pPr>
        <w:spacing w:before="42"/>
        <w:ind w:left="874" w:right="870"/>
        <w:jc w:val="both"/>
        <w:rPr>
          <w:sz w:val="20"/>
        </w:rPr>
      </w:pPr>
      <w:r w:rsidRPr="00FF42A7">
        <w:rPr>
          <w:i/>
          <w:color w:val="404040"/>
          <w:w w:val="125"/>
          <w:sz w:val="20"/>
        </w:rPr>
        <w:t xml:space="preserve">Zob. również: </w:t>
      </w:r>
      <w:hyperlink r:id="rId24">
        <w:r w:rsidR="009F1A47" w:rsidRPr="00FF42A7">
          <w:rPr>
            <w:rFonts w:ascii="Arial"/>
            <w:b/>
            <w:i/>
            <w:color w:val="0071BB"/>
            <w:w w:val="125"/>
            <w:sz w:val="20"/>
            <w:u w:val="single" w:color="0071BB"/>
          </w:rPr>
          <w:t>B. przeciwko Republice Mo</w:t>
        </w:r>
        <w:r w:rsidR="009F1A47" w:rsidRPr="00FF42A7">
          <w:rPr>
            <w:rFonts w:ascii="Arial"/>
            <w:b/>
            <w:i/>
            <w:color w:val="0071BB"/>
            <w:w w:val="125"/>
            <w:sz w:val="20"/>
            <w:u w:val="single" w:color="0071BB"/>
          </w:rPr>
          <w:t>ł</w:t>
        </w:r>
        <w:r w:rsidR="009F1A47" w:rsidRPr="00FF42A7">
          <w:rPr>
            <w:rFonts w:ascii="Arial"/>
            <w:b/>
            <w:i/>
            <w:color w:val="0071BB"/>
            <w:w w:val="125"/>
            <w:sz w:val="20"/>
            <w:u w:val="single" w:color="0071BB"/>
          </w:rPr>
          <w:t>dawii (nr 61382/09)</w:t>
        </w:r>
      </w:hyperlink>
      <w:r w:rsidRPr="00FF42A7">
        <w:rPr>
          <w:color w:val="404040"/>
          <w:w w:val="125"/>
          <w:sz w:val="20"/>
        </w:rPr>
        <w:t xml:space="preserve"> oraz </w:t>
      </w:r>
      <w:hyperlink r:id="rId25">
        <w:proofErr w:type="spellStart"/>
        <w:r w:rsidR="009F1A47" w:rsidRPr="00FF42A7">
          <w:rPr>
            <w:rFonts w:ascii="Arial"/>
            <w:b/>
            <w:i/>
            <w:color w:val="0071BB"/>
            <w:w w:val="125"/>
            <w:sz w:val="20"/>
            <w:u w:val="single" w:color="0071BB"/>
          </w:rPr>
          <w:t>Mudric</w:t>
        </w:r>
        <w:proofErr w:type="spellEnd"/>
        <w:r w:rsidR="009F1A47" w:rsidRPr="00FF42A7">
          <w:rPr>
            <w:rFonts w:ascii="Arial"/>
            <w:b/>
            <w:i/>
            <w:color w:val="0071BB"/>
            <w:w w:val="125"/>
            <w:sz w:val="20"/>
            <w:u w:val="single" w:color="0071BB"/>
          </w:rPr>
          <w:t xml:space="preserve"> przeciwko </w:t>
        </w:r>
      </w:hyperlink>
      <w:hyperlink r:id="rId26">
        <w:r w:rsidR="009F1A47" w:rsidRPr="00FF42A7">
          <w:rPr>
            <w:rFonts w:ascii="Arial"/>
            <w:b/>
            <w:i/>
            <w:color w:val="0071BB"/>
            <w:w w:val="125"/>
            <w:sz w:val="20"/>
            <w:u w:val="single" w:color="0071BB"/>
          </w:rPr>
          <w:t>Republice Mo</w:t>
        </w:r>
        <w:r w:rsidR="009F1A47" w:rsidRPr="00FF42A7">
          <w:rPr>
            <w:rFonts w:ascii="Arial"/>
            <w:b/>
            <w:i/>
            <w:color w:val="0071BB"/>
            <w:w w:val="125"/>
            <w:sz w:val="20"/>
            <w:u w:val="single" w:color="0071BB"/>
          </w:rPr>
          <w:t>ł</w:t>
        </w:r>
        <w:r w:rsidR="009F1A47" w:rsidRPr="00FF42A7">
          <w:rPr>
            <w:rFonts w:ascii="Arial"/>
            <w:b/>
            <w:i/>
            <w:color w:val="0071BB"/>
            <w:w w:val="125"/>
            <w:sz w:val="20"/>
            <w:u w:val="single" w:color="0071BB"/>
          </w:rPr>
          <w:t>dawii</w:t>
        </w:r>
      </w:hyperlink>
      <w:r w:rsidRPr="00FF42A7">
        <w:rPr>
          <w:color w:val="404040"/>
          <w:w w:val="125"/>
          <w:sz w:val="20"/>
        </w:rPr>
        <w:t>, wyroki z dnia 16 lipca 2013 r.;</w:t>
      </w:r>
      <w:r w:rsidR="00BB2F0A" w:rsidRPr="00FF42A7">
        <w:rPr>
          <w:color w:val="404040"/>
          <w:w w:val="125"/>
          <w:sz w:val="20"/>
        </w:rPr>
        <w:t xml:space="preserve"> </w:t>
      </w:r>
      <w:hyperlink r:id="rId27">
        <w:r w:rsidR="00BB2F0A" w:rsidRPr="00FF42A7">
          <w:rPr>
            <w:rFonts w:ascii="Arial"/>
            <w:b/>
            <w:i/>
            <w:color w:val="0071BB"/>
            <w:w w:val="125"/>
            <w:sz w:val="20"/>
            <w:u w:val="single" w:color="0071BB"/>
          </w:rPr>
          <w:t>N.A. przeciwko Republice Mo</w:t>
        </w:r>
        <w:r w:rsidR="00BB2F0A" w:rsidRPr="00FF42A7">
          <w:rPr>
            <w:rFonts w:ascii="Arial"/>
            <w:b/>
            <w:i/>
            <w:color w:val="0071BB"/>
            <w:w w:val="125"/>
            <w:sz w:val="20"/>
            <w:u w:val="single" w:color="0071BB"/>
          </w:rPr>
          <w:t>ł</w:t>
        </w:r>
        <w:r w:rsidR="00BB2F0A" w:rsidRPr="00FF42A7">
          <w:rPr>
            <w:rFonts w:ascii="Arial"/>
            <w:b/>
            <w:i/>
            <w:color w:val="0071BB"/>
            <w:w w:val="125"/>
            <w:sz w:val="20"/>
            <w:u w:val="single" w:color="0071BB"/>
          </w:rPr>
          <w:t>dawii</w:t>
        </w:r>
      </w:hyperlink>
      <w:r w:rsidRPr="00FF42A7">
        <w:rPr>
          <w:rFonts w:ascii="Arial"/>
          <w:b/>
          <w:i/>
          <w:color w:val="0071BB"/>
          <w:w w:val="125"/>
          <w:sz w:val="20"/>
        </w:rPr>
        <w:t xml:space="preserve"> (</w:t>
      </w:r>
      <w:hyperlink r:id="rId28">
        <w:r w:rsidR="009F1A47" w:rsidRPr="00FF42A7">
          <w:rPr>
            <w:rFonts w:ascii="Arial"/>
            <w:b/>
            <w:i/>
            <w:color w:val="0071BB"/>
            <w:w w:val="125"/>
            <w:sz w:val="20"/>
            <w:u w:val="single" w:color="0071BB"/>
          </w:rPr>
          <w:t>nr 13424/06),</w:t>
        </w:r>
      </w:hyperlink>
      <w:r w:rsidRPr="00FF42A7">
        <w:rPr>
          <w:color w:val="404040"/>
          <w:w w:val="125"/>
          <w:sz w:val="20"/>
        </w:rPr>
        <w:t xml:space="preserve"> wyrok z dnia 24 września 2013 r.;</w:t>
      </w:r>
      <w:r w:rsidR="00BB2F0A" w:rsidRPr="00FF42A7">
        <w:rPr>
          <w:color w:val="404040"/>
          <w:w w:val="125"/>
          <w:sz w:val="20"/>
        </w:rPr>
        <w:t xml:space="preserve"> </w:t>
      </w:r>
      <w:hyperlink r:id="rId29">
        <w:r w:rsidR="00BB2F0A" w:rsidRPr="00FF42A7">
          <w:rPr>
            <w:rFonts w:ascii="Arial"/>
            <w:b/>
            <w:i/>
            <w:color w:val="0071BB"/>
            <w:w w:val="125"/>
            <w:sz w:val="20"/>
            <w:u w:val="single" w:color="0071BB"/>
          </w:rPr>
          <w:t xml:space="preserve">T.M. i C.M. przeciwko Republice </w:t>
        </w:r>
      </w:hyperlink>
      <w:hyperlink r:id="rId30">
        <w:r w:rsidR="009F1A47" w:rsidRPr="00FF42A7">
          <w:rPr>
            <w:rFonts w:ascii="Arial"/>
            <w:b/>
            <w:i/>
            <w:color w:val="0071BB"/>
            <w:w w:val="125"/>
            <w:sz w:val="20"/>
            <w:u w:val="single" w:color="0071BB"/>
          </w:rPr>
          <w:t>Mo</w:t>
        </w:r>
        <w:r w:rsidR="009F1A47" w:rsidRPr="00FF42A7">
          <w:rPr>
            <w:rFonts w:ascii="Arial"/>
            <w:b/>
            <w:i/>
            <w:color w:val="0071BB"/>
            <w:w w:val="125"/>
            <w:sz w:val="20"/>
            <w:u w:val="single" w:color="0071BB"/>
          </w:rPr>
          <w:t>ł</w:t>
        </w:r>
        <w:r w:rsidR="009F1A47" w:rsidRPr="00FF42A7">
          <w:rPr>
            <w:rFonts w:ascii="Arial"/>
            <w:b/>
            <w:i/>
            <w:color w:val="0071BB"/>
            <w:w w:val="125"/>
            <w:sz w:val="20"/>
            <w:u w:val="single" w:color="0071BB"/>
          </w:rPr>
          <w:t>dawii,</w:t>
        </w:r>
      </w:hyperlink>
      <w:r w:rsidRPr="00FF42A7">
        <w:rPr>
          <w:color w:val="404040"/>
          <w:w w:val="125"/>
          <w:sz w:val="20"/>
        </w:rPr>
        <w:t xml:space="preserve"> wyrok z dnia 28 stycznia 2014 r.</w:t>
      </w:r>
    </w:p>
    <w:p w14:paraId="28C1E853" w14:textId="77777777" w:rsidR="009F1A47" w:rsidRPr="00FF42A7" w:rsidRDefault="009F1A47">
      <w:pPr>
        <w:pStyle w:val="Nagwek2"/>
        <w:spacing w:before="116"/>
        <w:rPr>
          <w:u w:val="none"/>
        </w:rPr>
      </w:pPr>
      <w:hyperlink r:id="rId31">
        <w:r w:rsidRPr="00FF42A7">
          <w:rPr>
            <w:color w:val="0071BB"/>
            <w:w w:val="135"/>
            <w:u w:color="0071BB"/>
          </w:rPr>
          <w:t xml:space="preserve">Rumor przeciwko </w:t>
        </w:r>
        <w:r w:rsidRPr="00FF42A7">
          <w:rPr>
            <w:color w:val="0071BB"/>
            <w:spacing w:val="-4"/>
            <w:w w:val="135"/>
            <w:u w:color="0071BB"/>
          </w:rPr>
          <w:t>Włochom</w:t>
        </w:r>
      </w:hyperlink>
    </w:p>
    <w:p w14:paraId="31FA7705" w14:textId="55729335" w:rsidR="009F1A47" w:rsidRPr="00FF42A7" w:rsidRDefault="00000000">
      <w:pPr>
        <w:spacing w:before="55"/>
        <w:ind w:left="874"/>
        <w:jc w:val="both"/>
        <w:rPr>
          <w:sz w:val="18"/>
        </w:rPr>
      </w:pPr>
      <w:r w:rsidRPr="00FF42A7">
        <w:rPr>
          <w:color w:val="808080"/>
          <w:w w:val="125"/>
          <w:sz w:val="18"/>
        </w:rPr>
        <w:t>27 maja</w:t>
      </w:r>
      <w:r w:rsidRPr="00FF42A7">
        <w:rPr>
          <w:color w:val="808080"/>
          <w:spacing w:val="-4"/>
          <w:w w:val="125"/>
          <w:sz w:val="18"/>
        </w:rPr>
        <w:t xml:space="preserve"> 2014</w:t>
      </w:r>
      <w:r w:rsidR="00BB2F0A" w:rsidRPr="00FF42A7">
        <w:rPr>
          <w:color w:val="808080"/>
          <w:spacing w:val="-4"/>
          <w:w w:val="125"/>
          <w:sz w:val="18"/>
        </w:rPr>
        <w:t xml:space="preserve"> r.</w:t>
      </w:r>
    </w:p>
    <w:p w14:paraId="70B4BD80" w14:textId="04424357" w:rsidR="009F1A47" w:rsidRPr="00FF42A7" w:rsidRDefault="00BB2F0A">
      <w:pPr>
        <w:pStyle w:val="Tekstpodstawowy"/>
        <w:spacing w:before="4"/>
        <w:ind w:right="871"/>
      </w:pPr>
      <w:r w:rsidRPr="00FF42A7">
        <w:rPr>
          <w:w w:val="120"/>
        </w:rPr>
        <w:t>Skarżąca podnosiła, że władze nie udzieliły jej wsparcia po poważnym incydencie przemocy domowej, którego była ofiarą, ani nie zapewniły jej ochrony przed dalszą przemocą. Twierdziła również, że uchybienia te wynikały z nieodpowiednich ram prawnych we Włoszech w zakresie zwalczania przemocy domowej i stanowiły dyskryminację wobec niej jako kobiety.</w:t>
      </w:r>
    </w:p>
    <w:p w14:paraId="58901488" w14:textId="0F393D4D" w:rsidR="00621557" w:rsidRPr="00FF42A7" w:rsidRDefault="00000000" w:rsidP="00146A0A">
      <w:pPr>
        <w:pStyle w:val="Tekstpodstawowy"/>
        <w:ind w:left="873" w:right="868"/>
        <w:jc w:val="distribute"/>
        <w:rPr>
          <w:color w:val="0071BB"/>
          <w:w w:val="125"/>
        </w:rPr>
      </w:pPr>
      <w:r w:rsidRPr="00FF42A7">
        <w:rPr>
          <w:color w:val="0071BB"/>
          <w:w w:val="125"/>
        </w:rPr>
        <w:t xml:space="preserve">Trybunał uznał, że </w:t>
      </w:r>
      <w:r w:rsidRPr="00FF42A7">
        <w:rPr>
          <w:b/>
          <w:bCs/>
          <w:color w:val="0071BB"/>
          <w:w w:val="125"/>
        </w:rPr>
        <w:t>nie</w:t>
      </w:r>
      <w:r w:rsidRPr="00FF42A7">
        <w:rPr>
          <w:color w:val="0071BB"/>
          <w:w w:val="125"/>
        </w:rPr>
        <w:t xml:space="preserve"> doszło </w:t>
      </w:r>
      <w:r w:rsidRPr="00FF42A7">
        <w:rPr>
          <w:b/>
          <w:color w:val="0071BB"/>
          <w:w w:val="125"/>
        </w:rPr>
        <w:t xml:space="preserve">do naruszenia art. 3 </w:t>
      </w:r>
      <w:r w:rsidRPr="00FF42A7">
        <w:rPr>
          <w:color w:val="0071BB"/>
          <w:w w:val="125"/>
        </w:rPr>
        <w:t xml:space="preserve">(zakaz nieludzkiego i poniżającego traktowania) Konwencji, </w:t>
      </w:r>
      <w:r w:rsidRPr="00FF42A7">
        <w:rPr>
          <w:b/>
          <w:color w:val="0071BB"/>
          <w:w w:val="125"/>
        </w:rPr>
        <w:t xml:space="preserve">zarówno w świetle samego tego artykułu, jak i w połączeniu z art. 14 </w:t>
      </w:r>
      <w:r w:rsidRPr="00FF42A7">
        <w:rPr>
          <w:color w:val="0071BB"/>
          <w:w w:val="125"/>
        </w:rPr>
        <w:t>(zakaz dyskryminacji). Stwierdził, że władze włoskie wprowadziły ramy prawne umożliwiające im podejmowanie środków wobec osób oskarżonych o przemoc domową</w:t>
      </w:r>
      <w:r w:rsidR="00621557" w:rsidRPr="00FF42A7">
        <w:rPr>
          <w:color w:val="0071BB"/>
          <w:w w:val="125"/>
        </w:rPr>
        <w:t xml:space="preserve"> oraz że ramy te były skuteczne w </w:t>
      </w:r>
      <w:r w:rsidR="00621557" w:rsidRPr="00FF42A7">
        <w:rPr>
          <w:color w:val="0071BB"/>
          <w:spacing w:val="-5"/>
          <w:w w:val="125"/>
        </w:rPr>
        <w:t>karaniu</w:t>
      </w:r>
      <w:r w:rsidR="00621557" w:rsidRPr="00FF42A7">
        <w:rPr>
          <w:color w:val="0071BB"/>
          <w:w w:val="120"/>
        </w:rPr>
        <w:t xml:space="preserve"> sprawcy przestępstwa, którego ofiarą była</w:t>
      </w:r>
    </w:p>
    <w:p w14:paraId="60D6CAAA" w14:textId="032F3B40" w:rsidR="00621557" w:rsidRPr="00FF42A7" w:rsidRDefault="00621557" w:rsidP="00621557">
      <w:pPr>
        <w:pStyle w:val="Tekstpodstawowy"/>
        <w:ind w:right="870"/>
        <w:rPr>
          <w:color w:val="0071BB"/>
          <w:w w:val="120"/>
        </w:rPr>
      </w:pPr>
    </w:p>
    <w:p w14:paraId="15E79E90" w14:textId="77777777" w:rsidR="00621557" w:rsidRPr="00FF42A7" w:rsidRDefault="00621557">
      <w:pPr>
        <w:rPr>
          <w:color w:val="0071BB"/>
          <w:w w:val="120"/>
          <w:sz w:val="20"/>
          <w:szCs w:val="20"/>
        </w:rPr>
      </w:pPr>
      <w:r w:rsidRPr="00FF42A7">
        <w:rPr>
          <w:color w:val="0071BB"/>
          <w:w w:val="120"/>
        </w:rPr>
        <w:br w:type="page"/>
      </w:r>
    </w:p>
    <w:p w14:paraId="785DD701" w14:textId="77777777" w:rsidR="009F1A47" w:rsidRPr="00FF42A7" w:rsidRDefault="009F1A47">
      <w:pPr>
        <w:pStyle w:val="Tekstpodstawowy"/>
        <w:ind w:right="870"/>
      </w:pPr>
    </w:p>
    <w:p w14:paraId="7B36B418" w14:textId="77777777" w:rsidR="009F1A47" w:rsidRPr="00FF42A7" w:rsidRDefault="009F1A47">
      <w:pPr>
        <w:pStyle w:val="Tekstpodstawowy"/>
        <w:spacing w:before="59"/>
        <w:ind w:left="0"/>
        <w:jc w:val="left"/>
      </w:pPr>
    </w:p>
    <w:p w14:paraId="7CA7F8B9" w14:textId="282DB703" w:rsidR="009F1A47" w:rsidRPr="00FF42A7" w:rsidRDefault="00245934">
      <w:pPr>
        <w:pStyle w:val="Tekstpodstawowy"/>
        <w:spacing w:before="1"/>
        <w:ind w:right="870"/>
      </w:pPr>
      <w:r w:rsidRPr="00FF42A7">
        <w:rPr>
          <w:color w:val="0071BB"/>
          <w:w w:val="120"/>
        </w:rPr>
        <w:t>skarżąca</w:t>
      </w:r>
      <w:r w:rsidR="00000000" w:rsidRPr="00FF42A7">
        <w:rPr>
          <w:color w:val="0071BB"/>
          <w:w w:val="120"/>
        </w:rPr>
        <w:t xml:space="preserve"> oraz zapobiegania powtórzeniu się aktów przemocy wobec jej </w:t>
      </w:r>
      <w:r w:rsidR="00905DCC" w:rsidRPr="00FF42A7">
        <w:rPr>
          <w:color w:val="0071BB"/>
          <w:w w:val="120"/>
        </w:rPr>
        <w:t>nietykalności cielesnej.</w:t>
      </w:r>
    </w:p>
    <w:p w14:paraId="52FDC2B9" w14:textId="77777777" w:rsidR="009F1A47" w:rsidRPr="00FF42A7" w:rsidRDefault="009F1A47">
      <w:pPr>
        <w:pStyle w:val="Nagwek2"/>
        <w:spacing w:before="116"/>
        <w:ind w:left="873"/>
        <w:rPr>
          <w:u w:val="none"/>
        </w:rPr>
      </w:pPr>
      <w:hyperlink r:id="rId32">
        <w:r w:rsidRPr="00FF42A7">
          <w:rPr>
            <w:color w:val="0071BB"/>
            <w:w w:val="135"/>
            <w:u w:color="0071BB"/>
          </w:rPr>
          <w:t>M.G. przeciwko Turcji (nr</w:t>
        </w:r>
        <w:r w:rsidRPr="00FF42A7">
          <w:rPr>
            <w:color w:val="0071BB"/>
            <w:spacing w:val="-2"/>
            <w:w w:val="135"/>
            <w:u w:color="0071BB"/>
          </w:rPr>
          <w:t xml:space="preserve"> 646/10)</w:t>
        </w:r>
      </w:hyperlink>
    </w:p>
    <w:p w14:paraId="6C24143D" w14:textId="77777777" w:rsidR="009F1A47" w:rsidRPr="00FF42A7" w:rsidRDefault="00000000">
      <w:pPr>
        <w:spacing w:before="58"/>
        <w:ind w:left="874"/>
        <w:jc w:val="both"/>
        <w:rPr>
          <w:sz w:val="18"/>
        </w:rPr>
      </w:pPr>
      <w:r w:rsidRPr="00FF42A7">
        <w:rPr>
          <w:color w:val="808080"/>
          <w:w w:val="120"/>
          <w:sz w:val="18"/>
        </w:rPr>
        <w:t>22 marca</w:t>
      </w:r>
      <w:r w:rsidRPr="00FF42A7">
        <w:rPr>
          <w:color w:val="808080"/>
          <w:spacing w:val="-4"/>
          <w:w w:val="120"/>
          <w:sz w:val="18"/>
        </w:rPr>
        <w:t xml:space="preserve"> 2016 r.</w:t>
      </w:r>
    </w:p>
    <w:p w14:paraId="3F294A9E" w14:textId="09E89FD4" w:rsidR="009F1A47" w:rsidRPr="00FF42A7" w:rsidRDefault="00000000">
      <w:pPr>
        <w:pStyle w:val="Tekstpodstawowy"/>
        <w:spacing w:before="1"/>
        <w:ind w:right="869"/>
      </w:pPr>
      <w:r w:rsidRPr="00FF42A7">
        <w:rPr>
          <w:w w:val="120"/>
        </w:rPr>
        <w:t xml:space="preserve">Sprawa dotyczyła przemocy domowej, której skarżąca doświadczyła w trakcie małżeństwa, gróźb kierowanych pod jej adresem po rozwodzie oraz późniejszych postępowań. </w:t>
      </w:r>
      <w:r w:rsidR="002C2A64" w:rsidRPr="00FF42A7">
        <w:rPr>
          <w:w w:val="120"/>
        </w:rPr>
        <w:t xml:space="preserve">W szczególności, skarżąca </w:t>
      </w:r>
      <w:r w:rsidRPr="00FF42A7">
        <w:rPr>
          <w:w w:val="120"/>
        </w:rPr>
        <w:t>zarzucała</w:t>
      </w:r>
      <w:r w:rsidR="002C2A64" w:rsidRPr="00FF42A7">
        <w:rPr>
          <w:w w:val="120"/>
        </w:rPr>
        <w:t xml:space="preserve"> </w:t>
      </w:r>
      <w:r w:rsidRPr="00FF42A7">
        <w:rPr>
          <w:w w:val="120"/>
        </w:rPr>
        <w:t>organom krajowym, że nie zapobiegły przemocy, której była ofiarą. Skarżyła się również na trwał</w:t>
      </w:r>
      <w:r w:rsidR="00E34E88" w:rsidRPr="00FF42A7">
        <w:rPr>
          <w:w w:val="120"/>
        </w:rPr>
        <w:t xml:space="preserve">ą </w:t>
      </w:r>
      <w:r w:rsidRPr="00FF42A7">
        <w:rPr>
          <w:w w:val="120"/>
        </w:rPr>
        <w:t>i</w:t>
      </w:r>
      <w:r w:rsidRPr="00FF42A7">
        <w:rPr>
          <w:spacing w:val="33"/>
          <w:w w:val="120"/>
        </w:rPr>
        <w:t xml:space="preserve">  </w:t>
      </w:r>
      <w:r w:rsidRPr="00FF42A7">
        <w:rPr>
          <w:w w:val="120"/>
        </w:rPr>
        <w:t xml:space="preserve"> systematyczn</w:t>
      </w:r>
      <w:r w:rsidR="00E34E88" w:rsidRPr="00FF42A7">
        <w:rPr>
          <w:w w:val="120"/>
        </w:rPr>
        <w:t>ą</w:t>
      </w:r>
      <w:r w:rsidRPr="00FF42A7">
        <w:rPr>
          <w:spacing w:val="32"/>
          <w:w w:val="120"/>
        </w:rPr>
        <w:t xml:space="preserve">  </w:t>
      </w:r>
      <w:r w:rsidRPr="00FF42A7">
        <w:rPr>
          <w:w w:val="120"/>
        </w:rPr>
        <w:t xml:space="preserve"> dyskryminację</w:t>
      </w:r>
      <w:r w:rsidRPr="00FF42A7">
        <w:rPr>
          <w:spacing w:val="35"/>
          <w:w w:val="120"/>
        </w:rPr>
        <w:t xml:space="preserve">  </w:t>
      </w:r>
      <w:r w:rsidRPr="00FF42A7">
        <w:rPr>
          <w:w w:val="120"/>
        </w:rPr>
        <w:t xml:space="preserve"> w odniesieniu</w:t>
      </w:r>
      <w:r w:rsidRPr="00FF42A7">
        <w:rPr>
          <w:spacing w:val="34"/>
          <w:w w:val="120"/>
        </w:rPr>
        <w:t xml:space="preserve">  </w:t>
      </w:r>
      <w:r w:rsidRPr="00FF42A7">
        <w:rPr>
          <w:w w:val="120"/>
        </w:rPr>
        <w:t xml:space="preserve"> do</w:t>
      </w:r>
      <w:r w:rsidRPr="00FF42A7">
        <w:rPr>
          <w:spacing w:val="32"/>
          <w:w w:val="120"/>
        </w:rPr>
        <w:t xml:space="preserve">  </w:t>
      </w:r>
      <w:r w:rsidRPr="00FF42A7">
        <w:rPr>
          <w:w w:val="120"/>
        </w:rPr>
        <w:t xml:space="preserve"> przemocy</w:t>
      </w:r>
      <w:r w:rsidRPr="00FF42A7">
        <w:rPr>
          <w:spacing w:val="34"/>
          <w:w w:val="120"/>
        </w:rPr>
        <w:t xml:space="preserve">  </w:t>
      </w:r>
      <w:r w:rsidRPr="00FF42A7">
        <w:rPr>
          <w:w w:val="120"/>
        </w:rPr>
        <w:t xml:space="preserve"> wobec</w:t>
      </w:r>
      <w:r w:rsidRPr="00FF42A7">
        <w:rPr>
          <w:spacing w:val="33"/>
          <w:w w:val="120"/>
        </w:rPr>
        <w:t xml:space="preserve">  </w:t>
      </w:r>
      <w:r w:rsidRPr="00FF42A7">
        <w:rPr>
          <w:w w:val="120"/>
        </w:rPr>
        <w:t xml:space="preserve"> kobiet w Turcji.</w:t>
      </w:r>
    </w:p>
    <w:p w14:paraId="2E205CF3" w14:textId="3C300AA6" w:rsidR="009F1A47" w:rsidRPr="00FF42A7" w:rsidRDefault="00000000">
      <w:pPr>
        <w:pStyle w:val="Tekstpodstawowy"/>
        <w:ind w:left="873" w:right="867"/>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3 </w:t>
      </w:r>
      <w:r w:rsidRPr="00FF42A7">
        <w:rPr>
          <w:color w:val="0071BB"/>
          <w:w w:val="120"/>
        </w:rPr>
        <w:t xml:space="preserve">(zakaz nieludzkiego lub poniżającego traktowania) Konwencji, stwierdzając, że sposób, w jaki władze tureckie przeprowadziły postępowanie karne, nie może być uznany za spełniający wymogi art. 3. Stwierdził również, że doszło </w:t>
      </w:r>
      <w:r w:rsidRPr="00FF42A7">
        <w:rPr>
          <w:b/>
          <w:color w:val="0071BB"/>
          <w:w w:val="120"/>
        </w:rPr>
        <w:t>do naruszenia art. 14 (</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 3</w:t>
      </w:r>
      <w:r w:rsidRPr="00FF42A7">
        <w:rPr>
          <w:b/>
          <w:color w:val="0071BB"/>
          <w:w w:val="120"/>
        </w:rPr>
        <w:t xml:space="preserve">, </w:t>
      </w:r>
      <w:r w:rsidRPr="00FF42A7">
        <w:rPr>
          <w:color w:val="0071BB"/>
          <w:w w:val="120"/>
        </w:rPr>
        <w:t xml:space="preserve">uznając, że po ogłoszeniu rozwodu </w:t>
      </w:r>
      <w:r w:rsidRPr="00FF42A7">
        <w:rPr>
          <w:color w:val="0071BB"/>
          <w:spacing w:val="40"/>
          <w:w w:val="120"/>
        </w:rPr>
        <w:t>(</w:t>
      </w:r>
      <w:r w:rsidRPr="00FF42A7">
        <w:rPr>
          <w:color w:val="0071BB"/>
          <w:w w:val="120"/>
        </w:rPr>
        <w:t xml:space="preserve">w dniu 24 września 2007 r.) i do momentu wejścia w życie nowej ustawy (nr 6284) w dniu 20 marca 2012 r. obowiązujące ramy prawne nie gwarantowały skarżącej, </w:t>
      </w:r>
      <w:r w:rsidR="00566540" w:rsidRPr="00FF42A7">
        <w:rPr>
          <w:color w:val="0071BB"/>
          <w:w w:val="120"/>
        </w:rPr>
        <w:t xml:space="preserve">będącej </w:t>
      </w:r>
      <w:r w:rsidRPr="00FF42A7">
        <w:rPr>
          <w:color w:val="0071BB"/>
          <w:w w:val="120"/>
        </w:rPr>
        <w:t>rozwód</w:t>
      </w:r>
      <w:r w:rsidR="00566540" w:rsidRPr="00FF42A7">
        <w:rPr>
          <w:color w:val="0071BB"/>
          <w:w w:val="120"/>
        </w:rPr>
        <w:t>ką</w:t>
      </w:r>
      <w:r w:rsidRPr="00FF42A7">
        <w:rPr>
          <w:color w:val="0071BB"/>
          <w:w w:val="120"/>
        </w:rPr>
        <w:t>, możliwości skorzystania ze środków ochrony, oraz zauważył, że przez wiele lat po wniesieniu sprawy do sądów krajowych była zmuszona żyć w strachu przed zachowaniem swojego byłego męża.</w:t>
      </w:r>
    </w:p>
    <w:p w14:paraId="2A9AB00B" w14:textId="77777777" w:rsidR="009F1A47" w:rsidRPr="00FF42A7" w:rsidRDefault="009F1A47">
      <w:pPr>
        <w:pStyle w:val="Nagwek2"/>
        <w:spacing w:before="102"/>
        <w:ind w:left="873"/>
        <w:rPr>
          <w:u w:val="none"/>
        </w:rPr>
      </w:pPr>
      <w:hyperlink r:id="rId33">
        <w:proofErr w:type="spellStart"/>
        <w:r w:rsidRPr="00FF42A7">
          <w:rPr>
            <w:color w:val="0071BB"/>
            <w:w w:val="135"/>
            <w:u w:val="thick" w:color="0071BB"/>
          </w:rPr>
          <w:t>Halime</w:t>
        </w:r>
        <w:proofErr w:type="spellEnd"/>
        <w:r w:rsidRPr="00FF42A7">
          <w:rPr>
            <w:color w:val="0071BB"/>
            <w:w w:val="135"/>
            <w:u w:val="thick" w:color="0071BB"/>
          </w:rPr>
          <w:t xml:space="preserve"> </w:t>
        </w:r>
        <w:proofErr w:type="spellStart"/>
        <w:r w:rsidRPr="00FF42A7">
          <w:rPr>
            <w:color w:val="0071BB"/>
            <w:w w:val="135"/>
            <w:u w:val="thick" w:color="0071BB"/>
          </w:rPr>
          <w:t>Kılıç</w:t>
        </w:r>
        <w:proofErr w:type="spellEnd"/>
        <w:r w:rsidRPr="00FF42A7">
          <w:rPr>
            <w:color w:val="0071BB"/>
            <w:w w:val="135"/>
            <w:u w:val="thick" w:color="0071BB"/>
          </w:rPr>
          <w:t xml:space="preserve"> przeciwko </w:t>
        </w:r>
        <w:r w:rsidRPr="00FF42A7">
          <w:rPr>
            <w:color w:val="0071BB"/>
            <w:spacing w:val="-2"/>
            <w:w w:val="135"/>
            <w:u w:val="thick" w:color="0071BB"/>
          </w:rPr>
          <w:t>Turcji</w:t>
        </w:r>
      </w:hyperlink>
    </w:p>
    <w:p w14:paraId="0B6060B4" w14:textId="067B313B" w:rsidR="009F1A47" w:rsidRPr="00FF42A7" w:rsidRDefault="00000000">
      <w:pPr>
        <w:spacing w:before="56"/>
        <w:ind w:left="874"/>
        <w:jc w:val="both"/>
        <w:rPr>
          <w:sz w:val="18"/>
        </w:rPr>
      </w:pPr>
      <w:r w:rsidRPr="00FF42A7">
        <w:rPr>
          <w:color w:val="808080"/>
          <w:w w:val="125"/>
          <w:sz w:val="18"/>
        </w:rPr>
        <w:t>28 czerwca</w:t>
      </w:r>
      <w:r w:rsidRPr="00FF42A7">
        <w:rPr>
          <w:color w:val="808080"/>
          <w:spacing w:val="-4"/>
          <w:w w:val="125"/>
          <w:sz w:val="18"/>
        </w:rPr>
        <w:t xml:space="preserve"> 2016</w:t>
      </w:r>
      <w:r w:rsidR="00540F60" w:rsidRPr="00FF42A7">
        <w:rPr>
          <w:color w:val="808080"/>
          <w:spacing w:val="-4"/>
          <w:w w:val="125"/>
          <w:sz w:val="18"/>
        </w:rPr>
        <w:t xml:space="preserve"> r.</w:t>
      </w:r>
    </w:p>
    <w:p w14:paraId="0B6A908B" w14:textId="20FAEB9F" w:rsidR="009F1A47" w:rsidRPr="00FF42A7" w:rsidRDefault="00000000">
      <w:pPr>
        <w:pStyle w:val="Tekstpodstawowy"/>
        <w:spacing w:before="3"/>
        <w:ind w:right="870" w:hanging="1"/>
      </w:pPr>
      <w:r w:rsidRPr="00FF42A7">
        <w:rPr>
          <w:w w:val="120"/>
        </w:rPr>
        <w:t>Sprawa dotyczyła śmierci córki skarżącej, która została zabita przez męża</w:t>
      </w:r>
      <w:r w:rsidR="002271FA" w:rsidRPr="00FF42A7">
        <w:rPr>
          <w:w w:val="120"/>
        </w:rPr>
        <w:t>,</w:t>
      </w:r>
      <w:r w:rsidRPr="00FF42A7">
        <w:rPr>
          <w:w w:val="120"/>
        </w:rPr>
        <w:t xml:space="preserve"> pomimo złożenia czterech skarg i uzyskania trzech nakazów ochrony oraz nakazów sądowych.</w:t>
      </w:r>
    </w:p>
    <w:p w14:paraId="1237CBFD" w14:textId="77777777" w:rsidR="009F1A47" w:rsidRPr="00FF42A7" w:rsidRDefault="00000000">
      <w:pPr>
        <w:pStyle w:val="Tekstpodstawowy"/>
        <w:ind w:left="873" w:right="870"/>
      </w:pPr>
      <w:r w:rsidRPr="00FF42A7">
        <w:rPr>
          <w:color w:val="0071BB"/>
          <w:w w:val="120"/>
        </w:rPr>
        <w:t xml:space="preserve">Trybunał stwierdził, że doszło </w:t>
      </w:r>
      <w:r w:rsidRPr="00FF42A7">
        <w:rPr>
          <w:b/>
          <w:color w:val="0071BB"/>
          <w:w w:val="120"/>
        </w:rPr>
        <w:t xml:space="preserve">do naruszenia art. 2 </w:t>
      </w:r>
      <w:r w:rsidRPr="00FF42A7">
        <w:rPr>
          <w:color w:val="0071BB"/>
          <w:w w:val="120"/>
        </w:rPr>
        <w:t xml:space="preserve">(prawo do życia) oraz </w:t>
      </w:r>
      <w:r w:rsidRPr="00FF42A7">
        <w:rPr>
          <w:b/>
          <w:color w:val="0071BB"/>
          <w:w w:val="120"/>
        </w:rPr>
        <w:t xml:space="preserve">art. 14 </w:t>
      </w:r>
      <w:r w:rsidRPr="00FF42A7">
        <w:rPr>
          <w:color w:val="0071BB"/>
          <w:w w:val="120"/>
        </w:rPr>
        <w:t xml:space="preserve">(zakaz dyskryminacji) </w:t>
      </w:r>
      <w:r w:rsidRPr="00FF42A7">
        <w:rPr>
          <w:b/>
          <w:color w:val="0071BB"/>
          <w:w w:val="120"/>
        </w:rPr>
        <w:t xml:space="preserve">w związku z art. 2 </w:t>
      </w:r>
      <w:r w:rsidRPr="00FF42A7">
        <w:rPr>
          <w:color w:val="0071BB"/>
          <w:w w:val="120"/>
        </w:rPr>
        <w:t>Konwencji. W szczególności uznał, że postępowanie krajowe nie spełniło wymogów art. 2 Konwencji w zakresie zapewnienia ochrony córce skarżącej. Nie karząc męża skarżącej za nieprzestrzeganie nakazów wydanych przeciwko niemu, władze krajowe pozbawiły te nakazy skuteczności, tworząc w ten sposób warunki bezkarności, które umożliwiły mu wielokrotne znęcanie się nad żoną bez ponoszenia odpowiedzialności. Trybunał uznał również za niedopuszczalne, że córka skarżącej została pozostawiona bez środków do życia i ochrony w obliczu przemocy ze strony męża oraz że ignorując powtarzające się akty przemocy i groźby śmierci wobec ofiary, władze stworzyły klimat sprzyjający przemocy domowej.</w:t>
      </w:r>
    </w:p>
    <w:p w14:paraId="019951D3" w14:textId="77777777" w:rsidR="009F1A47" w:rsidRPr="00FF42A7" w:rsidRDefault="009F1A47">
      <w:pPr>
        <w:pStyle w:val="Nagwek2"/>
        <w:spacing w:before="104"/>
        <w:ind w:left="873"/>
        <w:jc w:val="left"/>
        <w:rPr>
          <w:u w:val="none"/>
        </w:rPr>
      </w:pPr>
      <w:hyperlink r:id="rId34">
        <w:proofErr w:type="spellStart"/>
        <w:r w:rsidRPr="00FF42A7">
          <w:rPr>
            <w:color w:val="0071BB"/>
            <w:w w:val="140"/>
            <w:u w:color="0071BB"/>
          </w:rPr>
          <w:t>Talpis</w:t>
        </w:r>
        <w:proofErr w:type="spellEnd"/>
        <w:r w:rsidRPr="00FF42A7">
          <w:rPr>
            <w:color w:val="0071BB"/>
            <w:w w:val="140"/>
            <w:u w:color="0071BB"/>
          </w:rPr>
          <w:t xml:space="preserve"> przeciwko </w:t>
        </w:r>
        <w:r w:rsidRPr="00FF42A7">
          <w:rPr>
            <w:color w:val="0071BB"/>
            <w:spacing w:val="-4"/>
            <w:w w:val="140"/>
            <w:u w:color="0071BB"/>
          </w:rPr>
          <w:t>Włochom</w:t>
        </w:r>
      </w:hyperlink>
    </w:p>
    <w:p w14:paraId="71E4C5DE" w14:textId="4BEB91A1" w:rsidR="009F1A47" w:rsidRPr="00FF42A7" w:rsidRDefault="00000000">
      <w:pPr>
        <w:spacing w:before="56"/>
        <w:ind w:left="874"/>
        <w:rPr>
          <w:sz w:val="18"/>
        </w:rPr>
      </w:pPr>
      <w:r w:rsidRPr="00FF42A7">
        <w:rPr>
          <w:color w:val="808080"/>
          <w:w w:val="120"/>
          <w:sz w:val="18"/>
        </w:rPr>
        <w:t>2 marca</w:t>
      </w:r>
      <w:r w:rsidRPr="00FF42A7">
        <w:rPr>
          <w:color w:val="808080"/>
          <w:spacing w:val="-4"/>
          <w:w w:val="120"/>
          <w:sz w:val="18"/>
        </w:rPr>
        <w:t xml:space="preserve"> 2017</w:t>
      </w:r>
      <w:r w:rsidR="00D52411" w:rsidRPr="00FF42A7">
        <w:rPr>
          <w:color w:val="808080"/>
          <w:spacing w:val="-4"/>
          <w:w w:val="120"/>
          <w:sz w:val="18"/>
        </w:rPr>
        <w:t xml:space="preserve"> r.</w:t>
      </w:r>
    </w:p>
    <w:p w14:paraId="7087DB05" w14:textId="2082DFE8" w:rsidR="009F1A47" w:rsidRPr="00FF42A7" w:rsidRDefault="00000000" w:rsidP="00146A0A">
      <w:pPr>
        <w:pStyle w:val="Tekstpodstawowy"/>
        <w:spacing w:before="1"/>
        <w:ind w:left="873" w:right="868"/>
      </w:pPr>
      <w:r w:rsidRPr="00FF42A7">
        <w:rPr>
          <w:w w:val="120"/>
        </w:rPr>
        <w:t xml:space="preserve">Sprawa dotyczyła przemocy domowej, której doświadczyła skarżąca, skutkującej zabójstwem jej syna i usiłowaniem zabójstwa </w:t>
      </w:r>
      <w:r w:rsidR="00FB6769">
        <w:rPr>
          <w:w w:val="120"/>
        </w:rPr>
        <w:t>skarżącej</w:t>
      </w:r>
      <w:r w:rsidRPr="00FF42A7">
        <w:rPr>
          <w:w w:val="120"/>
        </w:rPr>
        <w:t>.</w:t>
      </w:r>
    </w:p>
    <w:p w14:paraId="26EA407C" w14:textId="29975E76" w:rsidR="009F1A47" w:rsidRPr="00FF42A7" w:rsidRDefault="00000000">
      <w:pPr>
        <w:pStyle w:val="Tekstpodstawowy"/>
        <w:ind w:left="873" w:right="871"/>
      </w:pPr>
      <w:r w:rsidRPr="00FF42A7">
        <w:rPr>
          <w:color w:val="0071BB"/>
          <w:w w:val="120"/>
        </w:rPr>
        <w:t xml:space="preserve">Trybunał uznał, że doszło </w:t>
      </w:r>
      <w:r w:rsidRPr="00FF42A7">
        <w:rPr>
          <w:b/>
          <w:color w:val="0071BB"/>
          <w:w w:val="120"/>
        </w:rPr>
        <w:t xml:space="preserve">do naruszenia art. 2 </w:t>
      </w:r>
      <w:r w:rsidRPr="00FF42A7">
        <w:rPr>
          <w:color w:val="0071BB"/>
          <w:w w:val="120"/>
        </w:rPr>
        <w:t xml:space="preserve">(prawo do życia) Konwencji w związku z zabójstwem syna skarżącej i usiłowaniem zabójstwa jej samej. Trybunał uznał również, że doszło </w:t>
      </w:r>
      <w:r w:rsidRPr="00FF42A7">
        <w:rPr>
          <w:b/>
          <w:color w:val="0071BB"/>
          <w:w w:val="120"/>
        </w:rPr>
        <w:t xml:space="preserve">do naruszenia art. 3 </w:t>
      </w:r>
      <w:r w:rsidRPr="00FF42A7">
        <w:rPr>
          <w:color w:val="0071BB"/>
          <w:w w:val="120"/>
        </w:rPr>
        <w:t>(zakaz nieludzkiego lub poniżającego traktowania) Konwencji w związku z niewypełnieniem przez władze obowiązku ochrony skarżącej przed aktami przemocy domowej. Wreszcie</w:t>
      </w:r>
      <w:r w:rsidR="008A089D" w:rsidRPr="00FF42A7">
        <w:rPr>
          <w:color w:val="0071BB"/>
          <w:w w:val="120"/>
        </w:rPr>
        <w:t>,</w:t>
      </w:r>
      <w:r w:rsidRPr="00FF42A7">
        <w:rPr>
          <w:color w:val="0071BB"/>
          <w:w w:val="120"/>
        </w:rPr>
        <w:t xml:space="preserve"> Trybunał uznał, że doszło </w:t>
      </w:r>
      <w:r w:rsidRPr="00FF42A7">
        <w:rPr>
          <w:b/>
          <w:color w:val="0071BB"/>
          <w:w w:val="120"/>
        </w:rPr>
        <w:t>do naruszenia art. 14 (</w:t>
      </w:r>
      <w:r w:rsidRPr="00FF42A7">
        <w:rPr>
          <w:color w:val="0071BB"/>
          <w:w w:val="120"/>
        </w:rPr>
        <w:t xml:space="preserve">zakaz dyskryminacji) Konwencji </w:t>
      </w:r>
      <w:r w:rsidRPr="00FF42A7">
        <w:rPr>
          <w:b/>
          <w:color w:val="0071BB"/>
          <w:w w:val="120"/>
        </w:rPr>
        <w:t>w związku z art.</w:t>
      </w:r>
      <w:r w:rsidRPr="00FF42A7">
        <w:rPr>
          <w:b/>
          <w:color w:val="0071BB"/>
          <w:spacing w:val="76"/>
          <w:w w:val="120"/>
        </w:rPr>
        <w:t xml:space="preserve"> 2 </w:t>
      </w:r>
      <w:r w:rsidRPr="00FF42A7">
        <w:rPr>
          <w:b/>
          <w:color w:val="0071BB"/>
          <w:w w:val="120"/>
        </w:rPr>
        <w:t>i</w:t>
      </w:r>
      <w:r w:rsidRPr="00FF42A7">
        <w:rPr>
          <w:b/>
          <w:color w:val="0071BB"/>
          <w:spacing w:val="73"/>
          <w:w w:val="120"/>
        </w:rPr>
        <w:t xml:space="preserve"> 3</w:t>
      </w:r>
      <w:r w:rsidRPr="00FF42A7">
        <w:rPr>
          <w:b/>
          <w:color w:val="0071BB"/>
          <w:w w:val="120"/>
        </w:rPr>
        <w:t xml:space="preserve">, </w:t>
      </w:r>
      <w:r w:rsidRPr="00FF42A7">
        <w:rPr>
          <w:color w:val="0071BB"/>
          <w:w w:val="120"/>
        </w:rPr>
        <w:t>stwierdzając, że przemoc wyrządzon</w:t>
      </w:r>
      <w:r w:rsidR="008A089D" w:rsidRPr="00FF42A7">
        <w:rPr>
          <w:color w:val="0071BB"/>
          <w:w w:val="120"/>
        </w:rPr>
        <w:t>ą</w:t>
      </w:r>
      <w:r w:rsidRPr="00FF42A7">
        <w:rPr>
          <w:color w:val="0071BB"/>
          <w:w w:val="120"/>
        </w:rPr>
        <w:t xml:space="preserve"> skarżącej należy uznać za przemoc ze względu na płeć, a zatem stanowi ona formę dyskryminacji kobiet. W tym względzie Trybunał zwrócił w szczególności uwagę, że skarżąca była ofiarą dyskryminacji ze względu na płeć w wyniku bezczynności władz, które nie doceniły wagi przemocy i tym samym zasadniczo ją</w:t>
      </w:r>
      <w:r w:rsidR="005310DE" w:rsidRPr="00FF42A7">
        <w:rPr>
          <w:color w:val="0071BB"/>
          <w:w w:val="120"/>
        </w:rPr>
        <w:t xml:space="preserve"> </w:t>
      </w:r>
      <w:r w:rsidR="008A089D" w:rsidRPr="00FF42A7">
        <w:rPr>
          <w:color w:val="0071BB"/>
          <w:w w:val="120"/>
        </w:rPr>
        <w:t>zaakceptowały.</w:t>
      </w:r>
    </w:p>
    <w:p w14:paraId="03B89DA8" w14:textId="77777777" w:rsidR="009F1A47" w:rsidRPr="00FF42A7" w:rsidRDefault="009F1A47">
      <w:pPr>
        <w:pStyle w:val="Tekstpodstawowy"/>
        <w:sectPr w:rsidR="009F1A47" w:rsidRPr="00FF42A7">
          <w:headerReference w:type="default" r:id="rId35"/>
          <w:footerReference w:type="default" r:id="rId36"/>
          <w:pgSz w:w="11910" w:h="16840"/>
          <w:pgMar w:top="1400" w:right="566" w:bottom="680" w:left="566" w:header="720" w:footer="497" w:gutter="0"/>
          <w:cols w:space="708"/>
        </w:sectPr>
      </w:pPr>
    </w:p>
    <w:p w14:paraId="5C84E9E1" w14:textId="77777777" w:rsidR="009F1A47" w:rsidRPr="00FF42A7" w:rsidRDefault="009F1A47">
      <w:pPr>
        <w:pStyle w:val="Tekstpodstawowy"/>
        <w:spacing w:before="59"/>
        <w:ind w:left="0"/>
        <w:jc w:val="left"/>
      </w:pPr>
    </w:p>
    <w:p w14:paraId="720D5140" w14:textId="77777777" w:rsidR="009F1A47" w:rsidRPr="00FF42A7" w:rsidRDefault="009F1A47">
      <w:pPr>
        <w:pStyle w:val="Nagwek2"/>
        <w:spacing w:before="1"/>
        <w:rPr>
          <w:u w:val="none"/>
        </w:rPr>
      </w:pPr>
      <w:hyperlink r:id="rId37">
        <w:proofErr w:type="spellStart"/>
        <w:r w:rsidRPr="00FF42A7">
          <w:rPr>
            <w:color w:val="0071BB"/>
            <w:w w:val="135"/>
            <w:u w:val="thick" w:color="0071BB"/>
          </w:rPr>
          <w:t>Bălşan</w:t>
        </w:r>
        <w:proofErr w:type="spellEnd"/>
        <w:r w:rsidRPr="00FF42A7">
          <w:rPr>
            <w:color w:val="0071BB"/>
            <w:w w:val="135"/>
            <w:u w:val="thick" w:color="0071BB"/>
          </w:rPr>
          <w:t xml:space="preserve"> przeciwko </w:t>
        </w:r>
        <w:r w:rsidRPr="00FF42A7">
          <w:rPr>
            <w:color w:val="0071BB"/>
            <w:spacing w:val="-2"/>
            <w:w w:val="135"/>
            <w:u w:val="thick" w:color="0071BB"/>
          </w:rPr>
          <w:t>Rumunii</w:t>
        </w:r>
      </w:hyperlink>
    </w:p>
    <w:p w14:paraId="03F2EF67" w14:textId="54DEA023" w:rsidR="009F1A47" w:rsidRPr="00FF42A7" w:rsidRDefault="00000000">
      <w:pPr>
        <w:spacing w:before="55"/>
        <w:ind w:left="874"/>
        <w:jc w:val="both"/>
        <w:rPr>
          <w:sz w:val="18"/>
        </w:rPr>
      </w:pPr>
      <w:r w:rsidRPr="00FF42A7">
        <w:rPr>
          <w:color w:val="808080"/>
          <w:w w:val="125"/>
          <w:sz w:val="18"/>
        </w:rPr>
        <w:t>23 maja</w:t>
      </w:r>
      <w:r w:rsidRPr="00FF42A7">
        <w:rPr>
          <w:color w:val="808080"/>
          <w:spacing w:val="-4"/>
          <w:w w:val="125"/>
          <w:sz w:val="18"/>
        </w:rPr>
        <w:t xml:space="preserve"> 2017</w:t>
      </w:r>
      <w:r w:rsidR="00D52411" w:rsidRPr="00FF42A7">
        <w:rPr>
          <w:color w:val="808080"/>
          <w:spacing w:val="-4"/>
          <w:w w:val="125"/>
          <w:sz w:val="18"/>
        </w:rPr>
        <w:t xml:space="preserve"> r.</w:t>
      </w:r>
    </w:p>
    <w:p w14:paraId="19D6EC4E" w14:textId="77777777" w:rsidR="009F1A47" w:rsidRPr="00FF42A7" w:rsidRDefault="00000000">
      <w:pPr>
        <w:pStyle w:val="Tekstpodstawowy"/>
        <w:spacing w:before="1"/>
        <w:ind w:right="870"/>
      </w:pPr>
      <w:r w:rsidRPr="00FF42A7">
        <w:rPr>
          <w:w w:val="120"/>
        </w:rPr>
        <w:t>Skarżąca twierdziła, że władze nie zapewniły jej ochrony przed powtarzającą się przemocą domową i nie pociągnęły jej męża do odpowiedzialności, pomimo licznych skarg. Stwierdziła również, że tolerowanie takich aktów przemocy przez władze sprawiło, że czuła się poniżona i bezradna.</w:t>
      </w:r>
    </w:p>
    <w:p w14:paraId="6534346A" w14:textId="77777777"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3 </w:t>
      </w:r>
      <w:r w:rsidRPr="00FF42A7">
        <w:rPr>
          <w:color w:val="0071BB"/>
          <w:w w:val="120"/>
        </w:rPr>
        <w:t xml:space="preserve">(zakaz nieludzkiego lub poniżającego traktowania) Konwencji, ponieważ władze nie zapewniły skarżącej odpowiedniej ochrony przed przemocą ze strony męża, a także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w związku z art. 3</w:t>
      </w:r>
      <w:r w:rsidRPr="00FF42A7">
        <w:rPr>
          <w:color w:val="0071BB"/>
          <w:w w:val="120"/>
        </w:rPr>
        <w:t>, ponieważ przemoc miała podłoże płciowe. Trybunał zwrócił w szczególności uwagę, że mąż skarżącej stosował wobec niej przemoc, a władze musiały być świadome tych nadużyć, biorąc pod uwagę jej wielokrotne wezwania o pomoc zarówno do policji, jak i do sądów. Ponadto, mimo że w Rumunii istniały ramy prawne umożliwiające zgłaszanie przypadków przemocy domowej i zwracanie się o ochronę do władz, z których skarżąca w pełni skorzystała, władze nie zastosowały w jej sprawie odpowiednich przepisów prawnych. Władze uznały nawet, że skarżąca sprowokowała przemoc domową wobec niej i uznały, że nie była ona na tyle poważna, aby podlegać przepisom prawa karnego. Takie podejście pozbawiło krajowe ramy prawne ich celu i było niezgodne z międzynarodowymi standardami dotyczącymi przemocy wobec kobiet. W rzeczywistości bierność władz w niniejszej sprawie odzwierciedlała dyskryminujące podejście do skarżącej jako kobiety i wykazała brak zaangażowania w walkę z przemocą domową w Rumunii.</w:t>
      </w:r>
    </w:p>
    <w:p w14:paraId="1ECBBCAC" w14:textId="77777777" w:rsidR="009F1A47" w:rsidRPr="00FF42A7" w:rsidRDefault="009F1A47">
      <w:pPr>
        <w:pStyle w:val="Nagwek2"/>
        <w:spacing w:before="95"/>
        <w:ind w:left="873"/>
        <w:rPr>
          <w:b w:val="0"/>
          <w:position w:val="7"/>
          <w:sz w:val="13"/>
          <w:u w:val="none"/>
        </w:rPr>
      </w:pPr>
      <w:hyperlink r:id="rId38">
        <w:proofErr w:type="spellStart"/>
        <w:r w:rsidRPr="00FF42A7">
          <w:rPr>
            <w:color w:val="0071BB"/>
            <w:w w:val="135"/>
            <w:u w:color="0071BB"/>
          </w:rPr>
          <w:t>Volodina</w:t>
        </w:r>
        <w:proofErr w:type="spellEnd"/>
        <w:r w:rsidRPr="00FF42A7">
          <w:rPr>
            <w:color w:val="0071BB"/>
            <w:w w:val="135"/>
            <w:u w:color="0071BB"/>
          </w:rPr>
          <w:t xml:space="preserve"> przeciwko </w:t>
        </w:r>
        <w:r w:rsidRPr="00FF42A7">
          <w:rPr>
            <w:color w:val="0071BB"/>
            <w:spacing w:val="-2"/>
            <w:w w:val="135"/>
            <w:u w:color="0071BB"/>
          </w:rPr>
          <w:t>Rosji</w:t>
        </w:r>
      </w:hyperlink>
      <w:hyperlink w:anchor="_bookmark0" w:history="1">
        <w:r w:rsidRPr="00FF42A7">
          <w:rPr>
            <w:b w:val="0"/>
            <w:spacing w:val="-2"/>
            <w:w w:val="135"/>
            <w:position w:val="7"/>
            <w:sz w:val="13"/>
            <w:u w:val="none"/>
          </w:rPr>
          <w:t>1</w:t>
        </w:r>
      </w:hyperlink>
    </w:p>
    <w:p w14:paraId="0911D71F" w14:textId="173AEE14" w:rsidR="009F1A47" w:rsidRPr="00FF42A7" w:rsidRDefault="00000000">
      <w:pPr>
        <w:spacing w:before="56"/>
        <w:ind w:left="874"/>
        <w:jc w:val="both"/>
        <w:rPr>
          <w:sz w:val="18"/>
        </w:rPr>
      </w:pPr>
      <w:r w:rsidRPr="00FF42A7">
        <w:rPr>
          <w:color w:val="808080"/>
          <w:w w:val="125"/>
          <w:sz w:val="18"/>
        </w:rPr>
        <w:t>9 lipca</w:t>
      </w:r>
      <w:r w:rsidRPr="00FF42A7">
        <w:rPr>
          <w:color w:val="808080"/>
          <w:spacing w:val="-4"/>
          <w:w w:val="125"/>
          <w:sz w:val="18"/>
        </w:rPr>
        <w:t xml:space="preserve"> 2019</w:t>
      </w:r>
      <w:r w:rsidR="00D52411" w:rsidRPr="00FF42A7">
        <w:rPr>
          <w:color w:val="808080"/>
          <w:spacing w:val="-4"/>
          <w:w w:val="125"/>
          <w:sz w:val="18"/>
        </w:rPr>
        <w:t xml:space="preserve"> r.</w:t>
      </w:r>
    </w:p>
    <w:p w14:paraId="0C76826D" w14:textId="77777777" w:rsidR="009F1A47" w:rsidRPr="00FF42A7" w:rsidRDefault="00000000">
      <w:pPr>
        <w:pStyle w:val="Tekstpodstawowy"/>
        <w:spacing w:before="1"/>
        <w:ind w:right="869"/>
      </w:pPr>
      <w:r w:rsidRPr="00FF42A7">
        <w:rPr>
          <w:w w:val="120"/>
        </w:rPr>
        <w:t>Sprawa dotyczyła skargi skarżącej, która twierdziła, że władze rosyjskie nie zapewniły jej ochrony przed powtarzającą się przemocą domową, w tym napaściami, porwaniem, prześladowaniem i groźbami. Skarżąca twierdziła również, że obecny system prawny w Rosji jest nieodpowiedni do zwalczania takiej przemocy i dyskryminuje kobiety.</w:t>
      </w:r>
    </w:p>
    <w:p w14:paraId="397651FC" w14:textId="2F0FA771" w:rsidR="009F1A47" w:rsidRPr="00FF42A7" w:rsidRDefault="00000000">
      <w:pPr>
        <w:pStyle w:val="Tekstpodstawowy"/>
        <w:spacing w:line="237" w:lineRule="auto"/>
        <w:ind w:right="870"/>
      </w:pPr>
      <w:r w:rsidRPr="00FF42A7">
        <w:rPr>
          <w:color w:val="0071BB"/>
          <w:w w:val="120"/>
        </w:rPr>
        <w:t xml:space="preserve">Trybunał uznał, że doszło </w:t>
      </w:r>
      <w:r w:rsidRPr="00FF42A7">
        <w:rPr>
          <w:b/>
          <w:color w:val="0071BB"/>
          <w:w w:val="120"/>
        </w:rPr>
        <w:t xml:space="preserve">do naruszenia art. 3 </w:t>
      </w:r>
      <w:r w:rsidRPr="00FF42A7">
        <w:rPr>
          <w:color w:val="0071BB"/>
          <w:w w:val="120"/>
        </w:rPr>
        <w:t xml:space="preserve">(zakaz nieludzkiego lub poniżającego traktowania) Konwencji, stwierdzając, że skarżąca była zarówno fizycznie, jak i psychicznie maltretowana przez swojego byłego partnera, a władze rosyjskie nie wywiązały się z ciążących na nich na mocy Konwencji obowiązków ochrony jej przed przemocą ze strony partnera. Stwierdził również, że doszło </w:t>
      </w:r>
      <w:r w:rsidRPr="00FF42A7">
        <w:rPr>
          <w:b/>
          <w:color w:val="0071BB"/>
          <w:w w:val="120"/>
        </w:rPr>
        <w:t xml:space="preserve">do naruszenia art. 14 </w:t>
      </w:r>
      <w:r w:rsidRPr="00FF42A7">
        <w:rPr>
          <w:bCs/>
          <w:color w:val="0071BB"/>
          <w:w w:val="120"/>
        </w:rPr>
        <w:t>(</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 3</w:t>
      </w:r>
      <w:r w:rsidRPr="00FF42A7">
        <w:rPr>
          <w:b/>
          <w:color w:val="0071BB"/>
          <w:w w:val="120"/>
        </w:rPr>
        <w:t xml:space="preserve">. </w:t>
      </w:r>
      <w:r w:rsidRPr="00FF42A7">
        <w:rPr>
          <w:color w:val="0071BB"/>
          <w:w w:val="120"/>
        </w:rPr>
        <w:t xml:space="preserve">W tym względzie Trybunał zwrócił w szczególności uwagę, że przemoc domowa nie jest uznana w prawie rosyjskim </w:t>
      </w:r>
      <w:r w:rsidRPr="00FF42A7">
        <w:rPr>
          <w:color w:val="0071BB"/>
          <w:spacing w:val="40"/>
          <w:w w:val="120"/>
        </w:rPr>
        <w:t xml:space="preserve">i </w:t>
      </w:r>
      <w:r w:rsidRPr="00FF42A7">
        <w:rPr>
          <w:color w:val="0071BB"/>
          <w:w w:val="120"/>
        </w:rPr>
        <w:t>nie istnieją takie środki jak zakaz zbliżania się lub nakaz ochrony. Te uchybienia wyraźnie wskazują, że władze niechętnie uznają powagę problemu przemocy domowej w Rosji i jego dyskryminując</w:t>
      </w:r>
      <w:r w:rsidR="005310DE" w:rsidRPr="00FF42A7">
        <w:rPr>
          <w:color w:val="0071BB"/>
          <w:w w:val="120"/>
        </w:rPr>
        <w:t>ego</w:t>
      </w:r>
      <w:r w:rsidRPr="00FF42A7">
        <w:rPr>
          <w:color w:val="0071BB"/>
          <w:w w:val="120"/>
        </w:rPr>
        <w:t xml:space="preserve"> wpływ</w:t>
      </w:r>
      <w:r w:rsidR="005310DE" w:rsidRPr="00FF42A7">
        <w:rPr>
          <w:color w:val="0071BB"/>
          <w:w w:val="120"/>
        </w:rPr>
        <w:t>u</w:t>
      </w:r>
      <w:r w:rsidRPr="00FF42A7">
        <w:rPr>
          <w:color w:val="0071BB"/>
          <w:w w:val="120"/>
        </w:rPr>
        <w:t xml:space="preserve"> na kobiety.</w:t>
      </w:r>
    </w:p>
    <w:p w14:paraId="0B3407D8" w14:textId="77777777" w:rsidR="009F1A47" w:rsidRPr="00FF42A7" w:rsidRDefault="009F1A47">
      <w:pPr>
        <w:pStyle w:val="Nagwek2"/>
        <w:spacing w:before="133"/>
        <w:ind w:left="873"/>
        <w:rPr>
          <w:u w:val="none"/>
        </w:rPr>
      </w:pPr>
      <w:hyperlink r:id="rId39">
        <w:proofErr w:type="spellStart"/>
        <w:r w:rsidRPr="00FF42A7">
          <w:rPr>
            <w:color w:val="0071BB"/>
            <w:w w:val="135"/>
            <w:u w:color="0071BB"/>
          </w:rPr>
          <w:t>Tkhelidze</w:t>
        </w:r>
        <w:proofErr w:type="spellEnd"/>
        <w:r w:rsidRPr="00FF42A7">
          <w:rPr>
            <w:color w:val="0071BB"/>
            <w:w w:val="135"/>
            <w:u w:color="0071BB"/>
          </w:rPr>
          <w:t xml:space="preserve"> przeciwko </w:t>
        </w:r>
        <w:r w:rsidRPr="00FF42A7">
          <w:rPr>
            <w:color w:val="0071BB"/>
            <w:spacing w:val="-2"/>
            <w:w w:val="135"/>
            <w:u w:color="0071BB"/>
          </w:rPr>
          <w:t>Gruzji</w:t>
        </w:r>
      </w:hyperlink>
    </w:p>
    <w:p w14:paraId="661D8E08" w14:textId="73B2CB53" w:rsidR="009F1A47" w:rsidRPr="00FF42A7" w:rsidRDefault="00000000">
      <w:pPr>
        <w:spacing w:before="55"/>
        <w:ind w:left="874"/>
        <w:jc w:val="both"/>
        <w:rPr>
          <w:sz w:val="18"/>
        </w:rPr>
      </w:pPr>
      <w:r w:rsidRPr="00FF42A7">
        <w:rPr>
          <w:color w:val="808080"/>
          <w:w w:val="125"/>
          <w:sz w:val="18"/>
        </w:rPr>
        <w:t>8 lipca</w:t>
      </w:r>
      <w:r w:rsidRPr="00FF42A7">
        <w:rPr>
          <w:color w:val="808080"/>
          <w:spacing w:val="-4"/>
          <w:w w:val="125"/>
          <w:sz w:val="18"/>
        </w:rPr>
        <w:t xml:space="preserve"> 2021</w:t>
      </w:r>
      <w:r w:rsidR="008769FB" w:rsidRPr="00FF42A7">
        <w:rPr>
          <w:color w:val="808080"/>
          <w:spacing w:val="-4"/>
          <w:w w:val="125"/>
          <w:sz w:val="18"/>
        </w:rPr>
        <w:t xml:space="preserve"> r.</w:t>
      </w:r>
    </w:p>
    <w:p w14:paraId="16DEBB53" w14:textId="069753F9" w:rsidR="009F1A47" w:rsidRPr="00FF42A7" w:rsidRDefault="00000000" w:rsidP="00954CF5">
      <w:pPr>
        <w:pStyle w:val="Tekstpodstawowy"/>
        <w:spacing w:before="2"/>
        <w:ind w:left="873" w:right="868"/>
      </w:pPr>
      <w:r w:rsidRPr="00FF42A7">
        <w:rPr>
          <w:w w:val="120"/>
        </w:rPr>
        <w:t>Sprawa dotyczyła zarzutu, że władze gruzińskie nie zapewniły córce skarżącej ochrony przed przemocą domową i nie przeprowadziły skutecznego dochodzenia w tej sprawie. Skarżąca twierdziła, że policja była świadoma zagrożenia życia jej córki</w:t>
      </w:r>
      <w:r w:rsidR="001F6C05" w:rsidRPr="00FF42A7">
        <w:rPr>
          <w:w w:val="120"/>
        </w:rPr>
        <w:t>,</w:t>
      </w:r>
      <w:r w:rsidR="008769FB" w:rsidRPr="00FF42A7">
        <w:rPr>
          <w:w w:val="120"/>
        </w:rPr>
        <w:t xml:space="preserve"> </w:t>
      </w:r>
      <w:r w:rsidRPr="00FF42A7">
        <w:rPr>
          <w:w w:val="120"/>
        </w:rPr>
        <w:t>ale nie</w:t>
      </w:r>
      <w:r w:rsidRPr="00FF42A7">
        <w:rPr>
          <w:spacing w:val="40"/>
          <w:w w:val="120"/>
        </w:rPr>
        <w:t xml:space="preserve"> </w:t>
      </w:r>
      <w:r w:rsidRPr="00FF42A7">
        <w:rPr>
          <w:w w:val="120"/>
        </w:rPr>
        <w:t>podjęła niezbędnych</w:t>
      </w:r>
      <w:r w:rsidRPr="00FF42A7">
        <w:rPr>
          <w:spacing w:val="37"/>
          <w:w w:val="120"/>
        </w:rPr>
        <w:t xml:space="preserve">  </w:t>
      </w:r>
      <w:r w:rsidRPr="00FF42A7">
        <w:rPr>
          <w:w w:val="120"/>
        </w:rPr>
        <w:t xml:space="preserve"> środków zapobiegawczych. W szczególności</w:t>
      </w:r>
      <w:r w:rsidR="001F6C05" w:rsidRPr="00FF42A7">
        <w:rPr>
          <w:w w:val="120"/>
        </w:rPr>
        <w:t>,</w:t>
      </w:r>
      <w:r w:rsidRPr="00FF42A7">
        <w:rPr>
          <w:w w:val="120"/>
        </w:rPr>
        <w:t xml:space="preserve"> reakcja</w:t>
      </w:r>
      <w:r w:rsidR="001F6C05" w:rsidRPr="00FF42A7">
        <w:rPr>
          <w:w w:val="120"/>
        </w:rPr>
        <w:t xml:space="preserve"> policji</w:t>
      </w:r>
      <w:r w:rsidRPr="00FF42A7">
        <w:rPr>
          <w:w w:val="120"/>
        </w:rPr>
        <w:t xml:space="preserve"> na liczne skargi złożone przez skarżącą i jej córkę była nieodpowiednia i dyskryminująca.</w:t>
      </w:r>
    </w:p>
    <w:p w14:paraId="0970E74A" w14:textId="3D3DA978" w:rsidR="00E502CB" w:rsidRPr="00FF42A7" w:rsidRDefault="00000000" w:rsidP="00245934">
      <w:pPr>
        <w:pStyle w:val="Tekstpodstawowy"/>
        <w:spacing w:before="8"/>
        <w:ind w:left="873" w:right="868"/>
        <w:rPr>
          <w:color w:val="0071BB"/>
          <w:w w:val="120"/>
        </w:rPr>
      </w:pPr>
      <w:r w:rsidRPr="00FF42A7">
        <w:rPr>
          <w:color w:val="0071BB"/>
          <w:w w:val="120"/>
        </w:rPr>
        <w:t xml:space="preserve">Trybunał uznał, że doszło </w:t>
      </w:r>
      <w:r w:rsidRPr="00FF42A7">
        <w:rPr>
          <w:b/>
          <w:color w:val="0071BB"/>
          <w:w w:val="120"/>
        </w:rPr>
        <w:t xml:space="preserve">do naruszenia art. 2 </w:t>
      </w:r>
      <w:r w:rsidRPr="00FF42A7">
        <w:rPr>
          <w:color w:val="0071BB"/>
          <w:w w:val="120"/>
        </w:rPr>
        <w:t xml:space="preserve">(prawo do życia) </w:t>
      </w:r>
      <w:r w:rsidRPr="00FF42A7">
        <w:rPr>
          <w:b/>
          <w:color w:val="0071BB"/>
          <w:w w:val="120"/>
        </w:rPr>
        <w:t xml:space="preserve">w związku z art. 14 </w:t>
      </w:r>
      <w:r w:rsidRPr="00FF42A7">
        <w:rPr>
          <w:color w:val="0071BB"/>
          <w:w w:val="120"/>
        </w:rPr>
        <w:t xml:space="preserve">(zakaz dyskryminacji) Konwencji, stwierdzając, że </w:t>
      </w:r>
      <w:r w:rsidR="000235F6" w:rsidRPr="00FF42A7">
        <w:rPr>
          <w:color w:val="0071BB"/>
          <w:w w:val="120"/>
        </w:rPr>
        <w:t>P</w:t>
      </w:r>
      <w:r w:rsidRPr="00FF42A7">
        <w:rPr>
          <w:color w:val="0071BB"/>
          <w:w w:val="120"/>
        </w:rPr>
        <w:t xml:space="preserve">aństwo </w:t>
      </w:r>
      <w:r w:rsidR="000235F6" w:rsidRPr="00FF42A7">
        <w:rPr>
          <w:color w:val="0071BB"/>
          <w:w w:val="120"/>
        </w:rPr>
        <w:t>G</w:t>
      </w:r>
      <w:r w:rsidRPr="00FF42A7">
        <w:rPr>
          <w:color w:val="0071BB"/>
          <w:w w:val="120"/>
        </w:rPr>
        <w:t xml:space="preserve">ruzińskie nie wywiązało się ze swoich </w:t>
      </w:r>
    </w:p>
    <w:p w14:paraId="40E2F3D5" w14:textId="1533164E" w:rsidR="00E502CB" w:rsidRPr="00FF42A7" w:rsidRDefault="00000000" w:rsidP="00245934">
      <w:pPr>
        <w:pStyle w:val="Tekstpodstawowy"/>
        <w:spacing w:before="8"/>
        <w:ind w:left="873" w:right="868"/>
        <w:rPr>
          <w:color w:val="0071BB"/>
          <w:w w:val="120"/>
        </w:rPr>
      </w:pPr>
      <w:r w:rsidRPr="00FF42A7">
        <w:rPr>
          <w:color w:val="0071BB"/>
          <w:w w:val="120"/>
        </w:rPr>
        <w:t xml:space="preserve">zobowiązań dotyczących ochrony życia córki skarżącej oraz przeprowadzenia skutecznego </w:t>
      </w:r>
    </w:p>
    <w:p w14:paraId="79C520A3" w14:textId="6C2FFAF6" w:rsidR="009F1A47" w:rsidRPr="00FF42A7" w:rsidRDefault="00000000" w:rsidP="00245934">
      <w:pPr>
        <w:pStyle w:val="Tekstpodstawowy"/>
        <w:spacing w:before="8"/>
        <w:ind w:left="873" w:right="868"/>
      </w:pPr>
      <w:r w:rsidRPr="00FF42A7">
        <w:rPr>
          <w:color w:val="0071BB"/>
          <w:w w:val="120"/>
        </w:rPr>
        <w:t>śledztwa w sprawie jej śmierci. Trybunał</w:t>
      </w:r>
      <w:r w:rsidR="00FB6769">
        <w:rPr>
          <w:color w:val="0071BB"/>
          <w:w w:val="120"/>
        </w:rPr>
        <w:t xml:space="preserve"> </w:t>
      </w:r>
      <w:r w:rsidR="001F6C05" w:rsidRPr="00FF42A7">
        <w:rPr>
          <w:color w:val="0071BB"/>
          <w:w w:val="120"/>
        </w:rPr>
        <w:t xml:space="preserve">zwrócił w szczególności uwagę, </w:t>
      </w:r>
      <w:r w:rsidR="00FB6769" w:rsidRPr="00FF42A7">
        <w:rPr>
          <w:color w:val="0071BB"/>
          <w:w w:val="120"/>
        </w:rPr>
        <w:t>że policja</w:t>
      </w:r>
      <w:r w:rsidR="008769FB" w:rsidRPr="00FF42A7">
        <w:rPr>
          <w:color w:val="0071BB"/>
          <w:w w:val="120"/>
        </w:rPr>
        <w:t xml:space="preserve"> musiała być </w:t>
      </w:r>
      <w:r w:rsidR="00954CF5" w:rsidRPr="00FF42A7">
        <w:rPr>
          <w:color w:val="0071BB"/>
          <w:w w:val="120"/>
        </w:rPr>
        <w:t>świadoma, że córka skarżącej znajdowała się w niebezpieczeństwie.</w:t>
      </w:r>
    </w:p>
    <w:p w14:paraId="1A8203FB" w14:textId="77777777" w:rsidR="009F1A47" w:rsidRPr="00FF42A7" w:rsidRDefault="00000000">
      <w:pPr>
        <w:pStyle w:val="Tekstpodstawowy"/>
        <w:ind w:left="0"/>
        <w:jc w:val="left"/>
        <w:rPr>
          <w:sz w:val="9"/>
        </w:rPr>
      </w:pPr>
      <w:r w:rsidRPr="00FF42A7">
        <w:rPr>
          <w:noProof/>
          <w:sz w:val="9"/>
        </w:rPr>
        <mc:AlternateContent>
          <mc:Choice Requires="wps">
            <w:drawing>
              <wp:anchor distT="0" distB="0" distL="0" distR="0" simplePos="0" relativeHeight="251639808" behindDoc="1" locked="0" layoutInCell="1" allowOverlap="1" wp14:anchorId="2012FCC6" wp14:editId="1378093B">
                <wp:simplePos x="0" y="0"/>
                <wp:positionH relativeFrom="page">
                  <wp:posOffset>914400</wp:posOffset>
                </wp:positionH>
                <wp:positionV relativeFrom="paragraph">
                  <wp:posOffset>85404</wp:posOffset>
                </wp:positionV>
                <wp:extent cx="1828800" cy="762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B3E34EE" id="Graphic 15" o:spid="_x0000_s1026" style="position:absolute;margin-left:1in;margin-top:6.7pt;width:2in;height:.6pt;z-index:-2516766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" path="m1828800,l,,,7620r1828800,l1828800,xe" fillcolor="black" stroked="f">
                <v:path arrowok="t"/>
                <w10:wrap type="topAndBottom" anchorx="page"/>
              </v:shape>
            </w:pict>
          </mc:Fallback>
        </mc:AlternateContent>
      </w:r>
    </w:p>
    <w:p w14:paraId="08DF63EB" w14:textId="5B67F7DD" w:rsidR="009F1A47" w:rsidRPr="00FF42A7" w:rsidRDefault="00000000">
      <w:pPr>
        <w:pStyle w:val="Akapitzlist"/>
        <w:numPr>
          <w:ilvl w:val="0"/>
          <w:numId w:val="2"/>
        </w:numPr>
        <w:tabs>
          <w:tab w:val="left" w:pos="1126"/>
        </w:tabs>
        <w:spacing w:line="247" w:lineRule="auto"/>
        <w:ind w:right="952" w:firstLine="0"/>
        <w:rPr>
          <w:sz w:val="16"/>
        </w:rPr>
      </w:pPr>
      <w:bookmarkStart w:id="0" w:name="_bookmark0"/>
      <w:bookmarkEnd w:id="0"/>
      <w:r w:rsidRPr="00FF42A7">
        <w:rPr>
          <w:w w:val="125"/>
          <w:sz w:val="16"/>
        </w:rPr>
        <w:t xml:space="preserve">W dniu 16 września 2022 r. Federacja Rosyjska przestała być stroną </w:t>
      </w:r>
      <w:r w:rsidR="00B37505" w:rsidRPr="00FF42A7">
        <w:rPr>
          <w:w w:val="125"/>
          <w:sz w:val="16"/>
        </w:rPr>
        <w:t>E</w:t>
      </w:r>
      <w:r w:rsidRPr="00FF42A7">
        <w:rPr>
          <w:w w:val="125"/>
          <w:sz w:val="16"/>
        </w:rPr>
        <w:t xml:space="preserve">uropejskiej </w:t>
      </w:r>
      <w:r w:rsidR="00B37505" w:rsidRPr="00FF42A7">
        <w:rPr>
          <w:w w:val="125"/>
          <w:sz w:val="16"/>
        </w:rPr>
        <w:t>K</w:t>
      </w:r>
      <w:r w:rsidRPr="00FF42A7">
        <w:rPr>
          <w:w w:val="125"/>
          <w:sz w:val="16"/>
        </w:rPr>
        <w:t xml:space="preserve">onwencji </w:t>
      </w:r>
      <w:r w:rsidR="00B37505" w:rsidRPr="00FF42A7">
        <w:rPr>
          <w:w w:val="125"/>
          <w:sz w:val="16"/>
        </w:rPr>
        <w:t>P</w:t>
      </w:r>
      <w:r w:rsidRPr="00FF42A7">
        <w:rPr>
          <w:w w:val="125"/>
          <w:sz w:val="16"/>
        </w:rPr>
        <w:t xml:space="preserve">raw </w:t>
      </w:r>
      <w:r w:rsidR="00B37505" w:rsidRPr="00FF42A7">
        <w:rPr>
          <w:w w:val="125"/>
          <w:sz w:val="16"/>
        </w:rPr>
        <w:t>C</w:t>
      </w:r>
      <w:r w:rsidRPr="00FF42A7">
        <w:rPr>
          <w:w w:val="125"/>
          <w:sz w:val="16"/>
        </w:rPr>
        <w:t>złowieka („</w:t>
      </w:r>
      <w:r w:rsidR="00B37505" w:rsidRPr="00FF42A7">
        <w:rPr>
          <w:w w:val="125"/>
          <w:sz w:val="16"/>
        </w:rPr>
        <w:t>K</w:t>
      </w:r>
      <w:r w:rsidRPr="00FF42A7">
        <w:rPr>
          <w:w w:val="125"/>
          <w:sz w:val="16"/>
        </w:rPr>
        <w:t>onwencji”).</w:t>
      </w:r>
    </w:p>
    <w:p w14:paraId="7D08D687" w14:textId="77777777" w:rsidR="009F1A47" w:rsidRPr="00FF42A7" w:rsidRDefault="009F1A47">
      <w:pPr>
        <w:pStyle w:val="Akapitzlist"/>
        <w:spacing w:line="247" w:lineRule="auto"/>
        <w:rPr>
          <w:sz w:val="16"/>
        </w:rPr>
        <w:sectPr w:rsidR="009F1A47" w:rsidRPr="00FF42A7">
          <w:pgSz w:w="11910" w:h="16840"/>
          <w:pgMar w:top="1400" w:right="566" w:bottom="680" w:left="566" w:header="720" w:footer="497" w:gutter="0"/>
          <w:cols w:space="708"/>
        </w:sectPr>
      </w:pPr>
    </w:p>
    <w:p w14:paraId="571B0708" w14:textId="77777777" w:rsidR="009F1A47" w:rsidRPr="00FF42A7" w:rsidRDefault="009F1A47">
      <w:pPr>
        <w:pStyle w:val="Tekstpodstawowy"/>
        <w:spacing w:before="59"/>
        <w:ind w:left="0"/>
        <w:jc w:val="left"/>
      </w:pPr>
    </w:p>
    <w:p w14:paraId="42E99FD6" w14:textId="07BB9F04" w:rsidR="009F1A47" w:rsidRPr="00FF42A7" w:rsidRDefault="00000000">
      <w:pPr>
        <w:pStyle w:val="Tekstpodstawowy"/>
        <w:spacing w:before="1"/>
        <w:ind w:left="873" w:right="869"/>
      </w:pPr>
      <w:r w:rsidRPr="00FF42A7">
        <w:rPr>
          <w:color w:val="0071BB"/>
          <w:w w:val="120"/>
        </w:rPr>
        <w:t xml:space="preserve">Pomimo różnych środków ochronnych, </w:t>
      </w:r>
      <w:r w:rsidR="00B37505" w:rsidRPr="00FF42A7">
        <w:rPr>
          <w:color w:val="0071BB"/>
          <w:w w:val="120"/>
        </w:rPr>
        <w:t xml:space="preserve">jakie mogli wdrożyć, nie udało im się zapobiec </w:t>
      </w:r>
      <w:r w:rsidR="00517FAE" w:rsidRPr="00FF42A7">
        <w:rPr>
          <w:color w:val="0071BB"/>
          <w:w w:val="120"/>
        </w:rPr>
        <w:t xml:space="preserve">wobec niej </w:t>
      </w:r>
      <w:r w:rsidR="00B37505" w:rsidRPr="00FF42A7">
        <w:rPr>
          <w:color w:val="0071BB"/>
          <w:w w:val="120"/>
        </w:rPr>
        <w:t>przemocy</w:t>
      </w:r>
      <w:r w:rsidR="00FB6769">
        <w:rPr>
          <w:color w:val="0071BB"/>
          <w:w w:val="120"/>
        </w:rPr>
        <w:t xml:space="preserve"> </w:t>
      </w:r>
      <w:r w:rsidR="00517FAE" w:rsidRPr="00FF42A7">
        <w:rPr>
          <w:color w:val="0071BB"/>
          <w:w w:val="120"/>
        </w:rPr>
        <w:t>na tle płciowym</w:t>
      </w:r>
      <w:r w:rsidR="00B37505" w:rsidRPr="00FF42A7">
        <w:rPr>
          <w:color w:val="0071BB"/>
          <w:w w:val="120"/>
        </w:rPr>
        <w:t xml:space="preserve">, która </w:t>
      </w:r>
      <w:r w:rsidR="00517FAE" w:rsidRPr="00FF42A7">
        <w:rPr>
          <w:color w:val="0071BB"/>
          <w:w w:val="120"/>
        </w:rPr>
        <w:t xml:space="preserve">ostatecznie </w:t>
      </w:r>
      <w:r w:rsidR="00B37505" w:rsidRPr="00FF42A7">
        <w:rPr>
          <w:color w:val="0071BB"/>
          <w:w w:val="120"/>
        </w:rPr>
        <w:t xml:space="preserve">doprowadziła do jej śmierci. </w:t>
      </w:r>
      <w:r w:rsidR="003E50ED" w:rsidRPr="00FF42A7">
        <w:rPr>
          <w:color w:val="0071BB"/>
          <w:w w:val="120"/>
        </w:rPr>
        <w:t>Trybunał</w:t>
      </w:r>
      <w:r w:rsidR="00B37505" w:rsidRPr="00FF42A7">
        <w:rPr>
          <w:color w:val="0071BB"/>
          <w:w w:val="120"/>
        </w:rPr>
        <w:t xml:space="preserve"> uznał, że bezczynność </w:t>
      </w:r>
      <w:r w:rsidR="004F7487" w:rsidRPr="00FF42A7">
        <w:rPr>
          <w:color w:val="0071BB"/>
          <w:w w:val="120"/>
        </w:rPr>
        <w:t xml:space="preserve">policji można uznać za błąd systemowy. </w:t>
      </w:r>
      <w:r w:rsidRPr="00FF42A7">
        <w:rPr>
          <w:color w:val="0071BB"/>
          <w:w w:val="120"/>
        </w:rPr>
        <w:t xml:space="preserve">Istniała pilna potrzeba przeprowadzenia rzetelnego dochodzenia w </w:t>
      </w:r>
      <w:r w:rsidR="004F7487" w:rsidRPr="00FF42A7">
        <w:rPr>
          <w:color w:val="0071BB"/>
          <w:w w:val="120"/>
        </w:rPr>
        <w:t>celu ustalenia, czy dyskryminacja ze względu na płeć i uprzedzenia mogły być przyczyną braku działań policji.</w:t>
      </w:r>
    </w:p>
    <w:p w14:paraId="17A5BE18" w14:textId="75B1D540" w:rsidR="009F1A47" w:rsidRPr="00FF42A7" w:rsidRDefault="009F1A47">
      <w:pPr>
        <w:pStyle w:val="Nagwek2"/>
        <w:spacing w:before="109"/>
        <w:ind w:left="873"/>
        <w:rPr>
          <w:b w:val="0"/>
          <w:position w:val="7"/>
          <w:sz w:val="13"/>
          <w:u w:val="none"/>
        </w:rPr>
      </w:pPr>
      <w:hyperlink r:id="rId40">
        <w:proofErr w:type="spellStart"/>
        <w:r w:rsidRPr="00FF42A7">
          <w:rPr>
            <w:color w:val="0071BB"/>
            <w:w w:val="135"/>
            <w:u w:color="0071BB"/>
          </w:rPr>
          <w:t>Tunikova</w:t>
        </w:r>
        <w:proofErr w:type="spellEnd"/>
        <w:r w:rsidRPr="00FF42A7">
          <w:rPr>
            <w:color w:val="0071BB"/>
            <w:w w:val="135"/>
            <w:u w:color="0071BB"/>
          </w:rPr>
          <w:t xml:space="preserve"> i </w:t>
        </w:r>
        <w:r w:rsidR="004F7487" w:rsidRPr="00FF42A7">
          <w:rPr>
            <w:color w:val="0071BB"/>
            <w:w w:val="135"/>
            <w:u w:color="0071BB"/>
          </w:rPr>
          <w:t>Inni</w:t>
        </w:r>
        <w:r w:rsidRPr="00FF42A7">
          <w:rPr>
            <w:color w:val="0071BB"/>
            <w:w w:val="135"/>
            <w:u w:color="0071BB"/>
          </w:rPr>
          <w:t xml:space="preserve"> przeciwko </w:t>
        </w:r>
        <w:r w:rsidRPr="00FF42A7">
          <w:rPr>
            <w:color w:val="0071BB"/>
            <w:spacing w:val="-2"/>
            <w:w w:val="135"/>
            <w:u w:color="0071BB"/>
          </w:rPr>
          <w:t>Rosji</w:t>
        </w:r>
      </w:hyperlink>
      <w:hyperlink w:anchor="_bookmark1" w:history="1">
        <w:r w:rsidRPr="00FF42A7">
          <w:rPr>
            <w:b w:val="0"/>
            <w:spacing w:val="-2"/>
            <w:w w:val="135"/>
            <w:position w:val="7"/>
            <w:sz w:val="13"/>
            <w:u w:val="none"/>
          </w:rPr>
          <w:t>2</w:t>
        </w:r>
      </w:hyperlink>
    </w:p>
    <w:p w14:paraId="4C7A6108" w14:textId="41BD537F" w:rsidR="009F1A47" w:rsidRPr="00FF42A7" w:rsidRDefault="00000000">
      <w:pPr>
        <w:spacing w:before="55"/>
        <w:ind w:left="874"/>
        <w:jc w:val="both"/>
        <w:rPr>
          <w:sz w:val="18"/>
        </w:rPr>
      </w:pPr>
      <w:r w:rsidRPr="00FF42A7">
        <w:rPr>
          <w:color w:val="808080"/>
          <w:w w:val="125"/>
          <w:sz w:val="18"/>
        </w:rPr>
        <w:t>14 grudnia</w:t>
      </w:r>
      <w:r w:rsidRPr="00FF42A7">
        <w:rPr>
          <w:color w:val="808080"/>
          <w:spacing w:val="-4"/>
          <w:w w:val="125"/>
          <w:sz w:val="18"/>
        </w:rPr>
        <w:t xml:space="preserve"> 2021</w:t>
      </w:r>
      <w:r w:rsidR="004F7487" w:rsidRPr="00FF42A7">
        <w:rPr>
          <w:color w:val="808080"/>
          <w:spacing w:val="-4"/>
          <w:w w:val="125"/>
          <w:sz w:val="18"/>
        </w:rPr>
        <w:t xml:space="preserve"> r.</w:t>
      </w:r>
    </w:p>
    <w:p w14:paraId="0DE9403C" w14:textId="7B0950A1" w:rsidR="009F1A47" w:rsidRPr="00FF42A7" w:rsidRDefault="00000000">
      <w:pPr>
        <w:pStyle w:val="Tekstpodstawowy"/>
        <w:spacing w:before="2"/>
        <w:ind w:left="873" w:right="869"/>
      </w:pPr>
      <w:r w:rsidRPr="00FF42A7">
        <w:rPr>
          <w:w w:val="120"/>
        </w:rPr>
        <w:t xml:space="preserve">Sprawa dotyczyła aktów przemocy domowej, w tym gróźb śmierci, obrażeń ciała i jednego przypadku poważnego okaleczenia, których cztery skarżące doświadczyły ze strony swoich byłych partnerów lub mężów. Skarżące zarzucały w szczególności </w:t>
      </w:r>
      <w:r w:rsidR="000235F6" w:rsidRPr="00FF42A7">
        <w:rPr>
          <w:w w:val="120"/>
        </w:rPr>
        <w:t>P</w:t>
      </w:r>
      <w:r w:rsidRPr="00FF42A7">
        <w:rPr>
          <w:w w:val="120"/>
        </w:rPr>
        <w:t xml:space="preserve">aństwu </w:t>
      </w:r>
      <w:r w:rsidR="000235F6" w:rsidRPr="00FF42A7">
        <w:rPr>
          <w:w w:val="120"/>
        </w:rPr>
        <w:t>R</w:t>
      </w:r>
      <w:r w:rsidRPr="00FF42A7">
        <w:rPr>
          <w:w w:val="120"/>
        </w:rPr>
        <w:t>osyjskiemu brak ochrony przed przemocą domową, brak środków odwoławczych w tym zakresie oraz ogólny brak przeciwdziałania przemocy ze względu na płeć, co stanowiło dyskryminację kobiet.</w:t>
      </w:r>
    </w:p>
    <w:p w14:paraId="4851E67C" w14:textId="77777777" w:rsidR="009F1A47" w:rsidRPr="00FF42A7" w:rsidRDefault="00000000">
      <w:pPr>
        <w:pStyle w:val="Tekstpodstawowy"/>
        <w:ind w:left="873" w:right="871"/>
      </w:pPr>
      <w:r w:rsidRPr="00FF42A7">
        <w:rPr>
          <w:color w:val="0071BB"/>
          <w:w w:val="120"/>
        </w:rPr>
        <w:t xml:space="preserve">Trybunał uznał, że doszło </w:t>
      </w:r>
      <w:r w:rsidRPr="00FF42A7">
        <w:rPr>
          <w:b/>
          <w:color w:val="0071BB"/>
          <w:w w:val="120"/>
        </w:rPr>
        <w:t xml:space="preserve">do naruszenia art. 3 </w:t>
      </w:r>
      <w:r w:rsidRPr="00FF42A7">
        <w:rPr>
          <w:color w:val="0071BB"/>
          <w:w w:val="120"/>
        </w:rPr>
        <w:t xml:space="preserve">(zakaz nieludzkiego lub poniżającego traktowania) Konwencji, stwierdzając, że władze rosyjskie nie ustanowiły ram prawnych umożliwiających skuteczne zwalczanie przemocy domowej, nie oceniły ryzyka powtórzenia się przemocy oraz nie przeprowadziły skutecznego dochodzenia w sprawie przemocy domowej, której doświadczyły skarżące. Stwierdził również, że doszło </w:t>
      </w:r>
      <w:r w:rsidRPr="00FF42A7">
        <w:rPr>
          <w:b/>
          <w:color w:val="0071BB"/>
          <w:w w:val="120"/>
        </w:rPr>
        <w:t xml:space="preserve">do naruszenia art. 14 </w:t>
      </w:r>
      <w:r w:rsidRPr="00FF42A7">
        <w:rPr>
          <w:bCs/>
          <w:color w:val="0071BB"/>
          <w:spacing w:val="40"/>
          <w:w w:val="120"/>
        </w:rPr>
        <w:t>(</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 3</w:t>
      </w:r>
      <w:r w:rsidRPr="00FF42A7">
        <w:rPr>
          <w:b/>
          <w:color w:val="0071BB"/>
          <w:w w:val="120"/>
        </w:rPr>
        <w:t xml:space="preserve">, </w:t>
      </w:r>
      <w:r w:rsidRPr="00FF42A7">
        <w:rPr>
          <w:color w:val="0071BB"/>
          <w:w w:val="120"/>
        </w:rPr>
        <w:t xml:space="preserve">uznając, że w odniesieniu do ochrony przed ryzykiem przemocy domowej kobiety w Rosji znajdują się w sytuacji faktycznej dyskryminacji. W tym względzie Trybunał zwrócił w szczególności uwagę, że nieuchwalenie przez rząd przepisów mających na celu walkę z ogromną skalą przemocy domowej wobec kobiet w Rosji oraz systematyczne problemy z zapewnieniem ścigania i skazywania sprawców doprowadziły do utrzymywania się klimatu sprzyjającego przemocy domowej. Ponieważ wykazano istnienie strukturalnej stronniczości, skarżący nie musieli udowadniać indywidualnej stronniczości. Wreszcie, na podstawie </w:t>
      </w:r>
      <w:r w:rsidRPr="00FF42A7">
        <w:rPr>
          <w:b/>
          <w:color w:val="0071BB"/>
          <w:w w:val="120"/>
        </w:rPr>
        <w:t xml:space="preserve">art. 46 </w:t>
      </w:r>
      <w:r w:rsidRPr="00FF42A7">
        <w:rPr>
          <w:bCs/>
          <w:color w:val="0071BB"/>
          <w:spacing w:val="40"/>
          <w:w w:val="120"/>
        </w:rPr>
        <w:t>(</w:t>
      </w:r>
      <w:r w:rsidRPr="00FF42A7">
        <w:rPr>
          <w:color w:val="0071BB"/>
          <w:w w:val="120"/>
        </w:rPr>
        <w:t>moc wiążąca i wykonanie wyroków) Konwencji, Trybunał zalecił pilne wprowadzenie zmian w prawie krajowym i praktyce w celu zapobieżenia podobnym naruszeniom w przyszłości.</w:t>
      </w:r>
    </w:p>
    <w:p w14:paraId="0903EEBA" w14:textId="77777777" w:rsidR="009F1A47" w:rsidRPr="00FF42A7" w:rsidRDefault="009F1A47">
      <w:pPr>
        <w:pStyle w:val="Nagwek2"/>
        <w:spacing w:before="96"/>
        <w:ind w:left="873"/>
        <w:rPr>
          <w:u w:val="none"/>
        </w:rPr>
      </w:pPr>
      <w:hyperlink r:id="rId41">
        <w:r w:rsidRPr="00FF42A7">
          <w:rPr>
            <w:color w:val="0071BB"/>
            <w:w w:val="135"/>
            <w:u w:color="0071BB"/>
          </w:rPr>
          <w:t>A i B przeciwko Gruzji (nr</w:t>
        </w:r>
        <w:r w:rsidRPr="00FF42A7">
          <w:rPr>
            <w:color w:val="0071BB"/>
            <w:spacing w:val="-2"/>
            <w:w w:val="135"/>
            <w:u w:color="0071BB"/>
          </w:rPr>
          <w:t xml:space="preserve"> 73975/16)</w:t>
        </w:r>
      </w:hyperlink>
    </w:p>
    <w:p w14:paraId="76EA1A94" w14:textId="063E65FA" w:rsidR="009F1A47" w:rsidRPr="00FF42A7" w:rsidRDefault="00000000">
      <w:pPr>
        <w:spacing w:before="58"/>
        <w:ind w:left="874"/>
        <w:jc w:val="both"/>
        <w:rPr>
          <w:sz w:val="18"/>
        </w:rPr>
      </w:pPr>
      <w:r w:rsidRPr="00FF42A7">
        <w:rPr>
          <w:color w:val="808080"/>
          <w:w w:val="125"/>
          <w:sz w:val="18"/>
        </w:rPr>
        <w:t>10 lutego</w:t>
      </w:r>
      <w:r w:rsidRPr="00FF42A7">
        <w:rPr>
          <w:color w:val="808080"/>
          <w:spacing w:val="-4"/>
          <w:w w:val="125"/>
          <w:sz w:val="18"/>
        </w:rPr>
        <w:t xml:space="preserve"> 2022</w:t>
      </w:r>
      <w:r w:rsidR="00701796" w:rsidRPr="00FF42A7">
        <w:rPr>
          <w:color w:val="808080"/>
          <w:spacing w:val="-4"/>
          <w:w w:val="125"/>
          <w:sz w:val="18"/>
        </w:rPr>
        <w:t xml:space="preserve"> r.</w:t>
      </w:r>
    </w:p>
    <w:p w14:paraId="0E0A84C6" w14:textId="5B0DD275" w:rsidR="009F1A47" w:rsidRPr="00FF42A7" w:rsidRDefault="00000000">
      <w:pPr>
        <w:pStyle w:val="Tekstpodstawowy"/>
        <w:spacing w:before="1"/>
        <w:ind w:right="872"/>
      </w:pPr>
      <w:r w:rsidRPr="00FF42A7">
        <w:rPr>
          <w:w w:val="120"/>
        </w:rPr>
        <w:t>Sprawa dotyczyła zabójstwa</w:t>
      </w:r>
      <w:r w:rsidR="00E50549" w:rsidRPr="00FF42A7">
        <w:rPr>
          <w:w w:val="120"/>
        </w:rPr>
        <w:t>, odpowiednio,</w:t>
      </w:r>
      <w:r w:rsidRPr="00FF42A7">
        <w:rPr>
          <w:w w:val="120"/>
        </w:rPr>
        <w:t xml:space="preserve"> córki i matki </w:t>
      </w:r>
      <w:r w:rsidR="00701796" w:rsidRPr="00FF42A7">
        <w:rPr>
          <w:w w:val="120"/>
        </w:rPr>
        <w:t>dwóch</w:t>
      </w:r>
      <w:r w:rsidRPr="00FF42A7">
        <w:rPr>
          <w:w w:val="120"/>
        </w:rPr>
        <w:t xml:space="preserve"> skarżących</w:t>
      </w:r>
      <w:r w:rsidR="00701796" w:rsidRPr="00FF42A7">
        <w:rPr>
          <w:w w:val="120"/>
        </w:rPr>
        <w:t>, dokonanych</w:t>
      </w:r>
      <w:r w:rsidRPr="00FF42A7">
        <w:rPr>
          <w:w w:val="120"/>
        </w:rPr>
        <w:t xml:space="preserve"> przez ojca drugiego skarżącego, </w:t>
      </w:r>
      <w:r w:rsidR="00E50549" w:rsidRPr="00FF42A7">
        <w:rPr>
          <w:w w:val="120"/>
        </w:rPr>
        <w:t xml:space="preserve">będącego </w:t>
      </w:r>
      <w:r w:rsidRPr="00FF42A7">
        <w:rPr>
          <w:w w:val="120"/>
        </w:rPr>
        <w:t>funkcjonariusz</w:t>
      </w:r>
      <w:r w:rsidR="00E50549" w:rsidRPr="00FF42A7">
        <w:rPr>
          <w:w w:val="120"/>
        </w:rPr>
        <w:t>em</w:t>
      </w:r>
      <w:r w:rsidRPr="00FF42A7">
        <w:rPr>
          <w:w w:val="120"/>
        </w:rPr>
        <w:t xml:space="preserve"> policji, w następstwie burzliwego związku. Dotyczyła ona również przeprowadzonego w tej sprawie śledztwa. </w:t>
      </w:r>
      <w:r w:rsidR="004779FA" w:rsidRPr="00FF42A7">
        <w:rPr>
          <w:w w:val="120"/>
        </w:rPr>
        <w:t>W szczególności, s</w:t>
      </w:r>
      <w:r w:rsidRPr="00FF42A7">
        <w:rPr>
          <w:w w:val="120"/>
        </w:rPr>
        <w:t>karżący zarzucali</w:t>
      </w:r>
      <w:r w:rsidR="002B1826" w:rsidRPr="00FF42A7">
        <w:rPr>
          <w:w w:val="120"/>
        </w:rPr>
        <w:t xml:space="preserve"> </w:t>
      </w:r>
      <w:r w:rsidRPr="00FF42A7">
        <w:rPr>
          <w:w w:val="120"/>
        </w:rPr>
        <w:t>władzom, że nie zapewniły ochrony ich krewnej przed przemocą domową i nie przeprowadziły skutecznego śledztwa.</w:t>
      </w:r>
    </w:p>
    <w:p w14:paraId="44944DB6" w14:textId="43D00271" w:rsidR="009F1A47" w:rsidRPr="00FF42A7" w:rsidRDefault="00000000">
      <w:pPr>
        <w:pStyle w:val="Tekstpodstawowy"/>
        <w:ind w:right="869"/>
      </w:pPr>
      <w:r w:rsidRPr="00FF42A7">
        <w:rPr>
          <w:color w:val="0071BB"/>
          <w:w w:val="120"/>
        </w:rPr>
        <w:t xml:space="preserve">Trybunał uznał, że w niniejszej sprawie doszło </w:t>
      </w:r>
      <w:r w:rsidRPr="00FF42A7">
        <w:rPr>
          <w:b/>
          <w:color w:val="0071BB"/>
          <w:w w:val="120"/>
        </w:rPr>
        <w:t>do</w:t>
      </w:r>
      <w:r w:rsidRPr="00FF42A7">
        <w:rPr>
          <w:color w:val="0071BB"/>
          <w:w w:val="120"/>
        </w:rPr>
        <w:t xml:space="preserve"> </w:t>
      </w:r>
      <w:r w:rsidRPr="00FF42A7">
        <w:rPr>
          <w:b/>
          <w:color w:val="0071BB"/>
          <w:w w:val="120"/>
        </w:rPr>
        <w:t xml:space="preserve">naruszenia art. 2 </w:t>
      </w:r>
      <w:r w:rsidRPr="00FF42A7">
        <w:rPr>
          <w:color w:val="0071BB"/>
          <w:w w:val="120"/>
        </w:rPr>
        <w:t xml:space="preserve">(prawo do życia) </w:t>
      </w:r>
      <w:r w:rsidRPr="00FF42A7">
        <w:rPr>
          <w:b/>
          <w:color w:val="0071BB"/>
          <w:w w:val="120"/>
        </w:rPr>
        <w:t xml:space="preserve">w związku z art. 14 </w:t>
      </w:r>
      <w:r w:rsidRPr="00FF42A7">
        <w:rPr>
          <w:color w:val="0071BB"/>
          <w:w w:val="120"/>
        </w:rPr>
        <w:t xml:space="preserve">(zakaz dyskryminacji) Konwencji. Stwierdził, że ogólnie rzecz biorąc, sprawę tę można uznać za </w:t>
      </w:r>
      <w:r w:rsidR="004779FA" w:rsidRPr="00FF42A7">
        <w:rPr>
          <w:color w:val="0071BB"/>
          <w:w w:val="120"/>
        </w:rPr>
        <w:t xml:space="preserve">kolejny wyraźny </w:t>
      </w:r>
      <w:r w:rsidRPr="00FF42A7">
        <w:rPr>
          <w:color w:val="0071BB"/>
          <w:w w:val="120"/>
        </w:rPr>
        <w:t>przykład tego, jak ogólna i dyskryminacyjna bierność organów ścigania w obliczu zarzutów dotyczących przemocy domowej może stworzyć klimat sprzyjający dalszemu nasileniu przemocy wobec ofiar, wyłącznie dlatego, że są one kobietami. Trybunał zwrócił w szczególności uwagę, że pomimo różnych dostępnych środków ochronnych, władze nie zapobiegły przemocy ze względu na płeć wobec</w:t>
      </w:r>
      <w:r w:rsidR="004779FA" w:rsidRPr="00FF42A7">
        <w:rPr>
          <w:color w:val="0071BB"/>
          <w:w w:val="120"/>
        </w:rPr>
        <w:t xml:space="preserve"> bliskiej osoby skarżących</w:t>
      </w:r>
      <w:r w:rsidRPr="00FF42A7">
        <w:rPr>
          <w:color w:val="0071BB"/>
          <w:w w:val="120"/>
        </w:rPr>
        <w:t>, która doprowadziła do jej śmierci, a swoje zaniedbanie pogłębiły bierną postawą, a nawet pobłażliwością wobec domniemanego sprawcy, który został później skazany za zabójstwo ofiary.</w:t>
      </w:r>
    </w:p>
    <w:p w14:paraId="08761849" w14:textId="77777777" w:rsidR="009F1A47" w:rsidRPr="00FF42A7" w:rsidRDefault="009F1A47">
      <w:pPr>
        <w:pStyle w:val="Tekstpodstawowy"/>
        <w:ind w:left="0"/>
        <w:jc w:val="left"/>
      </w:pPr>
    </w:p>
    <w:p w14:paraId="358E61D7" w14:textId="77777777" w:rsidR="009F1A47" w:rsidRPr="00FF42A7" w:rsidRDefault="009F1A47">
      <w:pPr>
        <w:pStyle w:val="Tekstpodstawowy"/>
        <w:ind w:left="0"/>
        <w:jc w:val="left"/>
      </w:pPr>
    </w:p>
    <w:p w14:paraId="324C4D39" w14:textId="77777777" w:rsidR="009F1A47" w:rsidRPr="00FF42A7" w:rsidRDefault="009F1A47">
      <w:pPr>
        <w:pStyle w:val="Tekstpodstawowy"/>
        <w:ind w:left="0"/>
        <w:jc w:val="left"/>
      </w:pPr>
    </w:p>
    <w:p w14:paraId="5CB21B0C" w14:textId="77777777" w:rsidR="00701796" w:rsidRPr="00FF42A7" w:rsidRDefault="00701796">
      <w:pPr>
        <w:pStyle w:val="Tekstpodstawowy"/>
        <w:spacing w:before="86"/>
        <w:ind w:left="0"/>
        <w:jc w:val="left"/>
      </w:pPr>
    </w:p>
    <w:p w14:paraId="5BFF9BE2" w14:textId="77777777" w:rsidR="00701796" w:rsidRPr="00FF42A7" w:rsidRDefault="00701796">
      <w:pPr>
        <w:pStyle w:val="Tekstpodstawowy"/>
        <w:spacing w:before="86"/>
        <w:ind w:left="0"/>
        <w:jc w:val="left"/>
      </w:pPr>
    </w:p>
    <w:p w14:paraId="78FE9DF2" w14:textId="77777777" w:rsidR="00701796" w:rsidRPr="00FF42A7" w:rsidRDefault="00701796">
      <w:pPr>
        <w:pStyle w:val="Tekstpodstawowy"/>
        <w:spacing w:before="86"/>
        <w:ind w:left="0"/>
        <w:jc w:val="left"/>
      </w:pPr>
    </w:p>
    <w:p w14:paraId="343B4E90" w14:textId="518BBDD6" w:rsidR="009F1A47" w:rsidRPr="00FF42A7" w:rsidRDefault="00000000">
      <w:pPr>
        <w:pStyle w:val="Tekstpodstawowy"/>
        <w:spacing w:before="86"/>
        <w:ind w:left="0"/>
        <w:jc w:val="left"/>
      </w:pPr>
      <w:r w:rsidRPr="00FF42A7">
        <w:rPr>
          <w:noProof/>
        </w:rPr>
        <mc:AlternateContent>
          <mc:Choice Requires="wps">
            <w:drawing>
              <wp:anchor distT="0" distB="0" distL="0" distR="0" simplePos="0" relativeHeight="251641856" behindDoc="1" locked="0" layoutInCell="1" allowOverlap="1" wp14:anchorId="7F06D2FA" wp14:editId="43D8CA04">
                <wp:simplePos x="0" y="0"/>
                <wp:positionH relativeFrom="page">
                  <wp:posOffset>914400</wp:posOffset>
                </wp:positionH>
                <wp:positionV relativeFrom="paragraph">
                  <wp:posOffset>225187</wp:posOffset>
                </wp:positionV>
                <wp:extent cx="1828800" cy="762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309B4EE" id="Graphic 16" o:spid="_x0000_s1026" style="position:absolute;margin-left:1in;margin-top:17.75pt;width:2in;height:.6pt;z-index:-2516746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" path="m1828800,l,,,7619r1828800,l1828800,xe" fillcolor="black" stroked="f">
                <v:path arrowok="t"/>
                <w10:wrap type="topAndBottom" anchorx="page"/>
              </v:shape>
            </w:pict>
          </mc:Fallback>
        </mc:AlternateContent>
      </w:r>
    </w:p>
    <w:p w14:paraId="6241AF65" w14:textId="68BB619D" w:rsidR="009F1A47" w:rsidRPr="00FF42A7" w:rsidRDefault="00000000">
      <w:pPr>
        <w:pStyle w:val="Akapitzlist"/>
        <w:numPr>
          <w:ilvl w:val="0"/>
          <w:numId w:val="2"/>
        </w:numPr>
        <w:tabs>
          <w:tab w:val="left" w:pos="1127"/>
        </w:tabs>
        <w:ind w:left="1127" w:hanging="253"/>
        <w:rPr>
          <w:sz w:val="16"/>
        </w:rPr>
      </w:pPr>
      <w:bookmarkStart w:id="1" w:name="_bookmark1"/>
      <w:bookmarkEnd w:id="1"/>
      <w:r w:rsidRPr="00FF42A7">
        <w:rPr>
          <w:w w:val="120"/>
          <w:sz w:val="16"/>
        </w:rPr>
        <w:t xml:space="preserve">W dniu 16 września 2022 r. Federacja Rosyjska przestała być stroną </w:t>
      </w:r>
      <w:r w:rsidR="00701796" w:rsidRPr="00FF42A7">
        <w:rPr>
          <w:spacing w:val="-2"/>
          <w:w w:val="120"/>
          <w:sz w:val="16"/>
        </w:rPr>
        <w:t>K</w:t>
      </w:r>
      <w:r w:rsidRPr="00FF42A7">
        <w:rPr>
          <w:spacing w:val="-2"/>
          <w:w w:val="120"/>
          <w:sz w:val="16"/>
        </w:rPr>
        <w:t>onwencji.</w:t>
      </w:r>
    </w:p>
    <w:p w14:paraId="0CF2A1AB" w14:textId="214A2396" w:rsidR="009F1A47" w:rsidRPr="00FF42A7" w:rsidRDefault="00701796">
      <w:pPr>
        <w:pStyle w:val="Akapitzlist"/>
        <w:rPr>
          <w:sz w:val="16"/>
        </w:rPr>
        <w:sectPr w:rsidR="009F1A47" w:rsidRPr="00FF42A7">
          <w:pgSz w:w="11910" w:h="16840"/>
          <w:pgMar w:top="1400" w:right="566" w:bottom="680" w:left="566" w:header="720" w:footer="497" w:gutter="0"/>
          <w:cols w:space="708"/>
        </w:sectPr>
      </w:pPr>
      <w:r w:rsidRPr="00FF42A7">
        <w:rPr>
          <w:sz w:val="16"/>
        </w:rPr>
        <w:br/>
      </w:r>
    </w:p>
    <w:p w14:paraId="5330C6C8" w14:textId="77777777" w:rsidR="009F1A47" w:rsidRPr="00FF42A7" w:rsidRDefault="009F1A47">
      <w:pPr>
        <w:pStyle w:val="Tekstpodstawowy"/>
        <w:spacing w:before="59"/>
        <w:ind w:left="0"/>
        <w:jc w:val="left"/>
      </w:pPr>
    </w:p>
    <w:p w14:paraId="1146C033" w14:textId="77777777" w:rsidR="009F1A47" w:rsidRPr="00FF42A7" w:rsidRDefault="009F1A47">
      <w:pPr>
        <w:pStyle w:val="Nagwek2"/>
        <w:spacing w:before="1"/>
        <w:rPr>
          <w:u w:val="none"/>
        </w:rPr>
      </w:pPr>
      <w:hyperlink r:id="rId42">
        <w:r w:rsidRPr="00FF42A7">
          <w:rPr>
            <w:color w:val="0071BB"/>
            <w:w w:val="140"/>
            <w:u w:color="0071BB"/>
          </w:rPr>
          <w:t>A.E. przeciwko Bułgarii (nr</w:t>
        </w:r>
        <w:r w:rsidRPr="00FF42A7">
          <w:rPr>
            <w:color w:val="0071BB"/>
            <w:spacing w:val="-2"/>
            <w:w w:val="140"/>
            <w:u w:color="0071BB"/>
          </w:rPr>
          <w:t xml:space="preserve"> 53891/20)</w:t>
        </w:r>
      </w:hyperlink>
    </w:p>
    <w:p w14:paraId="62481A53" w14:textId="7CCD8E72" w:rsidR="009F1A47" w:rsidRPr="00FF42A7" w:rsidRDefault="00000000">
      <w:pPr>
        <w:spacing w:before="55"/>
        <w:ind w:left="874"/>
        <w:jc w:val="both"/>
        <w:rPr>
          <w:sz w:val="18"/>
        </w:rPr>
      </w:pPr>
      <w:r w:rsidRPr="00FF42A7">
        <w:rPr>
          <w:color w:val="808080"/>
          <w:w w:val="125"/>
          <w:sz w:val="18"/>
        </w:rPr>
        <w:t>23 maja</w:t>
      </w:r>
      <w:r w:rsidRPr="00FF42A7">
        <w:rPr>
          <w:color w:val="808080"/>
          <w:spacing w:val="-4"/>
          <w:w w:val="125"/>
          <w:sz w:val="18"/>
        </w:rPr>
        <w:t xml:space="preserve"> 2023</w:t>
      </w:r>
      <w:r w:rsidR="00701796" w:rsidRPr="00FF42A7">
        <w:rPr>
          <w:color w:val="808080"/>
          <w:spacing w:val="-4"/>
          <w:w w:val="125"/>
          <w:sz w:val="18"/>
        </w:rPr>
        <w:t xml:space="preserve"> r.</w:t>
      </w:r>
    </w:p>
    <w:p w14:paraId="0326CC08" w14:textId="7EC5B26C" w:rsidR="009F1A47" w:rsidRPr="00FF42A7" w:rsidRDefault="00000000">
      <w:pPr>
        <w:pStyle w:val="Tekstpodstawowy"/>
        <w:spacing w:before="1"/>
        <w:ind w:right="871"/>
      </w:pPr>
      <w:r w:rsidRPr="00FF42A7">
        <w:rPr>
          <w:w w:val="120"/>
        </w:rPr>
        <w:t xml:space="preserve">Sprawa dotyczyła skarg wniesionych do prokuratury w Bułgarii, w których skarżąca, wówczas w wieku zaledwie 15 lat, twierdziła, że była ofiarą przemocy domowej, w tym bicia, kopania i duszenia, ze strony 23-letniego mężczyzny, z którym mieszkała. Skarżąca zarzucała w szczególności </w:t>
      </w:r>
      <w:r w:rsidR="005E58C7" w:rsidRPr="00FF42A7">
        <w:rPr>
          <w:w w:val="120"/>
        </w:rPr>
        <w:t>P</w:t>
      </w:r>
      <w:r w:rsidRPr="00FF42A7">
        <w:rPr>
          <w:w w:val="120"/>
        </w:rPr>
        <w:t>aństwu, że nie zapewniło jej ochrony przed przemocą domową i nie przeprowadziło odpowiedniego dochodzenia w sprawie jej skarg w tym zakresie, a także że była dyskryminowana ze względu na wiek i płeć.</w:t>
      </w:r>
    </w:p>
    <w:p w14:paraId="026DF546" w14:textId="015AD000" w:rsidR="009F1A47" w:rsidRPr="00FF42A7" w:rsidRDefault="00000000">
      <w:pPr>
        <w:pStyle w:val="Tekstpodstawowy"/>
        <w:ind w:right="870" w:hanging="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3 </w:t>
      </w:r>
      <w:r w:rsidRPr="00FF42A7">
        <w:rPr>
          <w:color w:val="0071BB"/>
          <w:w w:val="120"/>
        </w:rPr>
        <w:t xml:space="preserve">(zakaz nieludzkiego lub poniżającego traktowania) Konwencji, stwierdzając, że Bułgaria nie wprowadziła skutecznego systemu karania wszystkich form przemocy domowej i nie zapewniła ofiarom wystarczających gwarancji. W szczególności zauważył, że w niniejszej sprawie </w:t>
      </w:r>
      <w:r w:rsidR="0013006E" w:rsidRPr="00FF42A7">
        <w:rPr>
          <w:color w:val="0071BB"/>
          <w:w w:val="120"/>
        </w:rPr>
        <w:t>P</w:t>
      </w:r>
      <w:r w:rsidRPr="00FF42A7">
        <w:rPr>
          <w:color w:val="0071BB"/>
          <w:w w:val="120"/>
        </w:rPr>
        <w:t xml:space="preserve">aństwo nie zapewniło skarżącej odpowiedniej ochrony ani na mocy prawa – przepisy dotyczące przemocy domowej były niekompletne – ani w praktyce – prokuratura nie wszczęła postępowania karnego pomimo trudnej sytuacji skarżącej i zgłoszenia, że była ona wielokrotnie ofiarą przemocy domowej. Trybunał zauważył ponadto, że rząd bułgarski nie obalił zarzutu bezczynności instytucjonalnej ze strony władz. Ponieważ skarżąca nie musiała wykazać, że była indywidualną ofiarą uprzedzeń ze strony władz, Trybunał stwierdził, że w sprawie skarżącej doszło również </w:t>
      </w:r>
      <w:r w:rsidRPr="00FF42A7">
        <w:rPr>
          <w:b/>
          <w:color w:val="0071BB"/>
          <w:w w:val="120"/>
        </w:rPr>
        <w:t xml:space="preserve">do naruszenia art. 14 </w:t>
      </w:r>
      <w:r w:rsidRPr="00FF42A7">
        <w:rPr>
          <w:bCs/>
          <w:color w:val="0071BB"/>
          <w:spacing w:val="80"/>
          <w:w w:val="120"/>
        </w:rPr>
        <w:t>(</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 xml:space="preserve"> 3</w:t>
      </w:r>
      <w:r w:rsidRPr="00FF42A7">
        <w:rPr>
          <w:color w:val="0071BB"/>
          <w:w w:val="120"/>
        </w:rPr>
        <w:t>.</w:t>
      </w:r>
    </w:p>
    <w:p w14:paraId="4F6731E8" w14:textId="77777777" w:rsidR="009F1A47" w:rsidRPr="00FF42A7" w:rsidRDefault="00000000">
      <w:pPr>
        <w:pStyle w:val="Nagwek1"/>
        <w:spacing w:before="225"/>
      </w:pPr>
      <w:r w:rsidRPr="00FF42A7">
        <w:rPr>
          <w:noProof/>
        </w:rPr>
        <mc:AlternateContent>
          <mc:Choice Requires="wps">
            <w:drawing>
              <wp:anchor distT="0" distB="0" distL="0" distR="0" simplePos="0" relativeHeight="251643904" behindDoc="1" locked="0" layoutInCell="1" allowOverlap="1" wp14:anchorId="6ECAC568" wp14:editId="74040B55">
                <wp:simplePos x="0" y="0"/>
                <wp:positionH relativeFrom="page">
                  <wp:posOffset>896111</wp:posOffset>
                </wp:positionH>
                <wp:positionV relativeFrom="paragraph">
                  <wp:posOffset>399110</wp:posOffset>
                </wp:positionV>
                <wp:extent cx="5768340" cy="18415"/>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DF8C4CE" id="Graphic 17" o:spid="_x0000_s1026" style="position:absolute;margin-left:70.55pt;margin-top:31.45pt;width:454.2pt;height:1.45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" path="m5768340,l,,,18287r5768340,l5768340,xe" fillcolor="#999" stroked="f">
                <v:path arrowok="t"/>
                <w10:wrap type="topAndBottom" anchorx="page"/>
              </v:shape>
            </w:pict>
          </mc:Fallback>
        </mc:AlternateContent>
      </w:r>
      <w:r w:rsidRPr="00FF42A7">
        <w:rPr>
          <w:color w:val="0071BB"/>
          <w:w w:val="120"/>
          <w:sz w:val="29"/>
        </w:rPr>
        <w:t xml:space="preserve">Zakaz niewolnictwa i </w:t>
      </w:r>
      <w:r w:rsidRPr="00FF42A7">
        <w:rPr>
          <w:color w:val="0071BB"/>
          <w:spacing w:val="-2"/>
          <w:w w:val="120"/>
          <w:sz w:val="29"/>
        </w:rPr>
        <w:t xml:space="preserve">pracy </w:t>
      </w:r>
      <w:r w:rsidRPr="00FF42A7">
        <w:rPr>
          <w:color w:val="0071BB"/>
          <w:w w:val="120"/>
          <w:sz w:val="29"/>
        </w:rPr>
        <w:t>przymusowej</w:t>
      </w:r>
    </w:p>
    <w:p w14:paraId="44F279F4" w14:textId="77777777" w:rsidR="009F1A47" w:rsidRPr="00FF42A7" w:rsidRDefault="00000000">
      <w:pPr>
        <w:spacing w:before="259"/>
        <w:ind w:left="874" w:right="869"/>
        <w:jc w:val="both"/>
        <w:rPr>
          <w:sz w:val="28"/>
        </w:rPr>
      </w:pPr>
      <w:r w:rsidRPr="00FF42A7">
        <w:rPr>
          <w:color w:val="808080"/>
          <w:w w:val="120"/>
          <w:sz w:val="29"/>
        </w:rPr>
        <w:t>Dyskryminacja mężczyzn w przypadku niewielkiego odsetka kobiet wezwanych do pełnienia funkcji ławnika</w:t>
      </w:r>
    </w:p>
    <w:p w14:paraId="253D4E53" w14:textId="77777777" w:rsidR="009F1A47" w:rsidRPr="00FF42A7" w:rsidRDefault="009F1A47">
      <w:pPr>
        <w:pStyle w:val="Nagwek2"/>
        <w:spacing w:before="112"/>
        <w:rPr>
          <w:u w:val="none"/>
        </w:rPr>
      </w:pPr>
      <w:hyperlink r:id="rId43">
        <w:proofErr w:type="spellStart"/>
        <w:r w:rsidRPr="00FF42A7">
          <w:rPr>
            <w:color w:val="0071BB"/>
            <w:w w:val="135"/>
            <w:u w:color="0071BB"/>
          </w:rPr>
          <w:t>Zarb</w:t>
        </w:r>
        <w:proofErr w:type="spellEnd"/>
        <w:r w:rsidRPr="00FF42A7">
          <w:rPr>
            <w:color w:val="0071BB"/>
            <w:w w:val="135"/>
            <w:u w:color="0071BB"/>
          </w:rPr>
          <w:t xml:space="preserve"> Adami przeciwko </w:t>
        </w:r>
        <w:r w:rsidRPr="00FF42A7">
          <w:rPr>
            <w:color w:val="0071BB"/>
            <w:spacing w:val="-4"/>
            <w:w w:val="135"/>
            <w:u w:color="0071BB"/>
          </w:rPr>
          <w:t>Malcie</w:t>
        </w:r>
      </w:hyperlink>
    </w:p>
    <w:p w14:paraId="3BF280F9" w14:textId="77777777" w:rsidR="009F1A47" w:rsidRPr="00FF42A7" w:rsidRDefault="00000000">
      <w:pPr>
        <w:spacing w:before="56"/>
        <w:ind w:left="874"/>
        <w:jc w:val="both"/>
        <w:rPr>
          <w:sz w:val="18"/>
        </w:rPr>
      </w:pPr>
      <w:r w:rsidRPr="00FF42A7">
        <w:rPr>
          <w:color w:val="808080"/>
          <w:w w:val="125"/>
          <w:sz w:val="18"/>
        </w:rPr>
        <w:t>20 czerwca</w:t>
      </w:r>
      <w:r w:rsidRPr="00FF42A7">
        <w:rPr>
          <w:color w:val="808080"/>
          <w:spacing w:val="-4"/>
          <w:w w:val="125"/>
          <w:sz w:val="18"/>
        </w:rPr>
        <w:t xml:space="preserve"> 2006 r.</w:t>
      </w:r>
    </w:p>
    <w:p w14:paraId="614A9A7C" w14:textId="77777777" w:rsidR="009F1A47" w:rsidRPr="00FF42A7" w:rsidRDefault="00000000">
      <w:pPr>
        <w:pStyle w:val="Tekstpodstawowy"/>
        <w:spacing w:before="1"/>
        <w:ind w:left="873" w:right="872"/>
      </w:pPr>
      <w:r w:rsidRPr="00FF42A7">
        <w:rPr>
          <w:w w:val="120"/>
        </w:rPr>
        <w:t>Od 1971 r. skarżący został wpisany na listę przysięgłych na Malcie i pozostawał na niej co najmniej do 2002 r. W latach 1971–1997 pełnił funkcję przysięgłego i przewodniczącego ławy przysięgłych w trzech różnych postępowaniach karnych. W 1997 r. został ponownie wezwany do pełnienia funkcji przysięgłego, ale nie stawił się i został ukarany grzywną w wysokości około 240 euro. Ponieważ nie zapłacił grzywny, został wezwany przed sąd karny. Skarżący twierdził, że był ofiarą dyskryminacji ze względu na płeć, ponieważ odsetek kobiet wzywanych do pełnienia funkcji ławnika na Malcie był znikomy, oraz że został zmuszony do stawienia się przed sądem karnym w związku z nałożeniem na niego dyskryminującego obowiązku obywatelskiego.</w:t>
      </w:r>
    </w:p>
    <w:p w14:paraId="31BC67F6" w14:textId="13AFE34E" w:rsidR="009F1A47" w:rsidRPr="00FF42A7" w:rsidRDefault="00000000" w:rsidP="00146A0A">
      <w:pPr>
        <w:pStyle w:val="Tekstpodstawowy"/>
        <w:ind w:left="873" w:right="870"/>
      </w:pPr>
      <w:r w:rsidRPr="00FF42A7">
        <w:rPr>
          <w:color w:val="0071BB"/>
          <w:w w:val="125"/>
        </w:rPr>
        <w:t xml:space="preserve">Trybunał uznał, że doszło </w:t>
      </w:r>
      <w:r w:rsidRPr="00FF42A7">
        <w:rPr>
          <w:b/>
          <w:color w:val="0071BB"/>
          <w:w w:val="125"/>
        </w:rPr>
        <w:t xml:space="preserve">do naruszenia art. 14 </w:t>
      </w:r>
      <w:r w:rsidRPr="00FF42A7">
        <w:rPr>
          <w:color w:val="0071BB"/>
          <w:w w:val="125"/>
        </w:rPr>
        <w:t xml:space="preserve">(zakaz dyskryminacji) </w:t>
      </w:r>
      <w:r w:rsidRPr="00FF42A7">
        <w:rPr>
          <w:b/>
          <w:color w:val="0071BB"/>
          <w:w w:val="125"/>
        </w:rPr>
        <w:t xml:space="preserve">w związku z art. 4 § 3 lit. d) </w:t>
      </w:r>
      <w:r w:rsidRPr="00FF42A7">
        <w:rPr>
          <w:color w:val="0071BB"/>
          <w:w w:val="125"/>
        </w:rPr>
        <w:t xml:space="preserve">(zakaz pracy przymusowej) Konwencji. Zwrócił w szczególności uwagę, że rząd maltański argumentował, iż różnica w traktowaniu wynikała z szeregu czynników: ławnicy byli wybierani spośród części społeczeństwa aktywnej gospodarczo i wykonującej wolne zawody; ponadto zwolnienie z obowiązku pełnienia funkcji ławnika mogło zostać przyznane osobom sprawującym opiekę nad rodziną, a więcej kobiet niż mężczyzn mogło skutecznie powołać się na odpowiedni przepis prawny; wreszcie „ze względu na orientację kulturową” adwokaci mogli mieć tendencję do kwestionowania kobiet pełniących funkcję ławników. Trybunał wyraził </w:t>
      </w:r>
      <w:r w:rsidR="00245934" w:rsidRPr="00FF42A7">
        <w:rPr>
          <w:color w:val="0071BB"/>
          <w:w w:val="125"/>
        </w:rPr>
        <w:t>wątpliwość</w:t>
      </w:r>
      <w:r w:rsidRPr="00FF42A7">
        <w:rPr>
          <w:color w:val="0071BB"/>
          <w:w w:val="125"/>
        </w:rPr>
        <w:t xml:space="preserve"> czy czynniki wskazane przez rząd były wystarczające, aby wyjaśnić znaczną rozbieżność w podziale obowiązków ławnika. Drugi i trzeci czynnik odnosiły się wyłącznie do liczby kobiet, które faktycznie pełniły funkcję ławników, i nie wyjaśniały bardzo niskiej liczby kobiet wpisanych na listy ławników. W każdym razie czynniki wskazane przez rząd stanowiły jedynie wyjaśnienie mechanizmów, które doprowadziły do zarzucanej różnicy w traktowaniu. Nie przedstawiono jednak przed Trybunałem żadnego ważnego argumentu, który stanowiłby właściwe uzasadnienie tej różnicy. W szczególności nie wykazano, </w:t>
      </w:r>
      <w:r w:rsidR="00794748" w:rsidRPr="00FF42A7">
        <w:rPr>
          <w:color w:val="0071BB"/>
          <w:w w:val="125"/>
        </w:rPr>
        <w:t>że różnica</w:t>
      </w:r>
      <w:r w:rsidR="00E94195" w:rsidRPr="00FF42A7">
        <w:rPr>
          <w:color w:val="0071BB"/>
          <w:w w:val="125"/>
        </w:rPr>
        <w:br/>
      </w:r>
      <w:r w:rsidR="00794748" w:rsidRPr="00FF42A7">
        <w:rPr>
          <w:color w:val="0071BB"/>
          <w:w w:val="125"/>
        </w:rPr>
        <w:br/>
        <w:t xml:space="preserve"> </w:t>
      </w:r>
      <w:r w:rsidR="00794748" w:rsidRPr="00FF42A7">
        <w:rPr>
          <w:color w:val="0071BB"/>
          <w:w w:val="125"/>
        </w:rPr>
        <w:br/>
        <w:t xml:space="preserve"> </w:t>
      </w:r>
      <w:r w:rsidR="00794748" w:rsidRPr="00FF42A7">
        <w:rPr>
          <w:color w:val="0071BB"/>
          <w:w w:val="125"/>
        </w:rPr>
        <w:br/>
        <w:t xml:space="preserve"> </w:t>
      </w:r>
      <w:r w:rsidR="00794748" w:rsidRPr="00FF42A7">
        <w:rPr>
          <w:color w:val="0071BB"/>
          <w:w w:val="125"/>
        </w:rPr>
        <w:br/>
      </w:r>
      <w:r w:rsidR="00794748" w:rsidRPr="00FF42A7">
        <w:rPr>
          <w:color w:val="0071BB"/>
          <w:w w:val="125"/>
        </w:rPr>
        <w:lastRenderedPageBreak/>
        <w:br/>
      </w:r>
      <w:r w:rsidR="00E94195" w:rsidRPr="00FF42A7">
        <w:rPr>
          <w:color w:val="0071BB"/>
          <w:w w:val="125"/>
        </w:rPr>
        <w:t xml:space="preserve">w </w:t>
      </w:r>
      <w:r w:rsidRPr="00FF42A7">
        <w:rPr>
          <w:color w:val="0071BB"/>
          <w:w w:val="120"/>
        </w:rPr>
        <w:t>traktowaniu miała uzasadniony cel oraz że istniał rozsądny stosunek proporcjonalności między środkami zastosowanymi a celem, który zamierzano osiągnąć.</w:t>
      </w:r>
    </w:p>
    <w:p w14:paraId="23ED27FA" w14:textId="77777777" w:rsidR="009F1A47" w:rsidRPr="00FF42A7" w:rsidRDefault="00000000">
      <w:pPr>
        <w:pStyle w:val="Nagwek1"/>
        <w:spacing w:before="240"/>
        <w:ind w:right="869"/>
      </w:pPr>
      <w:r w:rsidRPr="00FF42A7">
        <w:rPr>
          <w:color w:val="808080"/>
          <w:w w:val="120"/>
          <w:sz w:val="29"/>
        </w:rPr>
        <w:t>Mężczyźni zwolnieni ze służby wojskowej poddani specjalnemu podatkowi</w:t>
      </w:r>
    </w:p>
    <w:p w14:paraId="5C2372F7" w14:textId="77777777" w:rsidR="009F1A47" w:rsidRPr="00FF42A7" w:rsidRDefault="00000000">
      <w:pPr>
        <w:pStyle w:val="Tekstpodstawowy"/>
        <w:spacing w:before="4"/>
        <w:ind w:left="0"/>
        <w:jc w:val="left"/>
        <w:rPr>
          <w:sz w:val="6"/>
        </w:rPr>
      </w:pPr>
      <w:r w:rsidRPr="00FF42A7">
        <w:rPr>
          <w:noProof/>
          <w:sz w:val="6"/>
        </w:rPr>
        <mc:AlternateContent>
          <mc:Choice Requires="wps">
            <w:drawing>
              <wp:anchor distT="0" distB="0" distL="0" distR="0" simplePos="0" relativeHeight="251645952" behindDoc="1" locked="0" layoutInCell="1" allowOverlap="1" wp14:anchorId="5A33B317" wp14:editId="0C6A52E6">
                <wp:simplePos x="0" y="0"/>
                <wp:positionH relativeFrom="page">
                  <wp:posOffset>896111</wp:posOffset>
                </wp:positionH>
                <wp:positionV relativeFrom="paragraph">
                  <wp:posOffset>64416</wp:posOffset>
                </wp:positionV>
                <wp:extent cx="5768340" cy="1797050"/>
                <wp:effectExtent l="0" t="0" r="0" b="0"/>
                <wp:wrapTopAndBottom/>
                <wp:docPr id="18" name="Textbox 18"/>
                <wp:cNvGraphicFramePr/>
                <a:graphic xmlns:a="http://schemas.openxmlformats.org/drawingml/2006/main">
                  <a:graphicData uri="http://schemas.microsoft.com/office/word/2010/wordprocessingShape">
                    <wps:wsp>
                      <wps:cNvSpPr txBox="1"/>
                      <wps:spPr>
                        <a:xfrm>
                          <a:off x="0" y="0"/>
                          <a:ext cx="5768340" cy="1797050"/>
                        </a:xfrm>
                        <a:prstGeom prst="rect">
                          <a:avLst/>
                        </a:prstGeom>
                        <a:solidFill>
                          <a:srgbClr val="F3F3F3"/>
                        </a:solidFill>
                      </wps:spPr>
                      <wps:txbx>
                        <w:txbxContent>
                          <w:p w14:paraId="79A55E92" w14:textId="77777777" w:rsidR="009F1A47" w:rsidRPr="00FF42A7" w:rsidRDefault="00000000">
                            <w:pPr>
                              <w:spacing w:before="11"/>
                              <w:ind w:left="28"/>
                              <w:rPr>
                                <w:b/>
                                <w:color w:val="000000"/>
                                <w:sz w:val="20"/>
                              </w:rPr>
                            </w:pPr>
                            <w:r w:rsidRPr="00FF42A7">
                              <w:rPr>
                                <w:b/>
                                <w:color w:val="5F5F5F"/>
                                <w:w w:val="135"/>
                                <w:sz w:val="20"/>
                              </w:rPr>
                              <w:t xml:space="preserve">W trakcie </w:t>
                            </w:r>
                            <w:r w:rsidRPr="00FF42A7">
                              <w:rPr>
                                <w:b/>
                                <w:color w:val="5F5F5F"/>
                                <w:spacing w:val="-2"/>
                                <w:w w:val="135"/>
                                <w:sz w:val="20"/>
                              </w:rPr>
                              <w:t>rozpatrywania</w:t>
                            </w:r>
                          </w:p>
                          <w:p w14:paraId="5829FC9A" w14:textId="77777777" w:rsidR="009F1A47" w:rsidRPr="00FF42A7" w:rsidRDefault="009F1A47">
                            <w:pPr>
                              <w:spacing w:before="118"/>
                              <w:ind w:left="28"/>
                              <w:rPr>
                                <w:b/>
                                <w:color w:val="000000"/>
                                <w:sz w:val="20"/>
                              </w:rPr>
                            </w:pPr>
                            <w:hyperlink r:id="rId44">
                              <w:r w:rsidRPr="00FF42A7">
                                <w:rPr>
                                  <w:b/>
                                  <w:color w:val="0071BB"/>
                                  <w:w w:val="140"/>
                                  <w:sz w:val="20"/>
                                  <w:u w:val="single" w:color="0071BB"/>
                                </w:rPr>
                                <w:t>Kung przeciwko Szwajcarii (nr</w:t>
                              </w:r>
                              <w:r w:rsidRPr="00FF42A7">
                                <w:rPr>
                                  <w:b/>
                                  <w:color w:val="0071BB"/>
                                  <w:spacing w:val="-2"/>
                                  <w:w w:val="140"/>
                                  <w:sz w:val="20"/>
                                  <w:u w:val="single" w:color="0071BB"/>
                                </w:rPr>
                                <w:t xml:space="preserve"> 73307/17)</w:t>
                              </w:r>
                            </w:hyperlink>
                          </w:p>
                          <w:p w14:paraId="5DCC79A2" w14:textId="77777777" w:rsidR="009F1A47" w:rsidRPr="00FF42A7" w:rsidRDefault="00000000">
                            <w:pPr>
                              <w:spacing w:before="58"/>
                              <w:ind w:left="28"/>
                              <w:rPr>
                                <w:color w:val="000000"/>
                                <w:sz w:val="18"/>
                              </w:rPr>
                            </w:pPr>
                            <w:r w:rsidRPr="00FF42A7">
                              <w:rPr>
                                <w:color w:val="808080"/>
                                <w:w w:val="120"/>
                                <w:sz w:val="18"/>
                              </w:rPr>
                              <w:t>Skarga przekazana rządowi szwajcarskiemu w dniu 15 maja</w:t>
                            </w:r>
                            <w:r w:rsidRPr="00FF42A7">
                              <w:rPr>
                                <w:color w:val="808080"/>
                                <w:spacing w:val="-4"/>
                                <w:w w:val="120"/>
                                <w:sz w:val="18"/>
                              </w:rPr>
                              <w:t xml:space="preserve"> 2018 r.</w:t>
                            </w:r>
                          </w:p>
                          <w:p w14:paraId="086325F4" w14:textId="2CC1F58D" w:rsidR="009F1A47" w:rsidRPr="00FF42A7" w:rsidRDefault="00E90D73">
                            <w:pPr>
                              <w:pStyle w:val="Tekstpodstawowy"/>
                              <w:spacing w:before="1"/>
                              <w:ind w:left="28" w:right="26"/>
                              <w:rPr>
                                <w:color w:val="000000"/>
                              </w:rPr>
                            </w:pPr>
                            <w:r w:rsidRPr="00FF42A7">
                              <w:rPr>
                                <w:color w:val="000000"/>
                                <w:w w:val="120"/>
                              </w:rPr>
                              <w:t>Skarżący, który w 2005 r. został uznany za niezdolnego do służby wojskowej, w 2015 r. nadal był zobowiązany do zapłaty specjalnego podatku (zwanego „podatkiem od zwolnienia ze służby wojskowej”). Ponieważ podatek ten nie był nakładany na kobiety, skarżący twierdził, że został poddany nieprawidłowemu różnicowaniu ze względu na płeć.</w:t>
                            </w:r>
                          </w:p>
                          <w:p w14:paraId="5EB3BCE8" w14:textId="6F35063D" w:rsidR="009F1A47" w:rsidRPr="00FF42A7" w:rsidRDefault="00000000">
                            <w:pPr>
                              <w:pStyle w:val="Tekstpodstawowy"/>
                              <w:ind w:left="28" w:right="26"/>
                              <w:rPr>
                                <w:color w:val="000000"/>
                              </w:rPr>
                            </w:pPr>
                            <w:r w:rsidRPr="00FF42A7">
                              <w:rPr>
                                <w:color w:val="0071BB"/>
                                <w:w w:val="120"/>
                              </w:rPr>
                              <w:t xml:space="preserve">Trybunał </w:t>
                            </w:r>
                            <w:r w:rsidR="000F1FAC">
                              <w:rPr>
                                <w:color w:val="0071BB"/>
                                <w:w w:val="120"/>
                              </w:rPr>
                              <w:t>zakomunikował skargę rządowi szwajcarskiemu</w:t>
                            </w:r>
                            <w:r w:rsidRPr="00FF42A7">
                              <w:rPr>
                                <w:color w:val="0071BB"/>
                                <w:w w:val="120"/>
                              </w:rPr>
                              <w:t xml:space="preserve"> i skierował do stron pytania na podstawie art. 14 (zakaz dyskryminacji) w związku z art. 4 (zakaz niewolnictwa i pracy przymusowej) oraz art. 14 w związku z art. 8 (prawo do poszanowania życia prywatnego) Konwencji.</w:t>
                            </w:r>
                          </w:p>
                        </w:txbxContent>
                      </wps:txbx>
                      <wps:bodyPr wrap="square" lIns="0" tIns="0" rIns="0" bIns="0" rtlCol="0"/>
                    </wps:wsp>
                  </a:graphicData>
                </a:graphic>
              </wp:anchor>
            </w:drawing>
          </mc:Choice>
          <mc:Fallback>
            <w:pict>
              <v:shape w14:anchorId="5A33B317" id="Textbox 18" o:spid="_x0000_s1028" type="#_x0000_t202" style="position:absolute;margin-left:70.55pt;margin-top:5.05pt;width:454.2pt;height:141.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" fillcolor="#f3f3f3" stroked="f">
                <v:textbox inset="0,0,0,0">
                  <w:txbxContent>
                    <w:p w14:paraId="79A55E92" w14:textId="77777777" w:rsidR="009F1A47" w:rsidRPr="00FF42A7" w:rsidRDefault="00000000">
                      <w:pPr>
                        <w:spacing w:before="11"/>
                        <w:ind w:left="28"/>
                        <w:rPr>
                          <w:b/>
                          <w:color w:val="000000"/>
                          <w:sz w:val="20"/>
                        </w:rPr>
                      </w:pPr>
                      <w:r w:rsidRPr="00FF42A7">
                        <w:rPr>
                          <w:b/>
                          <w:color w:val="5F5F5F"/>
                          <w:w w:val="135"/>
                          <w:sz w:val="20"/>
                        </w:rPr>
                        <w:t xml:space="preserve">W trakcie </w:t>
                      </w:r>
                      <w:r w:rsidRPr="00FF42A7">
                        <w:rPr>
                          <w:b/>
                          <w:color w:val="5F5F5F"/>
                          <w:spacing w:val="-2"/>
                          <w:w w:val="135"/>
                          <w:sz w:val="20"/>
                        </w:rPr>
                        <w:t>rozpatrywania</w:t>
                      </w:r>
                    </w:p>
                    <w:p w14:paraId="5829FC9A" w14:textId="77777777" w:rsidR="009F1A47" w:rsidRPr="00FF42A7" w:rsidRDefault="009F1A47">
                      <w:pPr>
                        <w:spacing w:before="118"/>
                        <w:ind w:left="28"/>
                        <w:rPr>
                          <w:b/>
                          <w:color w:val="000000"/>
                          <w:sz w:val="20"/>
                        </w:rPr>
                      </w:pPr>
                      <w:hyperlink r:id="rId45">
                        <w:r w:rsidRPr="00FF42A7">
                          <w:rPr>
                            <w:b/>
                            <w:color w:val="0071BB"/>
                            <w:w w:val="140"/>
                            <w:sz w:val="20"/>
                            <w:u w:val="single" w:color="0071BB"/>
                          </w:rPr>
                          <w:t>Kung przeciwko Szwajcarii (nr</w:t>
                        </w:r>
                        <w:r w:rsidRPr="00FF42A7">
                          <w:rPr>
                            <w:b/>
                            <w:color w:val="0071BB"/>
                            <w:spacing w:val="-2"/>
                            <w:w w:val="140"/>
                            <w:sz w:val="20"/>
                            <w:u w:val="single" w:color="0071BB"/>
                          </w:rPr>
                          <w:t xml:space="preserve"> 73307/17)</w:t>
                        </w:r>
                      </w:hyperlink>
                    </w:p>
                    <w:p w14:paraId="5DCC79A2" w14:textId="77777777" w:rsidR="009F1A47" w:rsidRPr="00FF42A7" w:rsidRDefault="00000000">
                      <w:pPr>
                        <w:spacing w:before="58"/>
                        <w:ind w:left="28"/>
                        <w:rPr>
                          <w:color w:val="000000"/>
                          <w:sz w:val="18"/>
                        </w:rPr>
                      </w:pPr>
                      <w:r w:rsidRPr="00FF42A7">
                        <w:rPr>
                          <w:color w:val="808080"/>
                          <w:w w:val="120"/>
                          <w:sz w:val="18"/>
                        </w:rPr>
                        <w:t>Skarga przekazana rządowi szwajcarskiemu w dniu 15 maja</w:t>
                      </w:r>
                      <w:r w:rsidRPr="00FF42A7">
                        <w:rPr>
                          <w:color w:val="808080"/>
                          <w:spacing w:val="-4"/>
                          <w:w w:val="120"/>
                          <w:sz w:val="18"/>
                        </w:rPr>
                        <w:t xml:space="preserve"> 2018 r.</w:t>
                      </w:r>
                    </w:p>
                    <w:p w14:paraId="086325F4" w14:textId="2CC1F58D" w:rsidR="009F1A47" w:rsidRPr="00FF42A7" w:rsidRDefault="00E90D73">
                      <w:pPr>
                        <w:pStyle w:val="Tekstpodstawowy"/>
                        <w:spacing w:before="1"/>
                        <w:ind w:left="28" w:right="26"/>
                        <w:rPr>
                          <w:color w:val="000000"/>
                        </w:rPr>
                      </w:pPr>
                      <w:r w:rsidRPr="00FF42A7">
                        <w:rPr>
                          <w:color w:val="000000"/>
                          <w:w w:val="120"/>
                        </w:rPr>
                        <w:t>Skarżący, który w 2005 r. został uznany za niezdolnego do służby wojskowej, w 2015 r. nadal był zobowiązany do zapłaty specjalnego podatku (zwanego „podatkiem od zwolnienia ze służby wojskowej”). Ponieważ podatek ten nie był nakładany na kobiety, skarżący twierdził, że został poddany nieprawidłowemu różnicowaniu ze względu na płeć.</w:t>
                      </w:r>
                    </w:p>
                    <w:p w14:paraId="5EB3BCE8" w14:textId="6F35063D" w:rsidR="009F1A47" w:rsidRPr="00FF42A7" w:rsidRDefault="00000000">
                      <w:pPr>
                        <w:pStyle w:val="Tekstpodstawowy"/>
                        <w:ind w:left="28" w:right="26"/>
                        <w:rPr>
                          <w:color w:val="000000"/>
                        </w:rPr>
                      </w:pPr>
                      <w:r w:rsidRPr="00FF42A7">
                        <w:rPr>
                          <w:color w:val="0071BB"/>
                          <w:w w:val="120"/>
                        </w:rPr>
                        <w:t xml:space="preserve">Trybunał </w:t>
                      </w:r>
                      <w:r w:rsidR="000F1FAC">
                        <w:rPr>
                          <w:color w:val="0071BB"/>
                          <w:w w:val="120"/>
                        </w:rPr>
                        <w:t>zakomunikował skargę rządowi szwajcarskiemu</w:t>
                      </w:r>
                      <w:r w:rsidRPr="00FF42A7">
                        <w:rPr>
                          <w:color w:val="0071BB"/>
                          <w:w w:val="120"/>
                        </w:rPr>
                        <w:t xml:space="preserve"> i skierował do stron pytania na podstawie art. 14 (zakaz dyskryminacji) w związku z art. 4 (zakaz niewolnictwa i pracy przymusowej) oraz art. 14 w związku z art. 8 (prawo do poszanowania życia prywatnego) Konwencji.</w:t>
                      </w:r>
                    </w:p>
                  </w:txbxContent>
                </v:textbox>
                <w10:wrap type="topAndBottom" anchorx="page"/>
              </v:shape>
            </w:pict>
          </mc:Fallback>
        </mc:AlternateContent>
      </w:r>
    </w:p>
    <w:p w14:paraId="56FE6311" w14:textId="13EA3FBB" w:rsidR="009F1A47" w:rsidRPr="00FF42A7" w:rsidRDefault="00000000">
      <w:pPr>
        <w:pStyle w:val="Nagwek1"/>
        <w:spacing w:before="256"/>
        <w:ind w:right="872"/>
      </w:pPr>
      <w:r w:rsidRPr="00FF42A7">
        <w:rPr>
          <w:color w:val="808080"/>
          <w:w w:val="120"/>
          <w:sz w:val="29"/>
        </w:rPr>
        <w:t xml:space="preserve">Obowiązek służby w straży pożarnej lub wniesienia </w:t>
      </w:r>
      <w:r w:rsidR="00CF6BF2" w:rsidRPr="00FF42A7">
        <w:rPr>
          <w:color w:val="808080"/>
          <w:w w:val="120"/>
          <w:sz w:val="29"/>
        </w:rPr>
        <w:t>świadczenia pieniężnego w zamian</w:t>
      </w:r>
      <w:r w:rsidR="00317244" w:rsidRPr="00FF42A7">
        <w:rPr>
          <w:color w:val="808080"/>
          <w:w w:val="120"/>
          <w:sz w:val="29"/>
        </w:rPr>
        <w:t xml:space="preserve"> służby</w:t>
      </w:r>
      <w:r w:rsidR="00CF6BF2" w:rsidRPr="00FF42A7">
        <w:rPr>
          <w:color w:val="808080"/>
          <w:w w:val="120"/>
          <w:sz w:val="29"/>
        </w:rPr>
        <w:t xml:space="preserve"> </w:t>
      </w:r>
      <w:r w:rsidRPr="00FF42A7">
        <w:rPr>
          <w:color w:val="808080"/>
          <w:w w:val="120"/>
          <w:sz w:val="29"/>
        </w:rPr>
        <w:t>nakładany wyłącznie na mężczyzn</w:t>
      </w:r>
    </w:p>
    <w:p w14:paraId="782B6E3F" w14:textId="77777777" w:rsidR="009F1A47" w:rsidRPr="00FF42A7" w:rsidRDefault="009F1A47">
      <w:pPr>
        <w:pStyle w:val="Nagwek2"/>
        <w:spacing w:before="113"/>
        <w:rPr>
          <w:u w:val="none"/>
        </w:rPr>
      </w:pPr>
      <w:hyperlink r:id="rId46">
        <w:proofErr w:type="spellStart"/>
        <w:r w:rsidRPr="00FF42A7">
          <w:rPr>
            <w:color w:val="0071BB"/>
            <w:w w:val="135"/>
            <w:u w:color="0071BB"/>
          </w:rPr>
          <w:t>Karlheinz</w:t>
        </w:r>
        <w:proofErr w:type="spellEnd"/>
        <w:r w:rsidRPr="00FF42A7">
          <w:rPr>
            <w:color w:val="0071BB"/>
            <w:w w:val="135"/>
            <w:u w:color="0071BB"/>
          </w:rPr>
          <w:t xml:space="preserve"> Schmidt przeciwko </w:t>
        </w:r>
        <w:r w:rsidRPr="00FF42A7">
          <w:rPr>
            <w:color w:val="0071BB"/>
            <w:spacing w:val="-2"/>
            <w:w w:val="135"/>
            <w:u w:color="0071BB"/>
          </w:rPr>
          <w:t>Niemcom</w:t>
        </w:r>
      </w:hyperlink>
    </w:p>
    <w:p w14:paraId="35315662" w14:textId="0AC13945" w:rsidR="009F1A47" w:rsidRPr="00FF42A7" w:rsidRDefault="00000000">
      <w:pPr>
        <w:spacing w:before="56"/>
        <w:ind w:left="874"/>
        <w:jc w:val="both"/>
        <w:rPr>
          <w:sz w:val="18"/>
        </w:rPr>
      </w:pPr>
      <w:r w:rsidRPr="00FF42A7">
        <w:rPr>
          <w:color w:val="808080"/>
          <w:w w:val="125"/>
          <w:sz w:val="18"/>
        </w:rPr>
        <w:t>18 lipca</w:t>
      </w:r>
      <w:r w:rsidRPr="00FF42A7">
        <w:rPr>
          <w:color w:val="808080"/>
          <w:spacing w:val="-4"/>
          <w:w w:val="125"/>
          <w:sz w:val="18"/>
        </w:rPr>
        <w:t xml:space="preserve"> 1994</w:t>
      </w:r>
      <w:r w:rsidR="00794748" w:rsidRPr="00FF42A7">
        <w:rPr>
          <w:color w:val="808080"/>
          <w:spacing w:val="-4"/>
          <w:w w:val="125"/>
          <w:sz w:val="18"/>
        </w:rPr>
        <w:t xml:space="preserve"> r.</w:t>
      </w:r>
    </w:p>
    <w:p w14:paraId="40CBABDE" w14:textId="04649BA3" w:rsidR="009F1A47" w:rsidRPr="00FF42A7" w:rsidRDefault="00E90D73">
      <w:pPr>
        <w:pStyle w:val="Tekstpodstawowy"/>
        <w:spacing w:before="1"/>
        <w:ind w:right="872"/>
      </w:pPr>
      <w:r w:rsidRPr="00FF42A7">
        <w:rPr>
          <w:w w:val="120"/>
        </w:rPr>
        <w:t>Skarżący twierdził, że jest ofiarą dyskryminacji ze względu na płeć, ponieważ w kraju związkowym Badenia-Wirtembergia tylko mężczyźni podlegają obowiązkowi służby w straży pożarnej lub wniesienia opłaty pieniężnej zamiast tej służby.</w:t>
      </w:r>
    </w:p>
    <w:p w14:paraId="608D3B50" w14:textId="77777777" w:rsidR="009F1A47" w:rsidRPr="00FF42A7" w:rsidRDefault="00000000">
      <w:pPr>
        <w:pStyle w:val="Tekstpodstawowy"/>
        <w:ind w:left="873" w:right="87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4 § 3 </w:t>
      </w:r>
      <w:r w:rsidRPr="00FF42A7">
        <w:rPr>
          <w:b/>
          <w:color w:val="0071BB"/>
          <w:w w:val="130"/>
        </w:rPr>
        <w:t xml:space="preserve">lit. d) </w:t>
      </w:r>
      <w:r w:rsidRPr="00FF42A7">
        <w:rPr>
          <w:color w:val="0071BB"/>
          <w:w w:val="120"/>
        </w:rPr>
        <w:t>(zakaz pracy przymusowej) Konwencji. Zwrócił w szczególności uwagę, że niektóre niemieckie kraje związkowe nie nałożyły na obie płcie różnych obowiązków w tej dziedzinie, a nawet w Badenii-Wirtembergii kobiety były przyjmowane do służby ochotniczej w straży pożarnej. Ponadto, niezależnie od tego, czy istniało uzasadnienie dla odmiennego traktowania mężczyzn i kobiet w zakresie obowiązkowej służby w straży pożarnej, ostatecznie decydujące znaczenie w niniejszej sprawie miało to, że obowiązek pełnienia takiej służby miał charakter wyłącznie prawny i teoretyczny. Biorąc pod uwagę utrzymującą się wystarczającą liczbę ochotników, w praktyce żaden mężczyzna nie był zobowiązany do służby w straży pożarnej. Wreszcie, wkład finansowy utracił – nie z mocy prawa, ale w rzeczywistości – swój charakter wyrównawczy i stał się jedynym skutecznym obowiązkiem. W przypadku nałożenia takiego obciążenia finansowego trudno byłoby uzasadnić różnicę w traktowaniu ze względu na płeć.</w:t>
      </w:r>
    </w:p>
    <w:p w14:paraId="252959D6" w14:textId="77777777" w:rsidR="009F1A47" w:rsidRPr="00FF42A7" w:rsidRDefault="00000000">
      <w:pPr>
        <w:pStyle w:val="Nagwek1"/>
        <w:spacing w:before="229"/>
      </w:pPr>
      <w:r w:rsidRPr="00FF42A7">
        <w:rPr>
          <w:noProof/>
        </w:rPr>
        <mc:AlternateContent>
          <mc:Choice Requires="wps">
            <w:drawing>
              <wp:anchor distT="0" distB="0" distL="0" distR="0" simplePos="0" relativeHeight="251648000" behindDoc="1" locked="0" layoutInCell="1" allowOverlap="1" wp14:anchorId="65FAF75A" wp14:editId="67F02191">
                <wp:simplePos x="0" y="0"/>
                <wp:positionH relativeFrom="page">
                  <wp:posOffset>896111</wp:posOffset>
                </wp:positionH>
                <wp:positionV relativeFrom="paragraph">
                  <wp:posOffset>400487</wp:posOffset>
                </wp:positionV>
                <wp:extent cx="5768340" cy="18415"/>
                <wp:effectExtent l="0" t="0" r="0" b="0"/>
                <wp:wrapTopAndBottom/>
                <wp:docPr id="19" name="Graphic 19"/>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32E2624" id="Graphic 19" o:spid="_x0000_s1026" style="position:absolute;margin-left:70.55pt;margin-top:31.55pt;width:454.2pt;height:1.4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" path="m5768340,l,,,18287r5768340,l5768340,xe" fillcolor="#999" stroked="f">
                <v:path arrowok="t"/>
                <w10:wrap type="topAndBottom" anchorx="page"/>
              </v:shape>
            </w:pict>
          </mc:Fallback>
        </mc:AlternateContent>
      </w:r>
      <w:r w:rsidRPr="00FF42A7">
        <w:rPr>
          <w:color w:val="0071BB"/>
          <w:w w:val="120"/>
          <w:sz w:val="29"/>
        </w:rPr>
        <w:t xml:space="preserve">Prawo do wolności i </w:t>
      </w:r>
      <w:r w:rsidRPr="00FF42A7">
        <w:rPr>
          <w:color w:val="0071BB"/>
          <w:spacing w:val="-2"/>
          <w:w w:val="120"/>
          <w:sz w:val="29"/>
        </w:rPr>
        <w:t>bezpieczeństwa</w:t>
      </w:r>
    </w:p>
    <w:p w14:paraId="3E681E31" w14:textId="77777777" w:rsidR="009F1A47" w:rsidRPr="00FF42A7" w:rsidRDefault="00000000">
      <w:pPr>
        <w:spacing w:before="259"/>
        <w:ind w:left="874" w:right="873"/>
        <w:jc w:val="both"/>
        <w:rPr>
          <w:sz w:val="28"/>
        </w:rPr>
      </w:pPr>
      <w:r w:rsidRPr="00FF42A7">
        <w:rPr>
          <w:color w:val="808080"/>
          <w:w w:val="120"/>
          <w:sz w:val="29"/>
        </w:rPr>
        <w:t xml:space="preserve">Domniemana dyskryminacja w przepisach dotyczących odpowiedzialności za </w:t>
      </w:r>
      <w:r w:rsidRPr="00FF42A7">
        <w:rPr>
          <w:color w:val="808080"/>
          <w:spacing w:val="-2"/>
          <w:w w:val="120"/>
          <w:sz w:val="29"/>
        </w:rPr>
        <w:t>karę</w:t>
      </w:r>
      <w:r w:rsidRPr="00FF42A7">
        <w:rPr>
          <w:color w:val="808080"/>
          <w:w w:val="120"/>
          <w:sz w:val="29"/>
        </w:rPr>
        <w:t xml:space="preserve"> dożywotniego </w:t>
      </w:r>
      <w:r w:rsidRPr="00FF42A7">
        <w:rPr>
          <w:color w:val="808080"/>
          <w:spacing w:val="-2"/>
          <w:w w:val="120"/>
          <w:sz w:val="29"/>
        </w:rPr>
        <w:t>pozbawienia wolności</w:t>
      </w:r>
    </w:p>
    <w:p w14:paraId="3B5B0129" w14:textId="77777777" w:rsidR="009F1A47" w:rsidRPr="00FF42A7" w:rsidRDefault="009F1A47">
      <w:pPr>
        <w:pStyle w:val="Nagwek2"/>
        <w:spacing w:before="109"/>
        <w:rPr>
          <w:b w:val="0"/>
          <w:position w:val="7"/>
          <w:sz w:val="13"/>
          <w:u w:val="none"/>
        </w:rPr>
      </w:pPr>
      <w:hyperlink r:id="rId47">
        <w:proofErr w:type="spellStart"/>
        <w:r w:rsidRPr="00FF42A7">
          <w:rPr>
            <w:color w:val="0071BB"/>
            <w:w w:val="135"/>
            <w:u w:color="0071BB"/>
          </w:rPr>
          <w:t>Khamtokhu</w:t>
        </w:r>
        <w:proofErr w:type="spellEnd"/>
        <w:r w:rsidRPr="00FF42A7">
          <w:rPr>
            <w:color w:val="0071BB"/>
            <w:w w:val="135"/>
            <w:u w:color="0071BB"/>
          </w:rPr>
          <w:t xml:space="preserve"> i </w:t>
        </w:r>
        <w:proofErr w:type="spellStart"/>
        <w:r w:rsidRPr="00FF42A7">
          <w:rPr>
            <w:color w:val="0071BB"/>
            <w:w w:val="135"/>
            <w:u w:color="0071BB"/>
          </w:rPr>
          <w:t>Aksenchik</w:t>
        </w:r>
        <w:proofErr w:type="spellEnd"/>
        <w:r w:rsidRPr="00FF42A7">
          <w:rPr>
            <w:color w:val="0071BB"/>
            <w:w w:val="135"/>
            <w:u w:color="0071BB"/>
          </w:rPr>
          <w:t xml:space="preserve"> przeciwko </w:t>
        </w:r>
        <w:r w:rsidRPr="00FF42A7">
          <w:rPr>
            <w:color w:val="0071BB"/>
            <w:spacing w:val="-2"/>
            <w:w w:val="135"/>
            <w:u w:color="0071BB"/>
          </w:rPr>
          <w:t>Rosji</w:t>
        </w:r>
      </w:hyperlink>
      <w:hyperlink w:anchor="_bookmark2" w:history="1">
        <w:r w:rsidRPr="00FF42A7">
          <w:rPr>
            <w:b w:val="0"/>
            <w:spacing w:val="-2"/>
            <w:w w:val="135"/>
            <w:position w:val="7"/>
            <w:sz w:val="13"/>
            <w:u w:val="none"/>
          </w:rPr>
          <w:t>3</w:t>
        </w:r>
      </w:hyperlink>
    </w:p>
    <w:p w14:paraId="2D48670D" w14:textId="5AFB7203" w:rsidR="009F1A47" w:rsidRPr="00FF42A7" w:rsidRDefault="00000000">
      <w:pPr>
        <w:spacing w:before="56"/>
        <w:ind w:left="874"/>
        <w:jc w:val="both"/>
        <w:rPr>
          <w:sz w:val="18"/>
        </w:rPr>
      </w:pPr>
      <w:r w:rsidRPr="00FF42A7">
        <w:rPr>
          <w:color w:val="808080"/>
          <w:w w:val="125"/>
          <w:sz w:val="18"/>
        </w:rPr>
        <w:t>24 stycznia 2017 r. (</w:t>
      </w:r>
      <w:r w:rsidR="00794748" w:rsidRPr="00FF42A7">
        <w:rPr>
          <w:color w:val="808080"/>
          <w:w w:val="125"/>
          <w:sz w:val="18"/>
        </w:rPr>
        <w:t>W</w:t>
      </w:r>
      <w:r w:rsidRPr="00FF42A7">
        <w:rPr>
          <w:color w:val="808080"/>
          <w:w w:val="125"/>
          <w:sz w:val="18"/>
        </w:rPr>
        <w:t xml:space="preserve">ielka </w:t>
      </w:r>
      <w:r w:rsidR="00794748" w:rsidRPr="00FF42A7">
        <w:rPr>
          <w:color w:val="808080"/>
          <w:spacing w:val="-2"/>
          <w:w w:val="125"/>
          <w:sz w:val="18"/>
        </w:rPr>
        <w:t>I</w:t>
      </w:r>
      <w:r w:rsidRPr="00FF42A7">
        <w:rPr>
          <w:color w:val="808080"/>
          <w:spacing w:val="-2"/>
          <w:w w:val="125"/>
          <w:sz w:val="18"/>
        </w:rPr>
        <w:t>zba)</w:t>
      </w:r>
    </w:p>
    <w:p w14:paraId="4DA61971" w14:textId="1CD9F6A2" w:rsidR="009F1A47" w:rsidRPr="00FF42A7" w:rsidRDefault="00000000" w:rsidP="00FF42A7">
      <w:pPr>
        <w:pStyle w:val="Tekstpodstawowy"/>
        <w:spacing w:before="8"/>
        <w:ind w:left="873" w:right="868"/>
      </w:pPr>
      <w:r w:rsidRPr="00FF42A7">
        <w:rPr>
          <w:w w:val="120"/>
        </w:rPr>
        <w:t>Wnoszący skargę twierdzili, że jako dorośli mężczyźni odbywający karę dożywotniego pozbawienia wolności za szereg poważnych przestępstw byli dyskryminowani w porównaniu z innymi kategoriami skazanych – kobietami, osobami</w:t>
      </w:r>
      <w:r w:rsidR="00EA4FB7" w:rsidRPr="00FF42A7">
        <w:rPr>
          <w:w w:val="120"/>
        </w:rPr>
        <w:t xml:space="preserve"> poniżej 18 roku życia w chwili popełnienia przestępstwa</w:t>
      </w:r>
      <w:r w:rsidR="00E32DF0" w:rsidRPr="00FF42A7">
        <w:rPr>
          <w:w w:val="120"/>
        </w:rPr>
        <w:t xml:space="preserve"> lub powyżej 65 roku życia w chwili wydania wyroku </w:t>
      </w:r>
      <w:r w:rsidR="00EA4FB7" w:rsidRPr="00FF42A7">
        <w:rPr>
          <w:w w:val="120"/>
        </w:rPr>
        <w:t>–</w:t>
      </w:r>
      <w:r w:rsidR="00E32DF0" w:rsidRPr="00FF42A7">
        <w:rPr>
          <w:w w:val="120"/>
        </w:rPr>
        <w:t xml:space="preserve"> któr</w:t>
      </w:r>
      <w:r w:rsidR="00A47C9A" w:rsidRPr="00FF42A7">
        <w:rPr>
          <w:w w:val="120"/>
        </w:rPr>
        <w:t>e</w:t>
      </w:r>
      <w:r w:rsidR="00EA4FB7" w:rsidRPr="00FF42A7">
        <w:rPr>
          <w:w w:val="120"/>
        </w:rPr>
        <w:t xml:space="preserve"> by</w:t>
      </w:r>
      <w:r w:rsidR="00A47C9A" w:rsidRPr="00FF42A7">
        <w:rPr>
          <w:w w:val="120"/>
        </w:rPr>
        <w:t>ły</w:t>
      </w:r>
    </w:p>
    <w:p w14:paraId="782AD4F8" w14:textId="77777777" w:rsidR="009F1A47" w:rsidRPr="00FF42A7" w:rsidRDefault="00000000" w:rsidP="00FF42A7">
      <w:pPr>
        <w:pStyle w:val="Tekstpodstawowy"/>
        <w:spacing w:before="22"/>
        <w:ind w:left="0"/>
      </w:pPr>
      <w:r w:rsidRPr="00FF42A7">
        <w:rPr>
          <w:noProof/>
        </w:rPr>
        <mc:AlternateContent>
          <mc:Choice Requires="wps">
            <w:drawing>
              <wp:anchor distT="0" distB="0" distL="0" distR="0" simplePos="0" relativeHeight="251650048" behindDoc="1" locked="0" layoutInCell="1" allowOverlap="1" wp14:anchorId="0244AAC5" wp14:editId="1F57FB0B">
                <wp:simplePos x="0" y="0"/>
                <wp:positionH relativeFrom="page">
                  <wp:posOffset>914400</wp:posOffset>
                </wp:positionH>
                <wp:positionV relativeFrom="paragraph">
                  <wp:posOffset>184764</wp:posOffset>
                </wp:positionV>
                <wp:extent cx="1828800" cy="762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4560C5B9" id="Graphic 20" o:spid="_x0000_s1026" style="position:absolute;margin-left:1in;margin-top:14.55pt;width:2in;height:.6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" path="m1828800,l,,,7619r1828800,l1828800,xe" fillcolor="black" stroked="f">
                <v:path arrowok="t"/>
                <w10:wrap type="topAndBottom" anchorx="page"/>
              </v:shape>
            </w:pict>
          </mc:Fallback>
        </mc:AlternateContent>
      </w:r>
    </w:p>
    <w:p w14:paraId="1E3934E4" w14:textId="25F9083C" w:rsidR="009F1A47" w:rsidRPr="00FF42A7" w:rsidRDefault="00000000" w:rsidP="00FF42A7">
      <w:pPr>
        <w:pStyle w:val="Akapitzlist"/>
        <w:numPr>
          <w:ilvl w:val="0"/>
          <w:numId w:val="2"/>
        </w:numPr>
        <w:tabs>
          <w:tab w:val="left" w:pos="1127"/>
        </w:tabs>
        <w:ind w:left="1127" w:hanging="253"/>
        <w:jc w:val="both"/>
        <w:rPr>
          <w:sz w:val="16"/>
        </w:rPr>
      </w:pPr>
      <w:bookmarkStart w:id="2" w:name="_bookmark2"/>
      <w:bookmarkEnd w:id="2"/>
      <w:r w:rsidRPr="00FF42A7">
        <w:rPr>
          <w:w w:val="120"/>
          <w:sz w:val="16"/>
        </w:rPr>
        <w:t xml:space="preserve">W dniu 16 września 2022 r. Federacja Rosyjska przestała być stroną </w:t>
      </w:r>
      <w:r w:rsidR="00794748" w:rsidRPr="00FF42A7">
        <w:rPr>
          <w:spacing w:val="-2"/>
          <w:w w:val="120"/>
          <w:sz w:val="16"/>
        </w:rPr>
        <w:t>K</w:t>
      </w:r>
      <w:r w:rsidRPr="00FF42A7">
        <w:rPr>
          <w:spacing w:val="-2"/>
          <w:w w:val="120"/>
          <w:sz w:val="16"/>
        </w:rPr>
        <w:t>onwencji.</w:t>
      </w:r>
    </w:p>
    <w:p w14:paraId="13AEDFFA" w14:textId="77777777" w:rsidR="009F1A47" w:rsidRPr="00FF42A7" w:rsidRDefault="009F1A47" w:rsidP="00FF42A7">
      <w:pPr>
        <w:pStyle w:val="Akapitzlist"/>
        <w:jc w:val="both"/>
        <w:rPr>
          <w:sz w:val="16"/>
        </w:rPr>
        <w:sectPr w:rsidR="009F1A47" w:rsidRPr="00FF42A7">
          <w:pgSz w:w="11910" w:h="16840"/>
          <w:pgMar w:top="1400" w:right="566" w:bottom="680" w:left="566" w:header="720" w:footer="497" w:gutter="0"/>
          <w:cols w:space="708"/>
        </w:sectPr>
      </w:pPr>
    </w:p>
    <w:p w14:paraId="36D348CC" w14:textId="77777777" w:rsidR="009F1A47" w:rsidRPr="00FF42A7" w:rsidRDefault="009F1A47" w:rsidP="00FF42A7">
      <w:pPr>
        <w:pStyle w:val="Tekstpodstawowy"/>
        <w:spacing w:before="59"/>
        <w:ind w:left="0"/>
      </w:pPr>
    </w:p>
    <w:p w14:paraId="629C7ED1" w14:textId="40B494DA" w:rsidR="009F1A47" w:rsidRPr="00FF42A7" w:rsidRDefault="00245934" w:rsidP="00A47C9A">
      <w:pPr>
        <w:pStyle w:val="Tekstpodstawowy"/>
        <w:spacing w:before="1"/>
        <w:ind w:right="873" w:hanging="1"/>
      </w:pPr>
      <w:r w:rsidRPr="00FF42A7">
        <w:rPr>
          <w:w w:val="120"/>
        </w:rPr>
        <w:t>zwolnione z</w:t>
      </w:r>
      <w:r w:rsidR="00925943" w:rsidRPr="00FF42A7">
        <w:rPr>
          <w:w w:val="120"/>
        </w:rPr>
        <w:t xml:space="preserve"> kary dożywotniego pozbawienia wolności na mocy przepisów prawa.</w:t>
      </w:r>
    </w:p>
    <w:p w14:paraId="28BA076C" w14:textId="0C8151A4" w:rsidR="009F1A47" w:rsidRPr="00FF42A7" w:rsidRDefault="00000000" w:rsidP="00A47C9A">
      <w:pPr>
        <w:pStyle w:val="Tekstpodstawowy"/>
        <w:ind w:right="871"/>
        <w:rPr>
          <w:sz w:val="28"/>
          <w:szCs w:val="28"/>
        </w:rPr>
      </w:pPr>
      <w:r w:rsidRPr="00FF42A7">
        <w:rPr>
          <w:color w:val="0071BB"/>
          <w:w w:val="125"/>
        </w:rPr>
        <w:t xml:space="preserve">Wielka Izba uznała, że </w:t>
      </w:r>
      <w:r w:rsidRPr="00FF42A7">
        <w:rPr>
          <w:b/>
          <w:color w:val="0071BB"/>
          <w:w w:val="125"/>
        </w:rPr>
        <w:t xml:space="preserve">nie </w:t>
      </w:r>
      <w:r w:rsidRPr="00FF42A7">
        <w:rPr>
          <w:color w:val="0071BB"/>
          <w:w w:val="125"/>
        </w:rPr>
        <w:t xml:space="preserve">doszło </w:t>
      </w:r>
      <w:r w:rsidRPr="00FF42A7">
        <w:rPr>
          <w:b/>
          <w:color w:val="0071BB"/>
          <w:w w:val="125"/>
        </w:rPr>
        <w:t xml:space="preserve">do naruszenia art. 14 </w:t>
      </w:r>
      <w:r w:rsidRPr="00FF42A7">
        <w:rPr>
          <w:color w:val="0071BB"/>
          <w:w w:val="125"/>
        </w:rPr>
        <w:t xml:space="preserve">(zakaz dyskryminacji) </w:t>
      </w:r>
      <w:r w:rsidRPr="00FF42A7">
        <w:rPr>
          <w:b/>
          <w:color w:val="0071BB"/>
          <w:w w:val="125"/>
        </w:rPr>
        <w:t xml:space="preserve">w związku z art. 5 </w:t>
      </w:r>
      <w:r w:rsidRPr="00FF42A7">
        <w:rPr>
          <w:color w:val="0071BB"/>
          <w:w w:val="125"/>
        </w:rPr>
        <w:t xml:space="preserve">(prawo do wolności i bezpieczeństwa) Konwencji w odniesieniu do różnicy w traktowaniu skazanych na dożywocie w Rosji ze względu na wiek oraz że </w:t>
      </w:r>
      <w:r w:rsidRPr="00FF42A7">
        <w:rPr>
          <w:b/>
          <w:color w:val="0071BB"/>
          <w:w w:val="125"/>
        </w:rPr>
        <w:t xml:space="preserve">nie </w:t>
      </w:r>
      <w:r w:rsidRPr="00FF42A7">
        <w:rPr>
          <w:color w:val="0071BB"/>
          <w:w w:val="125"/>
        </w:rPr>
        <w:t xml:space="preserve">doszło </w:t>
      </w:r>
      <w:r w:rsidRPr="00FF42A7">
        <w:rPr>
          <w:b/>
          <w:color w:val="0071BB"/>
          <w:w w:val="125"/>
        </w:rPr>
        <w:t xml:space="preserve">do naruszenia art. 14 w związku z art. 5 </w:t>
      </w:r>
      <w:r w:rsidRPr="00FF42A7">
        <w:rPr>
          <w:color w:val="0071BB"/>
          <w:w w:val="125"/>
        </w:rPr>
        <w:t xml:space="preserve">w odniesieniu do różnicy w traktowaniu ze względu na płeć. Uznała, że uzasadnienie różnicy w traktowaniu skarżących i niektórych innych kategorii przestępców, a mianowicie promowanie zasad sprawiedliwości i humanitaryzmu, było uzasadnione. Wielka Izba uznała również, że zwolnienie niektórych kategorii przestępców z kary dożywotniego pozbawienia wolności było środkiem proporcjonalnym do osiągnięcia tych zasad. Dochodząc do tego wniosku, wzięła pod uwagę praktyczne funkcjonowanie kary dożywotniego pozbawienia wolności w Rosji, zarówno pod względem sposobu jej orzekania, jak i możliwości późniejszej rewizji. W szczególności kary dożywotniego pozbawienia wolności nałożone na samych skarżących nie były arbitralne ani nieuzasadnione i miały zostać poddane rewizji po upływie 25 lat. Ponadto Wielka Izba wzięła również pod uwagę znaczną swobodę decyzyjną przyznaną </w:t>
      </w:r>
      <w:r w:rsidR="005E58C7" w:rsidRPr="00FF42A7">
        <w:rPr>
          <w:color w:val="0071BB"/>
          <w:w w:val="125"/>
        </w:rPr>
        <w:t>U</w:t>
      </w:r>
      <w:r w:rsidR="007B1E41" w:rsidRPr="00FF42A7">
        <w:rPr>
          <w:color w:val="0071BB"/>
          <w:w w:val="125"/>
        </w:rPr>
        <w:t>kładającym</w:t>
      </w:r>
      <w:r w:rsidRPr="00FF42A7">
        <w:rPr>
          <w:color w:val="0071BB"/>
          <w:w w:val="125"/>
        </w:rPr>
        <w:t xml:space="preserve"> się </w:t>
      </w:r>
      <w:r w:rsidR="005E58C7" w:rsidRPr="00FF42A7">
        <w:rPr>
          <w:color w:val="0071BB"/>
          <w:w w:val="125"/>
        </w:rPr>
        <w:t>P</w:t>
      </w:r>
      <w:r w:rsidRPr="00FF42A7">
        <w:rPr>
          <w:color w:val="0071BB"/>
          <w:w w:val="125"/>
        </w:rPr>
        <w:t xml:space="preserve">aństwom w kwestiach takich jak polityka karna, biorąc pod uwagę brak europejskiego konsensusu w sprawie kar dożywotniego pozbawienia wolności, z wyjątkiem spraw dotyczących nieletnich przestępców, którzy zostali zwolnieni z kary dożywotniego pozbawienia wolności we wszystkich </w:t>
      </w:r>
      <w:r w:rsidR="007B1E41" w:rsidRPr="00FF42A7">
        <w:rPr>
          <w:color w:val="0071BB"/>
          <w:w w:val="125"/>
        </w:rPr>
        <w:t>Układających</w:t>
      </w:r>
      <w:r w:rsidRPr="00FF42A7">
        <w:rPr>
          <w:color w:val="0071BB"/>
          <w:w w:val="125"/>
        </w:rPr>
        <w:t xml:space="preserve"> się </w:t>
      </w:r>
      <w:r w:rsidR="005E58C7" w:rsidRPr="00FF42A7">
        <w:rPr>
          <w:color w:val="0071BB"/>
          <w:w w:val="125"/>
        </w:rPr>
        <w:t>P</w:t>
      </w:r>
      <w:r w:rsidRPr="00FF42A7">
        <w:rPr>
          <w:color w:val="0071BB"/>
          <w:w w:val="125"/>
        </w:rPr>
        <w:t xml:space="preserve">aństwach bez wyjątku. </w:t>
      </w:r>
      <w:r w:rsidR="00EA4FB7" w:rsidRPr="00FF42A7">
        <w:rPr>
          <w:color w:val="0071BB"/>
          <w:w w:val="125"/>
        </w:rPr>
        <w:t>Rzeczywiście, t</w:t>
      </w:r>
      <w:r w:rsidRPr="00FF42A7">
        <w:rPr>
          <w:color w:val="0071BB"/>
          <w:w w:val="125"/>
        </w:rPr>
        <w:t>rudno byłoby krytykować rosyjski</w:t>
      </w:r>
      <w:r w:rsidR="00EA4FB7" w:rsidRPr="00FF42A7">
        <w:rPr>
          <w:color w:val="0071BB"/>
          <w:w w:val="125"/>
        </w:rPr>
        <w:t>e</w:t>
      </w:r>
      <w:r w:rsidRPr="00FF42A7">
        <w:rPr>
          <w:color w:val="0071BB"/>
          <w:w w:val="125"/>
        </w:rPr>
        <w:t xml:space="preserve"> ustawodaw</w:t>
      </w:r>
      <w:r w:rsidR="00EA4FB7" w:rsidRPr="00FF42A7">
        <w:rPr>
          <w:color w:val="0071BB"/>
          <w:w w:val="125"/>
        </w:rPr>
        <w:t>stwo</w:t>
      </w:r>
      <w:r w:rsidRPr="00FF42A7">
        <w:rPr>
          <w:color w:val="0071BB"/>
          <w:w w:val="125"/>
        </w:rPr>
        <w:t xml:space="preserve"> za zwolnienie niektórych grup przestępców z kary dożywotniego pozbawienia wolności, ponieważ zwolnienie to stanowi, biorąc pod uwagę wszystkie okoliczności, postęp społeczny </w:t>
      </w:r>
      <w:r w:rsidR="00DA6049" w:rsidRPr="00FF42A7">
        <w:rPr>
          <w:color w:val="0070C0"/>
          <w:w w:val="125"/>
        </w:rPr>
        <w:t>w kwestiach penologicznych.</w:t>
      </w:r>
    </w:p>
    <w:p w14:paraId="03BB7881" w14:textId="77777777" w:rsidR="009F1A47" w:rsidRPr="00FF42A7" w:rsidRDefault="00000000">
      <w:pPr>
        <w:pStyle w:val="Nagwek1"/>
        <w:spacing w:before="221"/>
      </w:pPr>
      <w:r w:rsidRPr="00FF42A7">
        <w:rPr>
          <w:noProof/>
        </w:rPr>
        <mc:AlternateContent>
          <mc:Choice Requires="wps">
            <w:drawing>
              <wp:anchor distT="0" distB="0" distL="0" distR="0" simplePos="0" relativeHeight="251653120" behindDoc="1" locked="0" layoutInCell="1" allowOverlap="1" wp14:anchorId="0D46A6AC" wp14:editId="6A74DE83">
                <wp:simplePos x="0" y="0"/>
                <wp:positionH relativeFrom="page">
                  <wp:posOffset>896111</wp:posOffset>
                </wp:positionH>
                <wp:positionV relativeFrom="paragraph">
                  <wp:posOffset>396726</wp:posOffset>
                </wp:positionV>
                <wp:extent cx="5768340" cy="18415"/>
                <wp:effectExtent l="0" t="0" r="0" b="0"/>
                <wp:wrapTopAndBottom/>
                <wp:docPr id="21" name="Graphic 21"/>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1CB2B1DD" id="Graphic 21" o:spid="_x0000_s1026" style="position:absolute;margin-left:70.55pt;margin-top:31.25pt;width:454.2pt;height:1.4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" path="m5768340,l,,,18287r5768340,l5768340,xe" fillcolor="#999" stroked="f">
                <v:path arrowok="t"/>
                <w10:wrap type="topAndBottom" anchorx="page"/>
              </v:shape>
            </w:pict>
          </mc:Fallback>
        </mc:AlternateContent>
      </w:r>
      <w:r w:rsidRPr="00FF42A7">
        <w:rPr>
          <w:color w:val="0071BB"/>
          <w:w w:val="120"/>
          <w:sz w:val="29"/>
        </w:rPr>
        <w:t xml:space="preserve">Prawo do rzetelnego </w:t>
      </w:r>
      <w:r w:rsidRPr="00FF42A7">
        <w:rPr>
          <w:color w:val="0071BB"/>
          <w:spacing w:val="-4"/>
          <w:w w:val="120"/>
          <w:sz w:val="29"/>
        </w:rPr>
        <w:t>procesu</w:t>
      </w:r>
      <w:r w:rsidRPr="00FF42A7">
        <w:rPr>
          <w:color w:val="0071BB"/>
          <w:w w:val="120"/>
          <w:sz w:val="29"/>
        </w:rPr>
        <w:t xml:space="preserve"> sądowego</w:t>
      </w:r>
    </w:p>
    <w:p w14:paraId="4A0A9E2A" w14:textId="77777777" w:rsidR="009F1A47" w:rsidRPr="00FF42A7" w:rsidRDefault="00000000">
      <w:pPr>
        <w:spacing w:before="259"/>
        <w:ind w:left="874"/>
        <w:jc w:val="both"/>
        <w:rPr>
          <w:sz w:val="28"/>
        </w:rPr>
      </w:pPr>
      <w:r w:rsidRPr="00FF42A7">
        <w:rPr>
          <w:color w:val="808080"/>
          <w:w w:val="120"/>
          <w:sz w:val="29"/>
        </w:rPr>
        <w:t xml:space="preserve">Powództwo o zaprzeczenie </w:t>
      </w:r>
      <w:r w:rsidRPr="00FF42A7">
        <w:rPr>
          <w:color w:val="808080"/>
          <w:spacing w:val="-2"/>
          <w:w w:val="120"/>
          <w:sz w:val="29"/>
        </w:rPr>
        <w:t>ojcostwa</w:t>
      </w:r>
    </w:p>
    <w:p w14:paraId="14629F08" w14:textId="77777777" w:rsidR="009F1A47" w:rsidRPr="00FF42A7" w:rsidRDefault="00000000">
      <w:pPr>
        <w:pStyle w:val="Tekstpodstawowy"/>
        <w:spacing w:before="111"/>
      </w:pPr>
      <w:r w:rsidRPr="00FF42A7">
        <w:rPr>
          <w:w w:val="120"/>
        </w:rPr>
        <w:t xml:space="preserve">Zob. poniżej w sekcji „Prawo do poszanowania </w:t>
      </w:r>
      <w:r w:rsidRPr="00FF42A7">
        <w:rPr>
          <w:spacing w:val="-2"/>
          <w:w w:val="120"/>
        </w:rPr>
        <w:t xml:space="preserve">życia </w:t>
      </w:r>
      <w:r w:rsidRPr="00FF42A7">
        <w:rPr>
          <w:w w:val="120"/>
        </w:rPr>
        <w:t>prywatnego i rodzinnego</w:t>
      </w:r>
      <w:r w:rsidRPr="00FF42A7">
        <w:rPr>
          <w:spacing w:val="-2"/>
          <w:w w:val="120"/>
        </w:rPr>
        <w:t>”.</w:t>
      </w:r>
    </w:p>
    <w:p w14:paraId="267BAD5B" w14:textId="77777777" w:rsidR="009F1A47" w:rsidRPr="00FF42A7" w:rsidRDefault="009F1A47">
      <w:pPr>
        <w:pStyle w:val="Tekstpodstawowy"/>
        <w:spacing w:before="2"/>
        <w:ind w:left="0"/>
        <w:jc w:val="left"/>
      </w:pPr>
    </w:p>
    <w:p w14:paraId="71B63F6B" w14:textId="77777777" w:rsidR="009F1A47" w:rsidRPr="00FF42A7" w:rsidRDefault="00000000">
      <w:pPr>
        <w:pStyle w:val="Nagwek1"/>
        <w:spacing w:before="0"/>
      </w:pPr>
      <w:r w:rsidRPr="00FF42A7">
        <w:rPr>
          <w:color w:val="808080"/>
          <w:w w:val="120"/>
          <w:sz w:val="29"/>
        </w:rPr>
        <w:t xml:space="preserve">Uzasadnienie wyroku opartego na różnicy </w:t>
      </w:r>
      <w:r w:rsidRPr="00FF42A7">
        <w:rPr>
          <w:color w:val="808080"/>
          <w:spacing w:val="-5"/>
          <w:w w:val="120"/>
          <w:sz w:val="29"/>
        </w:rPr>
        <w:t>płci</w:t>
      </w:r>
    </w:p>
    <w:p w14:paraId="77ABD105" w14:textId="77777777" w:rsidR="009F1A47" w:rsidRPr="00FF42A7" w:rsidRDefault="009F1A47">
      <w:pPr>
        <w:pStyle w:val="Nagwek2"/>
        <w:spacing w:before="111"/>
        <w:rPr>
          <w:u w:val="none"/>
        </w:rPr>
      </w:pPr>
      <w:hyperlink r:id="rId48">
        <w:proofErr w:type="spellStart"/>
        <w:r w:rsidRPr="00FF42A7">
          <w:rPr>
            <w:color w:val="0071BB"/>
            <w:w w:val="140"/>
            <w:u w:color="0071BB"/>
          </w:rPr>
          <w:t>Schuler-Zgraggen</w:t>
        </w:r>
        <w:proofErr w:type="spellEnd"/>
        <w:r w:rsidRPr="00FF42A7">
          <w:rPr>
            <w:color w:val="0071BB"/>
            <w:w w:val="140"/>
            <w:u w:color="0071BB"/>
          </w:rPr>
          <w:t xml:space="preserve"> przeciwko </w:t>
        </w:r>
        <w:r w:rsidRPr="00FF42A7">
          <w:rPr>
            <w:color w:val="0071BB"/>
            <w:spacing w:val="-2"/>
            <w:w w:val="140"/>
            <w:u w:color="0071BB"/>
          </w:rPr>
          <w:t>Szwajcarii</w:t>
        </w:r>
      </w:hyperlink>
    </w:p>
    <w:p w14:paraId="157EB56A" w14:textId="4B232C13" w:rsidR="009F1A47" w:rsidRPr="00FF42A7" w:rsidRDefault="00000000">
      <w:pPr>
        <w:spacing w:before="58"/>
        <w:ind w:left="874"/>
        <w:jc w:val="both"/>
        <w:rPr>
          <w:sz w:val="18"/>
        </w:rPr>
      </w:pPr>
      <w:r w:rsidRPr="00FF42A7">
        <w:rPr>
          <w:color w:val="808080"/>
          <w:w w:val="125"/>
          <w:sz w:val="18"/>
        </w:rPr>
        <w:t>24 czerwca</w:t>
      </w:r>
      <w:r w:rsidRPr="00FF42A7">
        <w:rPr>
          <w:color w:val="808080"/>
          <w:spacing w:val="-4"/>
          <w:w w:val="125"/>
          <w:sz w:val="18"/>
        </w:rPr>
        <w:t xml:space="preserve"> 1993</w:t>
      </w:r>
      <w:r w:rsidR="00DA6049" w:rsidRPr="00FF42A7">
        <w:rPr>
          <w:color w:val="808080"/>
          <w:spacing w:val="-4"/>
          <w:w w:val="125"/>
          <w:sz w:val="18"/>
        </w:rPr>
        <w:t xml:space="preserve"> r.</w:t>
      </w:r>
    </w:p>
    <w:p w14:paraId="39025C14" w14:textId="51058D9B" w:rsidR="009F1A47" w:rsidRPr="00FF42A7" w:rsidRDefault="00DA6049">
      <w:pPr>
        <w:pStyle w:val="Tekstpodstawowy"/>
        <w:spacing w:before="1"/>
        <w:ind w:right="869"/>
      </w:pPr>
      <w:r w:rsidRPr="00FF42A7">
        <w:rPr>
          <w:w w:val="120"/>
        </w:rPr>
        <w:t>Skarżąca, która wystąpiła o rentę inwalidzką, podniosła w szczególności, że Federalny Sąd Ubezpieczeń oparł swoje orzeczenie w jej sprawie na „założeniu wynikającym z doświadczeń życia codziennego”, a mianowicie, że wiele zamężnych kobiet rezygnuje z pracy po urodzeniu pierwszego dziecka i powraca do niej dopiero później. Sąd wywnioskował z tego, że skarżąca zrezygnowałaby z pracy, nawet gdyby nie miała problemów zdrowotnych. Skarżąca twierdziła, że takie założenie stanowi dyskryminację ze względu na płeć.</w:t>
      </w:r>
    </w:p>
    <w:p w14:paraId="2A934A6D" w14:textId="36618611" w:rsidR="009F1A47" w:rsidRPr="00FF42A7" w:rsidRDefault="00000000">
      <w:pPr>
        <w:pStyle w:val="Tekstpodstawowy"/>
        <w:ind w:left="873" w:right="869"/>
      </w:pPr>
      <w:r w:rsidRPr="00FF42A7">
        <w:rPr>
          <w:color w:val="0071BB"/>
          <w:w w:val="120"/>
        </w:rPr>
        <w:t xml:space="preserve">Wobec braku uzasadnionego i obiektywnego uzasadnienia, 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6 </w:t>
      </w:r>
      <w:r w:rsidR="00245934">
        <w:rPr>
          <w:b/>
          <w:color w:val="0071BB"/>
          <w:w w:val="120"/>
        </w:rPr>
        <w:t>ust.</w:t>
      </w:r>
      <w:r w:rsidRPr="00FF42A7">
        <w:rPr>
          <w:b/>
          <w:color w:val="0071BB"/>
          <w:w w:val="120"/>
        </w:rPr>
        <w:t xml:space="preserve"> 1 </w:t>
      </w:r>
      <w:r w:rsidRPr="00FF42A7">
        <w:rPr>
          <w:color w:val="0071BB"/>
          <w:w w:val="120"/>
        </w:rPr>
        <w:t>(prawo do rzetelnego procesu sądowego) Konwencji. W szczególności zauważył, że Federalny Sąd Ubezpieczeń przyjął w całości założenie Komisji Odwoławczej, że kobiety rezygnują z pracy po urodzeniu dziecka i nie podj</w:t>
      </w:r>
      <w:r w:rsidR="00B07F48" w:rsidRPr="00FF42A7">
        <w:rPr>
          <w:color w:val="0071BB"/>
          <w:w w:val="120"/>
        </w:rPr>
        <w:t>ął</w:t>
      </w:r>
      <w:r w:rsidRPr="00FF42A7">
        <w:rPr>
          <w:color w:val="0071BB"/>
          <w:w w:val="120"/>
        </w:rPr>
        <w:t xml:space="preserve"> próby zbadania</w:t>
      </w:r>
      <w:r w:rsidR="00DA6049" w:rsidRPr="00FF42A7">
        <w:rPr>
          <w:color w:val="0071BB"/>
          <w:w w:val="120"/>
        </w:rPr>
        <w:t xml:space="preserve"> </w:t>
      </w:r>
      <w:r w:rsidR="00B07F48" w:rsidRPr="00FF42A7">
        <w:rPr>
          <w:color w:val="0071BB"/>
          <w:w w:val="120"/>
        </w:rPr>
        <w:t>zasadności tego założenia poprzez rozważenie argumentów przeciwnych</w:t>
      </w:r>
      <w:r w:rsidRPr="00FF42A7">
        <w:rPr>
          <w:color w:val="0071BB"/>
          <w:w w:val="120"/>
        </w:rPr>
        <w:t xml:space="preserve">. Zgodnie z treścią wyroku Sądu Federalnego, założenie to nie mogło zatem zostać uznane – jak twierdził rząd szwajcarski – za </w:t>
      </w:r>
      <w:r w:rsidR="00B07F48" w:rsidRPr="00FF42A7">
        <w:rPr>
          <w:color w:val="0071BB"/>
          <w:w w:val="120"/>
        </w:rPr>
        <w:t xml:space="preserve">incydentalną </w:t>
      </w:r>
      <w:r w:rsidRPr="00FF42A7">
        <w:rPr>
          <w:color w:val="0071BB"/>
          <w:w w:val="120"/>
        </w:rPr>
        <w:t>uwagę, nieudolnie sformułowaną, ale o znikomym znaczeniu. Wręcz przeciwnie, stanowiło ono jedyną podstawę rozumowania, a tym samym miało charakter rozstrzygający i wprowadzało różnicę w traktowaniu wyłącznie ze względu na płeć.</w:t>
      </w:r>
    </w:p>
    <w:p w14:paraId="6F9B054C" w14:textId="77777777" w:rsidR="009F1A47" w:rsidRPr="00FF42A7" w:rsidRDefault="009F1A47">
      <w:pPr>
        <w:pStyle w:val="Tekstpodstawowy"/>
        <w:sectPr w:rsidR="009F1A47" w:rsidRPr="00FF42A7">
          <w:pgSz w:w="11910" w:h="16840"/>
          <w:pgMar w:top="1400" w:right="566" w:bottom="680" w:left="566" w:header="720" w:footer="497" w:gutter="0"/>
          <w:cols w:space="708"/>
        </w:sectPr>
      </w:pPr>
    </w:p>
    <w:p w14:paraId="29271C50" w14:textId="77777777" w:rsidR="009F1A47" w:rsidRPr="00FF42A7" w:rsidRDefault="00000000">
      <w:pPr>
        <w:pStyle w:val="Nagwek1"/>
        <w:spacing w:before="309"/>
        <w:ind w:right="869"/>
      </w:pPr>
      <w:r w:rsidRPr="00FF42A7">
        <w:rPr>
          <w:color w:val="808080"/>
          <w:w w:val="120"/>
          <w:sz w:val="29"/>
        </w:rPr>
        <w:lastRenderedPageBreak/>
        <w:t xml:space="preserve">Niewykonanie wyroku uznającego </w:t>
      </w:r>
      <w:r w:rsidRPr="00FF42A7">
        <w:rPr>
          <w:color w:val="808080"/>
          <w:spacing w:val="-2"/>
          <w:w w:val="120"/>
          <w:sz w:val="29"/>
        </w:rPr>
        <w:t>dyskryminację</w:t>
      </w:r>
      <w:r w:rsidRPr="00FF42A7">
        <w:rPr>
          <w:color w:val="808080"/>
          <w:w w:val="120"/>
          <w:sz w:val="29"/>
        </w:rPr>
        <w:t xml:space="preserve"> ze względu na płeć</w:t>
      </w:r>
    </w:p>
    <w:p w14:paraId="5C75EB86" w14:textId="77777777" w:rsidR="009F1A47" w:rsidRPr="00FF42A7" w:rsidRDefault="009F1A47">
      <w:pPr>
        <w:pStyle w:val="Nagwek2"/>
        <w:spacing w:before="110"/>
        <w:rPr>
          <w:u w:val="none"/>
        </w:rPr>
      </w:pPr>
      <w:hyperlink r:id="rId49">
        <w:proofErr w:type="spellStart"/>
        <w:r w:rsidRPr="00FF42A7">
          <w:rPr>
            <w:color w:val="0071BB"/>
            <w:w w:val="135"/>
            <w:u w:color="0071BB"/>
          </w:rPr>
          <w:t>García</w:t>
        </w:r>
        <w:proofErr w:type="spellEnd"/>
        <w:r w:rsidRPr="00FF42A7">
          <w:rPr>
            <w:color w:val="0071BB"/>
            <w:w w:val="135"/>
            <w:u w:color="0071BB"/>
          </w:rPr>
          <w:t xml:space="preserve"> </w:t>
        </w:r>
        <w:proofErr w:type="spellStart"/>
        <w:r w:rsidRPr="00FF42A7">
          <w:rPr>
            <w:color w:val="0071BB"/>
            <w:w w:val="135"/>
            <w:u w:color="0071BB"/>
          </w:rPr>
          <w:t>Mateos</w:t>
        </w:r>
        <w:proofErr w:type="spellEnd"/>
        <w:r w:rsidRPr="00FF42A7">
          <w:rPr>
            <w:color w:val="0071BB"/>
            <w:w w:val="135"/>
            <w:u w:color="0071BB"/>
          </w:rPr>
          <w:t xml:space="preserve"> przeciwko </w:t>
        </w:r>
        <w:r w:rsidRPr="00FF42A7">
          <w:rPr>
            <w:color w:val="0071BB"/>
            <w:spacing w:val="-4"/>
            <w:w w:val="135"/>
            <w:u w:color="0071BB"/>
          </w:rPr>
          <w:t>Hiszpanii</w:t>
        </w:r>
      </w:hyperlink>
    </w:p>
    <w:p w14:paraId="32D951F1" w14:textId="03272B2A" w:rsidR="009F1A47" w:rsidRPr="00FF42A7" w:rsidRDefault="00000000">
      <w:pPr>
        <w:spacing w:before="58"/>
        <w:ind w:left="874"/>
        <w:jc w:val="both"/>
        <w:rPr>
          <w:sz w:val="18"/>
        </w:rPr>
      </w:pPr>
      <w:r w:rsidRPr="00FF42A7">
        <w:rPr>
          <w:color w:val="808080"/>
          <w:w w:val="125"/>
          <w:sz w:val="18"/>
        </w:rPr>
        <w:t>19 lutego</w:t>
      </w:r>
      <w:r w:rsidRPr="00FF42A7">
        <w:rPr>
          <w:color w:val="808080"/>
          <w:spacing w:val="-4"/>
          <w:w w:val="125"/>
          <w:sz w:val="18"/>
        </w:rPr>
        <w:t xml:space="preserve"> 2013</w:t>
      </w:r>
      <w:r w:rsidR="00537537" w:rsidRPr="00FF42A7">
        <w:rPr>
          <w:color w:val="808080"/>
          <w:spacing w:val="-4"/>
          <w:w w:val="125"/>
          <w:sz w:val="18"/>
        </w:rPr>
        <w:t xml:space="preserve"> r.</w:t>
      </w:r>
    </w:p>
    <w:p w14:paraId="5629515B" w14:textId="77777777" w:rsidR="009F1A47" w:rsidRPr="00FF42A7" w:rsidRDefault="00000000">
      <w:pPr>
        <w:pStyle w:val="Tekstpodstawowy"/>
        <w:spacing w:before="2"/>
        <w:ind w:left="873" w:right="870"/>
      </w:pPr>
      <w:r w:rsidRPr="00FF42A7">
        <w:rPr>
          <w:w w:val="120"/>
        </w:rPr>
        <w:t>Jako matka sprawująca opiekę prawną nad synem, który w tamtym czasie miał mniej niż sześć lat, skarżąca zwróciła się o zgodę na skrócenie czasu pracy w supermarkecie. Jej pracodawcy odmówili. Skarżąca twierdziła, że hiszpański Trybunał Konstytucyjny nie naprawił naruszenia zasady zakazującej dyskryminacji ze względu na płeć, które stwierdził w jej sprawie. Twierdziła, że naruszono jej prawo do rzetelnego postępowania sądowego w rozsądnym terminie oraz że była ofiarą dyskryminacji ze względu na płeć.</w:t>
      </w:r>
    </w:p>
    <w:p w14:paraId="0A2302DA" w14:textId="56611CDB" w:rsidR="009F1A47" w:rsidRPr="00FF42A7" w:rsidRDefault="00000000">
      <w:pPr>
        <w:pStyle w:val="Tekstpodstawowy"/>
        <w:spacing w:line="237" w:lineRule="auto"/>
        <w:ind w:right="87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6 § 1 </w:t>
      </w:r>
      <w:r w:rsidRPr="00FF42A7">
        <w:rPr>
          <w:color w:val="0071BB"/>
          <w:w w:val="120"/>
        </w:rPr>
        <w:t xml:space="preserve">(prawo do rzetelnego procesu sądowego w rozsądnym terminie) </w:t>
      </w:r>
      <w:r w:rsidRPr="00FF42A7">
        <w:rPr>
          <w:b/>
          <w:color w:val="0071BB"/>
          <w:w w:val="120"/>
        </w:rPr>
        <w:t>w związku z art</w:t>
      </w:r>
      <w:r w:rsidRPr="00FF42A7">
        <w:rPr>
          <w:b/>
          <w:color w:val="0071BB"/>
          <w:spacing w:val="40"/>
          <w:w w:val="120"/>
        </w:rPr>
        <w:t>.</w:t>
      </w:r>
      <w:r w:rsidRPr="00FF42A7">
        <w:rPr>
          <w:b/>
          <w:color w:val="0071BB"/>
          <w:w w:val="120"/>
        </w:rPr>
        <w:t xml:space="preserve"> 14 </w:t>
      </w:r>
      <w:r w:rsidRPr="00FF42A7">
        <w:rPr>
          <w:color w:val="0071BB"/>
          <w:w w:val="120"/>
        </w:rPr>
        <w:t xml:space="preserve">(zakaz dyskryminacji) Konwencji. Stwierdził, że naruszenie zasady niedyskryminacji ze względu na płeć, ustanowionej przez hiszpański Trybunał Konstytucyjny w orzeczeniu na korzyść skarżącej, nigdy nie zostało naprawione z powodu niewykonania </w:t>
      </w:r>
      <w:r w:rsidR="00FE399C" w:rsidRPr="00FF42A7">
        <w:rPr>
          <w:color w:val="0071BB"/>
          <w:w w:val="120"/>
        </w:rPr>
        <w:t>przedmiotowego orzeczenia</w:t>
      </w:r>
      <w:r w:rsidR="00245934">
        <w:rPr>
          <w:color w:val="0071BB"/>
          <w:w w:val="120"/>
        </w:rPr>
        <w:t xml:space="preserve"> </w:t>
      </w:r>
      <w:r w:rsidRPr="00FF42A7">
        <w:rPr>
          <w:color w:val="0071BB"/>
          <w:w w:val="120"/>
        </w:rPr>
        <w:t>i nieprzyznania jej odszkodowania.</w:t>
      </w:r>
    </w:p>
    <w:p w14:paraId="7C312328" w14:textId="77777777" w:rsidR="009F1A47" w:rsidRPr="00FF42A7" w:rsidRDefault="009F1A47">
      <w:pPr>
        <w:pStyle w:val="Tekstpodstawowy"/>
        <w:ind w:left="0"/>
        <w:jc w:val="left"/>
      </w:pPr>
    </w:p>
    <w:p w14:paraId="041EBE0E" w14:textId="77777777" w:rsidR="009F1A47" w:rsidRPr="00FF42A7" w:rsidRDefault="00000000">
      <w:pPr>
        <w:pStyle w:val="Nagwek1"/>
        <w:spacing w:before="0"/>
      </w:pPr>
      <w:r w:rsidRPr="00FF42A7">
        <w:rPr>
          <w:noProof/>
        </w:rPr>
        <mc:AlternateContent>
          <mc:Choice Requires="wps">
            <w:drawing>
              <wp:anchor distT="0" distB="0" distL="0" distR="0" simplePos="0" relativeHeight="251655168" behindDoc="1" locked="0" layoutInCell="1" allowOverlap="1" wp14:anchorId="2089331D" wp14:editId="4A7AAC1D">
                <wp:simplePos x="0" y="0"/>
                <wp:positionH relativeFrom="page">
                  <wp:posOffset>896111</wp:posOffset>
                </wp:positionH>
                <wp:positionV relativeFrom="paragraph">
                  <wp:posOffset>256424</wp:posOffset>
                </wp:positionV>
                <wp:extent cx="5768340" cy="18415"/>
                <wp:effectExtent l="0" t="0" r="0" b="0"/>
                <wp:wrapTopAndBottom/>
                <wp:docPr id="22" name="Graphic 22"/>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758E243D" id="Graphic 22" o:spid="_x0000_s1026" style="position:absolute;margin-left:70.55pt;margin-top:20.2pt;width:454.2pt;height:1.4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" path="m5768340,l,,,18287r5768340,l5768340,xe" fillcolor="#999" stroked="f">
                <v:path arrowok="t"/>
                <w10:wrap type="topAndBottom" anchorx="page"/>
              </v:shape>
            </w:pict>
          </mc:Fallback>
        </mc:AlternateContent>
      </w:r>
      <w:r w:rsidRPr="00FF42A7">
        <w:rPr>
          <w:color w:val="0071BB"/>
          <w:w w:val="120"/>
          <w:sz w:val="29"/>
        </w:rPr>
        <w:t xml:space="preserve">Prawo do poszanowania </w:t>
      </w:r>
      <w:r w:rsidRPr="00FF42A7">
        <w:rPr>
          <w:color w:val="0071BB"/>
          <w:spacing w:val="-4"/>
          <w:w w:val="120"/>
          <w:sz w:val="29"/>
        </w:rPr>
        <w:t xml:space="preserve">życia </w:t>
      </w:r>
      <w:r w:rsidRPr="00FF42A7">
        <w:rPr>
          <w:color w:val="0071BB"/>
          <w:w w:val="120"/>
          <w:sz w:val="29"/>
        </w:rPr>
        <w:t>prywatnego i rodzinnego</w:t>
      </w:r>
    </w:p>
    <w:p w14:paraId="2A6DD0C4" w14:textId="77777777" w:rsidR="009F1A47" w:rsidRPr="00FF42A7" w:rsidRDefault="00000000">
      <w:pPr>
        <w:spacing w:before="259"/>
        <w:ind w:left="874"/>
        <w:jc w:val="both"/>
        <w:rPr>
          <w:sz w:val="28"/>
        </w:rPr>
      </w:pPr>
      <w:r w:rsidRPr="00FF42A7">
        <w:rPr>
          <w:color w:val="808080"/>
          <w:w w:val="120"/>
          <w:sz w:val="29"/>
        </w:rPr>
        <w:t xml:space="preserve">Powództwo o zaprzeczenie </w:t>
      </w:r>
      <w:r w:rsidRPr="00FF42A7">
        <w:rPr>
          <w:color w:val="808080"/>
          <w:spacing w:val="-2"/>
          <w:w w:val="120"/>
          <w:sz w:val="29"/>
        </w:rPr>
        <w:t>ojcostwa</w:t>
      </w:r>
    </w:p>
    <w:p w14:paraId="51EEB316" w14:textId="77777777" w:rsidR="009F1A47" w:rsidRPr="00FF42A7" w:rsidRDefault="009F1A47">
      <w:pPr>
        <w:pStyle w:val="Nagwek2"/>
        <w:spacing w:before="113"/>
        <w:rPr>
          <w:u w:val="none"/>
        </w:rPr>
      </w:pPr>
      <w:hyperlink r:id="rId50">
        <w:r w:rsidRPr="00FF42A7">
          <w:rPr>
            <w:color w:val="0071BB"/>
            <w:w w:val="135"/>
            <w:u w:color="0071BB"/>
          </w:rPr>
          <w:t xml:space="preserve">Rasmussen przeciwko </w:t>
        </w:r>
        <w:r w:rsidRPr="00FF42A7">
          <w:rPr>
            <w:color w:val="0071BB"/>
            <w:spacing w:val="-2"/>
            <w:w w:val="135"/>
            <w:u w:color="0071BB"/>
          </w:rPr>
          <w:t>Danii</w:t>
        </w:r>
      </w:hyperlink>
    </w:p>
    <w:p w14:paraId="4D59428F" w14:textId="5664D5A4" w:rsidR="009F1A47" w:rsidRPr="00FF42A7" w:rsidRDefault="00000000">
      <w:pPr>
        <w:spacing w:before="56"/>
        <w:ind w:left="874"/>
        <w:jc w:val="both"/>
        <w:rPr>
          <w:sz w:val="18"/>
        </w:rPr>
      </w:pPr>
      <w:r w:rsidRPr="00FF42A7">
        <w:rPr>
          <w:color w:val="808080"/>
          <w:spacing w:val="-2"/>
          <w:w w:val="125"/>
          <w:sz w:val="18"/>
        </w:rPr>
        <w:t>28 listopada</w:t>
      </w:r>
      <w:r w:rsidRPr="00FF42A7">
        <w:rPr>
          <w:color w:val="808080"/>
          <w:spacing w:val="-4"/>
          <w:w w:val="125"/>
          <w:sz w:val="18"/>
        </w:rPr>
        <w:t xml:space="preserve"> 1984</w:t>
      </w:r>
      <w:r w:rsidR="00537537" w:rsidRPr="00FF42A7">
        <w:rPr>
          <w:color w:val="808080"/>
          <w:spacing w:val="-4"/>
          <w:w w:val="125"/>
          <w:sz w:val="18"/>
        </w:rPr>
        <w:t xml:space="preserve"> r.</w:t>
      </w:r>
    </w:p>
    <w:p w14:paraId="745B538B" w14:textId="77777777" w:rsidR="009F1A47" w:rsidRPr="00FF42A7" w:rsidRDefault="00000000">
      <w:pPr>
        <w:pStyle w:val="Tekstpodstawowy"/>
        <w:spacing w:before="1"/>
        <w:ind w:right="872"/>
      </w:pPr>
      <w:r w:rsidRPr="00FF42A7">
        <w:rPr>
          <w:w w:val="120"/>
        </w:rPr>
        <w:t>Sprawa dotyczyła faktu, że skarżący nie mógł wnieść powództwa o ustalenie, że nie jest ojcem dziecka, po rozstaniu z żoną, z powodu ustawy z 1960 r., która nakładała termin na skorzystanie przez ojca z prawa do zakwestionowania ojcostwa dziecka urodzonego w związku małżeńskim, ale pozwalała matce na zakwestionowanie ojcostwa dziecka w dowolnym momencie.</w:t>
      </w:r>
    </w:p>
    <w:p w14:paraId="6EA0F567" w14:textId="6657871D" w:rsidR="009F1A47" w:rsidRPr="00FF42A7" w:rsidRDefault="00000000">
      <w:pPr>
        <w:pStyle w:val="Tekstpodstawowy"/>
        <w:ind w:right="871"/>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14 </w:t>
      </w:r>
      <w:r w:rsidRPr="00FF42A7">
        <w:rPr>
          <w:b/>
          <w:color w:val="0071BB"/>
          <w:spacing w:val="40"/>
          <w:w w:val="120"/>
        </w:rPr>
        <w:t>(</w:t>
      </w:r>
      <w:r w:rsidRPr="00FF42A7">
        <w:rPr>
          <w:color w:val="0071BB"/>
          <w:w w:val="120"/>
        </w:rPr>
        <w:t xml:space="preserve">zakaz dyskryminacji) </w:t>
      </w:r>
      <w:r w:rsidRPr="00FF42A7">
        <w:rPr>
          <w:b/>
          <w:color w:val="0071BB"/>
          <w:w w:val="120"/>
        </w:rPr>
        <w:t>w związku z art</w:t>
      </w:r>
      <w:r w:rsidRPr="00FF42A7">
        <w:rPr>
          <w:b/>
          <w:color w:val="0071BB"/>
          <w:spacing w:val="40"/>
          <w:w w:val="120"/>
        </w:rPr>
        <w:t xml:space="preserve">. 6 </w:t>
      </w:r>
      <w:r w:rsidRPr="00FF42A7">
        <w:rPr>
          <w:bCs/>
          <w:color w:val="0071BB"/>
          <w:spacing w:val="40"/>
          <w:w w:val="120"/>
        </w:rPr>
        <w:t>(</w:t>
      </w:r>
      <w:r w:rsidRPr="00FF42A7">
        <w:rPr>
          <w:color w:val="0071BB"/>
          <w:w w:val="120"/>
        </w:rPr>
        <w:t xml:space="preserve">prawo do rzetelnego procesu sądowego) </w:t>
      </w:r>
      <w:r w:rsidR="00537537" w:rsidRPr="00FF42A7">
        <w:rPr>
          <w:b/>
          <w:color w:val="0071BB"/>
          <w:w w:val="120"/>
        </w:rPr>
        <w:t xml:space="preserve">i art. </w:t>
      </w:r>
      <w:r w:rsidRPr="00FF42A7">
        <w:rPr>
          <w:b/>
          <w:color w:val="0071BB"/>
          <w:spacing w:val="40"/>
          <w:w w:val="120"/>
        </w:rPr>
        <w:t xml:space="preserve">8 </w:t>
      </w:r>
      <w:r w:rsidRPr="00FF42A7">
        <w:rPr>
          <w:bCs/>
          <w:color w:val="0071BB"/>
          <w:spacing w:val="40"/>
          <w:w w:val="120"/>
        </w:rPr>
        <w:t>(</w:t>
      </w:r>
      <w:r w:rsidRPr="00FF42A7">
        <w:rPr>
          <w:color w:val="0071BB"/>
          <w:w w:val="120"/>
        </w:rPr>
        <w:t>prawo do poszanowania życia prywatnego i rodzinnego) Konwencji, stwierdzając, że różnica w traktowaniu mężów i żon w tej kwestii wynikała z przekonania, że terminy na zakwestionowanie pochodzenia są mniej istotne w przypadku żon niż mężów, ponieważ interesy matki zazwyczaj pokrywają się z interesami dziecka, które w większości przypadków rozwodu lub separacji otrzymuje prawo do opieki. Obowiązujące przepisy zostały zmienione przez duński parlament w 1982 r., ponieważ uznał on, że założenie leżące u podstaw ustawy z 1960 r. nie jest już zgodne z rozwojem sytuacji społecznej; nie można z tego wywnioskować, że ocena sytuacji dokonana dwadzieścia dwa lata wcześniej była nieuzasadniona.</w:t>
      </w:r>
    </w:p>
    <w:p w14:paraId="2FF35EA4" w14:textId="77777777" w:rsidR="009F1A47" w:rsidRPr="00FF42A7" w:rsidRDefault="009F1A47">
      <w:pPr>
        <w:pStyle w:val="Nagwek2"/>
        <w:spacing w:before="104"/>
        <w:jc w:val="left"/>
        <w:rPr>
          <w:u w:val="none"/>
        </w:rPr>
      </w:pPr>
      <w:hyperlink r:id="rId51">
        <w:proofErr w:type="spellStart"/>
        <w:r w:rsidRPr="00FF42A7">
          <w:rPr>
            <w:color w:val="0071BB"/>
            <w:w w:val="135"/>
            <w:u w:color="0071BB"/>
          </w:rPr>
          <w:t>Mizzi</w:t>
        </w:r>
        <w:proofErr w:type="spellEnd"/>
        <w:r w:rsidRPr="00FF42A7">
          <w:rPr>
            <w:color w:val="0071BB"/>
            <w:w w:val="135"/>
            <w:u w:color="0071BB"/>
          </w:rPr>
          <w:t xml:space="preserve"> przeciwko </w:t>
        </w:r>
        <w:r w:rsidRPr="00FF42A7">
          <w:rPr>
            <w:color w:val="0071BB"/>
            <w:spacing w:val="-4"/>
            <w:w w:val="135"/>
            <w:u w:color="0071BB"/>
          </w:rPr>
          <w:t>Malcie</w:t>
        </w:r>
      </w:hyperlink>
    </w:p>
    <w:p w14:paraId="2682748C" w14:textId="34B648D1" w:rsidR="009F1A47" w:rsidRPr="00FF42A7" w:rsidRDefault="00000000">
      <w:pPr>
        <w:spacing w:before="58"/>
        <w:ind w:left="874"/>
        <w:rPr>
          <w:sz w:val="18"/>
        </w:rPr>
      </w:pPr>
      <w:r w:rsidRPr="00FF42A7">
        <w:rPr>
          <w:color w:val="808080"/>
          <w:w w:val="125"/>
          <w:sz w:val="18"/>
        </w:rPr>
        <w:t>12 stycznia</w:t>
      </w:r>
      <w:r w:rsidRPr="00FF42A7">
        <w:rPr>
          <w:color w:val="808080"/>
          <w:spacing w:val="-4"/>
          <w:w w:val="125"/>
          <w:sz w:val="18"/>
        </w:rPr>
        <w:t xml:space="preserve"> 2006</w:t>
      </w:r>
      <w:r w:rsidR="00537537" w:rsidRPr="00FF42A7">
        <w:rPr>
          <w:color w:val="808080"/>
          <w:spacing w:val="-4"/>
          <w:w w:val="125"/>
          <w:sz w:val="18"/>
        </w:rPr>
        <w:t xml:space="preserve"> r.</w:t>
      </w:r>
    </w:p>
    <w:p w14:paraId="71323D4C" w14:textId="03C3A096" w:rsidR="00497C8D" w:rsidRPr="00FF42A7" w:rsidRDefault="00000000" w:rsidP="00497C8D">
      <w:pPr>
        <w:pStyle w:val="Tekstpodstawowy"/>
        <w:spacing w:before="8"/>
        <w:ind w:left="873" w:right="868"/>
        <w:rPr>
          <w:w w:val="120"/>
        </w:rPr>
      </w:pPr>
      <w:r w:rsidRPr="00FF42A7">
        <w:rPr>
          <w:w w:val="120"/>
        </w:rPr>
        <w:t>W 1966 r. żona skarżącego zaszła w ciążę. W następnym roku para rozstała się. Zgodnie z maltańskim prawem skarżący został automatycznie uznany za ojca dziecka urodzonego w międzyczasie i został zarejestrowany jako jego biologiczny ojciec. Po przeprowadzeniu testu DNA, który według skarżącego wykazał, że nie jest on ojcem dziecka, skarżący bezskutecznie próbował wszcząć postępowanie cywilne w celu unieważnienia swojego ojcostwa. Skarżący zarzucał, że odmówiono mu dostępu do sądu, a niepodważalne domniemanie ojcostwa zastosowane w jego sprawie stanowiło nieproporcjonalną ingerencję w jego prawo do poszanowania życia prywatnego i rodzinnego. Twierdził również, że był dyskryminowany, ponieważ inne strony zainteresowane ustaleniem ojcostwa w tej sprawie nie podlegały tak</w:t>
      </w:r>
    </w:p>
    <w:p w14:paraId="1E2D4FD6" w14:textId="77777777" w:rsidR="00497C8D" w:rsidRPr="00FF42A7" w:rsidRDefault="00497C8D" w:rsidP="00497C8D">
      <w:pPr>
        <w:pStyle w:val="Tekstpodstawowy"/>
        <w:spacing w:before="8"/>
        <w:ind w:left="873" w:right="868"/>
        <w:jc w:val="left"/>
        <w:rPr>
          <w:w w:val="120"/>
        </w:rPr>
      </w:pPr>
      <w:r w:rsidRPr="00FF42A7">
        <w:rPr>
          <w:w w:val="120"/>
        </w:rPr>
        <w:t>rygorystycznym warunkom i terminom.</w:t>
      </w:r>
    </w:p>
    <w:p w14:paraId="13B2DFEF" w14:textId="31582FF8" w:rsidR="009F1A47" w:rsidRPr="00FF42A7" w:rsidRDefault="00000000" w:rsidP="00146A0A">
      <w:pPr>
        <w:pStyle w:val="Tekstpodstawowy"/>
        <w:spacing w:before="8"/>
        <w:ind w:left="873" w:right="868"/>
        <w:rPr>
          <w:b/>
        </w:rPr>
        <w:sectPr w:rsidR="009F1A47" w:rsidRPr="00FF42A7">
          <w:pgSz w:w="11910" w:h="16840"/>
          <w:pgMar w:top="1400" w:right="566" w:bottom="680" w:left="566" w:header="720" w:footer="497" w:gutter="0"/>
          <w:cols w:space="708"/>
        </w:sectPr>
      </w:pPr>
      <w:r w:rsidRPr="00FF42A7">
        <w:rPr>
          <w:color w:val="0071BB"/>
          <w:w w:val="120"/>
        </w:rPr>
        <w:t xml:space="preserve">Trybunał stwierdził, że doszło </w:t>
      </w:r>
      <w:r w:rsidRPr="00FF42A7">
        <w:rPr>
          <w:b/>
          <w:color w:val="0071BB"/>
          <w:w w:val="120"/>
        </w:rPr>
        <w:t>do naruszenia art.</w:t>
      </w:r>
      <w:r w:rsidRPr="00FF42A7">
        <w:rPr>
          <w:b/>
          <w:color w:val="0071BB"/>
          <w:spacing w:val="40"/>
          <w:w w:val="120"/>
        </w:rPr>
        <w:t xml:space="preserve"> 6 </w:t>
      </w:r>
      <w:r w:rsidRPr="00FF42A7">
        <w:rPr>
          <w:b/>
          <w:color w:val="0071BB"/>
          <w:w w:val="120"/>
        </w:rPr>
        <w:t>§</w:t>
      </w:r>
      <w:r w:rsidRPr="00FF42A7">
        <w:rPr>
          <w:b/>
          <w:color w:val="0071BB"/>
          <w:spacing w:val="40"/>
          <w:w w:val="120"/>
        </w:rPr>
        <w:t xml:space="preserve"> 1 </w:t>
      </w:r>
      <w:r w:rsidRPr="00FF42A7">
        <w:rPr>
          <w:bCs/>
          <w:color w:val="0071BB"/>
          <w:spacing w:val="37"/>
          <w:w w:val="120"/>
        </w:rPr>
        <w:t>(</w:t>
      </w:r>
      <w:r w:rsidRPr="00FF42A7">
        <w:rPr>
          <w:color w:val="0071BB"/>
          <w:w w:val="120"/>
        </w:rPr>
        <w:t xml:space="preserve">prawo do rzetelnego procesu sądowego), </w:t>
      </w:r>
      <w:r w:rsidRPr="00FF42A7">
        <w:rPr>
          <w:b/>
          <w:color w:val="0071BB"/>
          <w:w w:val="120"/>
        </w:rPr>
        <w:t>art.</w:t>
      </w:r>
      <w:r w:rsidRPr="00FF42A7">
        <w:rPr>
          <w:b/>
          <w:color w:val="0071BB"/>
          <w:spacing w:val="32"/>
          <w:w w:val="120"/>
        </w:rPr>
        <w:t xml:space="preserve"> 8 </w:t>
      </w:r>
      <w:r w:rsidRPr="00FF42A7">
        <w:rPr>
          <w:bCs/>
          <w:color w:val="0071BB"/>
          <w:spacing w:val="63"/>
          <w:w w:val="120"/>
        </w:rPr>
        <w:t>(</w:t>
      </w:r>
      <w:r w:rsidRPr="00FF42A7">
        <w:rPr>
          <w:color w:val="0071BB"/>
          <w:w w:val="120"/>
        </w:rPr>
        <w:t xml:space="preserve">prawo do poszanowania życia prywatnego i rodzinnego) oraz </w:t>
      </w:r>
      <w:r w:rsidRPr="00FF42A7">
        <w:rPr>
          <w:b/>
          <w:color w:val="0071BB"/>
          <w:spacing w:val="-5"/>
          <w:w w:val="120"/>
        </w:rPr>
        <w:t>art.</w:t>
      </w:r>
      <w:r w:rsidR="00537537" w:rsidRPr="00FF42A7">
        <w:rPr>
          <w:b/>
          <w:color w:val="0071BB"/>
          <w:w w:val="120"/>
        </w:rPr>
        <w:t xml:space="preserve"> 14 </w:t>
      </w:r>
      <w:r w:rsidR="00537537" w:rsidRPr="00FF42A7">
        <w:rPr>
          <w:color w:val="0071BB"/>
          <w:w w:val="120"/>
        </w:rPr>
        <w:t xml:space="preserve">(zakaz dyskryminacji) </w:t>
      </w:r>
      <w:r w:rsidR="00537537" w:rsidRPr="00FF42A7">
        <w:rPr>
          <w:b/>
          <w:color w:val="0071BB"/>
          <w:w w:val="120"/>
        </w:rPr>
        <w:t xml:space="preserve">w związku z </w:t>
      </w:r>
      <w:r w:rsidR="006E2703" w:rsidRPr="00FF42A7">
        <w:rPr>
          <w:b/>
          <w:color w:val="0071BB"/>
          <w:w w:val="120"/>
        </w:rPr>
        <w:t>art.</w:t>
      </w:r>
      <w:r w:rsidR="00537537" w:rsidRPr="00FF42A7">
        <w:rPr>
          <w:b/>
          <w:color w:val="0071BB"/>
          <w:w w:val="120"/>
        </w:rPr>
        <w:t xml:space="preserve"> 6 i 8</w:t>
      </w:r>
      <w:r w:rsidR="006A5721" w:rsidRPr="00FF42A7">
        <w:rPr>
          <w:color w:val="0071BB"/>
          <w:w w:val="120"/>
        </w:rPr>
        <w:t xml:space="preserve"> </w:t>
      </w:r>
      <w:r w:rsidR="007B7CC3" w:rsidRPr="00FF42A7">
        <w:rPr>
          <w:color w:val="0071BB"/>
          <w:w w:val="120"/>
        </w:rPr>
        <w:t xml:space="preserve">Konwencji. W tym ostatnim względzie, </w:t>
      </w:r>
    </w:p>
    <w:p w14:paraId="5045A139" w14:textId="77777777" w:rsidR="009F1A47" w:rsidRPr="00FF42A7" w:rsidRDefault="009F1A47">
      <w:pPr>
        <w:pStyle w:val="Tekstpodstawowy"/>
        <w:spacing w:before="59"/>
        <w:ind w:left="0"/>
        <w:jc w:val="left"/>
        <w:rPr>
          <w:b/>
        </w:rPr>
      </w:pPr>
    </w:p>
    <w:p w14:paraId="1A46F9E6" w14:textId="1BB3B80F" w:rsidR="009F1A47" w:rsidRPr="00FF42A7" w:rsidRDefault="00000000">
      <w:pPr>
        <w:pStyle w:val="Tekstpodstawowy"/>
        <w:spacing w:before="1"/>
        <w:ind w:right="870" w:hanging="1"/>
      </w:pPr>
      <w:r w:rsidRPr="00FF42A7">
        <w:rPr>
          <w:color w:val="0071BB"/>
          <w:w w:val="120"/>
        </w:rPr>
        <w:t>zauważając, że wnosząc powództwo o ustalenie ojcostwa, skarżący podlegał terminom, które nie miały zastosowania do innych „zainteresowanych stron”, Trybunał uznał, że rygorystyczne stosowanie terminu wraz z odmową przyznania wyjątku przez maltański Trybunał Konstytucyjny pozbawiło skarżącego możliwości skorzystania z praw gwarantowanych mu na mocy art. 6 i 8 Konwencji, z których inne zainteresowane strony korzystały i nadal korzystają.</w:t>
      </w:r>
    </w:p>
    <w:p w14:paraId="2FEDBF80" w14:textId="77777777" w:rsidR="009F1A47" w:rsidRPr="00FF42A7" w:rsidRDefault="00000000">
      <w:pPr>
        <w:pStyle w:val="Nagwek1"/>
        <w:spacing w:before="238"/>
      </w:pPr>
      <w:r w:rsidRPr="00FF42A7">
        <w:rPr>
          <w:color w:val="808080"/>
          <w:w w:val="120"/>
          <w:sz w:val="29"/>
        </w:rPr>
        <w:t xml:space="preserve">Wiek </w:t>
      </w:r>
      <w:r w:rsidRPr="00FF42A7">
        <w:rPr>
          <w:color w:val="808080"/>
          <w:spacing w:val="-2"/>
          <w:w w:val="120"/>
          <w:sz w:val="29"/>
        </w:rPr>
        <w:t>emerytalny</w:t>
      </w:r>
    </w:p>
    <w:p w14:paraId="4ED86E43" w14:textId="58A8D6D6" w:rsidR="009F1A47" w:rsidRPr="00FF42A7" w:rsidRDefault="009F1A47">
      <w:pPr>
        <w:pStyle w:val="Nagwek2"/>
        <w:spacing w:before="113"/>
        <w:rPr>
          <w:u w:val="none"/>
        </w:rPr>
      </w:pPr>
      <w:hyperlink r:id="rId52">
        <w:r w:rsidRPr="00FF42A7">
          <w:rPr>
            <w:color w:val="0071BB"/>
            <w:w w:val="135"/>
            <w:u w:val="thick" w:color="0071BB"/>
          </w:rPr>
          <w:t xml:space="preserve">Pająk i </w:t>
        </w:r>
        <w:r w:rsidR="00537537" w:rsidRPr="00FF42A7">
          <w:rPr>
            <w:color w:val="0071BB"/>
            <w:w w:val="135"/>
            <w:u w:val="thick" w:color="0071BB"/>
          </w:rPr>
          <w:t>Inni</w:t>
        </w:r>
        <w:r w:rsidRPr="00FF42A7">
          <w:rPr>
            <w:color w:val="0071BB"/>
            <w:w w:val="135"/>
            <w:u w:val="thick" w:color="0071BB"/>
          </w:rPr>
          <w:t xml:space="preserve"> przeciwko </w:t>
        </w:r>
        <w:r w:rsidRPr="00FF42A7">
          <w:rPr>
            <w:color w:val="0071BB"/>
            <w:spacing w:val="-2"/>
            <w:w w:val="135"/>
            <w:u w:val="thick" w:color="0071BB"/>
          </w:rPr>
          <w:t>Polsce</w:t>
        </w:r>
      </w:hyperlink>
    </w:p>
    <w:p w14:paraId="600AD53B" w14:textId="68E6BB85" w:rsidR="009F1A47" w:rsidRPr="00FF42A7" w:rsidRDefault="00000000">
      <w:pPr>
        <w:spacing w:before="56"/>
        <w:ind w:left="874"/>
        <w:jc w:val="both"/>
        <w:rPr>
          <w:sz w:val="18"/>
        </w:rPr>
      </w:pPr>
      <w:r w:rsidRPr="00FF42A7">
        <w:rPr>
          <w:color w:val="808080"/>
          <w:w w:val="120"/>
          <w:sz w:val="18"/>
        </w:rPr>
        <w:t>24 października</w:t>
      </w:r>
      <w:r w:rsidRPr="00FF42A7">
        <w:rPr>
          <w:color w:val="808080"/>
          <w:spacing w:val="-4"/>
          <w:w w:val="120"/>
          <w:sz w:val="18"/>
        </w:rPr>
        <w:t xml:space="preserve"> 2023</w:t>
      </w:r>
      <w:r w:rsidR="00537537" w:rsidRPr="00FF42A7">
        <w:rPr>
          <w:color w:val="808080"/>
          <w:spacing w:val="-4"/>
          <w:w w:val="120"/>
          <w:sz w:val="18"/>
        </w:rPr>
        <w:t xml:space="preserve"> r.</w:t>
      </w:r>
    </w:p>
    <w:p w14:paraId="1AA330EC" w14:textId="6FA7BF5D" w:rsidR="009F1A47" w:rsidRPr="00FF42A7" w:rsidRDefault="00000000">
      <w:pPr>
        <w:pStyle w:val="Tekstpodstawowy"/>
        <w:spacing w:before="1"/>
        <w:ind w:left="873" w:right="870"/>
      </w:pPr>
      <w:r w:rsidRPr="00FF42A7">
        <w:rPr>
          <w:w w:val="120"/>
        </w:rPr>
        <w:t>Sprawa dotyczyła czterech sędziów, któr</w:t>
      </w:r>
      <w:r w:rsidR="00245934">
        <w:rPr>
          <w:w w:val="120"/>
        </w:rPr>
        <w:t>e</w:t>
      </w:r>
      <w:r w:rsidRPr="00FF42A7">
        <w:rPr>
          <w:w w:val="120"/>
        </w:rPr>
        <w:t xml:space="preserve"> </w:t>
      </w:r>
      <w:r w:rsidR="00245934">
        <w:rPr>
          <w:w w:val="120"/>
        </w:rPr>
        <w:t>skarżyły</w:t>
      </w:r>
      <w:r w:rsidRPr="00FF42A7">
        <w:rPr>
          <w:w w:val="120"/>
        </w:rPr>
        <w:t xml:space="preserve"> się na zmiany ustawodawcze obniżające wiek emerytalny sędziów z 67 do 60 lat dla kobiet i do 65 lat dla mężczyzn oraz uzależni</w:t>
      </w:r>
      <w:r w:rsidR="00602144" w:rsidRPr="00FF42A7">
        <w:rPr>
          <w:w w:val="120"/>
        </w:rPr>
        <w:t>enie</w:t>
      </w:r>
      <w:r w:rsidRPr="00FF42A7">
        <w:rPr>
          <w:w w:val="120"/>
        </w:rPr>
        <w:t xml:space="preserve"> kontynuowani</w:t>
      </w:r>
      <w:r w:rsidR="00602144" w:rsidRPr="00FF42A7">
        <w:rPr>
          <w:w w:val="120"/>
        </w:rPr>
        <w:t>a</w:t>
      </w:r>
      <w:r w:rsidRPr="00FF42A7">
        <w:rPr>
          <w:w w:val="120"/>
        </w:rPr>
        <w:t xml:space="preserve"> pełnienia obowiązków sędziego po osiągnięciu wieku emerytalnego od zgody </w:t>
      </w:r>
      <w:r w:rsidR="006E4FF6" w:rsidRPr="00FF42A7">
        <w:rPr>
          <w:w w:val="120"/>
        </w:rPr>
        <w:t>M</w:t>
      </w:r>
      <w:r w:rsidRPr="00FF42A7">
        <w:rPr>
          <w:w w:val="120"/>
        </w:rPr>
        <w:t xml:space="preserve">inistra </w:t>
      </w:r>
      <w:r w:rsidR="006E4FF6" w:rsidRPr="00FF42A7">
        <w:rPr>
          <w:w w:val="120"/>
        </w:rPr>
        <w:t>S</w:t>
      </w:r>
      <w:r w:rsidRPr="00FF42A7">
        <w:rPr>
          <w:w w:val="120"/>
        </w:rPr>
        <w:t>prawiedliwości i Krajowej Rady Sądownictwa.</w:t>
      </w:r>
    </w:p>
    <w:p w14:paraId="01988436" w14:textId="42CE15C4" w:rsidR="009F1A47" w:rsidRPr="00FF42A7" w:rsidRDefault="00000000">
      <w:pPr>
        <w:pStyle w:val="Tekstpodstawowy"/>
        <w:ind w:left="873" w:right="869"/>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6 </w:t>
      </w:r>
      <w:r w:rsidR="00245934">
        <w:rPr>
          <w:b/>
          <w:color w:val="0071BB"/>
          <w:w w:val="120"/>
        </w:rPr>
        <w:t>ust.</w:t>
      </w:r>
      <w:r w:rsidRPr="00FF42A7">
        <w:rPr>
          <w:b/>
          <w:color w:val="0071BB"/>
          <w:w w:val="120"/>
        </w:rPr>
        <w:t xml:space="preserve"> 1 </w:t>
      </w:r>
      <w:r w:rsidRPr="00FF42A7">
        <w:rPr>
          <w:color w:val="0071BB"/>
          <w:w w:val="120"/>
        </w:rPr>
        <w:t xml:space="preserve">(prawo do rzetelnego procesu sądowego) Konwencji w odniesieniu do wszystkich skarżących, stwierdzając, że </w:t>
      </w:r>
      <w:r w:rsidR="00497C8D" w:rsidRPr="00FF42A7">
        <w:rPr>
          <w:color w:val="0071BB"/>
          <w:w w:val="120"/>
        </w:rPr>
        <w:t>P</w:t>
      </w:r>
      <w:r w:rsidRPr="00FF42A7">
        <w:rPr>
          <w:color w:val="0071BB"/>
          <w:w w:val="120"/>
        </w:rPr>
        <w:t xml:space="preserve">aństwo </w:t>
      </w:r>
      <w:r w:rsidR="00497C8D" w:rsidRPr="00FF42A7">
        <w:rPr>
          <w:color w:val="0071BB"/>
          <w:w w:val="120"/>
        </w:rPr>
        <w:t>P</w:t>
      </w:r>
      <w:r w:rsidRPr="00FF42A7">
        <w:rPr>
          <w:color w:val="0071BB"/>
          <w:w w:val="120"/>
        </w:rPr>
        <w:t xml:space="preserve">olskie naruszyło ich prawo dostępu do sądu w samym jego istocie. W tym względzie Trybunał zwrócił szczególną uwagę na fakt, że sędziowie powinni być chronieni przed arbitralnymi decyzjami władzy ustawodawczej i wykonawczej oraz że jedynie nadzór niezależnego organu sądowego nad legalnością spornej decyzji może zapewnić skuteczną ochronę. </w:t>
      </w:r>
      <w:r w:rsidRPr="00FF42A7">
        <w:rPr>
          <w:color w:val="0071BB"/>
          <w:spacing w:val="35"/>
          <w:w w:val="120"/>
        </w:rPr>
        <w:t>W</w:t>
      </w:r>
      <w:r w:rsidRPr="00FF42A7">
        <w:rPr>
          <w:color w:val="0071BB"/>
          <w:w w:val="120"/>
        </w:rPr>
        <w:t xml:space="preserve"> niniejszej sprawie Trybunał stwierdził, że decyzje podjęte w odniesieniu do każdego ze skarżących przez </w:t>
      </w:r>
      <w:r w:rsidR="006E4FF6" w:rsidRPr="00FF42A7">
        <w:rPr>
          <w:color w:val="0071BB"/>
          <w:w w:val="120"/>
        </w:rPr>
        <w:t>M</w:t>
      </w:r>
      <w:r w:rsidRPr="00FF42A7">
        <w:rPr>
          <w:color w:val="0071BB"/>
          <w:w w:val="120"/>
        </w:rPr>
        <w:t xml:space="preserve">inistra </w:t>
      </w:r>
      <w:r w:rsidR="006E4FF6" w:rsidRPr="00FF42A7">
        <w:rPr>
          <w:color w:val="0071BB"/>
          <w:w w:val="120"/>
        </w:rPr>
        <w:t>S</w:t>
      </w:r>
      <w:r w:rsidRPr="00FF42A7">
        <w:rPr>
          <w:color w:val="0071BB"/>
          <w:w w:val="120"/>
        </w:rPr>
        <w:t xml:space="preserve">prawiedliwości i Krajową Radę Sądownictwa stanowiły arbitralną i bezprawną ingerencję w sferę niezależności sądownictwa i ochrony przed usunięciem ze stanowiska sędziowskiego ze strony przedstawiciela władzy wykonawczej i organu podległego tej władzy. Trybunał stwierdził również, że doszło </w:t>
      </w:r>
      <w:r w:rsidRPr="00FF42A7">
        <w:rPr>
          <w:b/>
          <w:color w:val="0071BB"/>
          <w:w w:val="120"/>
        </w:rPr>
        <w:t>do naruszenia art. 14</w:t>
      </w:r>
      <w:r w:rsidRPr="00FF42A7">
        <w:rPr>
          <w:bCs/>
          <w:color w:val="0071BB"/>
          <w:w w:val="120"/>
        </w:rPr>
        <w:t xml:space="preserve"> </w:t>
      </w:r>
      <w:r w:rsidRPr="00FF42A7">
        <w:rPr>
          <w:bCs/>
          <w:color w:val="0071BB"/>
          <w:spacing w:val="80"/>
          <w:w w:val="120"/>
        </w:rPr>
        <w:t>(</w:t>
      </w:r>
      <w:r w:rsidRPr="00FF42A7">
        <w:rPr>
          <w:color w:val="0071BB"/>
          <w:w w:val="120"/>
        </w:rPr>
        <w:t xml:space="preserve">zakaz dyskryminacji) </w:t>
      </w:r>
      <w:r w:rsidRPr="00FF42A7">
        <w:rPr>
          <w:b/>
          <w:color w:val="0071BB"/>
          <w:w w:val="120"/>
        </w:rPr>
        <w:t xml:space="preserve">w związku z art. 8 </w:t>
      </w:r>
      <w:r w:rsidRPr="00FF42A7">
        <w:rPr>
          <w:bCs/>
          <w:color w:val="0071BB"/>
          <w:w w:val="120"/>
        </w:rPr>
        <w:t>(</w:t>
      </w:r>
      <w:r w:rsidRPr="00FF42A7">
        <w:rPr>
          <w:color w:val="0071BB"/>
          <w:w w:val="120"/>
        </w:rPr>
        <w:t xml:space="preserve">prawo do poszanowania życia prywatnego) Konwencji w odniesieniu do trzech skarżących, którzy wnieśli skargi na podstawie tych przepisów. W tym względzie Trybunał stwierdził, że zaskarżone przepisy wprowadziły wyraźną różnicę w traktowaniu ze względu na płeć w odniesieniu do wieku emerytalnego członków tej samej grupy zawodowej. Trybunał zwrócił w szczególności uwagę, że </w:t>
      </w:r>
      <w:r w:rsidR="007954F9" w:rsidRPr="00FF42A7">
        <w:rPr>
          <w:color w:val="0071BB"/>
          <w:w w:val="120"/>
        </w:rPr>
        <w:t xml:space="preserve">kariera </w:t>
      </w:r>
      <w:r w:rsidRPr="00FF42A7">
        <w:rPr>
          <w:color w:val="0071BB"/>
          <w:w w:val="120"/>
        </w:rPr>
        <w:t>zawodow</w:t>
      </w:r>
      <w:r w:rsidR="007954F9" w:rsidRPr="00FF42A7">
        <w:rPr>
          <w:color w:val="0071BB"/>
          <w:w w:val="120"/>
        </w:rPr>
        <w:t>a</w:t>
      </w:r>
      <w:r w:rsidRPr="00FF42A7">
        <w:rPr>
          <w:color w:val="0071BB"/>
          <w:w w:val="120"/>
        </w:rPr>
        <w:t xml:space="preserve"> skarżących zakończył</w:t>
      </w:r>
      <w:r w:rsidR="007954F9" w:rsidRPr="00FF42A7">
        <w:rPr>
          <w:color w:val="0071BB"/>
          <w:w w:val="120"/>
        </w:rPr>
        <w:t>a</w:t>
      </w:r>
      <w:r w:rsidRPr="00FF42A7">
        <w:rPr>
          <w:color w:val="0071BB"/>
          <w:w w:val="120"/>
        </w:rPr>
        <w:t xml:space="preserve"> się pięć lat wcześniej niż </w:t>
      </w:r>
      <w:r w:rsidR="007954F9" w:rsidRPr="00FF42A7">
        <w:rPr>
          <w:color w:val="0071BB"/>
          <w:w w:val="120"/>
        </w:rPr>
        <w:t>kariera zawodowa</w:t>
      </w:r>
      <w:r w:rsidRPr="00FF42A7">
        <w:rPr>
          <w:color w:val="0071BB"/>
          <w:w w:val="120"/>
        </w:rPr>
        <w:t xml:space="preserve"> sędziów płci męskiej w podobnej sytuacji, a ich </w:t>
      </w:r>
      <w:r w:rsidR="007954F9" w:rsidRPr="00FF42A7">
        <w:rPr>
          <w:color w:val="0071BB"/>
          <w:w w:val="120"/>
        </w:rPr>
        <w:t xml:space="preserve">przymusowe </w:t>
      </w:r>
      <w:r w:rsidRPr="00FF42A7">
        <w:rPr>
          <w:color w:val="0071BB"/>
          <w:w w:val="120"/>
        </w:rPr>
        <w:t>wcześniejsze przejście na emeryturę miało oczywisty negatywny wpływ na ich karierę i perspektywy rozwoju zawodowego i osobistego.</w:t>
      </w:r>
    </w:p>
    <w:p w14:paraId="5314C11D" w14:textId="77777777" w:rsidR="009F1A47" w:rsidRPr="00FF42A7" w:rsidRDefault="00000000">
      <w:pPr>
        <w:pStyle w:val="Nagwek1"/>
        <w:spacing w:before="219"/>
      </w:pPr>
      <w:r w:rsidRPr="00FF42A7">
        <w:rPr>
          <w:color w:val="808080"/>
          <w:w w:val="120"/>
          <w:sz w:val="29"/>
        </w:rPr>
        <w:t xml:space="preserve">Wysokość odszkodowania przyznanego za </w:t>
      </w:r>
      <w:r w:rsidRPr="00FF42A7">
        <w:rPr>
          <w:color w:val="808080"/>
          <w:spacing w:val="-4"/>
          <w:w w:val="120"/>
          <w:sz w:val="29"/>
        </w:rPr>
        <w:t xml:space="preserve">błąd </w:t>
      </w:r>
      <w:r w:rsidRPr="00FF42A7">
        <w:rPr>
          <w:color w:val="808080"/>
          <w:w w:val="120"/>
          <w:sz w:val="29"/>
        </w:rPr>
        <w:t>medyczny</w:t>
      </w:r>
    </w:p>
    <w:p w14:paraId="5E4169E6" w14:textId="77777777" w:rsidR="009F1A47" w:rsidRPr="00FF42A7" w:rsidRDefault="009F1A47">
      <w:pPr>
        <w:pStyle w:val="Nagwek2"/>
        <w:spacing w:before="113"/>
        <w:rPr>
          <w:u w:val="none"/>
        </w:rPr>
      </w:pPr>
      <w:hyperlink r:id="rId53">
        <w:proofErr w:type="spellStart"/>
        <w:r w:rsidRPr="00FF42A7">
          <w:rPr>
            <w:color w:val="0071BB"/>
            <w:w w:val="135"/>
            <w:u w:color="0071BB"/>
          </w:rPr>
          <w:t>Carvalho</w:t>
        </w:r>
        <w:proofErr w:type="spellEnd"/>
        <w:r w:rsidRPr="00FF42A7">
          <w:rPr>
            <w:color w:val="0071BB"/>
            <w:w w:val="135"/>
            <w:u w:color="0071BB"/>
          </w:rPr>
          <w:t xml:space="preserve"> </w:t>
        </w:r>
        <w:proofErr w:type="spellStart"/>
        <w:r w:rsidRPr="00FF42A7">
          <w:rPr>
            <w:color w:val="0071BB"/>
            <w:w w:val="135"/>
            <w:u w:color="0071BB"/>
          </w:rPr>
          <w:t>Pinto</w:t>
        </w:r>
        <w:proofErr w:type="spellEnd"/>
        <w:r w:rsidRPr="00FF42A7">
          <w:rPr>
            <w:color w:val="0071BB"/>
            <w:w w:val="135"/>
            <w:u w:color="0071BB"/>
          </w:rPr>
          <w:t xml:space="preserve"> de </w:t>
        </w:r>
        <w:proofErr w:type="spellStart"/>
        <w:r w:rsidRPr="00FF42A7">
          <w:rPr>
            <w:color w:val="0071BB"/>
            <w:w w:val="135"/>
            <w:u w:color="0071BB"/>
          </w:rPr>
          <w:t>Sousa</w:t>
        </w:r>
        <w:proofErr w:type="spellEnd"/>
        <w:r w:rsidRPr="00FF42A7">
          <w:rPr>
            <w:color w:val="0071BB"/>
            <w:w w:val="135"/>
            <w:u w:color="0071BB"/>
          </w:rPr>
          <w:t xml:space="preserve"> </w:t>
        </w:r>
        <w:proofErr w:type="spellStart"/>
        <w:r w:rsidRPr="00FF42A7">
          <w:rPr>
            <w:color w:val="0071BB"/>
            <w:w w:val="135"/>
            <w:u w:color="0071BB"/>
          </w:rPr>
          <w:t>Morais</w:t>
        </w:r>
        <w:proofErr w:type="spellEnd"/>
        <w:r w:rsidRPr="00FF42A7">
          <w:rPr>
            <w:color w:val="0071BB"/>
            <w:w w:val="135"/>
            <w:u w:color="0071BB"/>
          </w:rPr>
          <w:t xml:space="preserve"> przeciwko </w:t>
        </w:r>
        <w:r w:rsidRPr="00FF42A7">
          <w:rPr>
            <w:color w:val="0071BB"/>
            <w:spacing w:val="-2"/>
            <w:w w:val="135"/>
            <w:u w:color="0071BB"/>
          </w:rPr>
          <w:t>Portugalii</w:t>
        </w:r>
      </w:hyperlink>
    </w:p>
    <w:p w14:paraId="0E88853C" w14:textId="56BC4087" w:rsidR="009F1A47" w:rsidRPr="00FF42A7" w:rsidRDefault="00000000">
      <w:pPr>
        <w:spacing w:before="56"/>
        <w:ind w:left="874"/>
        <w:jc w:val="both"/>
        <w:rPr>
          <w:sz w:val="18"/>
        </w:rPr>
      </w:pPr>
      <w:r w:rsidRPr="00FF42A7">
        <w:rPr>
          <w:color w:val="808080"/>
          <w:w w:val="125"/>
          <w:sz w:val="18"/>
        </w:rPr>
        <w:t>25 lipca</w:t>
      </w:r>
      <w:r w:rsidRPr="00FF42A7">
        <w:rPr>
          <w:color w:val="808080"/>
          <w:spacing w:val="-4"/>
          <w:w w:val="125"/>
          <w:sz w:val="18"/>
        </w:rPr>
        <w:t xml:space="preserve"> 2017</w:t>
      </w:r>
      <w:r w:rsidR="007954F9" w:rsidRPr="00FF42A7">
        <w:rPr>
          <w:color w:val="808080"/>
          <w:spacing w:val="-4"/>
          <w:w w:val="125"/>
          <w:sz w:val="18"/>
        </w:rPr>
        <w:t xml:space="preserve"> r.</w:t>
      </w:r>
    </w:p>
    <w:p w14:paraId="266BF8C2" w14:textId="77777777" w:rsidR="009F1A47" w:rsidRPr="00FF42A7" w:rsidRDefault="00000000">
      <w:pPr>
        <w:pStyle w:val="Tekstpodstawowy"/>
        <w:spacing w:before="1"/>
        <w:ind w:left="873" w:right="870"/>
      </w:pPr>
      <w:r w:rsidRPr="00FF42A7">
        <w:rPr>
          <w:w w:val="120"/>
        </w:rPr>
        <w:t>Sprawa dotyczyła decyzji portugalskiego Najwyższego Sądu Administracyjnego o zmniejszeniu kwoty odszkodowania przyznanego skarżącej, 50-letniej kobiecie cierpiącej na powikłania ginekologiczne w wyniku błędu medycznego. Operacja przeprowadzona w 1995 r. spowodowała u niej silny ból, nietrzymanie moczu i trudności w utrzymywaniu stosunków seksualnych. Skarżąca twierdziła w szczególności, że decyzja o zmniejszeniu kwoty odszkodowania była dyskryminująca, ponieważ nie uwzględniała znaczenia życia seksualnego dla niej jako kobiety.</w:t>
      </w:r>
    </w:p>
    <w:p w14:paraId="1732F987" w14:textId="11CE2B30" w:rsidR="009F1A47" w:rsidRPr="00FF42A7" w:rsidRDefault="00000000" w:rsidP="00146A0A">
      <w:pPr>
        <w:pStyle w:val="Tekstpodstawowy"/>
        <w:ind w:left="873" w:right="868"/>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 xml:space="preserve">(prawo do poszanowania życia prywatnego i rodzinnego) Konwencji. W szczególności stwierdził, że wiek i płeć skarżącej były najwyraźniej decydującymi czynnikami, które wpłynęły na ostateczną decyzję portugalskich sądów nie tylko o obniżeniu odszkodowania przyznanego za cierpienia fizyczne i psychiczne, ale także za usługi pomocy domowej. Decyzja ta została ponadto oparta na ogólnym założeniu, że seksualność nie ma takiego </w:t>
      </w:r>
      <w:r w:rsidR="007954F9" w:rsidRPr="00FF42A7">
        <w:rPr>
          <w:color w:val="0071BB"/>
          <w:w w:val="120"/>
        </w:rPr>
        <w:t xml:space="preserve">znaczenia dla 50-letniej kobiety </w:t>
      </w:r>
      <w:r w:rsidR="00735614" w:rsidRPr="00FF42A7">
        <w:rPr>
          <w:color w:val="0071BB"/>
          <w:w w:val="120"/>
        </w:rPr>
        <w:t>i matki dwójki dzieci, jak dla osoby młodszej. W opinii</w:t>
      </w:r>
      <w:r w:rsidR="00735614" w:rsidRPr="00FF42A7">
        <w:rPr>
          <w:color w:val="0071BB"/>
          <w:w w:val="120"/>
        </w:rPr>
        <w:br/>
      </w:r>
    </w:p>
    <w:p w14:paraId="199B7BB9" w14:textId="46BA6E1D" w:rsidR="009F1A47" w:rsidRPr="00FF42A7" w:rsidRDefault="009F1A47" w:rsidP="00146A0A">
      <w:pPr>
        <w:pStyle w:val="Tekstpodstawowy"/>
        <w:ind w:left="0"/>
        <w:sectPr w:rsidR="009F1A47" w:rsidRPr="00FF42A7">
          <w:pgSz w:w="11910" w:h="16840"/>
          <w:pgMar w:top="1400" w:right="566" w:bottom="680" w:left="566" w:header="720" w:footer="497" w:gutter="0"/>
          <w:cols w:space="708"/>
        </w:sectPr>
      </w:pPr>
    </w:p>
    <w:p w14:paraId="7CE62D36" w14:textId="77777777" w:rsidR="009F1A47" w:rsidRPr="00FF42A7" w:rsidRDefault="009F1A47">
      <w:pPr>
        <w:pStyle w:val="Tekstpodstawowy"/>
        <w:spacing w:before="59"/>
        <w:ind w:left="0"/>
        <w:jc w:val="left"/>
      </w:pPr>
    </w:p>
    <w:p w14:paraId="25617BFC" w14:textId="2D5B96B9" w:rsidR="009F1A47" w:rsidRPr="00FF42A7" w:rsidRDefault="00000000">
      <w:pPr>
        <w:pStyle w:val="Tekstpodstawowy"/>
        <w:spacing w:before="1"/>
        <w:ind w:left="873" w:right="871"/>
      </w:pPr>
      <w:r w:rsidRPr="00FF42A7">
        <w:rPr>
          <w:color w:val="0071BB"/>
          <w:w w:val="120"/>
        </w:rPr>
        <w:t>Trybunału względy te świadczyły o uprzedzeniach panujących w sądownictwie w Portugalii. W niniejszej sprawie Trybunał przypomniał również, że równość płci jest obecnie jednym z głównych celów państw członkowskich Rady Europy, co oznacza, że aby różnica w traktowaniu ze względu na płeć mogła zostać uznana za zgodną z Konwencją, należy przedstawić bardzo ważne powody. W szczególności</w:t>
      </w:r>
      <w:r w:rsidR="00ED6585" w:rsidRPr="00FF42A7">
        <w:rPr>
          <w:color w:val="0071BB"/>
          <w:w w:val="120"/>
        </w:rPr>
        <w:t>,</w:t>
      </w:r>
      <w:r w:rsidRPr="00FF42A7">
        <w:rPr>
          <w:color w:val="0071BB"/>
          <w:w w:val="120"/>
        </w:rPr>
        <w:t xml:space="preserve"> odwołania do tradycji, ogólnych założeń lub dominujących postaw społecznych w </w:t>
      </w:r>
      <w:r w:rsidRPr="00FF42A7">
        <w:rPr>
          <w:color w:val="0071BB"/>
          <w:spacing w:val="30"/>
          <w:w w:val="120"/>
        </w:rPr>
        <w:t xml:space="preserve">danym </w:t>
      </w:r>
      <w:r w:rsidRPr="00FF42A7">
        <w:rPr>
          <w:color w:val="0071BB"/>
          <w:w w:val="120"/>
        </w:rPr>
        <w:t xml:space="preserve">kraju nie były wystarczające do </w:t>
      </w:r>
      <w:r w:rsidRPr="00FF42A7">
        <w:rPr>
          <w:color w:val="0071BB"/>
          <w:spacing w:val="30"/>
          <w:w w:val="120"/>
        </w:rPr>
        <w:t>uz</w:t>
      </w:r>
      <w:r w:rsidRPr="00FF42A7">
        <w:rPr>
          <w:color w:val="0071BB"/>
          <w:w w:val="120"/>
        </w:rPr>
        <w:t>asadnienia różnicy w traktowaniu ze względu na płeć.</w:t>
      </w:r>
    </w:p>
    <w:p w14:paraId="27DE46B1" w14:textId="77777777" w:rsidR="009F1A47" w:rsidRPr="00FF42A7" w:rsidRDefault="00000000">
      <w:pPr>
        <w:pStyle w:val="Nagwek1"/>
        <w:spacing w:before="238"/>
        <w:ind w:right="870"/>
      </w:pPr>
      <w:r w:rsidRPr="00FF42A7">
        <w:rPr>
          <w:color w:val="808080"/>
          <w:w w:val="120"/>
          <w:sz w:val="29"/>
        </w:rPr>
        <w:t>Wybór nazwiska i przekazywanie nazwisk rodziców dzieciom</w:t>
      </w:r>
    </w:p>
    <w:p w14:paraId="154ACD78" w14:textId="77777777" w:rsidR="009F1A47" w:rsidRPr="00FF42A7" w:rsidRDefault="009F1A47">
      <w:pPr>
        <w:pStyle w:val="Nagwek2"/>
        <w:spacing w:before="110"/>
        <w:rPr>
          <w:u w:val="none"/>
        </w:rPr>
      </w:pPr>
      <w:hyperlink r:id="rId54">
        <w:proofErr w:type="spellStart"/>
        <w:r w:rsidRPr="00FF42A7">
          <w:rPr>
            <w:color w:val="0071BB"/>
            <w:w w:val="135"/>
            <w:u w:color="0071BB"/>
          </w:rPr>
          <w:t>Burghartz</w:t>
        </w:r>
        <w:proofErr w:type="spellEnd"/>
        <w:r w:rsidRPr="00FF42A7">
          <w:rPr>
            <w:color w:val="0071BB"/>
            <w:w w:val="135"/>
            <w:u w:color="0071BB"/>
          </w:rPr>
          <w:t xml:space="preserve"> przeciwko </w:t>
        </w:r>
        <w:r w:rsidRPr="00FF42A7">
          <w:rPr>
            <w:color w:val="0071BB"/>
            <w:spacing w:val="-2"/>
            <w:w w:val="135"/>
            <w:u w:color="0071BB"/>
          </w:rPr>
          <w:t>Szwajcarii</w:t>
        </w:r>
      </w:hyperlink>
    </w:p>
    <w:p w14:paraId="71B92DE9" w14:textId="1B5C0B66" w:rsidR="009F1A47" w:rsidRPr="00FF42A7" w:rsidRDefault="00000000">
      <w:pPr>
        <w:spacing w:before="58"/>
        <w:ind w:left="874"/>
        <w:jc w:val="both"/>
        <w:rPr>
          <w:sz w:val="18"/>
        </w:rPr>
      </w:pPr>
      <w:r w:rsidRPr="00FF42A7">
        <w:rPr>
          <w:color w:val="808080"/>
          <w:w w:val="125"/>
          <w:sz w:val="18"/>
        </w:rPr>
        <w:t>22 lutego</w:t>
      </w:r>
      <w:r w:rsidRPr="00FF42A7">
        <w:rPr>
          <w:color w:val="808080"/>
          <w:spacing w:val="-4"/>
          <w:w w:val="125"/>
          <w:sz w:val="18"/>
        </w:rPr>
        <w:t xml:space="preserve"> 1994</w:t>
      </w:r>
      <w:r w:rsidR="00735614" w:rsidRPr="00FF42A7">
        <w:rPr>
          <w:color w:val="808080"/>
          <w:spacing w:val="-4"/>
          <w:w w:val="125"/>
          <w:sz w:val="18"/>
        </w:rPr>
        <w:t xml:space="preserve"> r.</w:t>
      </w:r>
    </w:p>
    <w:p w14:paraId="6823421F" w14:textId="1FB2B429" w:rsidR="009F1A47" w:rsidRPr="00FF42A7" w:rsidRDefault="00735614">
      <w:pPr>
        <w:pStyle w:val="Tekstpodstawowy"/>
        <w:spacing w:before="1"/>
        <w:ind w:left="873" w:right="868"/>
      </w:pPr>
      <w:r w:rsidRPr="00FF42A7">
        <w:rPr>
          <w:w w:val="120"/>
        </w:rPr>
        <w:t xml:space="preserve">Skarżący zawarli związek małżeński w Niemczech w 1984 r. i zgodnie z niemieckim prawem wybrali nazwisko żony, </w:t>
      </w:r>
      <w:r w:rsidRPr="00FF42A7">
        <w:rPr>
          <w:i/>
          <w:iCs/>
          <w:w w:val="120"/>
        </w:rPr>
        <w:t>„</w:t>
      </w:r>
      <w:proofErr w:type="spellStart"/>
      <w:r w:rsidRPr="00FF42A7">
        <w:rPr>
          <w:i/>
          <w:iCs/>
          <w:w w:val="120"/>
        </w:rPr>
        <w:t>Burghartz</w:t>
      </w:r>
      <w:proofErr w:type="spellEnd"/>
      <w:r w:rsidRPr="00FF42A7">
        <w:rPr>
          <w:i/>
          <w:iCs/>
          <w:w w:val="120"/>
        </w:rPr>
        <w:t>”</w:t>
      </w:r>
      <w:r w:rsidRPr="00FF42A7">
        <w:rPr>
          <w:w w:val="120"/>
        </w:rPr>
        <w:t xml:space="preserve">, jako nazwisko rodowe, a mąż skorzystał z prawa do umieszczenia przed nim swojego nazwiska, przyjmując nazwisko </w:t>
      </w:r>
      <w:r w:rsidRPr="00FF42A7">
        <w:rPr>
          <w:i/>
          <w:iCs/>
          <w:w w:val="120"/>
        </w:rPr>
        <w:t xml:space="preserve">„Schnyder </w:t>
      </w:r>
      <w:proofErr w:type="spellStart"/>
      <w:r w:rsidRPr="00FF42A7">
        <w:rPr>
          <w:i/>
          <w:iCs/>
          <w:w w:val="120"/>
        </w:rPr>
        <w:t>Burghartz</w:t>
      </w:r>
      <w:proofErr w:type="spellEnd"/>
      <w:r w:rsidRPr="00FF42A7">
        <w:rPr>
          <w:i/>
          <w:iCs/>
          <w:w w:val="120"/>
        </w:rPr>
        <w:t>”</w:t>
      </w:r>
      <w:r w:rsidRPr="00FF42A7">
        <w:rPr>
          <w:w w:val="120"/>
        </w:rPr>
        <w:t xml:space="preserve">. Szwajcarski urząd stanu cywilnego </w:t>
      </w:r>
      <w:r w:rsidRPr="00FF42A7">
        <w:rPr>
          <w:spacing w:val="40"/>
          <w:w w:val="120"/>
        </w:rPr>
        <w:t>(</w:t>
      </w:r>
      <w:proofErr w:type="spellStart"/>
      <w:r w:rsidRPr="00FF42A7">
        <w:rPr>
          <w:i/>
          <w:w w:val="120"/>
        </w:rPr>
        <w:t>Zivilstandsamt</w:t>
      </w:r>
      <w:proofErr w:type="spellEnd"/>
      <w:r w:rsidRPr="00FF42A7">
        <w:rPr>
          <w:i/>
          <w:w w:val="120"/>
        </w:rPr>
        <w:t xml:space="preserve">) </w:t>
      </w:r>
      <w:r w:rsidRPr="00FF42A7">
        <w:rPr>
          <w:w w:val="120"/>
        </w:rPr>
        <w:t xml:space="preserve">wpisał </w:t>
      </w:r>
      <w:r w:rsidRPr="00FF42A7">
        <w:rPr>
          <w:i/>
          <w:iCs/>
          <w:w w:val="120"/>
        </w:rPr>
        <w:t>„Schnyder”</w:t>
      </w:r>
      <w:r w:rsidRPr="00FF42A7">
        <w:rPr>
          <w:w w:val="120"/>
        </w:rPr>
        <w:t xml:space="preserve"> jako wspólne nazwisko małżonków, w związku z czym para złożyła wniosek o zastąpienie nazwiska </w:t>
      </w:r>
      <w:r w:rsidRPr="00FF42A7">
        <w:rPr>
          <w:i/>
          <w:iCs/>
          <w:w w:val="120"/>
        </w:rPr>
        <w:t>„</w:t>
      </w:r>
      <w:proofErr w:type="spellStart"/>
      <w:r w:rsidRPr="00FF42A7">
        <w:rPr>
          <w:i/>
          <w:iCs/>
          <w:w w:val="120"/>
        </w:rPr>
        <w:t>Burghartz</w:t>
      </w:r>
      <w:proofErr w:type="spellEnd"/>
      <w:r w:rsidRPr="00FF42A7">
        <w:rPr>
          <w:i/>
          <w:iCs/>
          <w:w w:val="120"/>
        </w:rPr>
        <w:t>”</w:t>
      </w:r>
      <w:r w:rsidRPr="00FF42A7">
        <w:rPr>
          <w:w w:val="120"/>
        </w:rPr>
        <w:t xml:space="preserve"> jako nazwiska rodowego oraz </w:t>
      </w:r>
      <w:r w:rsidRPr="00FF42A7">
        <w:rPr>
          <w:i/>
          <w:iCs/>
          <w:w w:val="120"/>
        </w:rPr>
        <w:t xml:space="preserve">„Schnyder </w:t>
      </w:r>
      <w:proofErr w:type="spellStart"/>
      <w:r w:rsidRPr="00FF42A7">
        <w:rPr>
          <w:i/>
          <w:iCs/>
          <w:w w:val="120"/>
        </w:rPr>
        <w:t>Burghartz</w:t>
      </w:r>
      <w:proofErr w:type="spellEnd"/>
      <w:r w:rsidRPr="00FF42A7">
        <w:rPr>
          <w:i/>
          <w:iCs/>
          <w:w w:val="120"/>
        </w:rPr>
        <w:t>”</w:t>
      </w:r>
      <w:r w:rsidRPr="00FF42A7">
        <w:rPr>
          <w:w w:val="120"/>
        </w:rPr>
        <w:t xml:space="preserve"> jako nazwiska drugiego skarżącego. Przed sądem skarżący zarzucili władzom szwajcarskim, że odmówiły drugiemu skarżącemu prawa do umieszczenia swojego nazwiska przed nazwiskiem rodzinnym, mimo że prawo szwajcarskie daje taką możliwość kobietom zamężnym, które wybrały nazwisko męża jako nazwisko rodzinne. Twierdzili oni, że stanowi to dyskryminację ze względu na płeć.</w:t>
      </w:r>
    </w:p>
    <w:p w14:paraId="2BAC907B" w14:textId="7725DB63" w:rsidR="009F1A47" w:rsidRPr="00FF42A7" w:rsidRDefault="00000000">
      <w:pPr>
        <w:pStyle w:val="Tekstpodstawowy"/>
        <w:ind w:left="873" w:right="869"/>
      </w:pPr>
      <w:r w:rsidRPr="00FF42A7">
        <w:rPr>
          <w:color w:val="0071BB"/>
          <w:w w:val="120"/>
        </w:rPr>
        <w:t xml:space="preserve">Trybunał uznał, że </w:t>
      </w:r>
      <w:r w:rsidR="00735614" w:rsidRPr="00FF42A7">
        <w:rPr>
          <w:color w:val="0071BB"/>
          <w:w w:val="120"/>
        </w:rPr>
        <w:t xml:space="preserve">kwestionowana </w:t>
      </w:r>
      <w:r w:rsidRPr="00FF42A7">
        <w:rPr>
          <w:color w:val="0071BB"/>
          <w:w w:val="120"/>
        </w:rPr>
        <w:t>różnic</w:t>
      </w:r>
      <w:r w:rsidR="00735614" w:rsidRPr="00FF42A7">
        <w:rPr>
          <w:color w:val="0071BB"/>
          <w:w w:val="120"/>
        </w:rPr>
        <w:t>a w</w:t>
      </w:r>
      <w:r w:rsidRPr="00FF42A7">
        <w:rPr>
          <w:color w:val="0071BB"/>
          <w:w w:val="120"/>
        </w:rPr>
        <w:t xml:space="preserve"> traktowani</w:t>
      </w:r>
      <w:r w:rsidR="00735614" w:rsidRPr="00FF42A7">
        <w:rPr>
          <w:color w:val="0071BB"/>
          <w:w w:val="120"/>
        </w:rPr>
        <w:t>u</w:t>
      </w:r>
      <w:r w:rsidRPr="00FF42A7">
        <w:rPr>
          <w:color w:val="0071BB"/>
          <w:w w:val="120"/>
        </w:rPr>
        <w:t xml:space="preserve"> nie miał</w:t>
      </w:r>
      <w:r w:rsidR="00735614" w:rsidRPr="00FF42A7">
        <w:rPr>
          <w:color w:val="0071BB"/>
          <w:w w:val="120"/>
        </w:rPr>
        <w:t>a</w:t>
      </w:r>
      <w:r w:rsidRPr="00FF42A7">
        <w:rPr>
          <w:color w:val="0071BB"/>
          <w:w w:val="120"/>
        </w:rPr>
        <w:t xml:space="preserve"> obiektywnego i </w:t>
      </w:r>
      <w:r w:rsidR="00735614" w:rsidRPr="00FF42A7">
        <w:rPr>
          <w:color w:val="0071BB"/>
          <w:w w:val="120"/>
        </w:rPr>
        <w:t xml:space="preserve">rozsądnego </w:t>
      </w:r>
      <w:r w:rsidRPr="00FF42A7">
        <w:rPr>
          <w:color w:val="0071BB"/>
          <w:w w:val="120"/>
        </w:rPr>
        <w:t xml:space="preserve">uzasadnienia, a zatem </w:t>
      </w:r>
      <w:r w:rsidRPr="00FF42A7">
        <w:rPr>
          <w:b/>
          <w:color w:val="0071BB"/>
          <w:w w:val="120"/>
        </w:rPr>
        <w:t xml:space="preserve">naruszało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 xml:space="preserve">(prawo do poszanowania życia prywatnego i rodzinnego) Konwencji. W szczególności Trybunał nie uznał za przekonujący argument rządu szwajcarskiego, który na poparcie zaskarżonego systemu powołał się na troskę ustawodawcy szwajcarskiego o to, aby jedność rodziny znalazła odzwierciedlenie w jednym wspólnym nazwisku. Jednolitość rodziny nie byłaby bowiem w mniejszym stopniu odzwierciedlona, gdyby mąż dodał swoje nazwisko do nazwiska żony, przyjętego jako wspólne nazwisko rodowe, niż w przypadku odwrotnego rozwiązania dopuszczonego przez kodeks cywilny. Po drugie, nie można było uznać, że w niniejszej sprawie chodziło o prawdziwą tradycję: kobiety zamężne korzystały z prawa, którego domagała się skarżąca, dopiero od 1984 r. W każdym razie konwencję należy interpretować w świetle współczesnych warunków, zwłaszcza znaczenia zasady niedyskryminacji. Nie można również wywodzić żadnej różnicy z wyboru przez małżonków jednego z nazwisk jako nazwiska rodzinnego zamiast drugiego. Wbrew twierdzeniom rządu nie można uznać, że świadczy to </w:t>
      </w:r>
      <w:r w:rsidRPr="00FF42A7">
        <w:rPr>
          <w:color w:val="0071BB"/>
          <w:spacing w:val="28"/>
          <w:w w:val="120"/>
        </w:rPr>
        <w:t>o</w:t>
      </w:r>
      <w:r w:rsidRPr="00FF42A7">
        <w:rPr>
          <w:color w:val="0071BB"/>
          <w:w w:val="120"/>
        </w:rPr>
        <w:t xml:space="preserve"> większej świadomości męża niż żony. W związku z tym nie było uzasadnione przewidzenie różnych skutków w każdym przypadku. Wreszcie, jeśli chodzi o inne rodzaje nazwisk, takie jak nazwisko złożone lub inne nieformalne sposoby używania nazwiska, sam Sąd Federalny odróżnił je od nazwiska prawnego, które jako jedyne może figurować w oficjalnych dokumentach danej osoby. Nie można zatem uznać ich za równoważne z nazwiskiem prawnym.</w:t>
      </w:r>
    </w:p>
    <w:p w14:paraId="162F83C5" w14:textId="77777777" w:rsidR="009F1A47" w:rsidRPr="00FF42A7" w:rsidRDefault="009F1A47">
      <w:pPr>
        <w:pStyle w:val="Nagwek2"/>
        <w:spacing w:before="87"/>
        <w:ind w:left="873"/>
        <w:rPr>
          <w:u w:val="none"/>
        </w:rPr>
      </w:pPr>
      <w:hyperlink r:id="rId55">
        <w:proofErr w:type="spellStart"/>
        <w:r w:rsidRPr="00FF42A7">
          <w:rPr>
            <w:color w:val="0071BB"/>
            <w:w w:val="135"/>
            <w:u w:color="0071BB"/>
          </w:rPr>
          <w:t>Losonci</w:t>
        </w:r>
        <w:proofErr w:type="spellEnd"/>
        <w:r w:rsidRPr="00FF42A7">
          <w:rPr>
            <w:color w:val="0071BB"/>
            <w:w w:val="135"/>
            <w:u w:color="0071BB"/>
          </w:rPr>
          <w:t xml:space="preserve"> </w:t>
        </w:r>
        <w:proofErr w:type="spellStart"/>
        <w:r w:rsidRPr="00FF42A7">
          <w:rPr>
            <w:color w:val="0071BB"/>
            <w:w w:val="135"/>
            <w:u w:color="0071BB"/>
          </w:rPr>
          <w:t>Rose</w:t>
        </w:r>
        <w:proofErr w:type="spellEnd"/>
        <w:r w:rsidRPr="00FF42A7">
          <w:rPr>
            <w:color w:val="0071BB"/>
            <w:w w:val="135"/>
            <w:u w:color="0071BB"/>
          </w:rPr>
          <w:t xml:space="preserve"> i </w:t>
        </w:r>
        <w:proofErr w:type="spellStart"/>
        <w:r w:rsidRPr="00FF42A7">
          <w:rPr>
            <w:color w:val="0071BB"/>
            <w:w w:val="135"/>
            <w:u w:color="0071BB"/>
          </w:rPr>
          <w:t>Rose</w:t>
        </w:r>
        <w:proofErr w:type="spellEnd"/>
        <w:r w:rsidRPr="00FF42A7">
          <w:rPr>
            <w:color w:val="0071BB"/>
            <w:w w:val="135"/>
            <w:u w:color="0071BB"/>
          </w:rPr>
          <w:t xml:space="preserve"> przeciwko </w:t>
        </w:r>
        <w:r w:rsidRPr="00FF42A7">
          <w:rPr>
            <w:color w:val="0071BB"/>
            <w:spacing w:val="-4"/>
            <w:w w:val="135"/>
            <w:u w:color="0071BB"/>
          </w:rPr>
          <w:t>Włochom</w:t>
        </w:r>
      </w:hyperlink>
    </w:p>
    <w:p w14:paraId="37DEE22D" w14:textId="77777777" w:rsidR="009F1A47" w:rsidRPr="00FF42A7" w:rsidRDefault="00000000">
      <w:pPr>
        <w:spacing w:before="55"/>
        <w:ind w:left="874"/>
        <w:jc w:val="both"/>
        <w:rPr>
          <w:sz w:val="18"/>
        </w:rPr>
      </w:pPr>
      <w:r w:rsidRPr="00FF42A7">
        <w:rPr>
          <w:color w:val="808080"/>
          <w:spacing w:val="-2"/>
          <w:w w:val="125"/>
          <w:sz w:val="18"/>
        </w:rPr>
        <w:t>9 listopada</w:t>
      </w:r>
      <w:r w:rsidRPr="00FF42A7">
        <w:rPr>
          <w:color w:val="808080"/>
          <w:spacing w:val="-4"/>
          <w:w w:val="125"/>
          <w:sz w:val="18"/>
        </w:rPr>
        <w:t xml:space="preserve"> 2010 r.</w:t>
      </w:r>
    </w:p>
    <w:p w14:paraId="35DF0BD9" w14:textId="467411F2" w:rsidR="009F1A47" w:rsidRPr="00FF42A7" w:rsidRDefault="00000000" w:rsidP="002D59C6">
      <w:pPr>
        <w:pStyle w:val="Tekstpodstawowy"/>
        <w:spacing w:before="1"/>
        <w:ind w:right="869"/>
      </w:pPr>
      <w:r w:rsidRPr="00FF42A7">
        <w:rPr>
          <w:w w:val="120"/>
        </w:rPr>
        <w:t xml:space="preserve">Przed zawarciem małżeństwa </w:t>
      </w:r>
      <w:r w:rsidR="002D59C6" w:rsidRPr="00FF42A7">
        <w:rPr>
          <w:w w:val="120"/>
        </w:rPr>
        <w:t xml:space="preserve">skarżący </w:t>
      </w:r>
      <w:r w:rsidRPr="00FF42A7">
        <w:rPr>
          <w:w w:val="120"/>
        </w:rPr>
        <w:t xml:space="preserve">– obywatel Węgier i jego żona, obywatelka Szwajcarii – poinformowali urząd stanu cywilnego, że zamierzają zachować swoje nazwiska, zamiast wybrać nazwisko podwójne dla jednego z nich. Po odmowie przez władze postanowili, że aby móc zawrzeć związek małżeński, przyjmą nazwisko żony jako nazwisko rodowe. Po zawarciu małżeństwa pierwszy </w:t>
      </w:r>
      <w:r w:rsidR="002D59C6" w:rsidRPr="00FF42A7">
        <w:rPr>
          <w:w w:val="120"/>
        </w:rPr>
        <w:t xml:space="preserve">skarżący </w:t>
      </w:r>
      <w:r w:rsidRPr="00FF42A7">
        <w:rPr>
          <w:w w:val="120"/>
        </w:rPr>
        <w:t>zwrócił się, zgodnie z prawem krajowym, o zastąpienie w rejestrze nazwiska podwójnego, które tymczasowo wybrał,</w:t>
      </w:r>
      <w:r w:rsidR="002D59C6" w:rsidRPr="00FF42A7">
        <w:rPr>
          <w:w w:val="120"/>
        </w:rPr>
        <w:t xml:space="preserve"> swoim pierwotnym nazwiskiem, bez zmiany nazwiska żony. Sąd Federalny odrzucił wniosek,</w:t>
      </w:r>
      <w:r w:rsidR="002D59C6" w:rsidRPr="00FF42A7">
        <w:rPr>
          <w:w w:val="120"/>
        </w:rPr>
        <w:br/>
      </w:r>
      <w:r w:rsidRPr="00FF42A7">
        <w:rPr>
          <w:w w:val="120"/>
        </w:rPr>
        <w:t xml:space="preserve"> </w:t>
      </w:r>
      <w:r w:rsidR="002D59C6" w:rsidRPr="00FF42A7">
        <w:rPr>
          <w:w w:val="120"/>
        </w:rPr>
        <w:br/>
        <w:t xml:space="preserve"> </w:t>
      </w:r>
      <w:r w:rsidR="002D59C6" w:rsidRPr="00FF42A7">
        <w:rPr>
          <w:w w:val="120"/>
        </w:rPr>
        <w:br/>
        <w:t xml:space="preserve"> </w:t>
      </w:r>
      <w:r w:rsidR="002D59C6" w:rsidRPr="00FF42A7">
        <w:rPr>
          <w:w w:val="120"/>
        </w:rPr>
        <w:br/>
        <w:t xml:space="preserve"> </w:t>
      </w:r>
      <w:r w:rsidR="002D59C6" w:rsidRPr="00FF42A7">
        <w:rPr>
          <w:w w:val="120"/>
        </w:rPr>
        <w:br/>
        <w:t xml:space="preserve"> </w:t>
      </w:r>
      <w:r w:rsidR="002D59C6" w:rsidRPr="00FF42A7">
        <w:rPr>
          <w:w w:val="120"/>
        </w:rPr>
        <w:br/>
        <w:t xml:space="preserve"> </w:t>
      </w:r>
      <w:r w:rsidR="002D59C6" w:rsidRPr="00FF42A7">
        <w:rPr>
          <w:w w:val="120"/>
        </w:rPr>
        <w:br/>
      </w:r>
      <w:r w:rsidR="002D59C6" w:rsidRPr="00FF42A7">
        <w:rPr>
          <w:w w:val="120"/>
        </w:rPr>
        <w:lastRenderedPageBreak/>
        <w:t xml:space="preserve"> </w:t>
      </w:r>
      <w:r w:rsidR="002D59C6" w:rsidRPr="00FF42A7">
        <w:rPr>
          <w:w w:val="120"/>
        </w:rPr>
        <w:br/>
      </w:r>
      <w:r w:rsidRPr="00FF42A7">
        <w:rPr>
          <w:w w:val="120"/>
        </w:rPr>
        <w:t>uznając, że poprzednia decyzja pierwszego skarżącego o przyjęciu nazwiska żony jako nazwiska rodowego oznacza, że jego życzenie, aby jego nazwisko podlegało prawu węgierskiemu, jest obecnie nieważne. W opinii skarżących taka sytuacja nie mogłaby mieć miejsca, gdyby płeć skarżących była odwrotna, ponieważ nazwisko męża automatycznie stałoby się nazwiskiem rodowym, a żona miałaby swobodę wyboru nazwiska zgodnie z prawem krajowym.</w:t>
      </w:r>
    </w:p>
    <w:p w14:paraId="48D64C70" w14:textId="77777777" w:rsidR="009F1A47" w:rsidRPr="00FF42A7" w:rsidRDefault="00000000">
      <w:pPr>
        <w:pStyle w:val="Tekstpodstawowy"/>
        <w:ind w:right="869"/>
      </w:pPr>
      <w:r w:rsidRPr="00FF42A7">
        <w:rPr>
          <w:color w:val="0071BB"/>
          <w:w w:val="120"/>
        </w:rPr>
        <w:t xml:space="preserve">Ponieważ uzasadnienie przedstawione przez rząd szwajcarski nie wydawało się rozsądne, a różnica w traktowaniu miała charakter dyskryminacyjny, Trybunał uznał, że przepisy obowiązujące w Szwajcarii powodowały dyskryminację między parami dwunarodowymi w zależności od tego, czy mężczyzna, czy kobieta posiadał obywatelstwo szwajcarskie, i w związku z tym stwierdził, że 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W niniejszej sprawie Trybunał zwrócił w szczególności uwagę, że wśród państw członkowskich Rady Europy wyłania się konsensus w sprawie równości małżonków w wyborze nazwiska oraz że działania Organizacji Narodów Zjednoczonych zmierzają w kierunku uznania prawa każdego z małżonków do zachowania własnego nazwiska lub do równego udziału w wyborze nowego nazwiska.</w:t>
      </w:r>
    </w:p>
    <w:p w14:paraId="603F3EE6" w14:textId="77777777" w:rsidR="009F1A47" w:rsidRPr="00FF42A7" w:rsidRDefault="009F1A47">
      <w:pPr>
        <w:pStyle w:val="Nagwek2"/>
        <w:spacing w:before="102"/>
        <w:rPr>
          <w:u w:val="none"/>
        </w:rPr>
      </w:pPr>
      <w:hyperlink r:id="rId56">
        <w:proofErr w:type="spellStart"/>
        <w:r w:rsidRPr="00FF42A7">
          <w:rPr>
            <w:color w:val="0071BB"/>
            <w:w w:val="135"/>
            <w:u w:color="0071BB"/>
          </w:rPr>
          <w:t>Ünal</w:t>
        </w:r>
        <w:proofErr w:type="spellEnd"/>
        <w:r w:rsidRPr="00FF42A7">
          <w:rPr>
            <w:color w:val="0071BB"/>
            <w:w w:val="135"/>
            <w:u w:color="0071BB"/>
          </w:rPr>
          <w:t xml:space="preserve"> </w:t>
        </w:r>
        <w:proofErr w:type="spellStart"/>
        <w:r w:rsidRPr="00FF42A7">
          <w:rPr>
            <w:color w:val="0071BB"/>
            <w:w w:val="135"/>
            <w:u w:color="0071BB"/>
          </w:rPr>
          <w:t>Tekeli</w:t>
        </w:r>
        <w:proofErr w:type="spellEnd"/>
        <w:r w:rsidRPr="00FF42A7">
          <w:rPr>
            <w:color w:val="0071BB"/>
            <w:w w:val="135"/>
            <w:u w:color="0071BB"/>
          </w:rPr>
          <w:t xml:space="preserve"> przeciwko </w:t>
        </w:r>
        <w:r w:rsidRPr="00FF42A7">
          <w:rPr>
            <w:color w:val="0071BB"/>
            <w:spacing w:val="-2"/>
            <w:w w:val="135"/>
            <w:u w:color="0071BB"/>
          </w:rPr>
          <w:t>Turcji</w:t>
        </w:r>
      </w:hyperlink>
    </w:p>
    <w:p w14:paraId="755CF211" w14:textId="6A788CBC" w:rsidR="009F1A47" w:rsidRPr="00FF42A7" w:rsidRDefault="00000000">
      <w:pPr>
        <w:spacing w:before="56"/>
        <w:ind w:left="874"/>
        <w:jc w:val="both"/>
        <w:rPr>
          <w:sz w:val="18"/>
        </w:rPr>
      </w:pPr>
      <w:r w:rsidRPr="00FF42A7">
        <w:rPr>
          <w:color w:val="808080"/>
          <w:spacing w:val="-2"/>
          <w:w w:val="125"/>
          <w:sz w:val="18"/>
        </w:rPr>
        <w:t>16 listopada</w:t>
      </w:r>
      <w:r w:rsidRPr="00FF42A7">
        <w:rPr>
          <w:color w:val="808080"/>
          <w:spacing w:val="-4"/>
          <w:w w:val="125"/>
          <w:sz w:val="18"/>
        </w:rPr>
        <w:t xml:space="preserve"> 2004</w:t>
      </w:r>
      <w:r w:rsidR="002D59C6" w:rsidRPr="00FF42A7">
        <w:rPr>
          <w:color w:val="808080"/>
          <w:spacing w:val="-4"/>
          <w:w w:val="125"/>
          <w:sz w:val="18"/>
        </w:rPr>
        <w:t xml:space="preserve"> r.</w:t>
      </w:r>
    </w:p>
    <w:p w14:paraId="09BF6154" w14:textId="77777777" w:rsidR="009F1A47" w:rsidRPr="00FF42A7" w:rsidRDefault="00000000">
      <w:pPr>
        <w:pStyle w:val="Tekstpodstawowy"/>
        <w:spacing w:before="1"/>
        <w:ind w:right="871"/>
      </w:pPr>
      <w:r w:rsidRPr="00FF42A7">
        <w:rPr>
          <w:w w:val="120"/>
        </w:rPr>
        <w:t>Po ślubie w 1990 r. skarżąca, która była wówczas aplikantką adwokacką, przyjęła nazwisko męża. Ponieważ w życiu zawodowym była znana pod nazwiskiem panieńskim, nadal używała go przed nazwiskiem męża, które przyjęła po ślubie. Nie mogła jednak używać obu nazwisk jednocześnie w dokumentach urzędowych. Skarżąca zarzucała w szczególności, że została dyskryminowana, ponieważ mężczyźni po ślubie mogli nadal używać swojego nazwiska rodowego.</w:t>
      </w:r>
    </w:p>
    <w:p w14:paraId="0E057D67" w14:textId="5EAAA6A8"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 xml:space="preserve">(prawo do poszanowania życia prywatnego i rodzinnego) Konwencji. Uznał, że argument rządu tureckiego, iż nadanie nazwiska męża rodzinie wynikało z tradycji mającej na celu odzwierciedlenie jedności rodziny poprzez posiadanie tego samego nazwiska, nie był czynnikiem decydującym. Jedność rodziny może wynikać z wyboru nazwiska żony lub wspólnego nazwiska wybranego przez małżonków. Ponadto jedność rodziny może być również zachowana i umocniona, gdy małżonkowie zdecydują się nie nosić wspólnego nazwiska, co potwierdza rozwiązanie przyjęte w innych europejskich systemach prawnych. W związku z tym obowiązek nałożony na zamężne kobiety, w interesie jedności rodziny, noszenia nazwiska męża – nawet jeśli mogły one poprzedzić je swoim nazwiskiem panieńskim – nie miał obiektywnego i racjonalnego uzasadnienia. Zwracając szczególną uwagę na fakt, że wśród </w:t>
      </w:r>
      <w:r w:rsidR="00B476EB" w:rsidRPr="00FF42A7">
        <w:rPr>
          <w:color w:val="0071BB"/>
          <w:w w:val="120"/>
        </w:rPr>
        <w:t>P</w:t>
      </w:r>
      <w:r w:rsidRPr="00FF42A7">
        <w:rPr>
          <w:color w:val="0071BB"/>
          <w:w w:val="120"/>
        </w:rPr>
        <w:t>aństw-</w:t>
      </w:r>
      <w:r w:rsidR="00B476EB" w:rsidRPr="00FF42A7">
        <w:rPr>
          <w:color w:val="0071BB"/>
          <w:w w:val="120"/>
        </w:rPr>
        <w:t>S</w:t>
      </w:r>
      <w:r w:rsidRPr="00FF42A7">
        <w:rPr>
          <w:color w:val="0071BB"/>
          <w:w w:val="120"/>
        </w:rPr>
        <w:t xml:space="preserve">tron Rady Europy wykształcił się konsensus na rzecz wyboru nazwiska rodowego małżonków na zasadach równości, Trybunał zauważył w niniejszym wyroku, że Turcja wydaje </w:t>
      </w:r>
      <w:r w:rsidR="00775D1A" w:rsidRPr="00FF42A7">
        <w:rPr>
          <w:color w:val="0071BB"/>
          <w:w w:val="120"/>
        </w:rPr>
        <w:t>się</w:t>
      </w:r>
      <w:r w:rsidRPr="00FF42A7">
        <w:rPr>
          <w:color w:val="0071BB"/>
          <w:w w:val="120"/>
        </w:rPr>
        <w:t xml:space="preserve"> jedynym państwem członkowskim, które prawnie nakłada na małżeństwo nazwisko męża jako nazwisko rodowe – a tym samym automatyczną utratę nazwiska panieńskiego przez kobietę w momencie zawarcia małżeństwa – nawet jeśli małżonkowie postanowili inaczej. Co prawda, reformy przeprowadzone w Turcji w listopadzie 2001 r. miały na celu zrównanie kobiet zamężnych z mężami w zakresie reprezentowania małżonków, działalności gospodarczej oraz podejmowania decyzji dotyczących rodziny i dzieci. Jednak przepisy dotyczące nazwiska po zawarciu małżeństwa, w tym przepisy zobowiązujące kobiety zamężne do przyjęcia nazwiska męża, pozostały niezmienione.</w:t>
      </w:r>
    </w:p>
    <w:p w14:paraId="03A8A081" w14:textId="77777777" w:rsidR="009F1A47" w:rsidRPr="00FF42A7" w:rsidRDefault="00000000">
      <w:pPr>
        <w:spacing w:before="31"/>
        <w:ind w:left="873"/>
        <w:rPr>
          <w:sz w:val="20"/>
        </w:rPr>
      </w:pPr>
      <w:r w:rsidRPr="00FF42A7">
        <w:rPr>
          <w:i/>
          <w:color w:val="404040"/>
          <w:w w:val="120"/>
          <w:sz w:val="20"/>
        </w:rPr>
        <w:t>Zob. również</w:t>
      </w:r>
      <w:r w:rsidRPr="00FF42A7">
        <w:rPr>
          <w:color w:val="404040"/>
          <w:w w:val="120"/>
          <w:sz w:val="20"/>
        </w:rPr>
        <w:t xml:space="preserve">: </w:t>
      </w:r>
      <w:hyperlink r:id="rId57">
        <w:proofErr w:type="spellStart"/>
        <w:r w:rsidR="009F1A47" w:rsidRPr="00FF42A7">
          <w:rPr>
            <w:rFonts w:ascii="Arial" w:hAnsi="Arial"/>
            <w:b/>
            <w:i/>
            <w:color w:val="0071BB"/>
            <w:w w:val="120"/>
            <w:sz w:val="20"/>
            <w:u w:val="thick" w:color="0071BB"/>
          </w:rPr>
          <w:t>Tuncer</w:t>
        </w:r>
        <w:proofErr w:type="spellEnd"/>
        <w:r w:rsidR="009F1A47" w:rsidRPr="00FF42A7">
          <w:rPr>
            <w:rFonts w:ascii="Arial" w:hAnsi="Arial"/>
            <w:b/>
            <w:i/>
            <w:color w:val="0071BB"/>
            <w:w w:val="120"/>
            <w:sz w:val="20"/>
            <w:u w:val="thick" w:color="0071BB"/>
          </w:rPr>
          <w:t xml:space="preserve"> </w:t>
        </w:r>
        <w:proofErr w:type="spellStart"/>
        <w:r w:rsidR="009F1A47" w:rsidRPr="00FF42A7">
          <w:rPr>
            <w:rFonts w:ascii="Arial" w:hAnsi="Arial"/>
            <w:b/>
            <w:i/>
            <w:color w:val="0071BB"/>
            <w:w w:val="120"/>
            <w:sz w:val="20"/>
            <w:u w:val="thick" w:color="0071BB"/>
          </w:rPr>
          <w:t>Güneş</w:t>
        </w:r>
        <w:proofErr w:type="spellEnd"/>
        <w:r w:rsidR="009F1A47" w:rsidRPr="00FF42A7">
          <w:rPr>
            <w:rFonts w:ascii="Arial" w:hAnsi="Arial"/>
            <w:b/>
            <w:i/>
            <w:color w:val="0071BB"/>
            <w:w w:val="120"/>
            <w:sz w:val="20"/>
            <w:u w:val="thick" w:color="0071BB"/>
          </w:rPr>
          <w:t xml:space="preserve"> przeciwko Turcji</w:t>
        </w:r>
      </w:hyperlink>
      <w:r w:rsidRPr="00FF42A7">
        <w:rPr>
          <w:color w:val="404040"/>
          <w:w w:val="120"/>
          <w:sz w:val="20"/>
        </w:rPr>
        <w:t>, wyrok z dnia 3 września</w:t>
      </w:r>
      <w:r w:rsidRPr="00FF42A7">
        <w:rPr>
          <w:color w:val="404040"/>
          <w:spacing w:val="-2"/>
          <w:w w:val="120"/>
          <w:sz w:val="20"/>
        </w:rPr>
        <w:t xml:space="preserve"> 2013 r.</w:t>
      </w:r>
    </w:p>
    <w:p w14:paraId="77221E4C" w14:textId="77777777" w:rsidR="009F1A47" w:rsidRPr="00FF42A7" w:rsidRDefault="009F1A47">
      <w:pPr>
        <w:pStyle w:val="Nagwek2"/>
        <w:spacing w:before="118"/>
        <w:jc w:val="left"/>
        <w:rPr>
          <w:u w:val="none"/>
        </w:rPr>
      </w:pPr>
      <w:hyperlink r:id="rId58">
        <w:proofErr w:type="spellStart"/>
        <w:r w:rsidRPr="00FF42A7">
          <w:rPr>
            <w:color w:val="0071BB"/>
            <w:w w:val="140"/>
            <w:u w:color="0071BB"/>
          </w:rPr>
          <w:t>Cusan</w:t>
        </w:r>
        <w:proofErr w:type="spellEnd"/>
        <w:r w:rsidRPr="00FF42A7">
          <w:rPr>
            <w:color w:val="0071BB"/>
            <w:w w:val="140"/>
            <w:u w:color="0071BB"/>
          </w:rPr>
          <w:t xml:space="preserve"> i </w:t>
        </w:r>
        <w:proofErr w:type="spellStart"/>
        <w:r w:rsidRPr="00FF42A7">
          <w:rPr>
            <w:color w:val="0071BB"/>
            <w:w w:val="140"/>
            <w:u w:color="0071BB"/>
          </w:rPr>
          <w:t>Fazzo</w:t>
        </w:r>
        <w:proofErr w:type="spellEnd"/>
        <w:r w:rsidRPr="00FF42A7">
          <w:rPr>
            <w:color w:val="0071BB"/>
            <w:w w:val="140"/>
            <w:u w:color="0071BB"/>
          </w:rPr>
          <w:t xml:space="preserve"> przeciwko </w:t>
        </w:r>
        <w:r w:rsidRPr="00FF42A7">
          <w:rPr>
            <w:color w:val="0071BB"/>
            <w:spacing w:val="-4"/>
            <w:w w:val="140"/>
            <w:u w:color="0071BB"/>
          </w:rPr>
          <w:t>Włochom</w:t>
        </w:r>
      </w:hyperlink>
    </w:p>
    <w:p w14:paraId="72F1349B" w14:textId="3A906B64" w:rsidR="009F1A47" w:rsidRPr="00FF42A7" w:rsidRDefault="00000000">
      <w:pPr>
        <w:pStyle w:val="Tekstpodstawowy"/>
        <w:spacing w:before="58"/>
        <w:jc w:val="left"/>
      </w:pPr>
      <w:r w:rsidRPr="00FF42A7">
        <w:rPr>
          <w:color w:val="808080"/>
          <w:w w:val="125"/>
        </w:rPr>
        <w:t>7 stycznia</w:t>
      </w:r>
      <w:r w:rsidRPr="00FF42A7">
        <w:rPr>
          <w:color w:val="808080"/>
          <w:spacing w:val="-4"/>
          <w:w w:val="125"/>
        </w:rPr>
        <w:t xml:space="preserve"> 2014</w:t>
      </w:r>
      <w:r w:rsidR="00B476EB" w:rsidRPr="00FF42A7">
        <w:rPr>
          <w:color w:val="808080"/>
          <w:spacing w:val="-4"/>
          <w:w w:val="125"/>
        </w:rPr>
        <w:t xml:space="preserve"> r.</w:t>
      </w:r>
    </w:p>
    <w:p w14:paraId="487C9620" w14:textId="6B559DED" w:rsidR="009F1A47" w:rsidRPr="00FF42A7" w:rsidRDefault="00000000" w:rsidP="00146A0A">
      <w:pPr>
        <w:pStyle w:val="Tekstpodstawowy"/>
        <w:spacing w:before="1"/>
        <w:ind w:right="871"/>
      </w:pPr>
      <w:r w:rsidRPr="00FF42A7">
        <w:rPr>
          <w:w w:val="120"/>
        </w:rPr>
        <w:t>Sprawa dotyczyła sprzeciwu wobec przekazania nazwiska ojca dzieciom. Małżeństwo skarżących zarzucało władzom włoskim odmowę uwzględnienia wniosku o nadanie córce nazwiska matki oraz fakt, że zgodnie z obowiązującym wówczas prawem włoskim nadanie</w:t>
      </w:r>
      <w:r w:rsidR="00B476EB" w:rsidRPr="00FF42A7">
        <w:rPr>
          <w:w w:val="120"/>
        </w:rPr>
        <w:t xml:space="preserve"> nazwiska ojca </w:t>
      </w:r>
      <w:r w:rsidR="00213D8C" w:rsidRPr="00FF42A7">
        <w:rPr>
          <w:w w:val="120"/>
        </w:rPr>
        <w:t xml:space="preserve">prawowitym dzieciom </w:t>
      </w:r>
      <w:r w:rsidR="00B476EB" w:rsidRPr="00FF42A7">
        <w:rPr>
          <w:w w:val="120"/>
        </w:rPr>
        <w:t>było obowiązkowe. Uważali, że prawo</w:t>
      </w:r>
      <w:r w:rsidR="00213D8C" w:rsidRPr="00FF42A7">
        <w:rPr>
          <w:w w:val="120"/>
        </w:rPr>
        <w:t xml:space="preserve"> powinno było</w:t>
      </w:r>
      <w:r w:rsidR="00B476EB" w:rsidRPr="00FF42A7">
        <w:rPr>
          <w:w w:val="120"/>
        </w:rPr>
        <w:br/>
      </w:r>
      <w:r w:rsidRPr="00FF42A7">
        <w:rPr>
          <w:w w:val="120"/>
        </w:rPr>
        <w:t xml:space="preserve"> </w:t>
      </w:r>
      <w:r w:rsidR="00213D8C" w:rsidRPr="00FF42A7">
        <w:rPr>
          <w:w w:val="120"/>
        </w:rPr>
        <w:br/>
        <w:t xml:space="preserve"> </w:t>
      </w:r>
      <w:r w:rsidR="00213D8C" w:rsidRPr="00FF42A7">
        <w:rPr>
          <w:w w:val="120"/>
        </w:rPr>
        <w:br/>
        <w:t xml:space="preserve"> </w:t>
      </w:r>
      <w:r w:rsidR="00213D8C" w:rsidRPr="00FF42A7">
        <w:rPr>
          <w:w w:val="120"/>
        </w:rPr>
        <w:br/>
        <w:t xml:space="preserve"> </w:t>
      </w:r>
      <w:r w:rsidR="00213D8C" w:rsidRPr="00FF42A7">
        <w:rPr>
          <w:w w:val="120"/>
        </w:rPr>
        <w:br/>
      </w:r>
      <w:r w:rsidR="00213D8C" w:rsidRPr="00FF42A7">
        <w:rPr>
          <w:w w:val="120"/>
        </w:rPr>
        <w:lastRenderedPageBreak/>
        <w:t xml:space="preserve"> </w:t>
      </w:r>
      <w:r w:rsidR="00213D8C" w:rsidRPr="00FF42A7">
        <w:rPr>
          <w:w w:val="120"/>
        </w:rPr>
        <w:br/>
      </w:r>
      <w:r w:rsidRPr="00FF42A7">
        <w:rPr>
          <w:w w:val="120"/>
        </w:rPr>
        <w:t>umożliwić rodzicom wybór nazwiska dla swoich dzieci.</w:t>
      </w:r>
    </w:p>
    <w:p w14:paraId="6E9823FC" w14:textId="76ABD2E8" w:rsidR="009F1A47" w:rsidRPr="00FF42A7" w:rsidRDefault="00000000">
      <w:pPr>
        <w:pStyle w:val="Tekstpodstawowy"/>
        <w:ind w:right="87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 xml:space="preserve">(prawo do poszanowania życia prywatnego i rodzinnego) Konwencji, ponieważ w momencie narodzin córki skarżący nie mieli możliwości wpisania jej do rejestru urodzeń, małżeństw i zgonów pod nazwiskiem matki. Niemożność ta wynikała z luki w włoskim systemie prawnym, zgodnie z którym każde „dziecko z legalnego związku” było wpisywane do rejestru urodzeń, małżeństw i zgonów pod nazwiskiem ojca jako nazwiskiem rodowym, bez możliwości odstępstwa, nawet w </w:t>
      </w:r>
      <w:r w:rsidR="00775D1A" w:rsidRPr="00FF42A7">
        <w:rPr>
          <w:color w:val="0071BB"/>
          <w:w w:val="120"/>
        </w:rPr>
        <w:t>przypadku,</w:t>
      </w:r>
      <w:r w:rsidRPr="00FF42A7">
        <w:rPr>
          <w:color w:val="0071BB"/>
          <w:w w:val="120"/>
        </w:rPr>
        <w:t xml:space="preserve"> gdy małżonkowie zgodzili się na używanie nazwiska matki. W związku z tym Trybunał wskazał, na podstawie </w:t>
      </w:r>
      <w:r w:rsidRPr="00FF42A7">
        <w:rPr>
          <w:b/>
          <w:color w:val="0071BB"/>
          <w:w w:val="120"/>
        </w:rPr>
        <w:t xml:space="preserve">art. 46 </w:t>
      </w:r>
      <w:r w:rsidRPr="00FF42A7">
        <w:rPr>
          <w:bCs/>
          <w:color w:val="0071BB"/>
          <w:w w:val="120"/>
        </w:rPr>
        <w:t>(</w:t>
      </w:r>
      <w:r w:rsidRPr="00FF42A7">
        <w:rPr>
          <w:color w:val="0071BB"/>
          <w:w w:val="120"/>
        </w:rPr>
        <w:t>moc wiążąca i wykonanie wyroków) Konwencji, że należy przyjąć zmiany we włoskim ustawodawstwie lub praktyce, aby zapewnić ich zgodność z ustaleniami niniejszego wyroku oraz zapewnić przestrzeganie wymogów art.</w:t>
      </w:r>
      <w:r w:rsidRPr="00FF42A7">
        <w:rPr>
          <w:color w:val="0071BB"/>
          <w:spacing w:val="40"/>
          <w:w w:val="120"/>
        </w:rPr>
        <w:t xml:space="preserve"> 8 </w:t>
      </w:r>
      <w:r w:rsidRPr="00FF42A7">
        <w:rPr>
          <w:color w:val="0071BB"/>
          <w:w w:val="120"/>
        </w:rPr>
        <w:t>i 14 Konwencji.</w:t>
      </w:r>
    </w:p>
    <w:p w14:paraId="5DA97CFF" w14:textId="77777777" w:rsidR="009F1A47" w:rsidRPr="00FF42A7" w:rsidRDefault="009F1A47">
      <w:pPr>
        <w:pStyle w:val="Nagwek2"/>
        <w:spacing w:before="103"/>
        <w:rPr>
          <w:u w:val="none"/>
        </w:rPr>
      </w:pPr>
      <w:hyperlink r:id="rId59">
        <w:r w:rsidRPr="00FF42A7">
          <w:rPr>
            <w:color w:val="0071BB"/>
            <w:w w:val="135"/>
            <w:u w:color="0071BB"/>
          </w:rPr>
          <w:t xml:space="preserve">León </w:t>
        </w:r>
        <w:proofErr w:type="spellStart"/>
        <w:r w:rsidRPr="00FF42A7">
          <w:rPr>
            <w:color w:val="0071BB"/>
            <w:w w:val="135"/>
            <w:u w:color="0071BB"/>
          </w:rPr>
          <w:t>Madrid</w:t>
        </w:r>
        <w:proofErr w:type="spellEnd"/>
        <w:r w:rsidRPr="00FF42A7">
          <w:rPr>
            <w:color w:val="0071BB"/>
            <w:w w:val="135"/>
            <w:u w:color="0071BB"/>
          </w:rPr>
          <w:t xml:space="preserve"> przeciwko </w:t>
        </w:r>
        <w:r w:rsidRPr="00FF42A7">
          <w:rPr>
            <w:color w:val="0071BB"/>
            <w:spacing w:val="-4"/>
            <w:w w:val="135"/>
            <w:u w:color="0071BB"/>
          </w:rPr>
          <w:t>Hiszpanii</w:t>
        </w:r>
      </w:hyperlink>
    </w:p>
    <w:p w14:paraId="4A2D259E" w14:textId="03E26B88" w:rsidR="009F1A47" w:rsidRPr="00FF42A7" w:rsidRDefault="00000000">
      <w:pPr>
        <w:spacing w:before="56"/>
        <w:ind w:left="874"/>
        <w:jc w:val="both"/>
        <w:rPr>
          <w:sz w:val="18"/>
        </w:rPr>
      </w:pPr>
      <w:r w:rsidRPr="00FF42A7">
        <w:rPr>
          <w:color w:val="808080"/>
          <w:w w:val="120"/>
          <w:sz w:val="18"/>
        </w:rPr>
        <w:t>26 października</w:t>
      </w:r>
      <w:r w:rsidRPr="00FF42A7">
        <w:rPr>
          <w:color w:val="808080"/>
          <w:spacing w:val="-4"/>
          <w:w w:val="120"/>
          <w:sz w:val="18"/>
        </w:rPr>
        <w:t xml:space="preserve"> 2021</w:t>
      </w:r>
      <w:r w:rsidR="00213D8C" w:rsidRPr="00FF42A7">
        <w:rPr>
          <w:color w:val="808080"/>
          <w:spacing w:val="-4"/>
          <w:w w:val="120"/>
          <w:sz w:val="18"/>
        </w:rPr>
        <w:t xml:space="preserve"> r.</w:t>
      </w:r>
    </w:p>
    <w:p w14:paraId="4108F637" w14:textId="77777777" w:rsidR="009F1A47" w:rsidRPr="00FF42A7" w:rsidRDefault="00000000">
      <w:pPr>
        <w:pStyle w:val="Tekstpodstawowy"/>
        <w:spacing w:before="1"/>
        <w:ind w:right="870"/>
      </w:pPr>
      <w:r w:rsidRPr="00FF42A7">
        <w:rPr>
          <w:w w:val="120"/>
        </w:rPr>
        <w:t>Sprawa dotyczyła wniosku skarżącej o zmianę kolejności nazwisk, pod którymi zarejestrowano jej nieletnią córkę (urodzoną w 2005 r.). W tamtym czasie prawo hiszpańskie stanowiło, że w przypadku braku porozumienia między rodzicami dziecko nosi nazwisko ojca, a następnie nazwisko matki. Skarżąca twierdziła, że przepis ten ma charakter dyskryminujący.</w:t>
      </w:r>
    </w:p>
    <w:p w14:paraId="0FDA7154" w14:textId="46B15101"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Konwencji, stwierdzając, że powody podane przez rząd hiszpański nie były wystarczająco obiektywne i uzasadnione, aby uzasadnić odmienne traktowanie skarżącego. W szczególności automatyczny charakter stosowania prawa w tamtym czasie – który uniemożliwił sądom krajowym uwzględnienie szczególnych okoliczności sprawy – nie mógł, zdaniem Trybunału, być skutecznie uzasadniony na podstawie Konwencji. Chociaż zasada, zgodnie z którą nazwisko ojca powinno być umieszczane jako pierwsze w przypadku braku porozumienia między rodzicami, może okazać się konieczna w praktyce i nie jest z natury niezgodna z Konwencją, brak możliwości uzyskania odstępstwa</w:t>
      </w:r>
      <w:r w:rsidR="00213D8C" w:rsidRPr="00FF42A7">
        <w:rPr>
          <w:color w:val="0071BB"/>
          <w:w w:val="120"/>
        </w:rPr>
        <w:t xml:space="preserve"> </w:t>
      </w:r>
      <w:r w:rsidRPr="00FF42A7">
        <w:rPr>
          <w:color w:val="0071BB"/>
          <w:w w:val="120"/>
        </w:rPr>
        <w:t>był</w:t>
      </w:r>
      <w:r w:rsidR="00213D8C" w:rsidRPr="00FF42A7">
        <w:rPr>
          <w:color w:val="0071BB"/>
          <w:spacing w:val="61"/>
          <w:w w:val="120"/>
        </w:rPr>
        <w:t xml:space="preserve"> </w:t>
      </w:r>
      <w:r w:rsidRPr="00FF42A7">
        <w:rPr>
          <w:color w:val="0071BB"/>
          <w:w w:val="120"/>
        </w:rPr>
        <w:t>nadmiernie</w:t>
      </w:r>
      <w:r w:rsidR="00213D8C" w:rsidRPr="00FF42A7">
        <w:rPr>
          <w:color w:val="0071BB"/>
          <w:spacing w:val="60"/>
          <w:w w:val="120"/>
        </w:rPr>
        <w:t xml:space="preserve"> </w:t>
      </w:r>
      <w:r w:rsidRPr="00FF42A7">
        <w:rPr>
          <w:color w:val="0071BB"/>
          <w:w w:val="120"/>
        </w:rPr>
        <w:t>rygorystyczny i dyskryminujący</w:t>
      </w:r>
      <w:r w:rsidRPr="00FF42A7">
        <w:rPr>
          <w:color w:val="0071BB"/>
          <w:spacing w:val="61"/>
          <w:w w:val="120"/>
        </w:rPr>
        <w:t xml:space="preserve"> </w:t>
      </w:r>
      <w:r w:rsidRPr="00FF42A7">
        <w:rPr>
          <w:color w:val="0071BB"/>
          <w:w w:val="120"/>
        </w:rPr>
        <w:t>wobec</w:t>
      </w:r>
      <w:r w:rsidR="00213D8C" w:rsidRPr="00FF42A7">
        <w:rPr>
          <w:color w:val="0071BB"/>
          <w:spacing w:val="60"/>
          <w:w w:val="120"/>
        </w:rPr>
        <w:t xml:space="preserve"> </w:t>
      </w:r>
      <w:r w:rsidRPr="00FF42A7">
        <w:rPr>
          <w:color w:val="0071BB"/>
          <w:w w:val="120"/>
        </w:rPr>
        <w:t xml:space="preserve">kobiet. Ponadto, </w:t>
      </w:r>
      <w:r w:rsidR="00213D8C" w:rsidRPr="00FF42A7">
        <w:rPr>
          <w:color w:val="0071BB"/>
          <w:w w:val="120"/>
        </w:rPr>
        <w:t xml:space="preserve">o ile </w:t>
      </w:r>
      <w:r w:rsidRPr="00FF42A7">
        <w:rPr>
          <w:color w:val="0071BB"/>
          <w:w w:val="120"/>
        </w:rPr>
        <w:t xml:space="preserve">umieszczenie nazwiska ojca jako pierwszego może służyć pewności prawnej, </w:t>
      </w:r>
      <w:r w:rsidR="00213D8C" w:rsidRPr="00FF42A7">
        <w:rPr>
          <w:color w:val="0071BB"/>
          <w:w w:val="120"/>
        </w:rPr>
        <w:t xml:space="preserve">o tyle </w:t>
      </w:r>
      <w:r w:rsidRPr="00FF42A7">
        <w:rPr>
          <w:color w:val="0071BB"/>
          <w:w w:val="120"/>
        </w:rPr>
        <w:t xml:space="preserve">ten sam cel </w:t>
      </w:r>
      <w:r w:rsidR="006B21D8" w:rsidRPr="00FF42A7">
        <w:rPr>
          <w:color w:val="0071BB"/>
          <w:w w:val="120"/>
        </w:rPr>
        <w:t xml:space="preserve">mógłby zostać </w:t>
      </w:r>
      <w:r w:rsidRPr="00FF42A7">
        <w:rPr>
          <w:color w:val="0071BB"/>
          <w:w w:val="120"/>
        </w:rPr>
        <w:t>osiągn</w:t>
      </w:r>
      <w:r w:rsidR="006B21D8" w:rsidRPr="00FF42A7">
        <w:rPr>
          <w:color w:val="0071BB"/>
          <w:w w:val="120"/>
        </w:rPr>
        <w:t>ięty</w:t>
      </w:r>
      <w:r w:rsidRPr="00FF42A7">
        <w:rPr>
          <w:color w:val="0071BB"/>
          <w:w w:val="120"/>
        </w:rPr>
        <w:t xml:space="preserve"> poprzez umieszczenie nazwiska matki </w:t>
      </w:r>
      <w:r w:rsidR="006B21D8" w:rsidRPr="00FF42A7">
        <w:rPr>
          <w:color w:val="0071BB"/>
          <w:w w:val="120"/>
        </w:rPr>
        <w:t xml:space="preserve">na </w:t>
      </w:r>
      <w:r w:rsidRPr="00FF42A7">
        <w:rPr>
          <w:color w:val="0071BB"/>
          <w:w w:val="120"/>
        </w:rPr>
        <w:t>tym miejscu.</w:t>
      </w:r>
    </w:p>
    <w:p w14:paraId="4A3A52B8" w14:textId="77777777" w:rsidR="009F1A47" w:rsidRPr="00FF42A7" w:rsidRDefault="00000000">
      <w:pPr>
        <w:pStyle w:val="Nagwek1"/>
        <w:spacing w:before="227"/>
      </w:pPr>
      <w:r w:rsidRPr="00FF42A7">
        <w:rPr>
          <w:color w:val="808080"/>
          <w:w w:val="120"/>
          <w:sz w:val="29"/>
        </w:rPr>
        <w:t xml:space="preserve">Obliczenie </w:t>
      </w:r>
      <w:r w:rsidRPr="00FF42A7">
        <w:rPr>
          <w:color w:val="808080"/>
          <w:spacing w:val="-2"/>
          <w:w w:val="120"/>
          <w:sz w:val="29"/>
        </w:rPr>
        <w:t xml:space="preserve">renty </w:t>
      </w:r>
      <w:r w:rsidRPr="00FF42A7">
        <w:rPr>
          <w:color w:val="808080"/>
          <w:w w:val="120"/>
          <w:sz w:val="29"/>
        </w:rPr>
        <w:t>inwalidzkiej</w:t>
      </w:r>
    </w:p>
    <w:p w14:paraId="3A844751" w14:textId="77777777" w:rsidR="009F1A47" w:rsidRPr="00FF42A7" w:rsidRDefault="009F1A47">
      <w:pPr>
        <w:pStyle w:val="Nagwek2"/>
        <w:spacing w:before="111"/>
        <w:rPr>
          <w:u w:val="none"/>
        </w:rPr>
      </w:pPr>
      <w:hyperlink r:id="rId60">
        <w:r w:rsidRPr="00FF42A7">
          <w:rPr>
            <w:color w:val="0071BB"/>
            <w:w w:val="135"/>
            <w:u w:color="0071BB"/>
          </w:rPr>
          <w:t xml:space="preserve">di </w:t>
        </w:r>
        <w:proofErr w:type="spellStart"/>
        <w:r w:rsidRPr="00FF42A7">
          <w:rPr>
            <w:color w:val="0071BB"/>
            <w:w w:val="135"/>
            <w:u w:color="0071BB"/>
          </w:rPr>
          <w:t>Trizio</w:t>
        </w:r>
        <w:proofErr w:type="spellEnd"/>
        <w:r w:rsidRPr="00FF42A7">
          <w:rPr>
            <w:color w:val="0071BB"/>
            <w:w w:val="135"/>
            <w:u w:color="0071BB"/>
          </w:rPr>
          <w:t xml:space="preserve"> przeciwko </w:t>
        </w:r>
        <w:r w:rsidRPr="00FF42A7">
          <w:rPr>
            <w:color w:val="0071BB"/>
            <w:spacing w:val="-2"/>
            <w:w w:val="135"/>
            <w:u w:color="0071BB"/>
          </w:rPr>
          <w:t>Szwajcarii</w:t>
        </w:r>
      </w:hyperlink>
    </w:p>
    <w:p w14:paraId="7FB0CC88" w14:textId="77777777" w:rsidR="009F1A47" w:rsidRPr="00FF42A7" w:rsidRDefault="00000000">
      <w:pPr>
        <w:spacing w:before="58"/>
        <w:ind w:left="874"/>
        <w:jc w:val="both"/>
        <w:rPr>
          <w:sz w:val="18"/>
        </w:rPr>
      </w:pPr>
      <w:r w:rsidRPr="00FF42A7">
        <w:rPr>
          <w:color w:val="808080"/>
          <w:w w:val="125"/>
          <w:sz w:val="18"/>
        </w:rPr>
        <w:t>2 lutego</w:t>
      </w:r>
      <w:r w:rsidRPr="00FF42A7">
        <w:rPr>
          <w:color w:val="808080"/>
          <w:spacing w:val="-4"/>
          <w:w w:val="125"/>
          <w:sz w:val="18"/>
        </w:rPr>
        <w:t xml:space="preserve"> 2016 r.</w:t>
      </w:r>
    </w:p>
    <w:p w14:paraId="3CA38301" w14:textId="30076C4B" w:rsidR="009F1A47" w:rsidRPr="00FF42A7" w:rsidRDefault="00754234">
      <w:pPr>
        <w:pStyle w:val="Tekstpodstawowy"/>
        <w:spacing w:before="1"/>
        <w:ind w:right="872"/>
      </w:pPr>
      <w:r w:rsidRPr="00FF42A7">
        <w:rPr>
          <w:w w:val="120"/>
        </w:rPr>
        <w:t xml:space="preserve">Skarżąca początkowo pracowała w pełnym wymiarze czasu pracy, ale w czerwcu 2002 r. musiała zrezygnować z pracy z powodu problemów ze zdrowiem. Otrzymała 50% renty inwalidzkiej na okres od czerwca 2002 r. do narodzin </w:t>
      </w:r>
      <w:r w:rsidR="00ED7723" w:rsidRPr="00FF42A7">
        <w:rPr>
          <w:w w:val="120"/>
        </w:rPr>
        <w:t xml:space="preserve">jej </w:t>
      </w:r>
      <w:r w:rsidRPr="00FF42A7">
        <w:rPr>
          <w:w w:val="120"/>
        </w:rPr>
        <w:t>bliźniąt. Zasiłek został później wstrzymany w związku z zastosowaniem „metody łączonej”, która zakładała, że nawet gdyby skarżąca nie była niepełnosprawna, nie pracowałaby w pełnym wymiarze czasu pracy po urodzeniu dzieci. Podnosiła, że została dyskryminowana ze względu na płeć.</w:t>
      </w:r>
    </w:p>
    <w:p w14:paraId="67E5921B" w14:textId="5084276F" w:rsidR="009F1A47" w:rsidRPr="00FF42A7" w:rsidRDefault="00000000">
      <w:pPr>
        <w:pStyle w:val="Tekstpodstawowy"/>
        <w:spacing w:line="237" w:lineRule="auto"/>
        <w:ind w:left="873" w:right="872"/>
      </w:pPr>
      <w:r w:rsidRPr="00FF42A7">
        <w:rPr>
          <w:color w:val="0071BB"/>
          <w:w w:val="120"/>
        </w:rPr>
        <w:t>Trybunał nie był przekonany, że różnica w traktowaniu, jakiej doświadczył</w:t>
      </w:r>
      <w:r w:rsidR="00754234" w:rsidRPr="00FF42A7">
        <w:rPr>
          <w:color w:val="0071BB"/>
          <w:w w:val="120"/>
        </w:rPr>
        <w:t>a</w:t>
      </w:r>
      <w:r w:rsidRPr="00FF42A7">
        <w:rPr>
          <w:color w:val="0071BB"/>
          <w:w w:val="120"/>
        </w:rPr>
        <w:t xml:space="preserve"> skarżąc</w:t>
      </w:r>
      <w:r w:rsidR="00754234" w:rsidRPr="00FF42A7">
        <w:rPr>
          <w:color w:val="0071BB"/>
          <w:w w:val="120"/>
        </w:rPr>
        <w:t>a</w:t>
      </w:r>
      <w:r w:rsidRPr="00FF42A7">
        <w:rPr>
          <w:color w:val="0071BB"/>
          <w:w w:val="120"/>
        </w:rPr>
        <w:t xml:space="preserve">, miała uzasadnienie, i uznał, że 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Trybunał przyjął argument rządu szwajcarskiego, że celem ubezpieczenia na wypadek niepełnosprawności jest ubezpieczenie osób fizycznych od ryzyka utraty zdolności do wykonywania pracy zarobkowej lub wykonywania rutynowych czynności, które byłyby w stanie wykonywać,</w:t>
      </w:r>
      <w:r w:rsidR="006B21D8" w:rsidRPr="00FF42A7">
        <w:rPr>
          <w:color w:val="0071BB"/>
          <w:w w:val="120"/>
        </w:rPr>
        <w:t xml:space="preserve"> gdyby pozostały w dobrym stanie zdrowia. Trybunał uznał jednak, że cel ten należy oceniać </w:t>
      </w:r>
      <w:r w:rsidRPr="00FF42A7">
        <w:rPr>
          <w:color w:val="0071BB"/>
          <w:w w:val="120"/>
        </w:rPr>
        <w:t xml:space="preserve"> </w:t>
      </w:r>
      <w:r w:rsidR="006B21D8" w:rsidRPr="00FF42A7">
        <w:rPr>
          <w:color w:val="0071BB"/>
          <w:w w:val="120"/>
        </w:rPr>
        <w:br/>
      </w:r>
    </w:p>
    <w:p w14:paraId="6D23005B" w14:textId="77777777" w:rsidR="009F1A47" w:rsidRPr="00FF42A7" w:rsidRDefault="009F1A47">
      <w:pPr>
        <w:pStyle w:val="Tekstpodstawowy"/>
        <w:spacing w:line="237" w:lineRule="auto"/>
        <w:sectPr w:rsidR="009F1A47" w:rsidRPr="00FF42A7">
          <w:pgSz w:w="11910" w:h="16840"/>
          <w:pgMar w:top="1400" w:right="566" w:bottom="680" w:left="566" w:header="720" w:footer="497" w:gutter="0"/>
          <w:cols w:space="708"/>
        </w:sectPr>
      </w:pPr>
    </w:p>
    <w:p w14:paraId="72D18822" w14:textId="77777777" w:rsidR="009F1A47" w:rsidRPr="00FF42A7" w:rsidRDefault="009F1A47">
      <w:pPr>
        <w:pStyle w:val="Tekstpodstawowy"/>
        <w:spacing w:before="59"/>
        <w:ind w:left="0"/>
        <w:jc w:val="left"/>
      </w:pPr>
    </w:p>
    <w:p w14:paraId="6B6081E6" w14:textId="32F9561D" w:rsidR="009F1A47" w:rsidRPr="00FF42A7" w:rsidRDefault="00000000">
      <w:pPr>
        <w:pStyle w:val="Tekstpodstawowy"/>
        <w:spacing w:before="1"/>
        <w:ind w:right="870"/>
      </w:pPr>
      <w:r w:rsidRPr="00FF42A7">
        <w:rPr>
          <w:color w:val="0071BB"/>
          <w:w w:val="120"/>
        </w:rPr>
        <w:t>w świetle zasady równości płci. W sprawie skarżącej</w:t>
      </w:r>
      <w:r w:rsidR="006B21D8" w:rsidRPr="00FF42A7">
        <w:rPr>
          <w:color w:val="0071BB"/>
          <w:w w:val="120"/>
        </w:rPr>
        <w:t>,</w:t>
      </w:r>
      <w:r w:rsidRPr="00FF42A7">
        <w:rPr>
          <w:color w:val="0071BB"/>
          <w:w w:val="120"/>
        </w:rPr>
        <w:t xml:space="preserve"> Trybunał zauważył, że prawdopodobnie otrzymałaby ona zasiłek z tytułu częściowej niezdolności do pracy, gdyby pracowała w pełnym wymiarze czasu lub poświęcała się wyłącznie obowiązkom domowym. Ponieważ wcześniej pracowała w pełnym wymiarze czasu, pierwotnie przyznano jej zasiłek, który otrzymywała do momentu urodzenia dzieci. Było zatem oczywiste, że decyzja o odmowie przyznania jej prawa do zasiłku została podjęta na podstawie jej oświadczenia, że chce skrócić czas pracy, aby opiekować się dziećmi i domem. W praktyce dla zdecydowanej większości kobiet pragnących pracować w niepełnym wymiarze godzin po urodzeniu dzieci metoda łączna, stosowana w 98% przypadków wobec kobiet, stanowiła źródło dyskryminacji.</w:t>
      </w:r>
    </w:p>
    <w:p w14:paraId="70645701" w14:textId="77777777" w:rsidR="009F1A47" w:rsidRPr="00FF42A7" w:rsidRDefault="00000000">
      <w:pPr>
        <w:pStyle w:val="Nagwek1"/>
        <w:spacing w:before="234"/>
      </w:pPr>
      <w:r w:rsidRPr="00FF42A7">
        <w:rPr>
          <w:color w:val="808080"/>
          <w:w w:val="120"/>
          <w:sz w:val="29"/>
        </w:rPr>
        <w:t xml:space="preserve">Określenie miejsca </w:t>
      </w:r>
      <w:r w:rsidRPr="00FF42A7">
        <w:rPr>
          <w:color w:val="808080"/>
          <w:spacing w:val="-2"/>
          <w:w w:val="120"/>
          <w:sz w:val="29"/>
        </w:rPr>
        <w:t xml:space="preserve">zamieszkania </w:t>
      </w:r>
      <w:r w:rsidRPr="00FF42A7">
        <w:rPr>
          <w:color w:val="808080"/>
          <w:w w:val="120"/>
          <w:sz w:val="29"/>
        </w:rPr>
        <w:t>dziecka</w:t>
      </w:r>
    </w:p>
    <w:p w14:paraId="546AA458" w14:textId="78E9B5C5" w:rsidR="009F1A47" w:rsidRPr="00FF42A7" w:rsidRDefault="009F1A47">
      <w:pPr>
        <w:pStyle w:val="Nagwek2"/>
        <w:spacing w:before="110"/>
        <w:rPr>
          <w:b w:val="0"/>
          <w:position w:val="7"/>
          <w:sz w:val="13"/>
          <w:u w:val="none"/>
        </w:rPr>
      </w:pPr>
      <w:hyperlink r:id="rId61">
        <w:proofErr w:type="spellStart"/>
        <w:r w:rsidRPr="00FF42A7">
          <w:rPr>
            <w:color w:val="0071BB"/>
            <w:w w:val="135"/>
            <w:u w:color="0071BB"/>
          </w:rPr>
          <w:t>Tapayeva</w:t>
        </w:r>
        <w:proofErr w:type="spellEnd"/>
        <w:r w:rsidRPr="00FF42A7">
          <w:rPr>
            <w:color w:val="0071BB"/>
            <w:w w:val="135"/>
            <w:u w:color="0071BB"/>
          </w:rPr>
          <w:t xml:space="preserve"> i </w:t>
        </w:r>
        <w:r w:rsidR="00364237" w:rsidRPr="00FF42A7">
          <w:rPr>
            <w:color w:val="0071BB"/>
            <w:w w:val="135"/>
            <w:u w:color="0071BB"/>
          </w:rPr>
          <w:t>Inni</w:t>
        </w:r>
        <w:r w:rsidRPr="00FF42A7">
          <w:rPr>
            <w:color w:val="0071BB"/>
            <w:w w:val="135"/>
            <w:u w:color="0071BB"/>
          </w:rPr>
          <w:t xml:space="preserve"> przeciwko </w:t>
        </w:r>
        <w:r w:rsidRPr="00FF42A7">
          <w:rPr>
            <w:color w:val="0071BB"/>
            <w:spacing w:val="-2"/>
            <w:w w:val="135"/>
            <w:u w:color="0071BB"/>
          </w:rPr>
          <w:t>Rosji</w:t>
        </w:r>
      </w:hyperlink>
      <w:hyperlink w:anchor="_bookmark3" w:history="1">
        <w:r w:rsidRPr="00FF42A7">
          <w:rPr>
            <w:b w:val="0"/>
            <w:spacing w:val="-2"/>
            <w:w w:val="135"/>
            <w:position w:val="7"/>
            <w:sz w:val="13"/>
            <w:u w:val="none"/>
          </w:rPr>
          <w:t>4</w:t>
        </w:r>
      </w:hyperlink>
    </w:p>
    <w:p w14:paraId="1A2F9BDD" w14:textId="35205A62" w:rsidR="009F1A47" w:rsidRPr="00FF42A7" w:rsidRDefault="00000000">
      <w:pPr>
        <w:spacing w:before="56"/>
        <w:ind w:left="874"/>
        <w:jc w:val="both"/>
        <w:rPr>
          <w:sz w:val="18"/>
        </w:rPr>
      </w:pPr>
      <w:r w:rsidRPr="00FF42A7">
        <w:rPr>
          <w:color w:val="808080"/>
          <w:spacing w:val="-2"/>
          <w:w w:val="125"/>
          <w:sz w:val="18"/>
        </w:rPr>
        <w:t>23 listopada</w:t>
      </w:r>
      <w:r w:rsidRPr="00FF42A7">
        <w:rPr>
          <w:color w:val="808080"/>
          <w:spacing w:val="-4"/>
          <w:w w:val="125"/>
          <w:sz w:val="18"/>
        </w:rPr>
        <w:t xml:space="preserve"> 2021</w:t>
      </w:r>
      <w:r w:rsidR="00364237" w:rsidRPr="00FF42A7">
        <w:rPr>
          <w:color w:val="808080"/>
          <w:spacing w:val="-4"/>
          <w:w w:val="125"/>
          <w:sz w:val="18"/>
        </w:rPr>
        <w:t xml:space="preserve"> r.</w:t>
      </w:r>
    </w:p>
    <w:p w14:paraId="2F7B233C" w14:textId="400AA2E6" w:rsidR="009F1A47" w:rsidRPr="00FF42A7" w:rsidRDefault="00364237">
      <w:pPr>
        <w:pStyle w:val="Tekstpodstawowy"/>
        <w:spacing w:before="4"/>
        <w:ind w:right="870"/>
      </w:pPr>
      <w:r w:rsidRPr="00FF42A7">
        <w:rPr>
          <w:w w:val="120"/>
        </w:rPr>
        <w:t xml:space="preserve">Skarżącymi były matka i jej cztery córki, wszystkie mieszkające w Republice Czeczeńskiej. Sprawa dotyczyła prób pierwszej skarżącej zmierzających do zapewnienia przez </w:t>
      </w:r>
      <w:r w:rsidR="000235F6" w:rsidRPr="00FF42A7">
        <w:rPr>
          <w:w w:val="120"/>
        </w:rPr>
        <w:t>P</w:t>
      </w:r>
      <w:r w:rsidRPr="00FF42A7">
        <w:rPr>
          <w:w w:val="120"/>
        </w:rPr>
        <w:t xml:space="preserve">aństwo ponownego połączenia jej z córkami. Po śmierci ojca </w:t>
      </w:r>
      <w:r w:rsidR="00D616CB" w:rsidRPr="00FF42A7">
        <w:rPr>
          <w:w w:val="120"/>
        </w:rPr>
        <w:t xml:space="preserve">dzieci </w:t>
      </w:r>
      <w:r w:rsidRPr="00FF42A7">
        <w:rPr>
          <w:w w:val="120"/>
        </w:rPr>
        <w:t>podczas służby wojskowej</w:t>
      </w:r>
      <w:r w:rsidR="00D616CB" w:rsidRPr="00FF42A7">
        <w:rPr>
          <w:w w:val="120"/>
        </w:rPr>
        <w:t xml:space="preserve">, </w:t>
      </w:r>
      <w:r w:rsidRPr="00FF42A7">
        <w:rPr>
          <w:w w:val="120"/>
        </w:rPr>
        <w:t xml:space="preserve">zostały </w:t>
      </w:r>
      <w:r w:rsidR="00D616CB" w:rsidRPr="00FF42A7">
        <w:rPr>
          <w:w w:val="120"/>
        </w:rPr>
        <w:t xml:space="preserve">one </w:t>
      </w:r>
      <w:r w:rsidRPr="00FF42A7">
        <w:rPr>
          <w:w w:val="120"/>
        </w:rPr>
        <w:t>rzekomo porwane przez dziadka ze strony ojca. Pierwsza skarżąca twierdziła, że od tego czasu uniemożliwiono jej kontakt z córkami.</w:t>
      </w:r>
    </w:p>
    <w:p w14:paraId="2203863F" w14:textId="60729562"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8 </w:t>
      </w:r>
      <w:r w:rsidRPr="00FF42A7">
        <w:rPr>
          <w:color w:val="0071BB"/>
          <w:w w:val="120"/>
        </w:rPr>
        <w:t xml:space="preserve">(prawo do poszanowania życia prywatnego i rodzinnego) Konwencji w odniesieniu do wszystkich skarżących, ponieważ władze krajowe nie podjęły rozsądnych i terminowych środków w celu ponownego połączenia matki z dziećmi po ich uprowadzeniu przez dziadka ze strony ojca. Uznał również, że doszło </w:t>
      </w:r>
      <w:r w:rsidRPr="00FF42A7">
        <w:rPr>
          <w:b/>
          <w:color w:val="0071BB"/>
          <w:w w:val="120"/>
        </w:rPr>
        <w:t xml:space="preserve">do naruszenia art. 14 </w:t>
      </w:r>
      <w:r w:rsidRPr="00FF42A7">
        <w:rPr>
          <w:bCs/>
          <w:color w:val="0071BB"/>
          <w:spacing w:val="80"/>
          <w:w w:val="120"/>
        </w:rPr>
        <w:t>(</w:t>
      </w:r>
      <w:r w:rsidRPr="00FF42A7">
        <w:rPr>
          <w:color w:val="0071BB"/>
          <w:w w:val="120"/>
        </w:rPr>
        <w:t xml:space="preserve">zakaz dyskryminacji) </w:t>
      </w:r>
      <w:r w:rsidRPr="00FF42A7">
        <w:rPr>
          <w:b/>
          <w:color w:val="0071BB"/>
          <w:w w:val="120"/>
        </w:rPr>
        <w:t>w związku z art</w:t>
      </w:r>
      <w:r w:rsidRPr="00FF42A7">
        <w:rPr>
          <w:b/>
          <w:color w:val="0071BB"/>
          <w:spacing w:val="40"/>
          <w:w w:val="120"/>
        </w:rPr>
        <w:t xml:space="preserve">. 8 </w:t>
      </w:r>
      <w:r w:rsidRPr="00FF42A7">
        <w:rPr>
          <w:color w:val="0071BB"/>
          <w:w w:val="120"/>
        </w:rPr>
        <w:t xml:space="preserve">Konwencji w odniesieniu do pierwszej skarżącej, stwierdzając, że sposób zastosowania odpowiednich przepisów w niniejszej sprawie stanowił dyskryminację ze względu na płeć, </w:t>
      </w:r>
      <w:r w:rsidR="00775D1A">
        <w:rPr>
          <w:color w:val="0071BB"/>
          <w:spacing w:val="80"/>
          <w:w w:val="120"/>
        </w:rPr>
        <w:t xml:space="preserve">a </w:t>
      </w:r>
      <w:r w:rsidR="00775D1A" w:rsidRPr="00775D1A">
        <w:rPr>
          <w:color w:val="0071BB"/>
          <w:w w:val="120"/>
        </w:rPr>
        <w:t>pozwany rząd</w:t>
      </w:r>
      <w:r w:rsidR="00775D1A">
        <w:rPr>
          <w:color w:val="0071BB"/>
          <w:spacing w:val="80"/>
          <w:w w:val="120"/>
        </w:rPr>
        <w:t xml:space="preserve"> </w:t>
      </w:r>
      <w:r w:rsidRPr="00FF42A7">
        <w:rPr>
          <w:color w:val="0071BB"/>
          <w:w w:val="120"/>
        </w:rPr>
        <w:t xml:space="preserve">nie przedstawił obiektywnego i </w:t>
      </w:r>
      <w:r w:rsidR="0070030D" w:rsidRPr="00FF42A7">
        <w:rPr>
          <w:color w:val="0071BB"/>
          <w:w w:val="120"/>
        </w:rPr>
        <w:t xml:space="preserve">rozsądnego </w:t>
      </w:r>
      <w:r w:rsidRPr="00FF42A7">
        <w:rPr>
          <w:color w:val="0071BB"/>
          <w:w w:val="120"/>
        </w:rPr>
        <w:t>uzasadnienia. W niniejszej sprawie Trybunał zwrócił szczególną uwagę na brak pomocy pierwszej skarżącej, wdowie, w ponownym połączeniu jej z dziećmi, które zostały porwane przez dziadka ze strony ojca w kontekście regionalnych stereotypów dotyczących płci i praktyk patriarchalnych.</w:t>
      </w:r>
    </w:p>
    <w:p w14:paraId="7C41E35E" w14:textId="77777777" w:rsidR="009F1A47" w:rsidRPr="00FF42A7" w:rsidRDefault="00000000">
      <w:pPr>
        <w:pStyle w:val="Nagwek1"/>
        <w:spacing w:before="226"/>
      </w:pPr>
      <w:r w:rsidRPr="00FF42A7">
        <w:rPr>
          <w:color w:val="808080"/>
          <w:w w:val="120"/>
          <w:sz w:val="29"/>
        </w:rPr>
        <w:t xml:space="preserve">Różnice w </w:t>
      </w:r>
      <w:r w:rsidRPr="00FF42A7">
        <w:rPr>
          <w:color w:val="808080"/>
          <w:spacing w:val="-2"/>
          <w:w w:val="120"/>
          <w:sz w:val="29"/>
        </w:rPr>
        <w:t xml:space="preserve">rozwoju </w:t>
      </w:r>
      <w:r w:rsidRPr="00FF42A7">
        <w:rPr>
          <w:color w:val="808080"/>
          <w:w w:val="120"/>
          <w:sz w:val="29"/>
        </w:rPr>
        <w:t>płciowym</w:t>
      </w:r>
    </w:p>
    <w:p w14:paraId="06BC8E1B" w14:textId="77777777" w:rsidR="009F1A47" w:rsidRPr="00FF42A7" w:rsidRDefault="00000000">
      <w:pPr>
        <w:pStyle w:val="Tekstpodstawowy"/>
        <w:spacing w:before="2"/>
        <w:ind w:left="0"/>
        <w:jc w:val="left"/>
        <w:rPr>
          <w:sz w:val="6"/>
        </w:rPr>
      </w:pPr>
      <w:r w:rsidRPr="00FF42A7">
        <w:rPr>
          <w:noProof/>
          <w:sz w:val="6"/>
        </w:rPr>
        <mc:AlternateContent>
          <mc:Choice Requires="wps">
            <w:drawing>
              <wp:anchor distT="0" distB="0" distL="0" distR="0" simplePos="0" relativeHeight="251661312" behindDoc="1" locked="0" layoutInCell="1" allowOverlap="1" wp14:anchorId="5F29A070" wp14:editId="21B9C4E1">
                <wp:simplePos x="0" y="0"/>
                <wp:positionH relativeFrom="page">
                  <wp:posOffset>893445</wp:posOffset>
                </wp:positionH>
                <wp:positionV relativeFrom="paragraph">
                  <wp:posOffset>66040</wp:posOffset>
                </wp:positionV>
                <wp:extent cx="5768340" cy="2756535"/>
                <wp:effectExtent l="0" t="0" r="3810" b="5715"/>
                <wp:wrapTopAndBottom/>
                <wp:docPr id="23" name="Textbox 23"/>
                <wp:cNvGraphicFramePr/>
                <a:graphic xmlns:a="http://schemas.openxmlformats.org/drawingml/2006/main">
                  <a:graphicData uri="http://schemas.microsoft.com/office/word/2010/wordprocessingShape">
                    <wps:wsp>
                      <wps:cNvSpPr txBox="1"/>
                      <wps:spPr>
                        <a:xfrm>
                          <a:off x="0" y="0"/>
                          <a:ext cx="5768340" cy="2756535"/>
                        </a:xfrm>
                        <a:prstGeom prst="rect">
                          <a:avLst/>
                        </a:prstGeom>
                        <a:solidFill>
                          <a:srgbClr val="F3F3F3"/>
                        </a:solidFill>
                      </wps:spPr>
                      <wps:txbx>
                        <w:txbxContent>
                          <w:p w14:paraId="61A1EC0E" w14:textId="71449441" w:rsidR="009F1A47" w:rsidRPr="00FF42A7" w:rsidRDefault="006C253F">
                            <w:pPr>
                              <w:spacing w:before="11"/>
                              <w:ind w:left="28"/>
                              <w:rPr>
                                <w:b/>
                                <w:color w:val="000000"/>
                                <w:sz w:val="20"/>
                              </w:rPr>
                            </w:pPr>
                            <w:r>
                              <w:rPr>
                                <w:b/>
                                <w:color w:val="5F5F5F"/>
                                <w:w w:val="130"/>
                                <w:sz w:val="20"/>
                              </w:rPr>
                              <w:t>Skarga</w:t>
                            </w:r>
                            <w:r w:rsidR="00000000" w:rsidRPr="00FF42A7">
                              <w:rPr>
                                <w:b/>
                                <w:color w:val="5F5F5F"/>
                                <w:w w:val="130"/>
                                <w:sz w:val="20"/>
                              </w:rPr>
                              <w:t xml:space="preserve"> oczekująca na rozpatrzenie przez Wielką </w:t>
                            </w:r>
                            <w:r w:rsidR="00000000" w:rsidRPr="00FF42A7">
                              <w:rPr>
                                <w:b/>
                                <w:color w:val="5F5F5F"/>
                                <w:spacing w:val="-2"/>
                                <w:w w:val="130"/>
                                <w:sz w:val="20"/>
                              </w:rPr>
                              <w:t>Izbę</w:t>
                            </w:r>
                          </w:p>
                          <w:p w14:paraId="1BE9CA47" w14:textId="77777777" w:rsidR="009F1A47" w:rsidRPr="00FF42A7" w:rsidRDefault="009F1A47">
                            <w:pPr>
                              <w:spacing w:before="121"/>
                              <w:ind w:left="28"/>
                              <w:rPr>
                                <w:b/>
                                <w:color w:val="000000"/>
                                <w:sz w:val="20"/>
                              </w:rPr>
                            </w:pPr>
                            <w:hyperlink r:id="rId62">
                              <w:proofErr w:type="spellStart"/>
                              <w:r w:rsidRPr="00FF42A7">
                                <w:rPr>
                                  <w:b/>
                                  <w:color w:val="0071BB"/>
                                  <w:w w:val="135"/>
                                  <w:sz w:val="20"/>
                                  <w:u w:val="single" w:color="0071BB"/>
                                </w:rPr>
                                <w:t>Semenya</w:t>
                              </w:r>
                              <w:proofErr w:type="spellEnd"/>
                              <w:r w:rsidRPr="00FF42A7">
                                <w:rPr>
                                  <w:b/>
                                  <w:color w:val="0071BB"/>
                                  <w:w w:val="135"/>
                                  <w:sz w:val="20"/>
                                  <w:u w:val="single" w:color="0071BB"/>
                                </w:rPr>
                                <w:t xml:space="preserve"> przeciwko </w:t>
                              </w:r>
                              <w:r w:rsidRPr="00FF42A7">
                                <w:rPr>
                                  <w:b/>
                                  <w:color w:val="0071BB"/>
                                  <w:spacing w:val="-2"/>
                                  <w:w w:val="135"/>
                                  <w:sz w:val="20"/>
                                  <w:u w:val="single" w:color="0071BB"/>
                                </w:rPr>
                                <w:t>Szwajcarii</w:t>
                              </w:r>
                            </w:hyperlink>
                          </w:p>
                          <w:p w14:paraId="7301BC90" w14:textId="5576DD8B" w:rsidR="009F1A47" w:rsidRPr="00FF42A7" w:rsidRDefault="00000000">
                            <w:pPr>
                              <w:spacing w:before="55"/>
                              <w:ind w:left="28"/>
                              <w:rPr>
                                <w:color w:val="000000"/>
                                <w:sz w:val="18"/>
                              </w:rPr>
                            </w:pPr>
                            <w:r w:rsidRPr="00FF42A7">
                              <w:rPr>
                                <w:color w:val="808080"/>
                                <w:w w:val="125"/>
                                <w:sz w:val="18"/>
                              </w:rPr>
                              <w:t xml:space="preserve">11 lipca 2023 r. (wyrok Izby) – </w:t>
                            </w:r>
                            <w:r w:rsidR="006C253F">
                              <w:rPr>
                                <w:color w:val="808080"/>
                                <w:w w:val="125"/>
                                <w:sz w:val="18"/>
                              </w:rPr>
                              <w:t>skarga</w:t>
                            </w:r>
                            <w:r w:rsidRPr="00FF42A7">
                              <w:rPr>
                                <w:color w:val="808080"/>
                                <w:w w:val="125"/>
                                <w:sz w:val="18"/>
                              </w:rPr>
                              <w:t xml:space="preserve"> przekazana do Wielkiej Izby w listopadzie</w:t>
                            </w:r>
                            <w:r w:rsidRPr="00FF42A7">
                              <w:rPr>
                                <w:color w:val="808080"/>
                                <w:spacing w:val="-4"/>
                                <w:w w:val="125"/>
                                <w:sz w:val="18"/>
                              </w:rPr>
                              <w:t xml:space="preserve"> 2023</w:t>
                            </w:r>
                            <w:r w:rsidRPr="00FF42A7">
                              <w:rPr>
                                <w:color w:val="808080"/>
                                <w:spacing w:val="-2"/>
                                <w:w w:val="125"/>
                                <w:sz w:val="18"/>
                              </w:rPr>
                              <w:t xml:space="preserve"> r.</w:t>
                            </w:r>
                          </w:p>
                          <w:p w14:paraId="24ABD80D" w14:textId="1F80E9C4" w:rsidR="009F1A47" w:rsidRPr="00FF42A7" w:rsidRDefault="00360C65">
                            <w:pPr>
                              <w:pStyle w:val="Tekstpodstawowy"/>
                              <w:spacing w:before="1"/>
                              <w:ind w:left="28" w:right="24"/>
                              <w:rPr>
                                <w:color w:val="000000"/>
                              </w:rPr>
                            </w:pPr>
                            <w:r w:rsidRPr="00FF42A7">
                              <w:rPr>
                                <w:color w:val="000000"/>
                                <w:w w:val="120"/>
                              </w:rPr>
                              <w:t>Skarżąca, międzynarodowa lekkoatletka specjalizująca się w biegach średniodystansowych, skarży się na niektóre przepisy Międzynarodowej Federacji Lekkoatletycznej (</w:t>
                            </w:r>
                            <w:r w:rsidRPr="00FF42A7">
                              <w:rPr>
                                <w:i/>
                                <w:iCs/>
                                <w:color w:val="000000"/>
                                <w:w w:val="120"/>
                              </w:rPr>
                              <w:t>IAAF</w:t>
                            </w:r>
                            <w:r w:rsidRPr="00FF42A7">
                              <w:rPr>
                                <w:color w:val="000000"/>
                                <w:w w:val="120"/>
                              </w:rPr>
                              <w:t xml:space="preserve"> – obecnie </w:t>
                            </w:r>
                            <w:r w:rsidRPr="00FF42A7">
                              <w:rPr>
                                <w:i/>
                                <w:iCs/>
                                <w:color w:val="000000"/>
                                <w:w w:val="120"/>
                              </w:rPr>
                              <w:t xml:space="preserve">World </w:t>
                            </w:r>
                            <w:proofErr w:type="spellStart"/>
                            <w:r w:rsidRPr="00FF42A7">
                              <w:rPr>
                                <w:i/>
                                <w:iCs/>
                                <w:color w:val="000000"/>
                                <w:w w:val="120"/>
                              </w:rPr>
                              <w:t>Athletics</w:t>
                            </w:r>
                            <w:proofErr w:type="spellEnd"/>
                            <w:r w:rsidRPr="00FF42A7">
                              <w:rPr>
                                <w:color w:val="000000"/>
                                <w:w w:val="120"/>
                              </w:rPr>
                              <w:t xml:space="preserve">), które wymagają od niej poddania się terapii hormonalnej w celu obniżenia naturalnego poziomu testosteronu, aby mogła brać udział w międzynarodowych zawodach w kategorii kobiet. Po odmowie poddania się terapii nie może już brać udziału w międzynarodowych zawodach. Jej skargi na przedmiotowe przepisy, wniesione do Trybunału Arbitrażowego ds. Sportu </w:t>
                            </w:r>
                            <w:r w:rsidRPr="00FF42A7">
                              <w:rPr>
                                <w:color w:val="000000"/>
                                <w:spacing w:val="40"/>
                                <w:w w:val="120"/>
                              </w:rPr>
                              <w:t>(</w:t>
                            </w:r>
                            <w:r w:rsidRPr="00FF42A7">
                              <w:rPr>
                                <w:i/>
                                <w:iCs/>
                                <w:color w:val="000000"/>
                                <w:w w:val="120"/>
                              </w:rPr>
                              <w:t>CAS</w:t>
                            </w:r>
                            <w:r w:rsidRPr="00FF42A7">
                              <w:rPr>
                                <w:color w:val="000000"/>
                                <w:w w:val="120"/>
                              </w:rPr>
                              <w:t>) i szwajcarskiego Sądu Federalnego, zostały oddalone. Skarżąca twierdzi, że została poddana dyskryminacji ze względu na różnice w rozwoju płciowym, które powodują, że ma naturalnie wyższy poziom testosteronu. Skarży się również na ograniczoną kontrolę Sądu Federalnego.</w:t>
                            </w:r>
                          </w:p>
                          <w:p w14:paraId="6F8C2863" w14:textId="1898828A" w:rsidR="009F1A47" w:rsidRPr="00FF42A7" w:rsidRDefault="00000000">
                            <w:pPr>
                              <w:pStyle w:val="Tekstpodstawowy"/>
                              <w:ind w:left="28" w:right="24"/>
                              <w:rPr>
                                <w:color w:val="000000"/>
                              </w:rPr>
                            </w:pPr>
                            <w:r w:rsidRPr="00FF42A7">
                              <w:rPr>
                                <w:color w:val="0071BB"/>
                                <w:w w:val="120"/>
                              </w:rPr>
                              <w:t xml:space="preserve">W wyroku wydanym przez Izbę w dniu 11 lipca 2023 r. Trybunał orzekł większością głosów, że doszło do naruszenia art. 14 (zakaz dyskryminacji) w związku z art. 8 (prawo do poszanowania życia prywatnego) Konwencji w odniesieniu do </w:t>
                            </w:r>
                            <w:r w:rsidR="0070030D" w:rsidRPr="00FF42A7">
                              <w:rPr>
                                <w:color w:val="0071BB"/>
                                <w:w w:val="120"/>
                              </w:rPr>
                              <w:t>skarżącej</w:t>
                            </w:r>
                            <w:r w:rsidRPr="00FF42A7">
                              <w:rPr>
                                <w:color w:val="0071BB"/>
                                <w:w w:val="120"/>
                              </w:rPr>
                              <w:t>. Izba zwróciła w</w:t>
                            </w:r>
                            <w:r w:rsidR="00360C65" w:rsidRPr="00FF42A7">
                              <w:rPr>
                                <w:color w:val="0071BB"/>
                                <w:w w:val="120"/>
                              </w:rPr>
                              <w:br/>
                              <w:t xml:space="preserve">szczególności uwagę, że skarżącej nie zapewniono </w:t>
                            </w:r>
                            <w:r w:rsidR="00041C08" w:rsidRPr="00FF42A7">
                              <w:rPr>
                                <w:color w:val="0071BB"/>
                                <w:w w:val="120"/>
                              </w:rPr>
                              <w:t xml:space="preserve">w Szwajcarii </w:t>
                            </w:r>
                            <w:r w:rsidR="00360C65" w:rsidRPr="00FF42A7">
                              <w:rPr>
                                <w:color w:val="0071BB"/>
                                <w:w w:val="120"/>
                              </w:rPr>
                              <w:t>wystarczających gwarancji</w:t>
                            </w:r>
                            <w:r w:rsidR="00360C65" w:rsidRPr="00FF42A7">
                              <w:rPr>
                                <w:color w:val="0071BB"/>
                                <w:w w:val="120"/>
                              </w:rPr>
                              <w:br/>
                            </w:r>
                          </w:p>
                        </w:txbxContent>
                      </wps:txbx>
                      <wps:bodyPr wrap="square" lIns="0" tIns="0" rIns="0" bIns="0" rtlCol="0">
                        <a:noAutofit/>
                      </wps:bodyPr>
                    </wps:wsp>
                  </a:graphicData>
                </a:graphic>
                <wp14:sizeRelV relativeFrom="margin">
                  <wp14:pctHeight>0</wp14:pctHeight>
                </wp14:sizeRelV>
              </wp:anchor>
            </w:drawing>
          </mc:Choice>
          <mc:Fallback>
            <w:pict>
              <v:shape w14:anchorId="5F29A070" id="Textbox 23" o:spid="_x0000_s1029" type="#_x0000_t202" style="position:absolute;margin-left:70.35pt;margin-top:5.2pt;width:454.2pt;height:217.0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" fillcolor="#f3f3f3" stroked="f">
                <v:textbox inset="0,0,0,0">
                  <w:txbxContent>
                    <w:p w14:paraId="61A1EC0E" w14:textId="71449441" w:rsidR="009F1A47" w:rsidRPr="00FF42A7" w:rsidRDefault="006C253F">
                      <w:pPr>
                        <w:spacing w:before="11"/>
                        <w:ind w:left="28"/>
                        <w:rPr>
                          <w:b/>
                          <w:color w:val="000000"/>
                          <w:sz w:val="20"/>
                        </w:rPr>
                      </w:pPr>
                      <w:r>
                        <w:rPr>
                          <w:b/>
                          <w:color w:val="5F5F5F"/>
                          <w:w w:val="130"/>
                          <w:sz w:val="20"/>
                        </w:rPr>
                        <w:t>Skarga</w:t>
                      </w:r>
                      <w:r w:rsidR="00000000" w:rsidRPr="00FF42A7">
                        <w:rPr>
                          <w:b/>
                          <w:color w:val="5F5F5F"/>
                          <w:w w:val="130"/>
                          <w:sz w:val="20"/>
                        </w:rPr>
                        <w:t xml:space="preserve"> oczekująca na rozpatrzenie przez Wielką </w:t>
                      </w:r>
                      <w:r w:rsidR="00000000" w:rsidRPr="00FF42A7">
                        <w:rPr>
                          <w:b/>
                          <w:color w:val="5F5F5F"/>
                          <w:spacing w:val="-2"/>
                          <w:w w:val="130"/>
                          <w:sz w:val="20"/>
                        </w:rPr>
                        <w:t>Izbę</w:t>
                      </w:r>
                    </w:p>
                    <w:p w14:paraId="1BE9CA47" w14:textId="77777777" w:rsidR="009F1A47" w:rsidRPr="00FF42A7" w:rsidRDefault="009F1A47">
                      <w:pPr>
                        <w:spacing w:before="121"/>
                        <w:ind w:left="28"/>
                        <w:rPr>
                          <w:b/>
                          <w:color w:val="000000"/>
                          <w:sz w:val="20"/>
                        </w:rPr>
                      </w:pPr>
                      <w:hyperlink r:id="rId63">
                        <w:proofErr w:type="spellStart"/>
                        <w:r w:rsidRPr="00FF42A7">
                          <w:rPr>
                            <w:b/>
                            <w:color w:val="0071BB"/>
                            <w:w w:val="135"/>
                            <w:sz w:val="20"/>
                            <w:u w:val="single" w:color="0071BB"/>
                          </w:rPr>
                          <w:t>Semenya</w:t>
                        </w:r>
                        <w:proofErr w:type="spellEnd"/>
                        <w:r w:rsidRPr="00FF42A7">
                          <w:rPr>
                            <w:b/>
                            <w:color w:val="0071BB"/>
                            <w:w w:val="135"/>
                            <w:sz w:val="20"/>
                            <w:u w:val="single" w:color="0071BB"/>
                          </w:rPr>
                          <w:t xml:space="preserve"> przeciwko </w:t>
                        </w:r>
                        <w:r w:rsidRPr="00FF42A7">
                          <w:rPr>
                            <w:b/>
                            <w:color w:val="0071BB"/>
                            <w:spacing w:val="-2"/>
                            <w:w w:val="135"/>
                            <w:sz w:val="20"/>
                            <w:u w:val="single" w:color="0071BB"/>
                          </w:rPr>
                          <w:t>Szwajcarii</w:t>
                        </w:r>
                      </w:hyperlink>
                    </w:p>
                    <w:p w14:paraId="7301BC90" w14:textId="5576DD8B" w:rsidR="009F1A47" w:rsidRPr="00FF42A7" w:rsidRDefault="00000000">
                      <w:pPr>
                        <w:spacing w:before="55"/>
                        <w:ind w:left="28"/>
                        <w:rPr>
                          <w:color w:val="000000"/>
                          <w:sz w:val="18"/>
                        </w:rPr>
                      </w:pPr>
                      <w:r w:rsidRPr="00FF42A7">
                        <w:rPr>
                          <w:color w:val="808080"/>
                          <w:w w:val="125"/>
                          <w:sz w:val="18"/>
                        </w:rPr>
                        <w:t xml:space="preserve">11 lipca 2023 r. (wyrok Izby) – </w:t>
                      </w:r>
                      <w:r w:rsidR="006C253F">
                        <w:rPr>
                          <w:color w:val="808080"/>
                          <w:w w:val="125"/>
                          <w:sz w:val="18"/>
                        </w:rPr>
                        <w:t>skarga</w:t>
                      </w:r>
                      <w:r w:rsidRPr="00FF42A7">
                        <w:rPr>
                          <w:color w:val="808080"/>
                          <w:w w:val="125"/>
                          <w:sz w:val="18"/>
                        </w:rPr>
                        <w:t xml:space="preserve"> przekazana do Wielkiej Izby w listopadzie</w:t>
                      </w:r>
                      <w:r w:rsidRPr="00FF42A7">
                        <w:rPr>
                          <w:color w:val="808080"/>
                          <w:spacing w:val="-4"/>
                          <w:w w:val="125"/>
                          <w:sz w:val="18"/>
                        </w:rPr>
                        <w:t xml:space="preserve"> 2023</w:t>
                      </w:r>
                      <w:r w:rsidRPr="00FF42A7">
                        <w:rPr>
                          <w:color w:val="808080"/>
                          <w:spacing w:val="-2"/>
                          <w:w w:val="125"/>
                          <w:sz w:val="18"/>
                        </w:rPr>
                        <w:t xml:space="preserve"> r.</w:t>
                      </w:r>
                    </w:p>
                    <w:p w14:paraId="24ABD80D" w14:textId="1F80E9C4" w:rsidR="009F1A47" w:rsidRPr="00FF42A7" w:rsidRDefault="00360C65">
                      <w:pPr>
                        <w:pStyle w:val="Tekstpodstawowy"/>
                        <w:spacing w:before="1"/>
                        <w:ind w:left="28" w:right="24"/>
                        <w:rPr>
                          <w:color w:val="000000"/>
                        </w:rPr>
                      </w:pPr>
                      <w:r w:rsidRPr="00FF42A7">
                        <w:rPr>
                          <w:color w:val="000000"/>
                          <w:w w:val="120"/>
                        </w:rPr>
                        <w:t>Skarżąca, międzynarodowa lekkoatletka specjalizująca się w biegach średniodystansowych, skarży się na niektóre przepisy Międzynarodowej Federacji Lekkoatletycznej (</w:t>
                      </w:r>
                      <w:r w:rsidRPr="00FF42A7">
                        <w:rPr>
                          <w:i/>
                          <w:iCs/>
                          <w:color w:val="000000"/>
                          <w:w w:val="120"/>
                        </w:rPr>
                        <w:t>IAAF</w:t>
                      </w:r>
                      <w:r w:rsidRPr="00FF42A7">
                        <w:rPr>
                          <w:color w:val="000000"/>
                          <w:w w:val="120"/>
                        </w:rPr>
                        <w:t xml:space="preserve"> – obecnie </w:t>
                      </w:r>
                      <w:r w:rsidRPr="00FF42A7">
                        <w:rPr>
                          <w:i/>
                          <w:iCs/>
                          <w:color w:val="000000"/>
                          <w:w w:val="120"/>
                        </w:rPr>
                        <w:t xml:space="preserve">World </w:t>
                      </w:r>
                      <w:proofErr w:type="spellStart"/>
                      <w:r w:rsidRPr="00FF42A7">
                        <w:rPr>
                          <w:i/>
                          <w:iCs/>
                          <w:color w:val="000000"/>
                          <w:w w:val="120"/>
                        </w:rPr>
                        <w:t>Athletics</w:t>
                      </w:r>
                      <w:proofErr w:type="spellEnd"/>
                      <w:r w:rsidRPr="00FF42A7">
                        <w:rPr>
                          <w:color w:val="000000"/>
                          <w:w w:val="120"/>
                        </w:rPr>
                        <w:t xml:space="preserve">), które wymagają od niej poddania się terapii hormonalnej w celu obniżenia naturalnego poziomu testosteronu, aby mogła brać udział w międzynarodowych zawodach w kategorii kobiet. Po odmowie poddania się terapii nie może już brać udziału w międzynarodowych zawodach. Jej skargi na przedmiotowe przepisy, wniesione do Trybunału Arbitrażowego ds. Sportu </w:t>
                      </w:r>
                      <w:r w:rsidRPr="00FF42A7">
                        <w:rPr>
                          <w:color w:val="000000"/>
                          <w:spacing w:val="40"/>
                          <w:w w:val="120"/>
                        </w:rPr>
                        <w:t>(</w:t>
                      </w:r>
                      <w:r w:rsidRPr="00FF42A7">
                        <w:rPr>
                          <w:i/>
                          <w:iCs/>
                          <w:color w:val="000000"/>
                          <w:w w:val="120"/>
                        </w:rPr>
                        <w:t>CAS</w:t>
                      </w:r>
                      <w:r w:rsidRPr="00FF42A7">
                        <w:rPr>
                          <w:color w:val="000000"/>
                          <w:w w:val="120"/>
                        </w:rPr>
                        <w:t>) i szwajcarskiego Sądu Federalnego, zostały oddalone. Skarżąca twierdzi, że została poddana dyskryminacji ze względu na różnice w rozwoju płciowym, które powodują, że ma naturalnie wyższy poziom testosteronu. Skarży się również na ograniczoną kontrolę Sądu Federalnego.</w:t>
                      </w:r>
                    </w:p>
                    <w:p w14:paraId="6F8C2863" w14:textId="1898828A" w:rsidR="009F1A47" w:rsidRPr="00FF42A7" w:rsidRDefault="00000000">
                      <w:pPr>
                        <w:pStyle w:val="Tekstpodstawowy"/>
                        <w:ind w:left="28" w:right="24"/>
                        <w:rPr>
                          <w:color w:val="000000"/>
                        </w:rPr>
                      </w:pPr>
                      <w:r w:rsidRPr="00FF42A7">
                        <w:rPr>
                          <w:color w:val="0071BB"/>
                          <w:w w:val="120"/>
                        </w:rPr>
                        <w:t xml:space="preserve">W wyroku wydanym przez Izbę w dniu 11 lipca 2023 r. Trybunał orzekł większością głosów, że doszło do naruszenia art. 14 (zakaz dyskryminacji) w związku z art. 8 (prawo do poszanowania życia prywatnego) Konwencji w odniesieniu do </w:t>
                      </w:r>
                      <w:r w:rsidR="0070030D" w:rsidRPr="00FF42A7">
                        <w:rPr>
                          <w:color w:val="0071BB"/>
                          <w:w w:val="120"/>
                        </w:rPr>
                        <w:t>skarżącej</w:t>
                      </w:r>
                      <w:r w:rsidRPr="00FF42A7">
                        <w:rPr>
                          <w:color w:val="0071BB"/>
                          <w:w w:val="120"/>
                        </w:rPr>
                        <w:t>. Izba zwróciła w</w:t>
                      </w:r>
                      <w:r w:rsidR="00360C65" w:rsidRPr="00FF42A7">
                        <w:rPr>
                          <w:color w:val="0071BB"/>
                          <w:w w:val="120"/>
                        </w:rPr>
                        <w:br/>
                        <w:t xml:space="preserve">szczególności uwagę, że skarżącej nie zapewniono </w:t>
                      </w:r>
                      <w:r w:rsidR="00041C08" w:rsidRPr="00FF42A7">
                        <w:rPr>
                          <w:color w:val="0071BB"/>
                          <w:w w:val="120"/>
                        </w:rPr>
                        <w:t xml:space="preserve">w Szwajcarii </w:t>
                      </w:r>
                      <w:r w:rsidR="00360C65" w:rsidRPr="00FF42A7">
                        <w:rPr>
                          <w:color w:val="0071BB"/>
                          <w:w w:val="120"/>
                        </w:rPr>
                        <w:t>wystarczających gwarancji</w:t>
                      </w:r>
                      <w:r w:rsidR="00360C65" w:rsidRPr="00FF42A7">
                        <w:rPr>
                          <w:color w:val="0071BB"/>
                          <w:w w:val="120"/>
                        </w:rPr>
                        <w:br/>
                      </w:r>
                    </w:p>
                  </w:txbxContent>
                </v:textbox>
                <w10:wrap type="topAndBottom" anchorx="page"/>
              </v:shape>
            </w:pict>
          </mc:Fallback>
        </mc:AlternateContent>
      </w:r>
      <w:r w:rsidRPr="00FF42A7">
        <w:rPr>
          <w:noProof/>
          <w:sz w:val="6"/>
        </w:rPr>
        <mc:AlternateContent>
          <mc:Choice Requires="wps">
            <w:drawing>
              <wp:anchor distT="0" distB="0" distL="0" distR="0" simplePos="0" relativeHeight="251664384" behindDoc="1" locked="0" layoutInCell="1" allowOverlap="1" wp14:anchorId="2DC26696" wp14:editId="15E65DC3">
                <wp:simplePos x="0" y="0"/>
                <wp:positionH relativeFrom="page">
                  <wp:posOffset>914400</wp:posOffset>
                </wp:positionH>
                <wp:positionV relativeFrom="paragraph">
                  <wp:posOffset>3145060</wp:posOffset>
                </wp:positionV>
                <wp:extent cx="18288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81E5BAC" id="Graphic 24" o:spid="_x0000_s1026" style="position:absolute;margin-left:1in;margin-top:247.65pt;width:2in;height:.6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" path="m1828800,l,,,7619r1828800,l1828800,xe" fillcolor="black" stroked="f">
                <v:path arrowok="t"/>
                <w10:wrap type="topAndBottom" anchorx="page"/>
              </v:shape>
            </w:pict>
          </mc:Fallback>
        </mc:AlternateContent>
      </w:r>
    </w:p>
    <w:p w14:paraId="0AA44627" w14:textId="77777777" w:rsidR="009F1A47" w:rsidRPr="00FF42A7" w:rsidRDefault="009F1A47">
      <w:pPr>
        <w:pStyle w:val="Tekstpodstawowy"/>
        <w:spacing w:before="53"/>
        <w:ind w:left="0"/>
        <w:jc w:val="left"/>
      </w:pPr>
    </w:p>
    <w:p w14:paraId="5B23FD50" w14:textId="77777777" w:rsidR="009F1A47" w:rsidRPr="00FF42A7" w:rsidRDefault="00000000">
      <w:pPr>
        <w:pStyle w:val="Akapitzlist"/>
        <w:numPr>
          <w:ilvl w:val="0"/>
          <w:numId w:val="2"/>
        </w:numPr>
        <w:tabs>
          <w:tab w:val="left" w:pos="1127"/>
        </w:tabs>
        <w:ind w:left="1127" w:hanging="253"/>
        <w:rPr>
          <w:sz w:val="16"/>
        </w:rPr>
      </w:pPr>
      <w:bookmarkStart w:id="3" w:name="_bookmark3"/>
      <w:bookmarkEnd w:id="3"/>
      <w:r w:rsidRPr="00FF42A7">
        <w:rPr>
          <w:w w:val="120"/>
          <w:sz w:val="16"/>
        </w:rPr>
        <w:t xml:space="preserve">W dniu 16 września 2022 r. Federacja Rosyjska przestała być stroną </w:t>
      </w:r>
      <w:r w:rsidRPr="00FF42A7">
        <w:rPr>
          <w:spacing w:val="-2"/>
          <w:w w:val="120"/>
          <w:sz w:val="16"/>
        </w:rPr>
        <w:t>Konwencji.</w:t>
      </w:r>
    </w:p>
    <w:p w14:paraId="0EB9DA48" w14:textId="77777777" w:rsidR="009F1A47" w:rsidRPr="00FF42A7" w:rsidRDefault="009F1A47">
      <w:pPr>
        <w:pStyle w:val="Akapitzlist"/>
        <w:rPr>
          <w:sz w:val="16"/>
        </w:rPr>
        <w:sectPr w:rsidR="009F1A47" w:rsidRPr="00FF42A7">
          <w:pgSz w:w="11910" w:h="16840"/>
          <w:pgMar w:top="1400" w:right="566" w:bottom="680" w:left="566" w:header="720" w:footer="497" w:gutter="0"/>
          <w:cols w:space="708"/>
        </w:sectPr>
      </w:pPr>
    </w:p>
    <w:p w14:paraId="0AF7A512" w14:textId="77777777" w:rsidR="009F1A47" w:rsidRPr="00FF42A7" w:rsidRDefault="009F1A47">
      <w:pPr>
        <w:pStyle w:val="Tekstpodstawowy"/>
        <w:spacing w:before="48"/>
        <w:ind w:left="0"/>
        <w:jc w:val="left"/>
      </w:pPr>
    </w:p>
    <w:p w14:paraId="59845DC2" w14:textId="77777777" w:rsidR="009F1A47" w:rsidRPr="00FF42A7" w:rsidRDefault="00000000">
      <w:pPr>
        <w:ind w:left="845"/>
        <w:rPr>
          <w:sz w:val="20"/>
        </w:rPr>
      </w:pPr>
      <w:r w:rsidRPr="00FF42A7">
        <w:rPr>
          <w:noProof/>
          <w:sz w:val="20"/>
        </w:rPr>
        <mc:AlternateContent>
          <mc:Choice Requires="wps">
            <w:drawing>
              <wp:inline distT="0" distB="0" distL="0" distR="0" wp14:anchorId="41A7D071" wp14:editId="0528AA41">
                <wp:extent cx="5768340" cy="2497541"/>
                <wp:effectExtent l="0" t="0" r="3810" b="0"/>
                <wp:docPr id="25" name="Textbox 25"/>
                <wp:cNvGraphicFramePr/>
                <a:graphic xmlns:a="http://schemas.openxmlformats.org/drawingml/2006/main">
                  <a:graphicData uri="http://schemas.microsoft.com/office/word/2010/wordprocessingShape">
                    <wps:wsp>
                      <wps:cNvSpPr txBox="1"/>
                      <wps:spPr>
                        <a:xfrm>
                          <a:off x="0" y="0"/>
                          <a:ext cx="5768340" cy="2497541"/>
                        </a:xfrm>
                        <a:prstGeom prst="rect">
                          <a:avLst/>
                        </a:prstGeom>
                        <a:solidFill>
                          <a:srgbClr val="F3F3F3"/>
                        </a:solidFill>
                      </wps:spPr>
                      <wps:txbx>
                        <w:txbxContent>
                          <w:p w14:paraId="79992B32" w14:textId="0004AD2B" w:rsidR="009F1A47" w:rsidRPr="00FF42A7" w:rsidRDefault="00000000">
                            <w:pPr>
                              <w:pStyle w:val="Tekstpodstawowy"/>
                              <w:spacing w:before="11"/>
                              <w:ind w:left="28" w:right="23"/>
                              <w:rPr>
                                <w:color w:val="000000"/>
                              </w:rPr>
                            </w:pPr>
                            <w:r w:rsidRPr="00FF42A7">
                              <w:rPr>
                                <w:color w:val="0071BB"/>
                                <w:w w:val="120"/>
                              </w:rPr>
                              <w:t>instytucjonaln</w:t>
                            </w:r>
                            <w:r w:rsidR="00360C65" w:rsidRPr="00FF42A7">
                              <w:rPr>
                                <w:color w:val="0071BB"/>
                                <w:w w:val="120"/>
                              </w:rPr>
                              <w:t>ych</w:t>
                            </w:r>
                            <w:r w:rsidRPr="00FF42A7">
                              <w:rPr>
                                <w:color w:val="0071BB"/>
                                <w:w w:val="120"/>
                              </w:rPr>
                              <w:t xml:space="preserve"> i proceduraln</w:t>
                            </w:r>
                            <w:r w:rsidR="00360C65" w:rsidRPr="00FF42A7">
                              <w:rPr>
                                <w:color w:val="0071BB"/>
                                <w:w w:val="120"/>
                              </w:rPr>
                              <w:t>ych</w:t>
                            </w:r>
                            <w:r w:rsidRPr="00FF42A7">
                              <w:rPr>
                                <w:color w:val="0071BB"/>
                                <w:w w:val="120"/>
                              </w:rPr>
                              <w:t xml:space="preserve"> umożliwiając</w:t>
                            </w:r>
                            <w:r w:rsidR="00041C08" w:rsidRPr="00FF42A7">
                              <w:rPr>
                                <w:color w:val="0071BB"/>
                                <w:w w:val="120"/>
                              </w:rPr>
                              <w:t>ych</w:t>
                            </w:r>
                            <w:r w:rsidRPr="00FF42A7">
                              <w:rPr>
                                <w:color w:val="0071BB"/>
                                <w:w w:val="120"/>
                              </w:rPr>
                              <w:t xml:space="preserve"> jej skuteczne rozpatrzenie skarg, zwłaszcza że skargi te dotyczyły uzasadnionych i wiarygodnych zarzutów dyskryminacji wynikającej z podwyższonego poziomu testosteronu spowodowanego różnicami w rozwoju płciowym. W związku z tym, w szczególności biorąc pod uwagę wysoką stawkę dla skarżącej – a mianowicie udział w zawodach lekkoatletycznych na poziomie międzynarodowym, a tym samym wykonywanie zawodu – Szwajcaria przekroczyła wąski margines uznania przysługujący jej w niniejszej sprawie, która dotyczyła dyskryminacji ze względu na płeć i cechy płciowe, wymagającej „bardzo ważnych powodów” w celu uzasadnienia. Wysoka stawka sprawy dla skarżącej oraz wąski margines uznania przyznany </w:t>
                            </w:r>
                            <w:r w:rsidR="00A35B7D" w:rsidRPr="00FF42A7">
                              <w:rPr>
                                <w:color w:val="0071BB"/>
                                <w:w w:val="120"/>
                              </w:rPr>
                              <w:t>P</w:t>
                            </w:r>
                            <w:r w:rsidRPr="00FF42A7">
                              <w:rPr>
                                <w:color w:val="0071BB"/>
                                <w:w w:val="120"/>
                              </w:rPr>
                              <w:t xml:space="preserve">aństwu pozwanemu powinny były doprowadzić do dokładnej kontroli instytucjonalnej i proceduralnej, ale skarżąca nie była w stanie uzyskać takiej kontroli. Izba uznała również, że doszło do naruszenia art. 13 </w:t>
                            </w:r>
                            <w:r w:rsidRPr="00FF42A7">
                              <w:rPr>
                                <w:color w:val="0071BB"/>
                                <w:spacing w:val="30"/>
                                <w:w w:val="120"/>
                              </w:rPr>
                              <w:t>(</w:t>
                            </w:r>
                            <w:r w:rsidRPr="00FF42A7">
                              <w:rPr>
                                <w:color w:val="0071BB"/>
                                <w:w w:val="120"/>
                              </w:rPr>
                              <w:t>prawo do skutecznego środka odwoławczego) Konwencji w związku z art. 14 w połączeniu z art. 8, stwierdzając, że środki odwoławcze dostępne skarżącej nie mogły być uznane za skuteczne w okolicznościach niniejszej sprawy.</w:t>
                            </w:r>
                          </w:p>
                          <w:p w14:paraId="041B05FE" w14:textId="77777777" w:rsidR="009F1A47" w:rsidRPr="00FF42A7" w:rsidRDefault="00000000">
                            <w:pPr>
                              <w:pStyle w:val="Tekstpodstawowy"/>
                              <w:spacing w:line="226" w:lineRule="exact"/>
                              <w:ind w:left="28"/>
                              <w:rPr>
                                <w:color w:val="000000"/>
                              </w:rPr>
                            </w:pPr>
                            <w:r w:rsidRPr="00FF42A7">
                              <w:rPr>
                                <w:color w:val="0071BB"/>
                                <w:w w:val="120"/>
                              </w:rPr>
                              <w:t xml:space="preserve">W dniu 6 listopada 2023 r. skład pięciu sędziów Wielkiej Izby </w:t>
                            </w:r>
                            <w:hyperlink r:id="rId64">
                              <w:r w:rsidR="009F1A47" w:rsidRPr="00FF42A7">
                                <w:rPr>
                                  <w:color w:val="0071BB"/>
                                  <w:w w:val="120"/>
                                  <w:u w:val="single" w:color="0071BB"/>
                                </w:rPr>
                                <w:t>postanowił</w:t>
                              </w:r>
                            </w:hyperlink>
                            <w:r w:rsidRPr="00FF42A7">
                              <w:rPr>
                                <w:color w:val="0071BB"/>
                                <w:w w:val="120"/>
                              </w:rPr>
                              <w:t xml:space="preserve"> przekazać </w:t>
                            </w:r>
                            <w:r w:rsidRPr="00FF42A7">
                              <w:rPr>
                                <w:color w:val="0071BB"/>
                                <w:spacing w:val="-4"/>
                                <w:w w:val="120"/>
                              </w:rPr>
                              <w:t>sprawę</w:t>
                            </w:r>
                          </w:p>
                          <w:p w14:paraId="1BC1993F" w14:textId="77777777" w:rsidR="009F1A47" w:rsidRPr="00FF42A7" w:rsidRDefault="00000000">
                            <w:pPr>
                              <w:pStyle w:val="Tekstpodstawowy"/>
                              <w:spacing w:before="1" w:line="231" w:lineRule="exact"/>
                              <w:ind w:left="28"/>
                              <w:rPr>
                                <w:color w:val="000000"/>
                              </w:rPr>
                            </w:pPr>
                            <w:r w:rsidRPr="00FF42A7">
                              <w:rPr>
                                <w:color w:val="0071BB"/>
                                <w:w w:val="120"/>
                              </w:rPr>
                              <w:t xml:space="preserve">do Wielkiej </w:t>
                            </w:r>
                            <w:r w:rsidRPr="00FF42A7">
                              <w:rPr>
                                <w:color w:val="0071BB"/>
                                <w:spacing w:val="-2"/>
                                <w:w w:val="120"/>
                              </w:rPr>
                              <w:t>Izby.</w:t>
                            </w:r>
                          </w:p>
                        </w:txbxContent>
                      </wps:txbx>
                      <wps:bodyPr wrap="square" lIns="0" tIns="0" rIns="0" bIns="0" rtlCol="0"/>
                    </wps:wsp>
                  </a:graphicData>
                </a:graphic>
              </wp:inline>
            </w:drawing>
          </mc:Choice>
          <mc:Fallback>
            <w:pict>
              <v:shape w14:anchorId="41A7D071" id="Textbox 25" o:spid="_x0000_s1030" type="#_x0000_t202" style="width:454.2pt;height:1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" fillcolor="#f3f3f3" stroked="f">
                <v:textbox inset="0,0,0,0">
                  <w:txbxContent>
                    <w:p w14:paraId="79992B32" w14:textId="0004AD2B" w:rsidR="009F1A47" w:rsidRPr="00FF42A7" w:rsidRDefault="00000000">
                      <w:pPr>
                        <w:pStyle w:val="Tekstpodstawowy"/>
                        <w:spacing w:before="11"/>
                        <w:ind w:left="28" w:right="23"/>
                        <w:rPr>
                          <w:color w:val="000000"/>
                        </w:rPr>
                      </w:pPr>
                      <w:r w:rsidRPr="00FF42A7">
                        <w:rPr>
                          <w:color w:val="0071BB"/>
                          <w:w w:val="120"/>
                        </w:rPr>
                        <w:t>instytucjonaln</w:t>
                      </w:r>
                      <w:r w:rsidR="00360C65" w:rsidRPr="00FF42A7">
                        <w:rPr>
                          <w:color w:val="0071BB"/>
                          <w:w w:val="120"/>
                        </w:rPr>
                        <w:t>ych</w:t>
                      </w:r>
                      <w:r w:rsidRPr="00FF42A7">
                        <w:rPr>
                          <w:color w:val="0071BB"/>
                          <w:w w:val="120"/>
                        </w:rPr>
                        <w:t xml:space="preserve"> i proceduraln</w:t>
                      </w:r>
                      <w:r w:rsidR="00360C65" w:rsidRPr="00FF42A7">
                        <w:rPr>
                          <w:color w:val="0071BB"/>
                          <w:w w:val="120"/>
                        </w:rPr>
                        <w:t>ych</w:t>
                      </w:r>
                      <w:r w:rsidRPr="00FF42A7">
                        <w:rPr>
                          <w:color w:val="0071BB"/>
                          <w:w w:val="120"/>
                        </w:rPr>
                        <w:t xml:space="preserve"> umożliwiając</w:t>
                      </w:r>
                      <w:r w:rsidR="00041C08" w:rsidRPr="00FF42A7">
                        <w:rPr>
                          <w:color w:val="0071BB"/>
                          <w:w w:val="120"/>
                        </w:rPr>
                        <w:t>ych</w:t>
                      </w:r>
                      <w:r w:rsidRPr="00FF42A7">
                        <w:rPr>
                          <w:color w:val="0071BB"/>
                          <w:w w:val="120"/>
                        </w:rPr>
                        <w:t xml:space="preserve"> jej skuteczne rozpatrzenie skarg, zwłaszcza że skargi te dotyczyły uzasadnionych i wiarygodnych zarzutów dyskryminacji wynikającej z podwyższonego poziomu testosteronu spowodowanego różnicami w rozwoju płciowym. W związku z tym, w szczególności biorąc pod uwagę wysoką stawkę dla skarżącej – a mianowicie udział w zawodach lekkoatletycznych na poziomie międzynarodowym, a tym samym wykonywanie zawodu – Szwajcaria przekroczyła wąski margines uznania przysługujący jej w niniejszej sprawie, która dotyczyła dyskryminacji ze względu na płeć i cechy płciowe, wymagającej „bardzo ważnych powodów” w celu uzasadnienia. Wysoka stawka sprawy dla skarżącej oraz wąski margines uznania przyznany </w:t>
                      </w:r>
                      <w:r w:rsidR="00A35B7D" w:rsidRPr="00FF42A7">
                        <w:rPr>
                          <w:color w:val="0071BB"/>
                          <w:w w:val="120"/>
                        </w:rPr>
                        <w:t>P</w:t>
                      </w:r>
                      <w:r w:rsidRPr="00FF42A7">
                        <w:rPr>
                          <w:color w:val="0071BB"/>
                          <w:w w:val="120"/>
                        </w:rPr>
                        <w:t xml:space="preserve">aństwu pozwanemu powinny były doprowadzić do dokładnej kontroli instytucjonalnej i proceduralnej, ale skarżąca nie była w stanie uzyskać takiej kontroli. Izba uznała również, że doszło do naruszenia art. 13 </w:t>
                      </w:r>
                      <w:r w:rsidRPr="00FF42A7">
                        <w:rPr>
                          <w:color w:val="0071BB"/>
                          <w:spacing w:val="30"/>
                          <w:w w:val="120"/>
                        </w:rPr>
                        <w:t>(</w:t>
                      </w:r>
                      <w:r w:rsidRPr="00FF42A7">
                        <w:rPr>
                          <w:color w:val="0071BB"/>
                          <w:w w:val="120"/>
                        </w:rPr>
                        <w:t>prawo do skutecznego środka odwoławczego) Konwencji w związku z art. 14 w połączeniu z art. 8, stwierdzając, że środki odwoławcze dostępne skarżącej nie mogły być uznane za skuteczne w okolicznościach niniejszej sprawy.</w:t>
                      </w:r>
                    </w:p>
                    <w:p w14:paraId="041B05FE" w14:textId="77777777" w:rsidR="009F1A47" w:rsidRPr="00FF42A7" w:rsidRDefault="00000000">
                      <w:pPr>
                        <w:pStyle w:val="Tekstpodstawowy"/>
                        <w:spacing w:line="226" w:lineRule="exact"/>
                        <w:ind w:left="28"/>
                        <w:rPr>
                          <w:color w:val="000000"/>
                        </w:rPr>
                      </w:pPr>
                      <w:r w:rsidRPr="00FF42A7">
                        <w:rPr>
                          <w:color w:val="0071BB"/>
                          <w:w w:val="120"/>
                        </w:rPr>
                        <w:t xml:space="preserve">W dniu 6 listopada 2023 r. skład pięciu sędziów Wielkiej Izby </w:t>
                      </w:r>
                      <w:hyperlink r:id="rId65">
                        <w:r w:rsidR="009F1A47" w:rsidRPr="00FF42A7">
                          <w:rPr>
                            <w:color w:val="0071BB"/>
                            <w:w w:val="120"/>
                            <w:u w:val="single" w:color="0071BB"/>
                          </w:rPr>
                          <w:t>postanowił</w:t>
                        </w:r>
                      </w:hyperlink>
                      <w:r w:rsidRPr="00FF42A7">
                        <w:rPr>
                          <w:color w:val="0071BB"/>
                          <w:w w:val="120"/>
                        </w:rPr>
                        <w:t xml:space="preserve"> przekazać </w:t>
                      </w:r>
                      <w:r w:rsidRPr="00FF42A7">
                        <w:rPr>
                          <w:color w:val="0071BB"/>
                          <w:spacing w:val="-4"/>
                          <w:w w:val="120"/>
                        </w:rPr>
                        <w:t>sprawę</w:t>
                      </w:r>
                    </w:p>
                    <w:p w14:paraId="1BC1993F" w14:textId="77777777" w:rsidR="009F1A47" w:rsidRPr="00FF42A7" w:rsidRDefault="00000000">
                      <w:pPr>
                        <w:pStyle w:val="Tekstpodstawowy"/>
                        <w:spacing w:before="1" w:line="231" w:lineRule="exact"/>
                        <w:ind w:left="28"/>
                        <w:rPr>
                          <w:color w:val="000000"/>
                        </w:rPr>
                      </w:pPr>
                      <w:r w:rsidRPr="00FF42A7">
                        <w:rPr>
                          <w:color w:val="0071BB"/>
                          <w:w w:val="120"/>
                        </w:rPr>
                        <w:t xml:space="preserve">do Wielkiej </w:t>
                      </w:r>
                      <w:r w:rsidRPr="00FF42A7">
                        <w:rPr>
                          <w:color w:val="0071BB"/>
                          <w:spacing w:val="-2"/>
                          <w:w w:val="120"/>
                        </w:rPr>
                        <w:t>Izby.</w:t>
                      </w:r>
                    </w:p>
                  </w:txbxContent>
                </v:textbox>
                <w10:anchorlock/>
              </v:shape>
            </w:pict>
          </mc:Fallback>
        </mc:AlternateContent>
      </w:r>
    </w:p>
    <w:p w14:paraId="460DBA7C" w14:textId="77777777" w:rsidR="009F1A47" w:rsidRPr="00FF42A7" w:rsidRDefault="00000000">
      <w:pPr>
        <w:pStyle w:val="Nagwek1"/>
        <w:spacing w:before="236"/>
      </w:pPr>
      <w:r w:rsidRPr="00FF42A7">
        <w:rPr>
          <w:color w:val="808080"/>
          <w:w w:val="120"/>
          <w:sz w:val="29"/>
        </w:rPr>
        <w:t xml:space="preserve">Odrzucenie ze względu na </w:t>
      </w:r>
      <w:r w:rsidRPr="00FF42A7">
        <w:rPr>
          <w:color w:val="808080"/>
          <w:spacing w:val="-2"/>
          <w:w w:val="120"/>
          <w:sz w:val="29"/>
        </w:rPr>
        <w:t>płeć</w:t>
      </w:r>
    </w:p>
    <w:p w14:paraId="17B80D2D" w14:textId="77777777" w:rsidR="009F1A47" w:rsidRPr="00FF42A7" w:rsidRDefault="009F1A47">
      <w:pPr>
        <w:pStyle w:val="Nagwek2"/>
        <w:rPr>
          <w:u w:val="none"/>
        </w:rPr>
      </w:pPr>
      <w:hyperlink r:id="rId66">
        <w:proofErr w:type="spellStart"/>
        <w:r w:rsidRPr="00FF42A7">
          <w:rPr>
            <w:color w:val="0071BB"/>
            <w:w w:val="135"/>
            <w:u w:color="0071BB"/>
          </w:rPr>
          <w:t>Emel</w:t>
        </w:r>
        <w:proofErr w:type="spellEnd"/>
        <w:r w:rsidRPr="00FF42A7">
          <w:rPr>
            <w:color w:val="0071BB"/>
            <w:w w:val="135"/>
            <w:u w:color="0071BB"/>
          </w:rPr>
          <w:t xml:space="preserve"> </w:t>
        </w:r>
        <w:proofErr w:type="spellStart"/>
        <w:r w:rsidRPr="00FF42A7">
          <w:rPr>
            <w:color w:val="0071BB"/>
            <w:w w:val="135"/>
            <w:u w:color="0071BB"/>
          </w:rPr>
          <w:t>Boyraz</w:t>
        </w:r>
        <w:proofErr w:type="spellEnd"/>
        <w:r w:rsidRPr="00FF42A7">
          <w:rPr>
            <w:color w:val="0071BB"/>
            <w:w w:val="135"/>
            <w:u w:color="0071BB"/>
          </w:rPr>
          <w:t xml:space="preserve"> przeciwko </w:t>
        </w:r>
        <w:r w:rsidRPr="00FF42A7">
          <w:rPr>
            <w:color w:val="0071BB"/>
            <w:spacing w:val="-2"/>
            <w:w w:val="135"/>
            <w:u w:color="0071BB"/>
          </w:rPr>
          <w:t>Turcji</w:t>
        </w:r>
      </w:hyperlink>
    </w:p>
    <w:p w14:paraId="0ADE40EE" w14:textId="77777777" w:rsidR="009F1A47" w:rsidRPr="00FF42A7" w:rsidRDefault="00000000">
      <w:pPr>
        <w:spacing w:before="56"/>
        <w:ind w:left="874"/>
        <w:jc w:val="both"/>
        <w:rPr>
          <w:sz w:val="18"/>
        </w:rPr>
      </w:pPr>
      <w:r w:rsidRPr="00FF42A7">
        <w:rPr>
          <w:color w:val="808080"/>
          <w:w w:val="125"/>
          <w:sz w:val="18"/>
        </w:rPr>
        <w:t>2 grudnia</w:t>
      </w:r>
      <w:r w:rsidRPr="00FF42A7">
        <w:rPr>
          <w:color w:val="808080"/>
          <w:spacing w:val="-4"/>
          <w:w w:val="125"/>
          <w:sz w:val="18"/>
        </w:rPr>
        <w:t xml:space="preserve"> 2014 r.</w:t>
      </w:r>
    </w:p>
    <w:p w14:paraId="0B6DAC2D" w14:textId="58A9EA14" w:rsidR="009F1A47" w:rsidRPr="00FF42A7" w:rsidRDefault="00000000">
      <w:pPr>
        <w:pStyle w:val="Tekstpodstawowy"/>
        <w:spacing w:before="1"/>
        <w:ind w:right="870" w:hanging="1"/>
      </w:pPr>
      <w:r w:rsidRPr="00FF42A7">
        <w:rPr>
          <w:w w:val="120"/>
        </w:rPr>
        <w:t xml:space="preserve">Sprawa dotyczyła zwolnienia z pracy w sektorze publicznym – </w:t>
      </w:r>
      <w:r w:rsidR="00937243" w:rsidRPr="00FF42A7">
        <w:rPr>
          <w:w w:val="120"/>
        </w:rPr>
        <w:t xml:space="preserve">w </w:t>
      </w:r>
      <w:r w:rsidRPr="00FF42A7">
        <w:rPr>
          <w:w w:val="120"/>
        </w:rPr>
        <w:t xml:space="preserve">państwowej spółce energetycznej – z powodu płci. </w:t>
      </w:r>
      <w:r w:rsidR="00041C08" w:rsidRPr="00FF42A7">
        <w:rPr>
          <w:w w:val="120"/>
        </w:rPr>
        <w:t xml:space="preserve">Skarżąca </w:t>
      </w:r>
      <w:r w:rsidRPr="00FF42A7">
        <w:rPr>
          <w:w w:val="120"/>
        </w:rPr>
        <w:t>pracowała jako ochroniarz przez prawie trzy lata, zanim została zwolniona w marcu 2004 r. z powodu tego, że nie była mężczyzną i nie odbyła służby wojskowej. Twierdziła, że decyzje wydane przeciwko niej w postępowaniu krajowym stanowiły dyskryminację ze względu na płeć. Skarżyła się również na nadmierną długość oraz niesprawiedliwość postępowania administracyjnego w sprawie jej zwolnienia.</w:t>
      </w:r>
    </w:p>
    <w:p w14:paraId="0972F94B" w14:textId="7D81B219" w:rsidR="009F1A47" w:rsidRPr="00FF42A7" w:rsidRDefault="00000000">
      <w:pPr>
        <w:pStyle w:val="Tekstpodstawowy"/>
        <w:ind w:left="873" w:right="87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W opinii Trybunału sam fakt, że funkcjonariusze ochrony musieli pracować na nocnych zmianach i na terenach wiejskich oraz w określonych warunkach używać broni palnej i siły fizycznej, nie uzasadniał różnego traktowania mężczyzn i kobiet. Ponadto przyczyną zwolnienia skarżącej nie była jej niezdolność do podjęcia takiego ryzyka lub obowiązków, ponieważ nic nie wskazywało na to, że nie wywiązywała się ze</w:t>
      </w:r>
      <w:r w:rsidR="00041C08" w:rsidRPr="00FF42A7">
        <w:rPr>
          <w:color w:val="0071BB"/>
          <w:w w:val="120"/>
        </w:rPr>
        <w:t xml:space="preserve"> </w:t>
      </w:r>
      <w:r w:rsidRPr="00FF42A7">
        <w:rPr>
          <w:color w:val="0071BB"/>
          <w:w w:val="120"/>
        </w:rPr>
        <w:t>swoich obowiązków, ale decyzje tureckich sądów administracyjnych.</w:t>
      </w:r>
      <w:r w:rsidR="00041C08" w:rsidRPr="00FF42A7">
        <w:rPr>
          <w:color w:val="0071BB"/>
          <w:w w:val="120"/>
        </w:rPr>
        <w:t xml:space="preserve"> </w:t>
      </w:r>
      <w:r w:rsidRPr="00FF42A7">
        <w:rPr>
          <w:color w:val="0071BB"/>
          <w:w w:val="120"/>
        </w:rPr>
        <w:t xml:space="preserve">Trybunał uznał również, że sądy administracyjne nie uzasadniły wymogu, zgodnie z którym jako funkcjonariusze ochrony w oddziale państwowego przedsiębiorstwa energetycznego mogli być zatrudniani wyłącznie mężczyźni. W tej sprawie Trybunał stwierdził również, że doszło </w:t>
      </w:r>
      <w:r w:rsidRPr="00FF42A7">
        <w:rPr>
          <w:b/>
          <w:color w:val="0071BB"/>
          <w:w w:val="120"/>
        </w:rPr>
        <w:t xml:space="preserve">do naruszenia art. </w:t>
      </w:r>
      <w:r w:rsidR="007B5C18" w:rsidRPr="00FF42A7">
        <w:rPr>
          <w:b/>
          <w:color w:val="0071BB"/>
          <w:w w:val="120"/>
        </w:rPr>
        <w:t>6 §</w:t>
      </w:r>
      <w:r w:rsidR="007B5C18" w:rsidRPr="00FF42A7">
        <w:rPr>
          <w:b/>
          <w:color w:val="0071BB"/>
          <w:spacing w:val="39"/>
          <w:w w:val="120"/>
        </w:rPr>
        <w:t xml:space="preserve"> </w:t>
      </w:r>
      <w:r w:rsidR="007B5C18" w:rsidRPr="00FF42A7">
        <w:rPr>
          <w:b/>
          <w:color w:val="0071BB"/>
          <w:w w:val="120"/>
        </w:rPr>
        <w:t>1</w:t>
      </w:r>
      <w:r w:rsidR="007B5C18" w:rsidRPr="00FF42A7">
        <w:rPr>
          <w:color w:val="0071BB"/>
          <w:w w:val="120"/>
        </w:rPr>
        <w:t xml:space="preserve"> (prawo do sprawiedliwego </w:t>
      </w:r>
      <w:r w:rsidR="00255CC3" w:rsidRPr="00FF42A7">
        <w:rPr>
          <w:color w:val="0071BB"/>
          <w:w w:val="120"/>
        </w:rPr>
        <w:t>rozpatrzenia sprawy</w:t>
      </w:r>
      <w:r w:rsidR="007B5C18" w:rsidRPr="00FF42A7">
        <w:rPr>
          <w:color w:val="0071BB"/>
          <w:w w:val="120"/>
        </w:rPr>
        <w:t xml:space="preserve"> w rozsądnym terminie) </w:t>
      </w:r>
      <w:r w:rsidRPr="00FF42A7">
        <w:rPr>
          <w:color w:val="0071BB"/>
          <w:w w:val="120"/>
        </w:rPr>
        <w:t>Konwencji</w:t>
      </w:r>
      <w:r w:rsidR="007B5C18" w:rsidRPr="00FF42A7">
        <w:rPr>
          <w:color w:val="0071BB"/>
          <w:w w:val="120"/>
        </w:rPr>
        <w:t>.</w:t>
      </w:r>
    </w:p>
    <w:p w14:paraId="1AD2558A" w14:textId="77777777" w:rsidR="009F1A47" w:rsidRPr="00FF42A7" w:rsidRDefault="00000000">
      <w:pPr>
        <w:spacing w:before="40"/>
        <w:ind w:left="873"/>
        <w:jc w:val="both"/>
        <w:rPr>
          <w:sz w:val="20"/>
        </w:rPr>
      </w:pPr>
      <w:r w:rsidRPr="00FF42A7">
        <w:rPr>
          <w:i/>
          <w:color w:val="404040"/>
          <w:w w:val="125"/>
          <w:sz w:val="20"/>
        </w:rPr>
        <w:t>Zob. również</w:t>
      </w:r>
      <w:r w:rsidRPr="00FF42A7">
        <w:rPr>
          <w:color w:val="404040"/>
          <w:w w:val="125"/>
          <w:sz w:val="20"/>
        </w:rPr>
        <w:t xml:space="preserve">: </w:t>
      </w:r>
      <w:hyperlink r:id="rId67">
        <w:proofErr w:type="spellStart"/>
        <w:r w:rsidR="009F1A47" w:rsidRPr="00FF42A7">
          <w:rPr>
            <w:rFonts w:ascii="Arial" w:hAnsi="Arial"/>
            <w:b/>
            <w:i/>
            <w:color w:val="0071BB"/>
            <w:w w:val="125"/>
            <w:sz w:val="20"/>
            <w:u w:val="thick" w:color="0071BB"/>
          </w:rPr>
          <w:t>Hülya</w:t>
        </w:r>
        <w:proofErr w:type="spellEnd"/>
        <w:r w:rsidR="009F1A47" w:rsidRPr="00FF42A7">
          <w:rPr>
            <w:rFonts w:ascii="Arial" w:hAnsi="Arial"/>
            <w:b/>
            <w:i/>
            <w:color w:val="0071BB"/>
            <w:w w:val="125"/>
            <w:sz w:val="20"/>
            <w:u w:val="thick" w:color="0071BB"/>
          </w:rPr>
          <w:t xml:space="preserve"> Ebru Demirel przeciwko Turcji</w:t>
        </w:r>
      </w:hyperlink>
      <w:r w:rsidRPr="00FF42A7">
        <w:rPr>
          <w:color w:val="404040"/>
          <w:w w:val="125"/>
          <w:sz w:val="20"/>
        </w:rPr>
        <w:t>, wyrok z dnia 19 czerwca</w:t>
      </w:r>
      <w:r w:rsidRPr="00FF42A7">
        <w:rPr>
          <w:color w:val="404040"/>
          <w:spacing w:val="-2"/>
          <w:w w:val="125"/>
          <w:sz w:val="20"/>
        </w:rPr>
        <w:t xml:space="preserve"> 2018 r.</w:t>
      </w:r>
    </w:p>
    <w:p w14:paraId="122857D1" w14:textId="77777777" w:rsidR="009F1A47" w:rsidRPr="00FF42A7" w:rsidRDefault="00000000">
      <w:pPr>
        <w:pStyle w:val="Nagwek1"/>
        <w:spacing w:before="243"/>
      </w:pPr>
      <w:r w:rsidRPr="00FF42A7">
        <w:rPr>
          <w:color w:val="808080"/>
          <w:spacing w:val="-2"/>
          <w:w w:val="120"/>
          <w:sz w:val="29"/>
        </w:rPr>
        <w:t xml:space="preserve">Zasiłki </w:t>
      </w:r>
      <w:r w:rsidRPr="00FF42A7">
        <w:rPr>
          <w:color w:val="808080"/>
          <w:w w:val="120"/>
          <w:sz w:val="29"/>
        </w:rPr>
        <w:t>rodzinne</w:t>
      </w:r>
    </w:p>
    <w:p w14:paraId="30BDA7BF" w14:textId="77777777" w:rsidR="009F1A47" w:rsidRPr="00FF42A7" w:rsidRDefault="009F1A47">
      <w:pPr>
        <w:pStyle w:val="Nagwek2"/>
        <w:rPr>
          <w:u w:val="none"/>
        </w:rPr>
      </w:pPr>
      <w:hyperlink r:id="rId68">
        <w:proofErr w:type="spellStart"/>
        <w:r w:rsidRPr="00FF42A7">
          <w:rPr>
            <w:color w:val="0071BB"/>
            <w:w w:val="135"/>
            <w:u w:color="0071BB"/>
          </w:rPr>
          <w:t>Yocheva</w:t>
        </w:r>
        <w:proofErr w:type="spellEnd"/>
        <w:r w:rsidRPr="00FF42A7">
          <w:rPr>
            <w:color w:val="0071BB"/>
            <w:w w:val="135"/>
            <w:u w:color="0071BB"/>
          </w:rPr>
          <w:t xml:space="preserve"> i </w:t>
        </w:r>
        <w:proofErr w:type="spellStart"/>
        <w:r w:rsidRPr="00FF42A7">
          <w:rPr>
            <w:color w:val="0071BB"/>
            <w:w w:val="135"/>
            <w:u w:color="0071BB"/>
          </w:rPr>
          <w:t>Ganeva</w:t>
        </w:r>
        <w:proofErr w:type="spellEnd"/>
        <w:r w:rsidRPr="00FF42A7">
          <w:rPr>
            <w:color w:val="0071BB"/>
            <w:w w:val="135"/>
            <w:u w:color="0071BB"/>
          </w:rPr>
          <w:t xml:space="preserve"> przeciwko </w:t>
        </w:r>
        <w:r w:rsidRPr="00FF42A7">
          <w:rPr>
            <w:color w:val="0071BB"/>
            <w:spacing w:val="-2"/>
            <w:w w:val="135"/>
            <w:u w:color="0071BB"/>
          </w:rPr>
          <w:t>Bułgarii</w:t>
        </w:r>
      </w:hyperlink>
    </w:p>
    <w:p w14:paraId="76D9146A" w14:textId="09F7F180" w:rsidR="009F1A47" w:rsidRPr="00FF42A7" w:rsidRDefault="00000000">
      <w:pPr>
        <w:spacing w:before="56"/>
        <w:ind w:left="874"/>
        <w:jc w:val="both"/>
        <w:rPr>
          <w:sz w:val="18"/>
        </w:rPr>
      </w:pPr>
      <w:r w:rsidRPr="00FF42A7">
        <w:rPr>
          <w:color w:val="808080"/>
          <w:w w:val="125"/>
          <w:sz w:val="18"/>
        </w:rPr>
        <w:t>11 maja</w:t>
      </w:r>
      <w:r w:rsidRPr="00FF42A7">
        <w:rPr>
          <w:color w:val="808080"/>
          <w:spacing w:val="-4"/>
          <w:w w:val="125"/>
          <w:sz w:val="18"/>
        </w:rPr>
        <w:t xml:space="preserve"> 2021</w:t>
      </w:r>
      <w:r w:rsidR="00255CC3" w:rsidRPr="00FF42A7">
        <w:rPr>
          <w:color w:val="808080"/>
          <w:spacing w:val="-4"/>
          <w:w w:val="125"/>
          <w:sz w:val="18"/>
        </w:rPr>
        <w:t xml:space="preserve"> r.</w:t>
      </w:r>
    </w:p>
    <w:p w14:paraId="00F11209" w14:textId="77777777" w:rsidR="009F1A47" w:rsidRPr="00FF42A7" w:rsidRDefault="00000000">
      <w:pPr>
        <w:pStyle w:val="Tekstpodstawowy"/>
        <w:spacing w:before="1"/>
        <w:ind w:right="873"/>
      </w:pPr>
      <w:r w:rsidRPr="00FF42A7">
        <w:rPr>
          <w:w w:val="120"/>
        </w:rPr>
        <w:t>Pierwsza skarżąca, samotna matka, której małoletnie dzieci nie zostały uznane przez ojca, nie otrzymała miesięcznego zasiłku przysługującego rodzinom, w których dziecko ma tylko jednego żyjącego rodzica. Bezskutecznie wniosła skargę do sądów krajowych o stwierdzenie dyskryminacji.</w:t>
      </w:r>
    </w:p>
    <w:p w14:paraId="19580BE0" w14:textId="739A6D1A" w:rsidR="00C30418" w:rsidRPr="00FF42A7" w:rsidRDefault="00000000" w:rsidP="00146A0A">
      <w:pPr>
        <w:ind w:left="873" w:right="873"/>
        <w:jc w:val="both"/>
        <w:rPr>
          <w:color w:val="0071BB"/>
          <w:w w:val="120"/>
          <w:sz w:val="20"/>
        </w:rPr>
      </w:pPr>
      <w:r w:rsidRPr="00FF42A7">
        <w:rPr>
          <w:color w:val="0071BB"/>
          <w:w w:val="120"/>
          <w:sz w:val="20"/>
        </w:rPr>
        <w:t xml:space="preserve">Trybunał uznał, że doszło </w:t>
      </w:r>
      <w:r w:rsidRPr="00FF42A7">
        <w:rPr>
          <w:b/>
          <w:color w:val="0071BB"/>
          <w:w w:val="120"/>
          <w:sz w:val="20"/>
        </w:rPr>
        <w:t>do</w:t>
      </w:r>
      <w:r w:rsidRPr="00FF42A7">
        <w:rPr>
          <w:color w:val="0071BB"/>
          <w:w w:val="120"/>
          <w:sz w:val="20"/>
        </w:rPr>
        <w:t xml:space="preserve"> </w:t>
      </w:r>
      <w:r w:rsidRPr="00FF42A7">
        <w:rPr>
          <w:b/>
          <w:color w:val="0071BB"/>
          <w:w w:val="120"/>
          <w:sz w:val="20"/>
        </w:rPr>
        <w:t xml:space="preserve">naruszenia art. 14 </w:t>
      </w:r>
      <w:r w:rsidRPr="00FF42A7">
        <w:rPr>
          <w:color w:val="0071BB"/>
          <w:w w:val="120"/>
          <w:sz w:val="20"/>
        </w:rPr>
        <w:t xml:space="preserve">(zakaz dyskryminacji) </w:t>
      </w:r>
      <w:r w:rsidRPr="00FF42A7">
        <w:rPr>
          <w:b/>
          <w:color w:val="0071BB"/>
          <w:w w:val="120"/>
          <w:sz w:val="20"/>
        </w:rPr>
        <w:t xml:space="preserve">w związku z art. 8 </w:t>
      </w:r>
      <w:r w:rsidR="00C30418" w:rsidRPr="00FF42A7">
        <w:rPr>
          <w:bCs/>
          <w:color w:val="0071BB"/>
          <w:w w:val="120"/>
          <w:sz w:val="20"/>
        </w:rPr>
        <w:t>(prawo do poszanowania życia prywatnego i rodzinnego) Konwencji w odniesieniu do pierwszej skarżącej, stwierdzając, że doznała ona dyskryminacji ze względu zarówno na jej</w:t>
      </w:r>
      <w:r w:rsidR="00C30418" w:rsidRPr="00FF42A7">
        <w:rPr>
          <w:bCs/>
          <w:color w:val="0071BB"/>
          <w:w w:val="120"/>
          <w:sz w:val="20"/>
        </w:rPr>
        <w:br/>
      </w:r>
      <w:r w:rsidRPr="00FF42A7">
        <w:rPr>
          <w:color w:val="0071BB"/>
          <w:w w:val="120"/>
          <w:sz w:val="20"/>
        </w:rPr>
        <w:t xml:space="preserve"> </w:t>
      </w:r>
    </w:p>
    <w:p w14:paraId="64AE6CFB" w14:textId="77777777" w:rsidR="00C30418" w:rsidRPr="00FF42A7" w:rsidRDefault="00C30418">
      <w:pPr>
        <w:ind w:left="873" w:right="871"/>
        <w:jc w:val="both"/>
        <w:rPr>
          <w:color w:val="0071BB"/>
          <w:w w:val="120"/>
          <w:sz w:val="20"/>
        </w:rPr>
      </w:pPr>
    </w:p>
    <w:p w14:paraId="28A305D3" w14:textId="246A925C" w:rsidR="009F1A47" w:rsidRPr="00FF42A7" w:rsidRDefault="009F1A47">
      <w:pPr>
        <w:jc w:val="both"/>
        <w:rPr>
          <w:sz w:val="20"/>
        </w:rPr>
        <w:sectPr w:rsidR="009F1A47" w:rsidRPr="00FF42A7">
          <w:pgSz w:w="11910" w:h="16840"/>
          <w:pgMar w:top="1400" w:right="566" w:bottom="680" w:left="566" w:header="720" w:footer="497" w:gutter="0"/>
          <w:cols w:space="708"/>
        </w:sectPr>
      </w:pPr>
    </w:p>
    <w:p w14:paraId="11232A8D" w14:textId="77777777" w:rsidR="009F1A47" w:rsidRPr="00FF42A7" w:rsidRDefault="009F1A47">
      <w:pPr>
        <w:pStyle w:val="Tekstpodstawowy"/>
        <w:spacing w:before="59"/>
        <w:ind w:left="0"/>
        <w:jc w:val="left"/>
      </w:pPr>
    </w:p>
    <w:p w14:paraId="0D240DDC" w14:textId="72610004" w:rsidR="009F1A47" w:rsidRPr="00FF42A7" w:rsidRDefault="00000000">
      <w:pPr>
        <w:pStyle w:val="Tekstpodstawowy"/>
        <w:spacing w:before="1"/>
        <w:ind w:right="870"/>
      </w:pPr>
      <w:r w:rsidRPr="00FF42A7">
        <w:rPr>
          <w:color w:val="0071BB"/>
          <w:w w:val="120"/>
        </w:rPr>
        <w:t>status rodzinny, jak i płeć. W szczególności zauważył, że ponieważ macierzyństwo jest określane na podstawie aktu urodzenia, w zdecydowanej większości przypadków nieznane może być jedynie ojcostwo dzieci; jako matka dzieci o nieznanym ojcu skarżąca nie mogła przedstawić dokumentów wymaganych przez prawo, podczas gdy samotny ojciec, którego dzieci straciły matkę, byłby zazwyczaj w stanie to zrobić. Wobec braku przekonujących argumentów ze strony władz bułgarskich Trybunał uznał, że nie przedstawiły one racjonalnego ani obiektywnego uzasadnienia dla wyłączenia rodziny pierwszej skarżącej z prawa do świadczenia.</w:t>
      </w:r>
    </w:p>
    <w:p w14:paraId="3B3471F6" w14:textId="77777777" w:rsidR="009F1A47" w:rsidRPr="00FF42A7" w:rsidRDefault="00000000">
      <w:pPr>
        <w:pStyle w:val="Nagwek1"/>
        <w:spacing w:before="236"/>
      </w:pPr>
      <w:r w:rsidRPr="00FF42A7">
        <w:rPr>
          <w:color w:val="808080"/>
          <w:spacing w:val="-4"/>
          <w:w w:val="125"/>
          <w:sz w:val="29"/>
        </w:rPr>
        <w:t xml:space="preserve">Przepisy </w:t>
      </w:r>
      <w:r w:rsidRPr="00FF42A7">
        <w:rPr>
          <w:color w:val="808080"/>
          <w:w w:val="125"/>
          <w:sz w:val="29"/>
        </w:rPr>
        <w:t>imigracyjne</w:t>
      </w:r>
    </w:p>
    <w:p w14:paraId="6604B751" w14:textId="77777777" w:rsidR="009F1A47" w:rsidRPr="00FF42A7" w:rsidRDefault="009F1A47">
      <w:pPr>
        <w:pStyle w:val="Nagwek2"/>
        <w:spacing w:before="113"/>
        <w:rPr>
          <w:u w:val="none"/>
        </w:rPr>
      </w:pPr>
      <w:hyperlink r:id="rId69">
        <w:proofErr w:type="spellStart"/>
        <w:r w:rsidRPr="00FF42A7">
          <w:rPr>
            <w:color w:val="0071BB"/>
            <w:w w:val="135"/>
            <w:u w:color="0071BB"/>
          </w:rPr>
          <w:t>Abdulaziz</w:t>
        </w:r>
        <w:proofErr w:type="spellEnd"/>
        <w:r w:rsidRPr="00FF42A7">
          <w:rPr>
            <w:color w:val="0071BB"/>
            <w:w w:val="135"/>
            <w:u w:color="0071BB"/>
          </w:rPr>
          <w:t xml:space="preserve">, </w:t>
        </w:r>
        <w:proofErr w:type="spellStart"/>
        <w:r w:rsidRPr="00FF42A7">
          <w:rPr>
            <w:color w:val="0071BB"/>
            <w:w w:val="135"/>
            <w:u w:color="0071BB"/>
          </w:rPr>
          <w:t>Cabales</w:t>
        </w:r>
        <w:proofErr w:type="spellEnd"/>
        <w:r w:rsidRPr="00FF42A7">
          <w:rPr>
            <w:color w:val="0071BB"/>
            <w:w w:val="135"/>
            <w:u w:color="0071BB"/>
          </w:rPr>
          <w:t xml:space="preserve"> i </w:t>
        </w:r>
        <w:proofErr w:type="spellStart"/>
        <w:r w:rsidRPr="00FF42A7">
          <w:rPr>
            <w:color w:val="0071BB"/>
            <w:w w:val="135"/>
            <w:u w:color="0071BB"/>
          </w:rPr>
          <w:t>Balkandali</w:t>
        </w:r>
        <w:proofErr w:type="spellEnd"/>
        <w:r w:rsidRPr="00FF42A7">
          <w:rPr>
            <w:color w:val="0071BB"/>
            <w:w w:val="135"/>
            <w:u w:color="0071BB"/>
          </w:rPr>
          <w:t xml:space="preserve"> przeciwko Zjednoczonemu </w:t>
        </w:r>
        <w:r w:rsidRPr="00FF42A7">
          <w:rPr>
            <w:color w:val="0071BB"/>
            <w:spacing w:val="-2"/>
            <w:w w:val="135"/>
            <w:u w:color="0071BB"/>
          </w:rPr>
          <w:t>Królestwu</w:t>
        </w:r>
      </w:hyperlink>
    </w:p>
    <w:p w14:paraId="5DF98D2B" w14:textId="4540590B" w:rsidR="009F1A47" w:rsidRPr="00FF42A7" w:rsidRDefault="00000000">
      <w:pPr>
        <w:spacing w:before="56"/>
        <w:ind w:left="874"/>
        <w:jc w:val="both"/>
        <w:rPr>
          <w:sz w:val="18"/>
        </w:rPr>
      </w:pPr>
      <w:r w:rsidRPr="00FF42A7">
        <w:rPr>
          <w:color w:val="808080"/>
          <w:w w:val="125"/>
          <w:sz w:val="18"/>
        </w:rPr>
        <w:t>28 maja</w:t>
      </w:r>
      <w:r w:rsidRPr="00FF42A7">
        <w:rPr>
          <w:color w:val="808080"/>
          <w:spacing w:val="-4"/>
          <w:w w:val="125"/>
          <w:sz w:val="18"/>
        </w:rPr>
        <w:t xml:space="preserve"> 1985</w:t>
      </w:r>
      <w:r w:rsidR="00764ADB" w:rsidRPr="00FF42A7">
        <w:rPr>
          <w:color w:val="808080"/>
          <w:spacing w:val="-4"/>
          <w:w w:val="125"/>
          <w:sz w:val="18"/>
        </w:rPr>
        <w:t xml:space="preserve"> r.</w:t>
      </w:r>
    </w:p>
    <w:p w14:paraId="49A9964B" w14:textId="4B5FC53A" w:rsidR="009F1A47" w:rsidRPr="00FF42A7" w:rsidRDefault="00764ADB">
      <w:pPr>
        <w:pStyle w:val="Tekstpodstawowy"/>
        <w:spacing w:before="1"/>
        <w:ind w:left="873" w:right="871"/>
      </w:pPr>
      <w:r w:rsidRPr="00FF42A7">
        <w:rPr>
          <w:w w:val="120"/>
        </w:rPr>
        <w:t xml:space="preserve">Skarżące legalnie i na stałe osiedliły się w Zjednoczonym Królestwie. Zgodnie z przepisami imigracyjnymi obowiązującymi w tamtym czasie, ich mężom odmówiono pozwolenia na pozostanie z nimi lub dołączenie do nich w tym kraju </w:t>
      </w:r>
      <w:r w:rsidR="00E731F1" w:rsidRPr="00FF42A7">
        <w:rPr>
          <w:w w:val="120"/>
        </w:rPr>
        <w:t>w charakterze ich</w:t>
      </w:r>
      <w:r w:rsidRPr="00FF42A7">
        <w:rPr>
          <w:w w:val="120"/>
        </w:rPr>
        <w:t xml:space="preserve"> męż</w:t>
      </w:r>
      <w:r w:rsidR="00E731F1" w:rsidRPr="00FF42A7">
        <w:rPr>
          <w:w w:val="120"/>
        </w:rPr>
        <w:t>ów</w:t>
      </w:r>
      <w:r w:rsidRPr="00FF42A7">
        <w:rPr>
          <w:w w:val="120"/>
        </w:rPr>
        <w:t>. Skarżące utrzymywały w szczególności, że z tego powodu padły ofiarą dyskryminacji ze względu na płeć i rasę.</w:t>
      </w:r>
    </w:p>
    <w:p w14:paraId="09F795C3" w14:textId="77777777" w:rsidR="009F1A47" w:rsidRPr="00FF42A7" w:rsidRDefault="00000000">
      <w:pPr>
        <w:pStyle w:val="Tekstpodstawowy"/>
        <w:spacing w:line="237" w:lineRule="auto"/>
        <w:ind w:right="867"/>
      </w:pPr>
      <w:r w:rsidRPr="00FF42A7">
        <w:rPr>
          <w:color w:val="0071BB"/>
          <w:w w:val="120"/>
        </w:rPr>
        <w:t xml:space="preserve">Trybunał uznał, że skarżący nie byli ofiarami dyskryminacji ze względu na rasę. Stwierdził jednak, że byli oni ofiarami dyskryminacji ze względu na płeć (różnica w traktowaniu imigrantów płci męskiej i żeńskiej w zakresie zezwolenia na wjazd lub pobyt w kraju dla małżonków niebędących obywatelami tego kraju), </w:t>
      </w:r>
      <w:r w:rsidRPr="00FF42A7">
        <w:rPr>
          <w:b/>
          <w:color w:val="0071BB"/>
          <w:w w:val="120"/>
        </w:rPr>
        <w:t xml:space="preserve">co stanowiło naruszenie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w:t>
      </w:r>
    </w:p>
    <w:p w14:paraId="7A391D7F" w14:textId="77777777" w:rsidR="009F1A47" w:rsidRPr="00FF42A7" w:rsidRDefault="009F1A47">
      <w:pPr>
        <w:pStyle w:val="Tekstpodstawowy"/>
        <w:spacing w:before="4"/>
        <w:ind w:left="0"/>
        <w:jc w:val="left"/>
      </w:pPr>
    </w:p>
    <w:p w14:paraId="7C2D9229" w14:textId="77777777" w:rsidR="009F1A47" w:rsidRPr="00FF42A7" w:rsidRDefault="00000000">
      <w:pPr>
        <w:pStyle w:val="Nagwek1"/>
        <w:spacing w:before="0"/>
        <w:ind w:right="872"/>
      </w:pPr>
      <w:r w:rsidRPr="00FF42A7">
        <w:rPr>
          <w:color w:val="808080"/>
          <w:w w:val="120"/>
          <w:sz w:val="29"/>
        </w:rPr>
        <w:t>Brak możliwości zawieszenia wykonania kary pozbawienia wolności a prawo do poszanowania życia prywatnego i rodzinnego</w:t>
      </w:r>
    </w:p>
    <w:p w14:paraId="7B4D2700" w14:textId="77777777" w:rsidR="009F1A47" w:rsidRPr="00FF42A7" w:rsidRDefault="009F1A47">
      <w:pPr>
        <w:pStyle w:val="Nagwek2"/>
        <w:spacing w:before="113"/>
        <w:rPr>
          <w:u w:val="none"/>
        </w:rPr>
      </w:pPr>
      <w:hyperlink r:id="rId70">
        <w:proofErr w:type="spellStart"/>
        <w:r w:rsidRPr="00FF42A7">
          <w:rPr>
            <w:color w:val="0071BB"/>
            <w:w w:val="135"/>
            <w:u w:color="0071BB"/>
          </w:rPr>
          <w:t>Alexandru</w:t>
        </w:r>
        <w:proofErr w:type="spellEnd"/>
        <w:r w:rsidRPr="00FF42A7">
          <w:rPr>
            <w:color w:val="0071BB"/>
            <w:w w:val="135"/>
            <w:u w:color="0071BB"/>
          </w:rPr>
          <w:t xml:space="preserve"> </w:t>
        </w:r>
        <w:proofErr w:type="spellStart"/>
        <w:r w:rsidRPr="00FF42A7">
          <w:rPr>
            <w:color w:val="0071BB"/>
            <w:w w:val="135"/>
            <w:u w:color="0071BB"/>
          </w:rPr>
          <w:t>Enache</w:t>
        </w:r>
        <w:proofErr w:type="spellEnd"/>
        <w:r w:rsidRPr="00FF42A7">
          <w:rPr>
            <w:color w:val="0071BB"/>
            <w:w w:val="135"/>
            <w:u w:color="0071BB"/>
          </w:rPr>
          <w:t xml:space="preserve"> przeciwko </w:t>
        </w:r>
        <w:r w:rsidRPr="00FF42A7">
          <w:rPr>
            <w:color w:val="0071BB"/>
            <w:spacing w:val="-2"/>
            <w:w w:val="135"/>
            <w:u w:color="0071BB"/>
          </w:rPr>
          <w:t>Rumunii</w:t>
        </w:r>
      </w:hyperlink>
    </w:p>
    <w:p w14:paraId="59DE31CB" w14:textId="77777777" w:rsidR="009F1A47" w:rsidRPr="00FF42A7" w:rsidRDefault="00000000">
      <w:pPr>
        <w:spacing w:before="56"/>
        <w:ind w:left="874"/>
        <w:jc w:val="both"/>
        <w:rPr>
          <w:sz w:val="18"/>
        </w:rPr>
      </w:pPr>
      <w:r w:rsidRPr="00FF42A7">
        <w:rPr>
          <w:color w:val="808080"/>
          <w:w w:val="120"/>
          <w:sz w:val="18"/>
        </w:rPr>
        <w:t>3 października</w:t>
      </w:r>
      <w:r w:rsidRPr="00FF42A7">
        <w:rPr>
          <w:color w:val="808080"/>
          <w:spacing w:val="-4"/>
          <w:w w:val="120"/>
          <w:sz w:val="18"/>
        </w:rPr>
        <w:t xml:space="preserve"> 2017 r.</w:t>
      </w:r>
    </w:p>
    <w:p w14:paraId="3C293042" w14:textId="77777777" w:rsidR="009F1A47" w:rsidRPr="00FF42A7" w:rsidRDefault="00000000">
      <w:pPr>
        <w:pStyle w:val="Tekstpodstawowy"/>
        <w:spacing w:before="1"/>
        <w:ind w:right="872"/>
      </w:pPr>
      <w:r w:rsidRPr="00FF42A7">
        <w:rPr>
          <w:w w:val="120"/>
        </w:rPr>
        <w:t>Sprawa dotyczyła w szczególności skargi więźnia na dyskryminację ze względu na płeć wynikającą z faktu, że zgodnie z rumuńskim prawem tylko skazane matki dzieci poniżej pierwszego roku życia mogą uzyskać zawieszenie wykonania kary pozbawienia wolności do czasu ukończenia przez dziecko pierwszego roku życia. Wniosek o zawieszenie wykonania kary pozbawienia wolności złożony przez skarżącego, ojca dziecka poniżej pierwszego roku życia, został oddalony przez rumuńskie sądy na podstawie tego, że przepis, którego dotyczyła skarga, należy interpretować w sposób restrykcyjny.</w:t>
      </w:r>
    </w:p>
    <w:p w14:paraId="45A2AF5A" w14:textId="02FC017E" w:rsidR="009F1A47" w:rsidRPr="00FF42A7" w:rsidRDefault="00000000" w:rsidP="00146A0A">
      <w:pPr>
        <w:pStyle w:val="Tekstpodstawowy"/>
        <w:ind w:right="870"/>
        <w:sectPr w:rsidR="009F1A47" w:rsidRPr="00FF42A7">
          <w:pgSz w:w="11910" w:h="16840"/>
          <w:pgMar w:top="1400" w:right="566" w:bottom="680" w:left="566" w:header="720" w:footer="497" w:gutter="0"/>
          <w:cols w:space="708"/>
        </w:sectPr>
      </w:pPr>
      <w:r w:rsidRPr="00FF42A7">
        <w:rPr>
          <w:color w:val="0071BB"/>
          <w:w w:val="120"/>
        </w:rPr>
        <w:t xml:space="preserve">Trybunał orzekł stosunkiem głosów pięciu do dwóch,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w odniesieniu do skargi skarżące</w:t>
      </w:r>
      <w:r w:rsidR="00293D76" w:rsidRPr="00FF42A7">
        <w:rPr>
          <w:color w:val="0071BB"/>
          <w:w w:val="120"/>
        </w:rPr>
        <w:t>go</w:t>
      </w:r>
      <w:r w:rsidRPr="00FF42A7">
        <w:rPr>
          <w:color w:val="0071BB"/>
          <w:w w:val="120"/>
        </w:rPr>
        <w:t xml:space="preserve"> dotyczącej dyskryminacji ze względu na płeć. W szczególności </w:t>
      </w:r>
      <w:r w:rsidRPr="00FF42A7">
        <w:rPr>
          <w:color w:val="0071BB"/>
          <w:spacing w:val="40"/>
          <w:w w:val="120"/>
        </w:rPr>
        <w:t>st</w:t>
      </w:r>
      <w:r w:rsidRPr="00FF42A7">
        <w:rPr>
          <w:color w:val="0071BB"/>
          <w:w w:val="120"/>
        </w:rPr>
        <w:t xml:space="preserve">wierdził, że zaskarżone wykluczenie nie stanowiło różnicy w traktowaniu oraz że istniał rozsądny stosunek proporcjonalności między środkami zastosowanymi a uzasadnionym celem </w:t>
      </w:r>
      <w:r w:rsidRPr="00FF42A7">
        <w:rPr>
          <w:color w:val="0071BB"/>
          <w:spacing w:val="40"/>
          <w:w w:val="120"/>
        </w:rPr>
        <w:t>(</w:t>
      </w:r>
      <w:r w:rsidRPr="00FF42A7">
        <w:rPr>
          <w:color w:val="0071BB"/>
          <w:w w:val="120"/>
        </w:rPr>
        <w:t>najlepszym interesem dziecka i szczególnymi więzami między matką a dzieckiem w pierwszym roku życia). Trybunał zauważył w szczególności, że przyznanie kobietom skazanym na karę pozbawienia wolności zawieszenia wykonania kary nie było automatyczne, a rumuńskie prawo karne obowiązujące w tamtym czasie zapewniało wszystkim skazanym, niezależnie od płci, inne możliwości wystąpienia o zawieszenie wykonania kary. Trybunał zauważył również, że celem przedmiotowych przepisów prawnych było uwzględnienie szczególnych sytuacji osobistych, zwłaszcza dotyczących wyjątkowej więzi między matką a dzieckiem w okresie ciąży i pierwszego roku życia dziecka. Trybunał uznał, że cel ten można uznać za uzasadniony w rozumieniu art. 14 Konwencji, a argumenty rządu rumuńskiego nie były oczywiście bezzasadne ani nieuzasadnione. Trybunał uznał zatem, że w konkretnej sferze, której dotyczyła niniejsza sprawa, względy te mogą stanowić wystarczającą podstawę do uzasadnienia</w:t>
      </w:r>
      <w:r w:rsidR="00DF1A06" w:rsidRPr="00FF42A7">
        <w:rPr>
          <w:color w:val="0071BB"/>
          <w:w w:val="120"/>
        </w:rPr>
        <w:t xml:space="preserve"> różnicy w</w:t>
      </w:r>
    </w:p>
    <w:p w14:paraId="0D2DD8D4" w14:textId="77777777" w:rsidR="009F1A47" w:rsidRPr="00FF42A7" w:rsidRDefault="009F1A47">
      <w:pPr>
        <w:pStyle w:val="Tekstpodstawowy"/>
        <w:spacing w:before="59"/>
        <w:ind w:left="0"/>
        <w:jc w:val="left"/>
      </w:pPr>
    </w:p>
    <w:p w14:paraId="32E3FB48" w14:textId="2FF98408" w:rsidR="009F1A47" w:rsidRPr="00FF42A7" w:rsidRDefault="00000000">
      <w:pPr>
        <w:pStyle w:val="Tekstpodstawowy"/>
        <w:spacing w:before="1"/>
        <w:ind w:right="871"/>
      </w:pPr>
      <w:r w:rsidRPr="00FF42A7">
        <w:rPr>
          <w:color w:val="0071BB"/>
          <w:w w:val="120"/>
        </w:rPr>
        <w:t xml:space="preserve">traktowaniu </w:t>
      </w:r>
      <w:r w:rsidR="00293D76" w:rsidRPr="00FF42A7">
        <w:rPr>
          <w:color w:val="0071BB"/>
          <w:w w:val="120"/>
        </w:rPr>
        <w:t>skarżącego</w:t>
      </w:r>
      <w:r w:rsidRPr="00FF42A7">
        <w:rPr>
          <w:color w:val="0071BB"/>
          <w:w w:val="120"/>
        </w:rPr>
        <w:t xml:space="preserve">. Macierzyństwo </w:t>
      </w:r>
      <w:r w:rsidR="00293D76" w:rsidRPr="00FF42A7">
        <w:rPr>
          <w:color w:val="0071BB"/>
          <w:w w:val="120"/>
        </w:rPr>
        <w:t xml:space="preserve">charakteryzuje się </w:t>
      </w:r>
      <w:r w:rsidRPr="00FF42A7">
        <w:rPr>
          <w:color w:val="0071BB"/>
          <w:w w:val="120"/>
        </w:rPr>
        <w:t>specyficz</w:t>
      </w:r>
      <w:r w:rsidR="00293D76" w:rsidRPr="00FF42A7">
        <w:rPr>
          <w:color w:val="0071BB"/>
          <w:w w:val="120"/>
        </w:rPr>
        <w:t>nymi</w:t>
      </w:r>
      <w:r w:rsidRPr="00FF42A7">
        <w:rPr>
          <w:color w:val="0071BB"/>
          <w:w w:val="120"/>
        </w:rPr>
        <w:t xml:space="preserve"> cech</w:t>
      </w:r>
      <w:r w:rsidR="00293D76" w:rsidRPr="00FF42A7">
        <w:rPr>
          <w:color w:val="0071BB"/>
          <w:w w:val="120"/>
        </w:rPr>
        <w:t>ami</w:t>
      </w:r>
      <w:r w:rsidRPr="00FF42A7">
        <w:rPr>
          <w:color w:val="0071BB"/>
          <w:w w:val="120"/>
        </w:rPr>
        <w:t xml:space="preserve">, które należy uwzględnić między innymi poprzez </w:t>
      </w:r>
      <w:r w:rsidR="00293D76" w:rsidRPr="00FF42A7">
        <w:rPr>
          <w:color w:val="0071BB"/>
          <w:w w:val="120"/>
        </w:rPr>
        <w:t xml:space="preserve">zastosowanie </w:t>
      </w:r>
      <w:r w:rsidRPr="00FF42A7">
        <w:rPr>
          <w:color w:val="0071BB"/>
          <w:w w:val="120"/>
        </w:rPr>
        <w:t>środk</w:t>
      </w:r>
      <w:r w:rsidR="00DF1A06" w:rsidRPr="00FF42A7">
        <w:rPr>
          <w:color w:val="0071BB"/>
          <w:w w:val="120"/>
        </w:rPr>
        <w:t>ów</w:t>
      </w:r>
      <w:r w:rsidRPr="00FF42A7">
        <w:rPr>
          <w:color w:val="0071BB"/>
          <w:w w:val="120"/>
        </w:rPr>
        <w:t xml:space="preserve"> ochronn</w:t>
      </w:r>
      <w:r w:rsidR="00DF1A06" w:rsidRPr="00FF42A7">
        <w:rPr>
          <w:color w:val="0071BB"/>
          <w:w w:val="120"/>
        </w:rPr>
        <w:t>ych</w:t>
      </w:r>
      <w:r w:rsidRPr="00FF42A7">
        <w:rPr>
          <w:color w:val="0071BB"/>
          <w:w w:val="120"/>
        </w:rPr>
        <w:t>.</w:t>
      </w:r>
    </w:p>
    <w:p w14:paraId="6F2BD0D2" w14:textId="77777777" w:rsidR="009F1A47" w:rsidRPr="00FF42A7" w:rsidRDefault="00000000">
      <w:pPr>
        <w:pStyle w:val="Nagwek1"/>
        <w:spacing w:before="242"/>
      </w:pPr>
      <w:r w:rsidRPr="00FF42A7">
        <w:rPr>
          <w:color w:val="808080"/>
          <w:w w:val="120"/>
          <w:sz w:val="29"/>
        </w:rPr>
        <w:t xml:space="preserve">Urlop rodzicielski i </w:t>
      </w:r>
      <w:r w:rsidRPr="00FF42A7">
        <w:rPr>
          <w:color w:val="808080"/>
          <w:spacing w:val="-2"/>
          <w:w w:val="120"/>
          <w:sz w:val="29"/>
        </w:rPr>
        <w:t xml:space="preserve">zasiłki </w:t>
      </w:r>
      <w:r w:rsidRPr="00FF42A7">
        <w:rPr>
          <w:color w:val="808080"/>
          <w:w w:val="120"/>
          <w:sz w:val="29"/>
        </w:rPr>
        <w:t>rodzicielskie</w:t>
      </w:r>
    </w:p>
    <w:p w14:paraId="7EF6F60E" w14:textId="77777777" w:rsidR="009F1A47" w:rsidRPr="00FF42A7" w:rsidRDefault="009F1A47">
      <w:pPr>
        <w:pStyle w:val="Nagwek2"/>
        <w:spacing w:before="111"/>
        <w:rPr>
          <w:u w:val="none"/>
        </w:rPr>
      </w:pPr>
      <w:hyperlink r:id="rId71">
        <w:proofErr w:type="spellStart"/>
        <w:r w:rsidRPr="00FF42A7">
          <w:rPr>
            <w:color w:val="0071BB"/>
            <w:w w:val="135"/>
            <w:u w:color="0071BB"/>
          </w:rPr>
          <w:t>Petrovic</w:t>
        </w:r>
        <w:proofErr w:type="spellEnd"/>
        <w:r w:rsidRPr="00FF42A7">
          <w:rPr>
            <w:color w:val="0071BB"/>
            <w:w w:val="135"/>
            <w:u w:color="0071BB"/>
          </w:rPr>
          <w:t xml:space="preserve"> przeciwko </w:t>
        </w:r>
        <w:r w:rsidRPr="00FF42A7">
          <w:rPr>
            <w:color w:val="0071BB"/>
            <w:spacing w:val="-2"/>
            <w:w w:val="135"/>
            <w:u w:color="0071BB"/>
          </w:rPr>
          <w:t>Austrii</w:t>
        </w:r>
      </w:hyperlink>
    </w:p>
    <w:p w14:paraId="634A7B55" w14:textId="1DB3CAE2" w:rsidR="009F1A47" w:rsidRPr="00FF42A7" w:rsidRDefault="00000000">
      <w:pPr>
        <w:spacing w:before="58"/>
        <w:ind w:left="874"/>
        <w:jc w:val="both"/>
        <w:rPr>
          <w:sz w:val="18"/>
        </w:rPr>
      </w:pPr>
      <w:r w:rsidRPr="00FF42A7">
        <w:rPr>
          <w:color w:val="808080"/>
          <w:w w:val="120"/>
          <w:sz w:val="18"/>
        </w:rPr>
        <w:t>27 marca</w:t>
      </w:r>
      <w:r w:rsidRPr="00FF42A7">
        <w:rPr>
          <w:color w:val="808080"/>
          <w:spacing w:val="-4"/>
          <w:w w:val="120"/>
          <w:sz w:val="18"/>
        </w:rPr>
        <w:t xml:space="preserve"> 1998</w:t>
      </w:r>
      <w:r w:rsidR="00DF1A06" w:rsidRPr="00FF42A7">
        <w:rPr>
          <w:color w:val="808080"/>
          <w:spacing w:val="-4"/>
          <w:w w:val="120"/>
          <w:sz w:val="18"/>
        </w:rPr>
        <w:t xml:space="preserve"> r.</w:t>
      </w:r>
    </w:p>
    <w:p w14:paraId="3B6A5CA6" w14:textId="7B1F440D" w:rsidR="009F1A47" w:rsidRPr="00FF42A7" w:rsidRDefault="00000000">
      <w:pPr>
        <w:pStyle w:val="Tekstpodstawowy"/>
        <w:spacing w:before="2"/>
        <w:ind w:left="873" w:right="870"/>
      </w:pPr>
      <w:r w:rsidRPr="00FF42A7">
        <w:rPr>
          <w:w w:val="120"/>
        </w:rPr>
        <w:t xml:space="preserve">W momencie rozpatrywania </w:t>
      </w:r>
      <w:r w:rsidR="000A1B69">
        <w:rPr>
          <w:w w:val="120"/>
        </w:rPr>
        <w:t>skargi</w:t>
      </w:r>
      <w:r w:rsidRPr="00FF42A7">
        <w:rPr>
          <w:w w:val="120"/>
        </w:rPr>
        <w:t xml:space="preserve"> skarżący był studentem i pracował w niepełnym wymiarze godzin. Jego żona, która ukończyła już studia wyższe i była urzędniczką federalną w ministerstwie federalnym, urodziła dziecko w lutym 1989 r. Kontynuowała pracę, podczas gdy skarżący skorzystał z urlopu rodzicielskiego, aby opiekować się dzieckiem. Wnoszący skargę skarżył się na odmowę przyznania mu przez władze austriackie zasiłku rodzicielskiego na podstawie ustawy o zasiłkach dla bezrobotnych z 1977 r., która przewidywała, że tylko matki są uprawnione do otrzymywania takich świadczeń. Twierdził, że był ofiarą dyskryminacji ze względu na płeć.</w:t>
      </w:r>
    </w:p>
    <w:p w14:paraId="7A710DF0" w14:textId="7E757B61" w:rsidR="009F1A47" w:rsidRPr="00FF42A7" w:rsidRDefault="00000000">
      <w:pPr>
        <w:pStyle w:val="Tekstpodstawowy"/>
        <w:ind w:left="873" w:right="869"/>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 xml:space="preserve">(prawo do poszanowania życia prywatnego) Konwencji, stwierdzając, że odmowa przyznania </w:t>
      </w:r>
      <w:r w:rsidR="002E4B59" w:rsidRPr="00FF42A7">
        <w:rPr>
          <w:color w:val="0071BB"/>
          <w:w w:val="120"/>
        </w:rPr>
        <w:t xml:space="preserve">skarżącemu </w:t>
      </w:r>
      <w:r w:rsidRPr="00FF42A7">
        <w:rPr>
          <w:color w:val="0071BB"/>
          <w:w w:val="120"/>
        </w:rPr>
        <w:t>zasiłku rodzicielskiego przez władze austriackie nie wykroczyła poza margines swobody</w:t>
      </w:r>
      <w:r w:rsidR="00540677" w:rsidRPr="00FF42A7">
        <w:rPr>
          <w:color w:val="0071BB"/>
          <w:w w:val="120"/>
        </w:rPr>
        <w:t xml:space="preserve"> im</w:t>
      </w:r>
      <w:r w:rsidRPr="00FF42A7">
        <w:rPr>
          <w:color w:val="0071BB"/>
          <w:w w:val="120"/>
        </w:rPr>
        <w:t xml:space="preserve"> przysługujący i że różnica w traktowaniu, której dotyczy skarga, nie miała zatem charakteru dyskryminacyjnego w rozumieniu art. 14. W szczególności było oczywiste, że w momencie rozpatrywania sprawy większość </w:t>
      </w:r>
      <w:r w:rsidR="002E4B59" w:rsidRPr="00FF42A7">
        <w:rPr>
          <w:color w:val="0071BB"/>
          <w:w w:val="120"/>
        </w:rPr>
        <w:t>P</w:t>
      </w:r>
      <w:r w:rsidRPr="00FF42A7">
        <w:rPr>
          <w:color w:val="0071BB"/>
          <w:w w:val="120"/>
        </w:rPr>
        <w:t>aństw-</w:t>
      </w:r>
      <w:r w:rsidR="002E4B59" w:rsidRPr="00FF42A7">
        <w:rPr>
          <w:color w:val="0071BB"/>
          <w:w w:val="120"/>
        </w:rPr>
        <w:t>S</w:t>
      </w:r>
      <w:r w:rsidRPr="00FF42A7">
        <w:rPr>
          <w:color w:val="0071BB"/>
          <w:w w:val="120"/>
        </w:rPr>
        <w:t xml:space="preserve">tron nie przewidywała wypłacania zasiłków rodzicielskich ojcom. Idea udzielania przez </w:t>
      </w:r>
      <w:r w:rsidR="000235F6" w:rsidRPr="00FF42A7">
        <w:rPr>
          <w:color w:val="0071BB"/>
          <w:w w:val="120"/>
        </w:rPr>
        <w:t>P</w:t>
      </w:r>
      <w:r w:rsidRPr="00FF42A7">
        <w:rPr>
          <w:color w:val="0071BB"/>
          <w:w w:val="120"/>
        </w:rPr>
        <w:t>aństwo pomocy finansowej matce lub ojcu, zgodnie z wyborem pary, aby zainteresowany rodzic mógł pozostać w domu i opiekować się dziećmi, była stosunkowo nowa. Pierwotnie środki socjalne tego rodzaju – takie jak urlop rodzicielski – miały przede wszystkim na celu ochronę matek i umożliwienie im opieki nad bardzo małymi dziećmi. Dopiero stopniowo, w miarę jak społeczeństwo zmierzał</w:t>
      </w:r>
      <w:r w:rsidR="002E4B59" w:rsidRPr="00FF42A7">
        <w:rPr>
          <w:color w:val="0071BB"/>
          <w:w w:val="120"/>
        </w:rPr>
        <w:t>o w kierunku</w:t>
      </w:r>
      <w:r w:rsidRPr="00FF42A7">
        <w:rPr>
          <w:color w:val="0071BB"/>
          <w:w w:val="120"/>
        </w:rPr>
        <w:t xml:space="preserve"> bardziej równego podziału obowiązków związanych z wychowaniem dzieci między mężczyznami i kobietami, </w:t>
      </w:r>
      <w:r w:rsidR="002E4B59" w:rsidRPr="00FF42A7">
        <w:rPr>
          <w:color w:val="0071BB"/>
          <w:w w:val="120"/>
        </w:rPr>
        <w:t>P</w:t>
      </w:r>
      <w:r w:rsidRPr="00FF42A7">
        <w:rPr>
          <w:color w:val="0071BB"/>
          <w:w w:val="120"/>
        </w:rPr>
        <w:t>aństwa-</w:t>
      </w:r>
      <w:r w:rsidR="002E4B59" w:rsidRPr="00FF42A7">
        <w:rPr>
          <w:color w:val="0071BB"/>
          <w:w w:val="120"/>
        </w:rPr>
        <w:t>S</w:t>
      </w:r>
      <w:r w:rsidRPr="00FF42A7">
        <w:rPr>
          <w:color w:val="0071BB"/>
          <w:w w:val="120"/>
        </w:rPr>
        <w:t xml:space="preserve">trony wprowadziły środki obejmujące ojców, takie jak prawo do urlopu rodzicielskiego. Pod tym względem prawo austriackie ewoluowało w podobny sposób – w 1989 r. ustawodawca austriacki uchwalił przepisy przewidujące urlop rodzicielski dla ojców. Równolegle, w 1990 r., prawo do zasiłku rodzicielskiego zostało rozszerzone na ojców. Wydawało się zatem trudne krytykowanie ustawodawcy austriackiego za stopniowe wprowadzanie przepisów, które odzwierciedlały ewolucję społeczeństwa w tej dziedzinie i które, biorąc pod uwagę wszystkie okoliczności, były bardzo postępowe w skali europejskiej. Ponadto nadal istniały bardzo duże różnice między systemami prawnymi </w:t>
      </w:r>
      <w:r w:rsidR="000235F6" w:rsidRPr="00FF42A7">
        <w:rPr>
          <w:color w:val="0071BB"/>
          <w:w w:val="120"/>
        </w:rPr>
        <w:t>P</w:t>
      </w:r>
      <w:r w:rsidRPr="00FF42A7">
        <w:rPr>
          <w:color w:val="0071BB"/>
          <w:w w:val="120"/>
        </w:rPr>
        <w:t xml:space="preserve">aństw będących </w:t>
      </w:r>
      <w:r w:rsidR="000235F6" w:rsidRPr="00FF42A7">
        <w:rPr>
          <w:color w:val="0071BB"/>
          <w:w w:val="120"/>
        </w:rPr>
        <w:t>S</w:t>
      </w:r>
      <w:r w:rsidRPr="00FF42A7">
        <w:rPr>
          <w:color w:val="0071BB"/>
          <w:w w:val="120"/>
        </w:rPr>
        <w:t xml:space="preserve">tronami umowy w tej dziedzinie. Chociaż wiele </w:t>
      </w:r>
      <w:r w:rsidR="000235F6" w:rsidRPr="00FF42A7">
        <w:rPr>
          <w:color w:val="0071BB"/>
          <w:w w:val="120"/>
        </w:rPr>
        <w:t>P</w:t>
      </w:r>
      <w:r w:rsidRPr="00FF42A7">
        <w:rPr>
          <w:color w:val="0071BB"/>
          <w:w w:val="120"/>
        </w:rPr>
        <w:t xml:space="preserve">aństw podjęło środki mające na celu przyznanie ojcom prawa do urlopu rodzicielskiego, nie dotyczyło to zasiłku rodzicielskiego, który tylko nieliczne </w:t>
      </w:r>
      <w:r w:rsidR="000235F6" w:rsidRPr="00FF42A7">
        <w:rPr>
          <w:color w:val="0071BB"/>
          <w:w w:val="120"/>
        </w:rPr>
        <w:t>P</w:t>
      </w:r>
      <w:r w:rsidRPr="00FF42A7">
        <w:rPr>
          <w:color w:val="0071BB"/>
          <w:w w:val="120"/>
        </w:rPr>
        <w:t>aństwa przyznawały ojcom.</w:t>
      </w:r>
    </w:p>
    <w:p w14:paraId="5E30B4E2" w14:textId="77777777" w:rsidR="009F1A47" w:rsidRPr="00FF42A7" w:rsidRDefault="009F1A47">
      <w:pPr>
        <w:pStyle w:val="Nagwek2"/>
        <w:spacing w:before="82"/>
        <w:rPr>
          <w:b w:val="0"/>
          <w:position w:val="7"/>
          <w:sz w:val="13"/>
          <w:u w:val="none"/>
        </w:rPr>
      </w:pPr>
      <w:hyperlink r:id="rId72">
        <w:r w:rsidRPr="00FF42A7">
          <w:rPr>
            <w:color w:val="0071BB"/>
            <w:w w:val="135"/>
            <w:u w:color="0071BB"/>
          </w:rPr>
          <w:t xml:space="preserve">Konstantin Markin przeciwko </w:t>
        </w:r>
        <w:r w:rsidRPr="00FF42A7">
          <w:rPr>
            <w:color w:val="0071BB"/>
            <w:spacing w:val="-2"/>
            <w:w w:val="135"/>
            <w:u w:color="0071BB"/>
          </w:rPr>
          <w:t>Rosji</w:t>
        </w:r>
      </w:hyperlink>
      <w:hyperlink w:anchor="_bookmark4" w:history="1">
        <w:r w:rsidRPr="00FF42A7">
          <w:rPr>
            <w:b w:val="0"/>
            <w:spacing w:val="-2"/>
            <w:w w:val="135"/>
            <w:position w:val="7"/>
            <w:sz w:val="13"/>
            <w:u w:val="none"/>
          </w:rPr>
          <w:t>5</w:t>
        </w:r>
      </w:hyperlink>
    </w:p>
    <w:p w14:paraId="0D983652" w14:textId="2C95F08D" w:rsidR="009F1A47" w:rsidRPr="00FF42A7" w:rsidRDefault="00000000">
      <w:pPr>
        <w:spacing w:before="58"/>
        <w:ind w:left="874"/>
        <w:jc w:val="both"/>
        <w:rPr>
          <w:sz w:val="18"/>
        </w:rPr>
      </w:pPr>
      <w:r w:rsidRPr="00FF42A7">
        <w:rPr>
          <w:color w:val="808080"/>
          <w:w w:val="125"/>
          <w:sz w:val="18"/>
        </w:rPr>
        <w:t>22 marca 2012 r. (</w:t>
      </w:r>
      <w:r w:rsidR="00F943F2" w:rsidRPr="00FF42A7">
        <w:rPr>
          <w:color w:val="808080"/>
          <w:w w:val="125"/>
          <w:sz w:val="18"/>
        </w:rPr>
        <w:t>W</w:t>
      </w:r>
      <w:r w:rsidRPr="00FF42A7">
        <w:rPr>
          <w:color w:val="808080"/>
          <w:w w:val="125"/>
          <w:sz w:val="18"/>
        </w:rPr>
        <w:t xml:space="preserve">ielka </w:t>
      </w:r>
      <w:r w:rsidR="00F943F2" w:rsidRPr="00FF42A7">
        <w:rPr>
          <w:color w:val="808080"/>
          <w:spacing w:val="-2"/>
          <w:w w:val="125"/>
          <w:sz w:val="18"/>
        </w:rPr>
        <w:t>I</w:t>
      </w:r>
      <w:r w:rsidRPr="00FF42A7">
        <w:rPr>
          <w:color w:val="808080"/>
          <w:spacing w:val="-2"/>
          <w:w w:val="125"/>
          <w:sz w:val="18"/>
        </w:rPr>
        <w:t>zba)</w:t>
      </w:r>
    </w:p>
    <w:p w14:paraId="236890B4" w14:textId="36FD4758" w:rsidR="009F1A47" w:rsidRPr="00FF42A7" w:rsidRDefault="00000000">
      <w:pPr>
        <w:pStyle w:val="Tekstpodstawowy"/>
        <w:spacing w:before="1"/>
        <w:ind w:right="871"/>
      </w:pPr>
      <w:r w:rsidRPr="00FF42A7">
        <w:rPr>
          <w:w w:val="120"/>
        </w:rPr>
        <w:t xml:space="preserve">Sprawa dotyczyła odmowy przyznania </w:t>
      </w:r>
      <w:r w:rsidR="000A1B69" w:rsidRPr="00FF42A7">
        <w:rPr>
          <w:w w:val="120"/>
        </w:rPr>
        <w:t>skarżącemu</w:t>
      </w:r>
      <w:r w:rsidRPr="00FF42A7">
        <w:rPr>
          <w:w w:val="120"/>
        </w:rPr>
        <w:t xml:space="preserve">, rozwiedzionemu operatorowi radiowemu w siłach zbrojnych, urlopu rodzicielskiego przez władze rosyjskie. </w:t>
      </w:r>
      <w:r w:rsidR="00F943F2" w:rsidRPr="00FF42A7">
        <w:rPr>
          <w:w w:val="120"/>
        </w:rPr>
        <w:t>Skarżący podnosił, że istnieją</w:t>
      </w:r>
      <w:r w:rsidRPr="00FF42A7">
        <w:rPr>
          <w:w w:val="120"/>
        </w:rPr>
        <w:t xml:space="preserve"> różnicę w traktowaniu w stosunku do kobiet służących w siłach zbrojnych i kobiet cywilnych.</w:t>
      </w:r>
    </w:p>
    <w:p w14:paraId="7D84039B" w14:textId="50D88E7D" w:rsidR="009F1A47" w:rsidRPr="00FF42A7" w:rsidRDefault="00000000">
      <w:pPr>
        <w:pStyle w:val="Tekstpodstawowy"/>
        <w:ind w:left="873" w:right="868"/>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w związku z </w:t>
      </w:r>
      <w:r w:rsidRPr="00FF42A7">
        <w:rPr>
          <w:b/>
          <w:color w:val="0071BB"/>
          <w:w w:val="120"/>
        </w:rPr>
        <w:t xml:space="preserve">art. 8 </w:t>
      </w:r>
      <w:r w:rsidRPr="00FF42A7">
        <w:rPr>
          <w:color w:val="0071BB"/>
          <w:w w:val="120"/>
        </w:rPr>
        <w:t xml:space="preserve">(prawo do poszanowania życia prywatnego i rodzinnego) Konwencji, stwierdzając, że wyłączenie żołnierzy z prawa do urlopu rodzicielskiego, podczas gdy </w:t>
      </w:r>
      <w:r w:rsidR="000A1B69">
        <w:rPr>
          <w:color w:val="0071BB"/>
          <w:w w:val="120"/>
        </w:rPr>
        <w:t>kobiety- żołnierze</w:t>
      </w:r>
      <w:r w:rsidRPr="00FF42A7">
        <w:rPr>
          <w:color w:val="0071BB"/>
          <w:w w:val="120"/>
        </w:rPr>
        <w:t xml:space="preserve"> miały prawo do takiego urlopu, nie mogło być uznane za uzasadnione w sposób racjonalny lub obiektywny. Ta różnica w traktowaniu, której ofiarą padł skarżący, stanowiła zatem dyskryminację ze względu na płeć. W szczególności, analizując sytuację w </w:t>
      </w:r>
      <w:r w:rsidR="000235F6" w:rsidRPr="00FF42A7">
        <w:rPr>
          <w:color w:val="0071BB"/>
          <w:w w:val="120"/>
        </w:rPr>
        <w:t>P</w:t>
      </w:r>
      <w:r w:rsidRPr="00FF42A7">
        <w:rPr>
          <w:color w:val="0071BB"/>
          <w:w w:val="120"/>
        </w:rPr>
        <w:t xml:space="preserve">aństwach będących </w:t>
      </w:r>
      <w:r w:rsidR="000235F6" w:rsidRPr="00FF42A7">
        <w:rPr>
          <w:color w:val="0071BB"/>
          <w:w w:val="120"/>
        </w:rPr>
        <w:t>S</w:t>
      </w:r>
      <w:r w:rsidRPr="00FF42A7">
        <w:rPr>
          <w:color w:val="0071BB"/>
          <w:w w:val="120"/>
        </w:rPr>
        <w:t xml:space="preserve">tronami </w:t>
      </w:r>
      <w:r w:rsidR="006E2703" w:rsidRPr="00FF42A7">
        <w:rPr>
          <w:color w:val="0071BB"/>
          <w:w w:val="120"/>
        </w:rPr>
        <w:t>Konwencji</w:t>
      </w:r>
      <w:r w:rsidRPr="00FF42A7">
        <w:rPr>
          <w:color w:val="0071BB"/>
          <w:w w:val="120"/>
        </w:rPr>
        <w:t>, Trybunał zauważył, że w większości krajów europejskich, w</w:t>
      </w:r>
      <w:r w:rsidR="00F943F2" w:rsidRPr="00FF42A7">
        <w:rPr>
          <w:color w:val="0071BB"/>
          <w:w w:val="120"/>
        </w:rPr>
        <w:t xml:space="preserve"> tym w samej Rosji, przepisy prawa zezwalają cywilnym mężczyznom i kobietom do</w:t>
      </w:r>
      <w:r w:rsidR="00F943F2" w:rsidRPr="00FF42A7">
        <w:rPr>
          <w:color w:val="0071BB"/>
          <w:w w:val="120"/>
        </w:rPr>
        <w:br/>
      </w:r>
      <w:r w:rsidRPr="00FF42A7">
        <w:rPr>
          <w:color w:val="0071BB"/>
          <w:w w:val="120"/>
        </w:rPr>
        <w:t xml:space="preserve"> </w:t>
      </w:r>
    </w:p>
    <w:p w14:paraId="4C8B56AE" w14:textId="77777777" w:rsidR="009F1A47" w:rsidRPr="00FF42A7" w:rsidRDefault="00000000">
      <w:pPr>
        <w:pStyle w:val="Tekstpodstawowy"/>
        <w:spacing w:before="12"/>
        <w:ind w:left="0"/>
        <w:jc w:val="left"/>
        <w:rPr>
          <w:sz w:val="19"/>
        </w:rPr>
      </w:pPr>
      <w:r w:rsidRPr="00FF42A7">
        <w:rPr>
          <w:noProof/>
          <w:sz w:val="19"/>
        </w:rPr>
        <mc:AlternateContent>
          <mc:Choice Requires="wps">
            <w:drawing>
              <wp:anchor distT="0" distB="0" distL="0" distR="0" simplePos="0" relativeHeight="251666432" behindDoc="1" locked="0" layoutInCell="1" allowOverlap="1" wp14:anchorId="7F5F72E3" wp14:editId="0BC77796">
                <wp:simplePos x="0" y="0"/>
                <wp:positionH relativeFrom="page">
                  <wp:posOffset>914400</wp:posOffset>
                </wp:positionH>
                <wp:positionV relativeFrom="paragraph">
                  <wp:posOffset>170249</wp:posOffset>
                </wp:positionV>
                <wp:extent cx="1828800" cy="762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80A750D" id="Graphic 26" o:spid="_x0000_s1026" style="position:absolute;margin-left:1in;margin-top:13.4pt;width:2in;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" path="m1828800,l,,,7619r1828800,l1828800,xe" fillcolor="black" stroked="f">
                <v:path arrowok="t"/>
                <w10:wrap type="topAndBottom" anchorx="page"/>
              </v:shape>
            </w:pict>
          </mc:Fallback>
        </mc:AlternateContent>
      </w:r>
    </w:p>
    <w:p w14:paraId="18893757" w14:textId="77777777" w:rsidR="009F1A47" w:rsidRPr="00FF42A7" w:rsidRDefault="00000000">
      <w:pPr>
        <w:pStyle w:val="Akapitzlist"/>
        <w:numPr>
          <w:ilvl w:val="0"/>
          <w:numId w:val="2"/>
        </w:numPr>
        <w:tabs>
          <w:tab w:val="left" w:pos="1127"/>
        </w:tabs>
        <w:ind w:left="1127" w:hanging="253"/>
        <w:rPr>
          <w:sz w:val="16"/>
        </w:rPr>
      </w:pPr>
      <w:bookmarkStart w:id="4" w:name="_bookmark4"/>
      <w:bookmarkEnd w:id="4"/>
      <w:r w:rsidRPr="00FF42A7">
        <w:rPr>
          <w:w w:val="120"/>
          <w:sz w:val="16"/>
        </w:rPr>
        <w:t xml:space="preserve">W dniu 16 września 2022 r. Federacja Rosyjska przestała być stroną </w:t>
      </w:r>
      <w:r w:rsidRPr="00FF42A7">
        <w:rPr>
          <w:spacing w:val="-2"/>
          <w:w w:val="120"/>
          <w:sz w:val="16"/>
        </w:rPr>
        <w:t>konwencji.</w:t>
      </w:r>
    </w:p>
    <w:p w14:paraId="631CCE2F" w14:textId="77777777" w:rsidR="009F1A47" w:rsidRPr="00FF42A7" w:rsidRDefault="009F1A47">
      <w:pPr>
        <w:pStyle w:val="Akapitzlist"/>
        <w:rPr>
          <w:sz w:val="16"/>
        </w:rPr>
        <w:sectPr w:rsidR="009F1A47" w:rsidRPr="00FF42A7">
          <w:pgSz w:w="11910" w:h="16840"/>
          <w:pgMar w:top="1400" w:right="566" w:bottom="680" w:left="566" w:header="720" w:footer="497" w:gutter="0"/>
          <w:cols w:space="708"/>
        </w:sectPr>
      </w:pPr>
    </w:p>
    <w:p w14:paraId="631EC926" w14:textId="77777777" w:rsidR="009F1A47" w:rsidRPr="00FF42A7" w:rsidRDefault="009F1A47">
      <w:pPr>
        <w:pStyle w:val="Tekstpodstawowy"/>
        <w:spacing w:before="59"/>
        <w:ind w:left="0"/>
        <w:jc w:val="left"/>
      </w:pPr>
    </w:p>
    <w:p w14:paraId="2F179C1C" w14:textId="65A02F0F" w:rsidR="009F1A47" w:rsidRPr="00FF42A7" w:rsidRDefault="00000000">
      <w:pPr>
        <w:pStyle w:val="Tekstpodstawowy"/>
        <w:spacing w:before="1"/>
        <w:ind w:right="870"/>
      </w:pPr>
      <w:r w:rsidRPr="00FF42A7">
        <w:rPr>
          <w:color w:val="0071BB"/>
          <w:w w:val="120"/>
        </w:rPr>
        <w:t xml:space="preserve">korzystania z urlopu rodzicielskiego. Ponadto w znacznej liczbie </w:t>
      </w:r>
      <w:r w:rsidR="00E839B8" w:rsidRPr="00FF42A7">
        <w:rPr>
          <w:color w:val="0071BB"/>
          <w:w w:val="120"/>
        </w:rPr>
        <w:t>P</w:t>
      </w:r>
      <w:r w:rsidRPr="00FF42A7">
        <w:rPr>
          <w:color w:val="0071BB"/>
          <w:w w:val="120"/>
        </w:rPr>
        <w:t xml:space="preserve">aństw zarówno mężczyźni, jak i kobiety służący w siłach zbrojnych mieli prawo do urlopu rodzicielskiego. Wskazuje to, że współczesne społeczeństwa europejskie zmierzają w kierunku bardziej równego podziału między mężczyznami i kobietami obowiązków związanych z wychowaniem dzieci. W wyroku tym Trybunał uznał, że biorąc pod uwagę znaczenie armii dla ochrony bezpieczeństwa narodowego, pewne ograniczenia prawa do urlopu rodzicielskiego mogą być uzasadnione, o ile nie mają charakteru dyskryminacyjnego (na przykład żołnierze, niezależnie od płci, mogą być wyłączeni z prawa do urlopu rodzicielskiego, jeżeli nie można ich łatwo zastąpić ze względu na ich szczególną pozycję w hierarchii, rzadkie kwalifikacje techniczne lub udział w działaniach wojskowych). W Rosji natomiast prawo do urlopu rodzicielskiego zależało wyłącznie od płci osoby. Wyłączając żołnierzy z tego prawa, przepis prawny nakładał ogólne ograniczenie. Trybunał uznał, że takie ogólne i automatyczne ograniczenie mające zastosowanie do grupy osób ze względu na ich płeć wykraczało poza dopuszczalny margines uznania </w:t>
      </w:r>
      <w:r w:rsidR="00E839B8" w:rsidRPr="00FF42A7">
        <w:rPr>
          <w:color w:val="0071BB"/>
          <w:w w:val="120"/>
        </w:rPr>
        <w:t>P</w:t>
      </w:r>
      <w:r w:rsidRPr="00FF42A7">
        <w:rPr>
          <w:color w:val="0071BB"/>
          <w:w w:val="120"/>
        </w:rPr>
        <w:t>aństwa. Biorąc pod uwagę, że skarżący mógł zostać łatwo zastąpiony przez kobiety pełniące służbę wojskową na stanowisku operatora radiowego, nie było uzasadnienia dla wyłączenia go z prawa do urlopu rodzicielskiego.</w:t>
      </w:r>
    </w:p>
    <w:p w14:paraId="37CCA7D4" w14:textId="77777777" w:rsidR="009F1A47" w:rsidRPr="00FF42A7" w:rsidRDefault="009F1A47">
      <w:pPr>
        <w:pStyle w:val="Nagwek2"/>
        <w:spacing w:before="102"/>
        <w:rPr>
          <w:u w:val="none"/>
        </w:rPr>
      </w:pPr>
      <w:hyperlink r:id="rId73">
        <w:proofErr w:type="spellStart"/>
        <w:r w:rsidRPr="00FF42A7">
          <w:rPr>
            <w:color w:val="0071BB"/>
            <w:w w:val="135"/>
            <w:u w:color="0071BB"/>
          </w:rPr>
          <w:t>Hulea</w:t>
        </w:r>
        <w:proofErr w:type="spellEnd"/>
        <w:r w:rsidRPr="00FF42A7">
          <w:rPr>
            <w:color w:val="0071BB"/>
            <w:w w:val="135"/>
            <w:u w:color="0071BB"/>
          </w:rPr>
          <w:t xml:space="preserve"> przeciwko </w:t>
        </w:r>
        <w:r w:rsidRPr="00FF42A7">
          <w:rPr>
            <w:color w:val="0071BB"/>
            <w:spacing w:val="-2"/>
            <w:w w:val="135"/>
            <w:u w:color="0071BB"/>
          </w:rPr>
          <w:t>Rumunii</w:t>
        </w:r>
      </w:hyperlink>
    </w:p>
    <w:p w14:paraId="414F38B2" w14:textId="27A83374" w:rsidR="009F1A47" w:rsidRPr="00FF42A7" w:rsidRDefault="00000000">
      <w:pPr>
        <w:spacing w:before="56"/>
        <w:ind w:left="874"/>
        <w:jc w:val="both"/>
        <w:rPr>
          <w:sz w:val="18"/>
        </w:rPr>
      </w:pPr>
      <w:r w:rsidRPr="00FF42A7">
        <w:rPr>
          <w:color w:val="808080"/>
          <w:w w:val="120"/>
          <w:sz w:val="18"/>
        </w:rPr>
        <w:t>2 października</w:t>
      </w:r>
      <w:r w:rsidRPr="00FF42A7">
        <w:rPr>
          <w:color w:val="808080"/>
          <w:spacing w:val="-4"/>
          <w:w w:val="120"/>
          <w:sz w:val="18"/>
        </w:rPr>
        <w:t xml:space="preserve"> 2012</w:t>
      </w:r>
      <w:r w:rsidR="0008408E" w:rsidRPr="00FF42A7">
        <w:rPr>
          <w:color w:val="808080"/>
          <w:spacing w:val="-4"/>
          <w:w w:val="120"/>
          <w:sz w:val="18"/>
        </w:rPr>
        <w:t xml:space="preserve"> r.</w:t>
      </w:r>
    </w:p>
    <w:p w14:paraId="173EE5D9" w14:textId="77777777" w:rsidR="009F1A47" w:rsidRPr="00FF42A7" w:rsidRDefault="00000000">
      <w:pPr>
        <w:pStyle w:val="Tekstpodstawowy"/>
        <w:spacing w:before="1"/>
        <w:ind w:right="874"/>
      </w:pPr>
      <w:r w:rsidRPr="00FF42A7">
        <w:rPr>
          <w:w w:val="120"/>
        </w:rPr>
        <w:t>Sprawa dotyczyła odmowy przyznania żołnierzowi odszkodowania za dyskryminację w zakresie prawa do urlopu rodzicielskiego.</w:t>
      </w:r>
    </w:p>
    <w:p w14:paraId="63047FDC" w14:textId="77777777"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stwierdzając, że odmowa przyznania skarżącemu odszkodowania za naruszenie jego prawa do niedyskryminacji w zakresie wykonywania praw dotyczących życia rodzinnego przez rumuńskie sądy nie wydawała się oparta na wystarczających podstawach. W tym względzie nie miało znaczenia, że sąd apelacyjny nie podał w swoim orzeczeniu podstaw dyskryminacyjnych, ponieważ odmówił, bez wystarczających powodów, odszkodowania za krzywdę moralną spowodowaną dyskryminacją, jakiej doświadczył skarżący w związku z odmową przyznania mu urlopu rodzicielskiego.</w:t>
      </w:r>
    </w:p>
    <w:p w14:paraId="3EAA0672" w14:textId="58566E08" w:rsidR="009F1A47" w:rsidRPr="00FF42A7" w:rsidRDefault="009F1A47">
      <w:pPr>
        <w:pStyle w:val="Nagwek2"/>
        <w:spacing w:before="105"/>
        <w:rPr>
          <w:b w:val="0"/>
          <w:position w:val="7"/>
          <w:sz w:val="13"/>
          <w:u w:val="none"/>
        </w:rPr>
      </w:pPr>
      <w:hyperlink r:id="rId74">
        <w:r w:rsidRPr="00FF42A7">
          <w:rPr>
            <w:color w:val="0071BB"/>
            <w:w w:val="135"/>
            <w:u w:color="0071BB"/>
          </w:rPr>
          <w:t xml:space="preserve">Gruba i </w:t>
        </w:r>
        <w:r w:rsidR="0008408E" w:rsidRPr="00FF42A7">
          <w:rPr>
            <w:color w:val="0071BB"/>
            <w:w w:val="135"/>
            <w:u w:color="0071BB"/>
          </w:rPr>
          <w:t>Inni</w:t>
        </w:r>
        <w:r w:rsidRPr="00FF42A7">
          <w:rPr>
            <w:color w:val="0071BB"/>
            <w:w w:val="135"/>
            <w:u w:color="0071BB"/>
          </w:rPr>
          <w:t xml:space="preserve"> przeciwko </w:t>
        </w:r>
        <w:r w:rsidRPr="00FF42A7">
          <w:rPr>
            <w:color w:val="0071BB"/>
            <w:spacing w:val="-2"/>
            <w:w w:val="135"/>
            <w:u w:color="0071BB"/>
          </w:rPr>
          <w:t>Rosji</w:t>
        </w:r>
      </w:hyperlink>
      <w:hyperlink w:anchor="_bookmark5" w:history="1">
        <w:r w:rsidRPr="00FF42A7">
          <w:rPr>
            <w:b w:val="0"/>
            <w:spacing w:val="-2"/>
            <w:w w:val="135"/>
            <w:position w:val="7"/>
            <w:sz w:val="13"/>
            <w:u w:val="none"/>
          </w:rPr>
          <w:t>6</w:t>
        </w:r>
      </w:hyperlink>
    </w:p>
    <w:p w14:paraId="1BC60FFE" w14:textId="481A74FE" w:rsidR="009F1A47" w:rsidRPr="00FF42A7" w:rsidRDefault="00000000">
      <w:pPr>
        <w:spacing w:before="55"/>
        <w:ind w:left="874"/>
        <w:jc w:val="both"/>
        <w:rPr>
          <w:sz w:val="18"/>
        </w:rPr>
      </w:pPr>
      <w:r w:rsidRPr="00FF42A7">
        <w:rPr>
          <w:color w:val="808080"/>
          <w:w w:val="125"/>
          <w:sz w:val="18"/>
        </w:rPr>
        <w:t>6 lipca</w:t>
      </w:r>
      <w:r w:rsidRPr="00FF42A7">
        <w:rPr>
          <w:color w:val="808080"/>
          <w:spacing w:val="-4"/>
          <w:w w:val="125"/>
          <w:sz w:val="18"/>
        </w:rPr>
        <w:t xml:space="preserve"> 2021</w:t>
      </w:r>
      <w:r w:rsidR="0008408E" w:rsidRPr="00FF42A7">
        <w:rPr>
          <w:color w:val="808080"/>
          <w:spacing w:val="-4"/>
          <w:w w:val="125"/>
          <w:sz w:val="18"/>
        </w:rPr>
        <w:t xml:space="preserve"> r.</w:t>
      </w:r>
    </w:p>
    <w:p w14:paraId="18604F2E" w14:textId="77777777" w:rsidR="009F1A47" w:rsidRPr="00FF42A7" w:rsidRDefault="00000000">
      <w:pPr>
        <w:pStyle w:val="Tekstpodstawowy"/>
        <w:spacing w:before="2"/>
        <w:ind w:right="871"/>
      </w:pPr>
      <w:r w:rsidRPr="00FF42A7">
        <w:rPr>
          <w:w w:val="120"/>
        </w:rPr>
        <w:t>Sprawa dotyczyła różnicy w uprawnieniach do urlopu rodzicielskiego dla funkcjonariuszy policji płci męskiej i żeńskiej. Czterech skarżących nie otrzymało urlopu rodzicielskiego, zasadniczo dlatego, że urlop taki mógł zostać przyznany funkcjonariuszowi policji płci męskiej tylko wtedy, gdy jego dziecko pozostało bez opieki matki. Skarżący twierdzili, że odmowa przyznania im urlopu rodzicielskiego stanowiła dyskryminację ze względu na płeć.</w:t>
      </w:r>
    </w:p>
    <w:p w14:paraId="41CA4B43" w14:textId="77777777" w:rsidR="009F1A47" w:rsidRPr="00FF42A7" w:rsidRDefault="00000000">
      <w:pPr>
        <w:pStyle w:val="Tekstpodstawowy"/>
        <w:ind w:left="873" w:right="869"/>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w odniesieniu do wszystkich czterech skarżących, stwierdzając, że byli oni dyskryminowani ze względu na płeć. W szczególności zauważył, że: różnica w traktowaniu policjantów i policjantek w zakresie prawa do urlopu rodzicielskiego nie może być uznana za uzasadnioną w sposób racjonalny i obiektywny; oraz nie istnieje racjonalny związek proporcjonalności między uzasadnionym celem, jakim jest utrzymanie skuteczności operacyjnej policji, a kwestionowaną różnicą w traktowaniu. W niniejszej sprawie Trybunał powtórzył również, że stereotypy związane z płcią, takie jak postrzeganie kobiet jako głównych opiekunek dzieci, a mężczyzn jako głównych żywicieli rodziny, nie mogą stanowić wystarczającego uzasadnienia dla różnego traktowania mężczyzn i kobiet w zakresie prawa do urlopu rodzicielskiego.</w:t>
      </w:r>
    </w:p>
    <w:p w14:paraId="08B621FC" w14:textId="77777777" w:rsidR="009F1A47" w:rsidRPr="00FF42A7" w:rsidRDefault="009F1A47">
      <w:pPr>
        <w:pStyle w:val="Tekstpodstawowy"/>
        <w:ind w:left="0"/>
        <w:jc w:val="left"/>
      </w:pPr>
    </w:p>
    <w:p w14:paraId="4E426F74" w14:textId="77777777" w:rsidR="009F1A47" w:rsidRPr="00FF42A7" w:rsidRDefault="009F1A47">
      <w:pPr>
        <w:pStyle w:val="Tekstpodstawowy"/>
        <w:ind w:left="0"/>
        <w:jc w:val="left"/>
      </w:pPr>
    </w:p>
    <w:p w14:paraId="65BA83BD" w14:textId="77777777" w:rsidR="009F1A47" w:rsidRPr="00FF42A7" w:rsidRDefault="009F1A47">
      <w:pPr>
        <w:pStyle w:val="Tekstpodstawowy"/>
        <w:ind w:left="0"/>
        <w:jc w:val="left"/>
      </w:pPr>
    </w:p>
    <w:p w14:paraId="3F5CD841" w14:textId="77777777" w:rsidR="009F1A47" w:rsidRPr="00FF42A7" w:rsidRDefault="00000000">
      <w:pPr>
        <w:pStyle w:val="Tekstpodstawowy"/>
        <w:spacing w:before="86"/>
        <w:ind w:left="0"/>
        <w:jc w:val="left"/>
      </w:pPr>
      <w:r w:rsidRPr="00FF42A7">
        <w:rPr>
          <w:noProof/>
        </w:rPr>
        <mc:AlternateContent>
          <mc:Choice Requires="wps">
            <w:drawing>
              <wp:anchor distT="0" distB="0" distL="0" distR="0" simplePos="0" relativeHeight="251668480" behindDoc="1" locked="0" layoutInCell="1" allowOverlap="1" wp14:anchorId="7E43788D" wp14:editId="7D74A8DD">
                <wp:simplePos x="0" y="0"/>
                <wp:positionH relativeFrom="page">
                  <wp:posOffset>914400</wp:posOffset>
                </wp:positionH>
                <wp:positionV relativeFrom="paragraph">
                  <wp:posOffset>225187</wp:posOffset>
                </wp:positionV>
                <wp:extent cx="1828800" cy="762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7DE282A" id="Graphic 27" o:spid="_x0000_s1026" style="position:absolute;margin-left:1in;margin-top:17.75pt;width:2in;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" path="m1828800,l,,,7619r1828800,l1828800,xe" fillcolor="black" stroked="f">
                <v:path arrowok="t"/>
                <w10:wrap type="topAndBottom" anchorx="page"/>
              </v:shape>
            </w:pict>
          </mc:Fallback>
        </mc:AlternateContent>
      </w:r>
    </w:p>
    <w:p w14:paraId="67E11359" w14:textId="161C7B49" w:rsidR="009F1A47" w:rsidRPr="00FF42A7" w:rsidRDefault="00000000">
      <w:pPr>
        <w:pStyle w:val="Akapitzlist"/>
        <w:numPr>
          <w:ilvl w:val="0"/>
          <w:numId w:val="2"/>
        </w:numPr>
        <w:tabs>
          <w:tab w:val="left" w:pos="1127"/>
        </w:tabs>
        <w:ind w:left="1127" w:hanging="253"/>
        <w:rPr>
          <w:sz w:val="16"/>
        </w:rPr>
      </w:pPr>
      <w:bookmarkStart w:id="5" w:name="_bookmark5"/>
      <w:bookmarkEnd w:id="5"/>
      <w:r w:rsidRPr="00FF42A7">
        <w:rPr>
          <w:w w:val="120"/>
          <w:sz w:val="16"/>
        </w:rPr>
        <w:t>W dniu 16 września 2022 r. Federacja Rosyjska przestała być stro</w:t>
      </w:r>
      <w:r w:rsidR="0008408E" w:rsidRPr="00FF42A7">
        <w:rPr>
          <w:spacing w:val="-2"/>
          <w:w w:val="120"/>
          <w:sz w:val="16"/>
        </w:rPr>
        <w:t>ną Konwencji</w:t>
      </w:r>
      <w:r w:rsidRPr="00FF42A7">
        <w:rPr>
          <w:spacing w:val="-2"/>
          <w:w w:val="120"/>
          <w:sz w:val="16"/>
        </w:rPr>
        <w:t>.</w:t>
      </w:r>
    </w:p>
    <w:p w14:paraId="40B02016" w14:textId="77777777" w:rsidR="009F1A47" w:rsidRPr="00FF42A7" w:rsidRDefault="009F1A47">
      <w:pPr>
        <w:pStyle w:val="Akapitzlist"/>
        <w:rPr>
          <w:sz w:val="16"/>
        </w:rPr>
        <w:sectPr w:rsidR="009F1A47" w:rsidRPr="00FF42A7">
          <w:pgSz w:w="11910" w:h="16840"/>
          <w:pgMar w:top="1400" w:right="566" w:bottom="680" w:left="566" w:header="720" w:footer="497" w:gutter="0"/>
          <w:cols w:space="708"/>
        </w:sectPr>
      </w:pPr>
    </w:p>
    <w:p w14:paraId="3FCBD544" w14:textId="77777777" w:rsidR="009F1A47" w:rsidRPr="00FF42A7" w:rsidRDefault="009F1A47">
      <w:pPr>
        <w:pStyle w:val="Tekstpodstawowy"/>
        <w:spacing w:before="48"/>
        <w:ind w:left="0"/>
        <w:jc w:val="left"/>
      </w:pPr>
    </w:p>
    <w:p w14:paraId="09C1736A" w14:textId="77777777" w:rsidR="009F1A47" w:rsidRPr="00FF42A7" w:rsidRDefault="00000000">
      <w:pPr>
        <w:ind w:left="845"/>
        <w:rPr>
          <w:sz w:val="20"/>
        </w:rPr>
      </w:pPr>
      <w:r w:rsidRPr="00FF42A7">
        <w:rPr>
          <w:noProof/>
          <w:sz w:val="20"/>
        </w:rPr>
        <mc:AlternateContent>
          <mc:Choice Requires="wps">
            <w:drawing>
              <wp:inline distT="0" distB="0" distL="0" distR="0" wp14:anchorId="7F7F18FF" wp14:editId="49EEF26F">
                <wp:extent cx="5768340" cy="1333500"/>
                <wp:effectExtent l="0" t="0" r="0" b="0"/>
                <wp:docPr id="28" name="Textbox 28"/>
                <wp:cNvGraphicFramePr/>
                <a:graphic xmlns:a="http://schemas.openxmlformats.org/drawingml/2006/main">
                  <a:graphicData uri="http://schemas.microsoft.com/office/word/2010/wordprocessingShape">
                    <wps:wsp>
                      <wps:cNvSpPr txBox="1"/>
                      <wps:spPr>
                        <a:xfrm>
                          <a:off x="0" y="0"/>
                          <a:ext cx="5768340" cy="1333500"/>
                        </a:xfrm>
                        <a:prstGeom prst="rect">
                          <a:avLst/>
                        </a:prstGeom>
                        <a:solidFill>
                          <a:srgbClr val="F3F3F3"/>
                        </a:solidFill>
                      </wps:spPr>
                      <wps:txbx>
                        <w:txbxContent>
                          <w:p w14:paraId="1F64E911" w14:textId="2F79B333" w:rsidR="009F1A47" w:rsidRPr="00FF42A7" w:rsidRDefault="000A1B69">
                            <w:pPr>
                              <w:spacing w:before="11"/>
                              <w:ind w:left="28"/>
                              <w:jc w:val="both"/>
                              <w:rPr>
                                <w:b/>
                                <w:color w:val="000000"/>
                                <w:sz w:val="20"/>
                              </w:rPr>
                            </w:pPr>
                            <w:r>
                              <w:rPr>
                                <w:b/>
                                <w:color w:val="5F5F5F"/>
                                <w:w w:val="135"/>
                                <w:sz w:val="20"/>
                              </w:rPr>
                              <w:t>Skargi</w:t>
                            </w:r>
                            <w:r w:rsidR="00000000" w:rsidRPr="00FF42A7">
                              <w:rPr>
                                <w:b/>
                                <w:color w:val="5F5F5F"/>
                                <w:w w:val="135"/>
                                <w:sz w:val="20"/>
                              </w:rPr>
                              <w:t xml:space="preserve"> oczekujące </w:t>
                            </w:r>
                            <w:r w:rsidR="00000000" w:rsidRPr="00FF42A7">
                              <w:rPr>
                                <w:b/>
                                <w:color w:val="5F5F5F"/>
                                <w:spacing w:val="-2"/>
                                <w:w w:val="135"/>
                                <w:sz w:val="20"/>
                              </w:rPr>
                              <w:t>na rozpatrzenie</w:t>
                            </w:r>
                          </w:p>
                          <w:p w14:paraId="7D4DEF96" w14:textId="77777777" w:rsidR="009F1A47" w:rsidRPr="00FF42A7" w:rsidRDefault="009F1A47">
                            <w:pPr>
                              <w:spacing w:before="115"/>
                              <w:ind w:left="28"/>
                              <w:jc w:val="both"/>
                              <w:rPr>
                                <w:color w:val="000000"/>
                                <w:position w:val="7"/>
                                <w:sz w:val="13"/>
                              </w:rPr>
                            </w:pPr>
                            <w:hyperlink r:id="rId75">
                              <w:r w:rsidRPr="00FF42A7">
                                <w:rPr>
                                  <w:b/>
                                  <w:color w:val="0071BB"/>
                                  <w:w w:val="140"/>
                                  <w:sz w:val="20"/>
                                  <w:u w:val="single" w:color="0071BB"/>
                                </w:rPr>
                                <w:t>B.T. przeciwko Rosji (nr</w:t>
                              </w:r>
                              <w:r w:rsidRPr="00FF42A7">
                                <w:rPr>
                                  <w:b/>
                                  <w:color w:val="0071BB"/>
                                  <w:spacing w:val="-2"/>
                                  <w:w w:val="140"/>
                                  <w:sz w:val="20"/>
                                  <w:u w:val="single" w:color="0071BB"/>
                                </w:rPr>
                                <w:t xml:space="preserve"> 15284/19)</w:t>
                              </w:r>
                            </w:hyperlink>
                            <w:hyperlink w:anchor="_bookmark6" w:history="1">
                              <w:r w:rsidRPr="00FF42A7">
                                <w:rPr>
                                  <w:color w:val="000000"/>
                                  <w:spacing w:val="-2"/>
                                  <w:w w:val="140"/>
                                  <w:position w:val="7"/>
                                  <w:sz w:val="13"/>
                                </w:rPr>
                                <w:t>7</w:t>
                              </w:r>
                            </w:hyperlink>
                          </w:p>
                          <w:p w14:paraId="31ED5976" w14:textId="3B12FA30" w:rsidR="009F1A47" w:rsidRPr="00FF42A7" w:rsidRDefault="000F1FAC">
                            <w:pPr>
                              <w:spacing w:before="55"/>
                              <w:ind w:left="28"/>
                              <w:jc w:val="both"/>
                              <w:rPr>
                                <w:color w:val="000000"/>
                                <w:sz w:val="18"/>
                              </w:rPr>
                            </w:pPr>
                            <w:r>
                              <w:rPr>
                                <w:color w:val="808080"/>
                                <w:w w:val="120"/>
                                <w:sz w:val="18"/>
                              </w:rPr>
                              <w:t>Skarga zakomunikowana</w:t>
                            </w:r>
                            <w:r w:rsidR="00000000" w:rsidRPr="00FF42A7">
                              <w:rPr>
                                <w:color w:val="808080"/>
                                <w:w w:val="120"/>
                                <w:sz w:val="18"/>
                              </w:rPr>
                              <w:t xml:space="preserve"> rządowi rosyjskiemu w dniu 22 września</w:t>
                            </w:r>
                            <w:r w:rsidR="00000000" w:rsidRPr="00FF42A7">
                              <w:rPr>
                                <w:color w:val="808080"/>
                                <w:spacing w:val="-4"/>
                                <w:w w:val="120"/>
                                <w:sz w:val="18"/>
                              </w:rPr>
                              <w:t xml:space="preserve"> 2020 r.</w:t>
                            </w:r>
                          </w:p>
                          <w:p w14:paraId="798DC307" w14:textId="5B43DB48" w:rsidR="009F1A47" w:rsidRPr="00FF42A7" w:rsidRDefault="000F1FAC">
                            <w:pPr>
                              <w:pStyle w:val="Tekstpodstawowy"/>
                              <w:spacing w:before="2"/>
                              <w:ind w:left="28" w:right="26"/>
                              <w:rPr>
                                <w:color w:val="000000"/>
                              </w:rPr>
                            </w:pPr>
                            <w:r>
                              <w:rPr>
                                <w:color w:val="000000"/>
                                <w:w w:val="120"/>
                              </w:rPr>
                              <w:t>Skarga</w:t>
                            </w:r>
                            <w:r w:rsidR="00000000" w:rsidRPr="00FF42A7">
                              <w:rPr>
                                <w:color w:val="000000"/>
                                <w:w w:val="120"/>
                              </w:rPr>
                              <w:t xml:space="preserve"> dotyczy odmowy przyznania urlopu rodzicielskiego </w:t>
                            </w:r>
                            <w:r w:rsidR="005210B6" w:rsidRPr="00FF42A7">
                              <w:rPr>
                                <w:color w:val="000000"/>
                                <w:w w:val="120"/>
                              </w:rPr>
                              <w:t>skarżącemu</w:t>
                            </w:r>
                            <w:r w:rsidR="00000000" w:rsidRPr="00FF42A7">
                              <w:rPr>
                                <w:color w:val="000000"/>
                                <w:w w:val="120"/>
                              </w:rPr>
                              <w:t xml:space="preserve">, </w:t>
                            </w:r>
                            <w:r w:rsidR="001120EF" w:rsidRPr="00FF42A7">
                              <w:rPr>
                                <w:color w:val="000000"/>
                                <w:w w:val="120"/>
                              </w:rPr>
                              <w:t xml:space="preserve">będącego </w:t>
                            </w:r>
                            <w:r w:rsidR="00000000" w:rsidRPr="00FF42A7">
                              <w:rPr>
                                <w:color w:val="000000"/>
                                <w:w w:val="120"/>
                              </w:rPr>
                              <w:t>funkcjonariusz</w:t>
                            </w:r>
                            <w:r w:rsidR="001120EF" w:rsidRPr="00FF42A7">
                              <w:rPr>
                                <w:color w:val="000000"/>
                                <w:w w:val="120"/>
                              </w:rPr>
                              <w:t>em</w:t>
                            </w:r>
                            <w:r w:rsidR="00000000" w:rsidRPr="00FF42A7">
                              <w:rPr>
                                <w:color w:val="000000"/>
                                <w:w w:val="120"/>
                              </w:rPr>
                              <w:t xml:space="preserve"> policji drogowej.</w:t>
                            </w:r>
                          </w:p>
                          <w:p w14:paraId="4E7FE877" w14:textId="1672211C" w:rsidR="009F1A47" w:rsidRPr="00FF42A7" w:rsidRDefault="00000000">
                            <w:pPr>
                              <w:pStyle w:val="Tekstpodstawowy"/>
                              <w:ind w:left="28" w:right="24"/>
                              <w:rPr>
                                <w:color w:val="000000"/>
                              </w:rPr>
                            </w:pPr>
                            <w:r w:rsidRPr="00FF42A7">
                              <w:rPr>
                                <w:color w:val="0071BB"/>
                                <w:w w:val="120"/>
                              </w:rPr>
                              <w:t xml:space="preserve">Trybunał </w:t>
                            </w:r>
                            <w:r w:rsidR="000A1B69">
                              <w:rPr>
                                <w:color w:val="0071BB"/>
                                <w:w w:val="120"/>
                              </w:rPr>
                              <w:t>zakomunikował skargę rządowi rosyjskiemu</w:t>
                            </w:r>
                            <w:r w:rsidRPr="00FF42A7">
                              <w:rPr>
                                <w:color w:val="0071BB"/>
                                <w:w w:val="120"/>
                              </w:rPr>
                              <w:t xml:space="preserve"> i skierował do stron pytania dotyczące art. 8 (prawo do poszanowania życia prywatnego i rodzinnego) oraz art. 14 (zakaz dyskryminacji) Konwencji.</w:t>
                            </w:r>
                          </w:p>
                        </w:txbxContent>
                      </wps:txbx>
                      <wps:bodyPr wrap="square" lIns="0" tIns="0" rIns="0" bIns="0" rtlCol="0"/>
                    </wps:wsp>
                  </a:graphicData>
                </a:graphic>
              </wp:inline>
            </w:drawing>
          </mc:Choice>
          <mc:Fallback>
            <w:pict>
              <v:shape w14:anchorId="7F7F18FF" id="Textbox 28" o:spid="_x0000_s1031" type="#_x0000_t202" style="width:454.2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" fillcolor="#f3f3f3" stroked="f">
                <v:textbox inset="0,0,0,0">
                  <w:txbxContent>
                    <w:p w14:paraId="1F64E911" w14:textId="2F79B333" w:rsidR="009F1A47" w:rsidRPr="00FF42A7" w:rsidRDefault="000A1B69">
                      <w:pPr>
                        <w:spacing w:before="11"/>
                        <w:ind w:left="28"/>
                        <w:jc w:val="both"/>
                        <w:rPr>
                          <w:b/>
                          <w:color w:val="000000"/>
                          <w:sz w:val="20"/>
                        </w:rPr>
                      </w:pPr>
                      <w:r>
                        <w:rPr>
                          <w:b/>
                          <w:color w:val="5F5F5F"/>
                          <w:w w:val="135"/>
                          <w:sz w:val="20"/>
                        </w:rPr>
                        <w:t>Skargi</w:t>
                      </w:r>
                      <w:r w:rsidR="00000000" w:rsidRPr="00FF42A7">
                        <w:rPr>
                          <w:b/>
                          <w:color w:val="5F5F5F"/>
                          <w:w w:val="135"/>
                          <w:sz w:val="20"/>
                        </w:rPr>
                        <w:t xml:space="preserve"> oczekujące </w:t>
                      </w:r>
                      <w:r w:rsidR="00000000" w:rsidRPr="00FF42A7">
                        <w:rPr>
                          <w:b/>
                          <w:color w:val="5F5F5F"/>
                          <w:spacing w:val="-2"/>
                          <w:w w:val="135"/>
                          <w:sz w:val="20"/>
                        </w:rPr>
                        <w:t>na rozpatrzenie</w:t>
                      </w:r>
                    </w:p>
                    <w:p w14:paraId="7D4DEF96" w14:textId="77777777" w:rsidR="009F1A47" w:rsidRPr="00FF42A7" w:rsidRDefault="009F1A47">
                      <w:pPr>
                        <w:spacing w:before="115"/>
                        <w:ind w:left="28"/>
                        <w:jc w:val="both"/>
                        <w:rPr>
                          <w:color w:val="000000"/>
                          <w:position w:val="7"/>
                          <w:sz w:val="13"/>
                        </w:rPr>
                      </w:pPr>
                      <w:hyperlink r:id="rId76">
                        <w:r w:rsidRPr="00FF42A7">
                          <w:rPr>
                            <w:b/>
                            <w:color w:val="0071BB"/>
                            <w:w w:val="140"/>
                            <w:sz w:val="20"/>
                            <w:u w:val="single" w:color="0071BB"/>
                          </w:rPr>
                          <w:t>B.T. przeciwko Rosji (nr</w:t>
                        </w:r>
                        <w:r w:rsidRPr="00FF42A7">
                          <w:rPr>
                            <w:b/>
                            <w:color w:val="0071BB"/>
                            <w:spacing w:val="-2"/>
                            <w:w w:val="140"/>
                            <w:sz w:val="20"/>
                            <w:u w:val="single" w:color="0071BB"/>
                          </w:rPr>
                          <w:t xml:space="preserve"> 15284/19)</w:t>
                        </w:r>
                      </w:hyperlink>
                      <w:hyperlink w:anchor="_bookmark6" w:history="1">
                        <w:r w:rsidRPr="00FF42A7">
                          <w:rPr>
                            <w:color w:val="000000"/>
                            <w:spacing w:val="-2"/>
                            <w:w w:val="140"/>
                            <w:position w:val="7"/>
                            <w:sz w:val="13"/>
                          </w:rPr>
                          <w:t>7</w:t>
                        </w:r>
                      </w:hyperlink>
                    </w:p>
                    <w:p w14:paraId="31ED5976" w14:textId="3B12FA30" w:rsidR="009F1A47" w:rsidRPr="00FF42A7" w:rsidRDefault="000F1FAC">
                      <w:pPr>
                        <w:spacing w:before="55"/>
                        <w:ind w:left="28"/>
                        <w:jc w:val="both"/>
                        <w:rPr>
                          <w:color w:val="000000"/>
                          <w:sz w:val="18"/>
                        </w:rPr>
                      </w:pPr>
                      <w:r>
                        <w:rPr>
                          <w:color w:val="808080"/>
                          <w:w w:val="120"/>
                          <w:sz w:val="18"/>
                        </w:rPr>
                        <w:t>Skarga zakomunikowana</w:t>
                      </w:r>
                      <w:r w:rsidR="00000000" w:rsidRPr="00FF42A7">
                        <w:rPr>
                          <w:color w:val="808080"/>
                          <w:w w:val="120"/>
                          <w:sz w:val="18"/>
                        </w:rPr>
                        <w:t xml:space="preserve"> rządowi rosyjskiemu w dniu 22 września</w:t>
                      </w:r>
                      <w:r w:rsidR="00000000" w:rsidRPr="00FF42A7">
                        <w:rPr>
                          <w:color w:val="808080"/>
                          <w:spacing w:val="-4"/>
                          <w:w w:val="120"/>
                          <w:sz w:val="18"/>
                        </w:rPr>
                        <w:t xml:space="preserve"> 2020 r.</w:t>
                      </w:r>
                    </w:p>
                    <w:p w14:paraId="798DC307" w14:textId="5B43DB48" w:rsidR="009F1A47" w:rsidRPr="00FF42A7" w:rsidRDefault="000F1FAC">
                      <w:pPr>
                        <w:pStyle w:val="Tekstpodstawowy"/>
                        <w:spacing w:before="2"/>
                        <w:ind w:left="28" w:right="26"/>
                        <w:rPr>
                          <w:color w:val="000000"/>
                        </w:rPr>
                      </w:pPr>
                      <w:r>
                        <w:rPr>
                          <w:color w:val="000000"/>
                          <w:w w:val="120"/>
                        </w:rPr>
                        <w:t>Skarga</w:t>
                      </w:r>
                      <w:r w:rsidR="00000000" w:rsidRPr="00FF42A7">
                        <w:rPr>
                          <w:color w:val="000000"/>
                          <w:w w:val="120"/>
                        </w:rPr>
                        <w:t xml:space="preserve"> dotyczy odmowy przyznania urlopu rodzicielskiego </w:t>
                      </w:r>
                      <w:r w:rsidR="005210B6" w:rsidRPr="00FF42A7">
                        <w:rPr>
                          <w:color w:val="000000"/>
                          <w:w w:val="120"/>
                        </w:rPr>
                        <w:t>skarżącemu</w:t>
                      </w:r>
                      <w:r w:rsidR="00000000" w:rsidRPr="00FF42A7">
                        <w:rPr>
                          <w:color w:val="000000"/>
                          <w:w w:val="120"/>
                        </w:rPr>
                        <w:t xml:space="preserve">, </w:t>
                      </w:r>
                      <w:r w:rsidR="001120EF" w:rsidRPr="00FF42A7">
                        <w:rPr>
                          <w:color w:val="000000"/>
                          <w:w w:val="120"/>
                        </w:rPr>
                        <w:t xml:space="preserve">będącego </w:t>
                      </w:r>
                      <w:r w:rsidR="00000000" w:rsidRPr="00FF42A7">
                        <w:rPr>
                          <w:color w:val="000000"/>
                          <w:w w:val="120"/>
                        </w:rPr>
                        <w:t>funkcjonariusz</w:t>
                      </w:r>
                      <w:r w:rsidR="001120EF" w:rsidRPr="00FF42A7">
                        <w:rPr>
                          <w:color w:val="000000"/>
                          <w:w w:val="120"/>
                        </w:rPr>
                        <w:t>em</w:t>
                      </w:r>
                      <w:r w:rsidR="00000000" w:rsidRPr="00FF42A7">
                        <w:rPr>
                          <w:color w:val="000000"/>
                          <w:w w:val="120"/>
                        </w:rPr>
                        <w:t xml:space="preserve"> policji drogowej.</w:t>
                      </w:r>
                    </w:p>
                    <w:p w14:paraId="4E7FE877" w14:textId="1672211C" w:rsidR="009F1A47" w:rsidRPr="00FF42A7" w:rsidRDefault="00000000">
                      <w:pPr>
                        <w:pStyle w:val="Tekstpodstawowy"/>
                        <w:ind w:left="28" w:right="24"/>
                        <w:rPr>
                          <w:color w:val="000000"/>
                        </w:rPr>
                      </w:pPr>
                      <w:r w:rsidRPr="00FF42A7">
                        <w:rPr>
                          <w:color w:val="0071BB"/>
                          <w:w w:val="120"/>
                        </w:rPr>
                        <w:t xml:space="preserve">Trybunał </w:t>
                      </w:r>
                      <w:r w:rsidR="000A1B69">
                        <w:rPr>
                          <w:color w:val="0071BB"/>
                          <w:w w:val="120"/>
                        </w:rPr>
                        <w:t>zakomunikował skargę rządowi rosyjskiemu</w:t>
                      </w:r>
                      <w:r w:rsidRPr="00FF42A7">
                        <w:rPr>
                          <w:color w:val="0071BB"/>
                          <w:w w:val="120"/>
                        </w:rPr>
                        <w:t xml:space="preserve"> i skierował do stron pytania dotyczące art. 8 (prawo do poszanowania życia prywatnego i rodzinnego) oraz art. 14 (zakaz dyskryminacji) Konwencji.</w:t>
                      </w:r>
                    </w:p>
                  </w:txbxContent>
                </v:textbox>
                <w10:anchorlock/>
              </v:shape>
            </w:pict>
          </mc:Fallback>
        </mc:AlternateContent>
      </w:r>
    </w:p>
    <w:p w14:paraId="5D755796" w14:textId="7807F242" w:rsidR="009F1A47" w:rsidRPr="00FF42A7" w:rsidRDefault="00000000">
      <w:pPr>
        <w:pStyle w:val="Nagwek1"/>
        <w:spacing w:before="241"/>
      </w:pPr>
      <w:r w:rsidRPr="00FF42A7">
        <w:rPr>
          <w:color w:val="808080"/>
          <w:w w:val="120"/>
          <w:sz w:val="29"/>
        </w:rPr>
        <w:t xml:space="preserve">Reżim więzienny w odniesieniu do prawa do </w:t>
      </w:r>
      <w:r w:rsidR="000A1B69">
        <w:rPr>
          <w:color w:val="808080"/>
          <w:spacing w:val="-2"/>
          <w:w w:val="120"/>
          <w:sz w:val="29"/>
        </w:rPr>
        <w:t>przepustki</w:t>
      </w:r>
    </w:p>
    <w:p w14:paraId="79AE0A87" w14:textId="77777777" w:rsidR="009F1A47" w:rsidRPr="00FF42A7" w:rsidRDefault="009F1A47">
      <w:pPr>
        <w:pStyle w:val="Nagwek2"/>
        <w:rPr>
          <w:u w:val="none"/>
        </w:rPr>
      </w:pPr>
      <w:hyperlink r:id="rId77">
        <w:proofErr w:type="spellStart"/>
        <w:r w:rsidRPr="00FF42A7">
          <w:rPr>
            <w:color w:val="0071BB"/>
            <w:w w:val="140"/>
            <w:u w:val="thick" w:color="0071BB"/>
          </w:rPr>
          <w:t>Ēcis</w:t>
        </w:r>
        <w:proofErr w:type="spellEnd"/>
        <w:r w:rsidRPr="00FF42A7">
          <w:rPr>
            <w:color w:val="0071BB"/>
            <w:w w:val="140"/>
            <w:u w:val="thick" w:color="0071BB"/>
          </w:rPr>
          <w:t xml:space="preserve"> przeciwko </w:t>
        </w:r>
        <w:r w:rsidRPr="00FF42A7">
          <w:rPr>
            <w:color w:val="0071BB"/>
            <w:spacing w:val="-2"/>
            <w:w w:val="140"/>
            <w:u w:val="thick" w:color="0071BB"/>
          </w:rPr>
          <w:t>Łotwie</w:t>
        </w:r>
      </w:hyperlink>
    </w:p>
    <w:p w14:paraId="24D6D29C" w14:textId="64C75289" w:rsidR="009F1A47" w:rsidRPr="00FF42A7" w:rsidRDefault="00000000">
      <w:pPr>
        <w:spacing w:before="56"/>
        <w:ind w:left="874"/>
        <w:jc w:val="both"/>
        <w:rPr>
          <w:sz w:val="18"/>
        </w:rPr>
      </w:pPr>
      <w:r w:rsidRPr="00FF42A7">
        <w:rPr>
          <w:color w:val="808080"/>
          <w:w w:val="125"/>
          <w:sz w:val="18"/>
        </w:rPr>
        <w:t>10 stycznia</w:t>
      </w:r>
      <w:r w:rsidRPr="00FF42A7">
        <w:rPr>
          <w:color w:val="808080"/>
          <w:spacing w:val="-4"/>
          <w:w w:val="125"/>
          <w:sz w:val="18"/>
        </w:rPr>
        <w:t xml:space="preserve"> 2019</w:t>
      </w:r>
      <w:r w:rsidR="005210B6" w:rsidRPr="00FF42A7">
        <w:rPr>
          <w:color w:val="808080"/>
          <w:spacing w:val="-4"/>
          <w:w w:val="125"/>
          <w:sz w:val="18"/>
        </w:rPr>
        <w:t xml:space="preserve"> r.</w:t>
      </w:r>
    </w:p>
    <w:p w14:paraId="605A5DFF" w14:textId="180F0502" w:rsidR="009F1A47" w:rsidRPr="00FF42A7" w:rsidRDefault="00000000">
      <w:pPr>
        <w:pStyle w:val="Tekstpodstawowy"/>
        <w:spacing w:before="1"/>
        <w:ind w:right="869"/>
      </w:pPr>
      <w:r w:rsidRPr="00FF42A7">
        <w:rPr>
          <w:w w:val="120"/>
        </w:rPr>
        <w:t xml:space="preserve">Sprawa dotyczyła mężczyzny przebywającego w więzieniu, który skarżył się, że mężczyźni i kobiety skazani za to samo przestępstwo byli traktowani w różny sposób, jeśli chodzi o system więzienny, w szczególności w odniesieniu do prawa do </w:t>
      </w:r>
      <w:r w:rsidR="000A1B69">
        <w:rPr>
          <w:w w:val="120"/>
        </w:rPr>
        <w:t>przepustki</w:t>
      </w:r>
      <w:r w:rsidRPr="00FF42A7">
        <w:rPr>
          <w:w w:val="120"/>
        </w:rPr>
        <w:t xml:space="preserve">, co </w:t>
      </w:r>
      <w:r w:rsidR="000A1B69">
        <w:rPr>
          <w:w w:val="120"/>
        </w:rPr>
        <w:t>spowodowało</w:t>
      </w:r>
      <w:r w:rsidRPr="00FF42A7">
        <w:rPr>
          <w:w w:val="120"/>
        </w:rPr>
        <w:t>, że nie mógł uczestniczyć w pogrzebie swojego ojca.</w:t>
      </w:r>
    </w:p>
    <w:p w14:paraId="05D4E9BD" w14:textId="20378F01" w:rsidR="009F1A47" w:rsidRPr="00FF42A7" w:rsidRDefault="00000000">
      <w:pPr>
        <w:pStyle w:val="Tekstpodstawowy"/>
        <w:ind w:left="873" w:right="869"/>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stwierdzając, że mężczyźni i kobiety, którzy popełnili poważne przestępstwo i otrzymali taki sam wyrok, byli traktowani w różny sposób. W szczególności zauważył, że mężczyźni byli automatycznie umieszczani w kategorii o najwyższym poziomie bezpieczeństwa i przetrzymywani w więzieniach zamkniętych, podczas gdy kobiety trafiały do mniej restrykcyjnych więzień częściowo zamkniętych. Przepisy prawa oznaczały, że skarżący został automatycznie pozbawiony możliwości uczestniczenia w pogrzebie, podczas gdy kobieta miałaby taką możliwość. W przypadku skarżącego nie dokonano indywidualnej oceny proporcjonalności</w:t>
      </w:r>
      <w:r w:rsidR="005210B6" w:rsidRPr="00FF42A7">
        <w:rPr>
          <w:color w:val="0071BB"/>
          <w:w w:val="120"/>
        </w:rPr>
        <w:t xml:space="preserve"> takiego </w:t>
      </w:r>
      <w:r w:rsidRPr="00FF42A7">
        <w:rPr>
          <w:color w:val="0071BB"/>
          <w:w w:val="120"/>
        </w:rPr>
        <w:t>zakazu i doznał on dyskryminacji, która stanowiła naruszenie Konwencji.</w:t>
      </w:r>
    </w:p>
    <w:p w14:paraId="5417B2ED" w14:textId="77777777" w:rsidR="009F1A47" w:rsidRPr="00FF42A7" w:rsidRDefault="00000000">
      <w:pPr>
        <w:pStyle w:val="Nagwek1"/>
        <w:spacing w:before="230"/>
      </w:pPr>
      <w:r w:rsidRPr="00FF42A7">
        <w:rPr>
          <w:color w:val="808080"/>
          <w:w w:val="120"/>
          <w:sz w:val="29"/>
        </w:rPr>
        <w:t xml:space="preserve">Zakończenie wypłaty </w:t>
      </w:r>
      <w:r w:rsidRPr="00FF42A7">
        <w:rPr>
          <w:color w:val="808080"/>
          <w:spacing w:val="-2"/>
          <w:w w:val="120"/>
          <w:sz w:val="29"/>
        </w:rPr>
        <w:t xml:space="preserve">renty </w:t>
      </w:r>
      <w:r w:rsidRPr="00FF42A7">
        <w:rPr>
          <w:color w:val="808080"/>
          <w:w w:val="120"/>
          <w:sz w:val="29"/>
        </w:rPr>
        <w:t>wdowiej</w:t>
      </w:r>
    </w:p>
    <w:p w14:paraId="2C3821F0" w14:textId="77777777" w:rsidR="009F1A47" w:rsidRPr="00FF42A7" w:rsidRDefault="009F1A47">
      <w:pPr>
        <w:pStyle w:val="Nagwek2"/>
        <w:rPr>
          <w:u w:val="none"/>
        </w:rPr>
      </w:pPr>
      <w:hyperlink r:id="rId78">
        <w:proofErr w:type="spellStart"/>
        <w:r w:rsidRPr="00FF42A7">
          <w:rPr>
            <w:color w:val="0071BB"/>
            <w:w w:val="135"/>
            <w:u w:color="0071BB"/>
          </w:rPr>
          <w:t>Beeler</w:t>
        </w:r>
        <w:proofErr w:type="spellEnd"/>
        <w:r w:rsidRPr="00FF42A7">
          <w:rPr>
            <w:color w:val="0071BB"/>
            <w:w w:val="135"/>
            <w:u w:color="0071BB"/>
          </w:rPr>
          <w:t xml:space="preserve"> przeciwko </w:t>
        </w:r>
        <w:r w:rsidRPr="00FF42A7">
          <w:rPr>
            <w:color w:val="0071BB"/>
            <w:spacing w:val="-2"/>
            <w:w w:val="135"/>
            <w:u w:color="0071BB"/>
          </w:rPr>
          <w:t>Szwajcarii</w:t>
        </w:r>
      </w:hyperlink>
    </w:p>
    <w:p w14:paraId="007AC6FD" w14:textId="5C0E99EF" w:rsidR="009F1A47" w:rsidRPr="00FF42A7" w:rsidRDefault="00000000">
      <w:pPr>
        <w:spacing w:before="56"/>
        <w:ind w:left="874"/>
        <w:jc w:val="both"/>
        <w:rPr>
          <w:sz w:val="18"/>
        </w:rPr>
      </w:pPr>
      <w:r w:rsidRPr="00FF42A7">
        <w:rPr>
          <w:color w:val="808080"/>
          <w:w w:val="125"/>
          <w:sz w:val="18"/>
        </w:rPr>
        <w:t>11 października 2022 r. (</w:t>
      </w:r>
      <w:r w:rsidR="005210B6" w:rsidRPr="00FF42A7">
        <w:rPr>
          <w:color w:val="808080"/>
          <w:w w:val="125"/>
          <w:sz w:val="18"/>
        </w:rPr>
        <w:t>W</w:t>
      </w:r>
      <w:r w:rsidRPr="00FF42A7">
        <w:rPr>
          <w:color w:val="808080"/>
          <w:w w:val="125"/>
          <w:sz w:val="18"/>
        </w:rPr>
        <w:t xml:space="preserve">ielka </w:t>
      </w:r>
      <w:r w:rsidR="005210B6" w:rsidRPr="00FF42A7">
        <w:rPr>
          <w:color w:val="808080"/>
          <w:spacing w:val="-2"/>
          <w:w w:val="125"/>
          <w:sz w:val="18"/>
        </w:rPr>
        <w:t>I</w:t>
      </w:r>
      <w:r w:rsidRPr="00FF42A7">
        <w:rPr>
          <w:color w:val="808080"/>
          <w:spacing w:val="-2"/>
          <w:w w:val="125"/>
          <w:sz w:val="18"/>
        </w:rPr>
        <w:t>zba)</w:t>
      </w:r>
    </w:p>
    <w:p w14:paraId="01308060" w14:textId="14AE4E5E" w:rsidR="009F1A47" w:rsidRPr="00FF42A7" w:rsidRDefault="00000000">
      <w:pPr>
        <w:pStyle w:val="Tekstpodstawowy"/>
        <w:spacing w:before="1"/>
        <w:ind w:right="869"/>
      </w:pPr>
      <w:r w:rsidRPr="00FF42A7">
        <w:rPr>
          <w:w w:val="120"/>
        </w:rPr>
        <w:t xml:space="preserve">Sprawa dotyczyła </w:t>
      </w:r>
      <w:r w:rsidR="00CF5176" w:rsidRPr="00FF42A7">
        <w:rPr>
          <w:w w:val="120"/>
        </w:rPr>
        <w:t xml:space="preserve">zakończenia wypłaty renty wdowiej skarżącego </w:t>
      </w:r>
      <w:r w:rsidRPr="00FF42A7">
        <w:rPr>
          <w:w w:val="120"/>
        </w:rPr>
        <w:t>po tym, jak jego młodsze dziecko osiągnęło pełnoletność, podczas gdy federalna ustawa o ubezpieczeniu emerytalnym i rentowym stanowiła, że prawo do renty wdowiej wygasa wraz z osiągnięciem przez najmłodsze dziecko wieku 18 lat, co nie miało zastosowania w przypadku wdów. Skarżący twierdził, że został dyskryminowany w stosunku do wdów znajdujących się w porównywalnej sytuacji, które nie utraciłyby prawa do renty. Rząd szwajcarski utrzymywał, że nadal uzasadnione jest oparcie się na domniemaniu, że mąż zapewniał utrzymanie żonie, zwłaszcza gdy miała ona dzieci, a zatem zapewnienie wdowom wyższego poziomu ochrony niż wdowcom. Jego zdaniem różnica w traktowaniu nie wynikała zatem ze stereotypów dotyczących płci, ale z rzeczywistości społecznej.</w:t>
      </w:r>
    </w:p>
    <w:p w14:paraId="3CB999A6" w14:textId="4DFB0AF3" w:rsidR="009F1A47" w:rsidRPr="00FF42A7" w:rsidRDefault="00000000">
      <w:pPr>
        <w:pStyle w:val="Tekstpodstawowy"/>
        <w:ind w:right="869"/>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w:t>
      </w:r>
      <w:r w:rsidRPr="00FF42A7">
        <w:rPr>
          <w:b/>
          <w:color w:val="0071BB"/>
          <w:w w:val="120"/>
        </w:rPr>
        <w:t xml:space="preserve">w związku z art. 8 </w:t>
      </w:r>
      <w:r w:rsidRPr="00FF42A7">
        <w:rPr>
          <w:color w:val="0071BB"/>
          <w:w w:val="120"/>
        </w:rPr>
        <w:t>(prawo do poszanowania życia prywatnego i rodzinnego) Konwencji, stwierdzając, że nierówne traktowani</w:t>
      </w:r>
      <w:r w:rsidR="0006245B" w:rsidRPr="00FF42A7">
        <w:rPr>
          <w:color w:val="0071BB"/>
          <w:w w:val="120"/>
        </w:rPr>
        <w:t>e</w:t>
      </w:r>
      <w:r w:rsidRPr="00FF42A7">
        <w:rPr>
          <w:color w:val="0071BB"/>
          <w:w w:val="120"/>
        </w:rPr>
        <w:t>, jakiego doświadczył skarżący, nie można uznać za uzasadnione w sposób racjonalny i obiektywny. W szczególności zauważył, że chociaż skarżący znajdował się w analogicznej sytuacji pod względem potrzeb bytowych, nie został potraktowany w taki sam sposób jak kobieta/wdowa. W związku z tym został poddany nierównemu traktowaniu. Rząd szwajcarski nie wykazał, że istniały bardzo ważne powody lub „szczególnie istotne i przekonujące powody” uzasadniające różnicę w traktowaniu ze względu na płeć. W opinii</w:t>
      </w:r>
      <w:r w:rsidR="008653B9" w:rsidRPr="00FF42A7">
        <w:rPr>
          <w:color w:val="0071BB"/>
          <w:w w:val="120"/>
        </w:rPr>
        <w:t xml:space="preserve"> Trybunału rząd nie mógł opierać się na domniemaniu, że mąż wspierał finansowo żonę</w:t>
      </w:r>
      <w:r w:rsidR="008653B9" w:rsidRPr="00FF42A7">
        <w:rPr>
          <w:color w:val="0071BB"/>
          <w:w w:val="120"/>
        </w:rPr>
        <w:br/>
      </w:r>
      <w:r w:rsidR="008653B9" w:rsidRPr="00FF42A7">
        <w:rPr>
          <w:color w:val="0071BB"/>
          <w:w w:val="120"/>
        </w:rPr>
        <w:br/>
      </w:r>
      <w:r w:rsidR="008653B9" w:rsidRPr="00FF42A7">
        <w:rPr>
          <w:color w:val="0071BB"/>
          <w:w w:val="120"/>
        </w:rPr>
        <w:br/>
      </w:r>
    </w:p>
    <w:p w14:paraId="3748522D" w14:textId="77777777" w:rsidR="009F1A47" w:rsidRPr="00FF42A7" w:rsidRDefault="00000000">
      <w:pPr>
        <w:pStyle w:val="Tekstpodstawowy"/>
        <w:spacing w:before="8"/>
        <w:ind w:left="0"/>
        <w:jc w:val="left"/>
        <w:rPr>
          <w:sz w:val="18"/>
        </w:rPr>
      </w:pPr>
      <w:r w:rsidRPr="00FF42A7">
        <w:rPr>
          <w:noProof/>
          <w:sz w:val="18"/>
        </w:rPr>
        <mc:AlternateContent>
          <mc:Choice Requires="wps">
            <w:drawing>
              <wp:anchor distT="0" distB="0" distL="0" distR="0" simplePos="0" relativeHeight="251670528" behindDoc="1" locked="0" layoutInCell="1" allowOverlap="1" wp14:anchorId="6ED779A4" wp14:editId="5B62894E">
                <wp:simplePos x="0" y="0"/>
                <wp:positionH relativeFrom="page">
                  <wp:posOffset>914400</wp:posOffset>
                </wp:positionH>
                <wp:positionV relativeFrom="paragraph">
                  <wp:posOffset>160369</wp:posOffset>
                </wp:positionV>
                <wp:extent cx="1828800" cy="762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8F378AE" id="Graphic 29" o:spid="_x0000_s1026" style="position:absolute;margin-left:1in;margin-top:12.65pt;width:2in;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" path="m1828800,l,,,7619r1828800,l1828800,xe" fillcolor="black" stroked="f">
                <v:path arrowok="t"/>
                <w10:wrap type="topAndBottom" anchorx="page"/>
              </v:shape>
            </w:pict>
          </mc:Fallback>
        </mc:AlternateContent>
      </w:r>
    </w:p>
    <w:p w14:paraId="6C8563E8" w14:textId="1CCCB7B3" w:rsidR="009F1A47" w:rsidRPr="00FF42A7" w:rsidRDefault="00000000">
      <w:pPr>
        <w:pStyle w:val="Akapitzlist"/>
        <w:numPr>
          <w:ilvl w:val="0"/>
          <w:numId w:val="2"/>
        </w:numPr>
        <w:tabs>
          <w:tab w:val="left" w:pos="1127"/>
        </w:tabs>
        <w:ind w:left="1127" w:hanging="253"/>
        <w:rPr>
          <w:sz w:val="16"/>
        </w:rPr>
      </w:pPr>
      <w:bookmarkStart w:id="6" w:name="_bookmark6"/>
      <w:bookmarkEnd w:id="6"/>
      <w:r w:rsidRPr="00FF42A7">
        <w:rPr>
          <w:w w:val="120"/>
          <w:sz w:val="16"/>
        </w:rPr>
        <w:t xml:space="preserve">W dniu 16 września 2022 r. Federacja Rosyjska przestała być stroną </w:t>
      </w:r>
      <w:r w:rsidR="008653B9" w:rsidRPr="00FF42A7">
        <w:rPr>
          <w:spacing w:val="-2"/>
          <w:w w:val="120"/>
          <w:sz w:val="16"/>
        </w:rPr>
        <w:t>K</w:t>
      </w:r>
      <w:r w:rsidRPr="00FF42A7">
        <w:rPr>
          <w:spacing w:val="-2"/>
          <w:w w:val="120"/>
          <w:sz w:val="16"/>
        </w:rPr>
        <w:t>onwencji.</w:t>
      </w:r>
    </w:p>
    <w:p w14:paraId="5456BA22" w14:textId="77777777" w:rsidR="009F1A47" w:rsidRPr="00FF42A7" w:rsidRDefault="009F1A47">
      <w:pPr>
        <w:pStyle w:val="Akapitzlist"/>
        <w:rPr>
          <w:sz w:val="16"/>
        </w:rPr>
        <w:sectPr w:rsidR="009F1A47" w:rsidRPr="00FF42A7">
          <w:pgSz w:w="11910" w:h="16840"/>
          <w:pgMar w:top="1400" w:right="566" w:bottom="680" w:left="566" w:header="720" w:footer="497" w:gutter="0"/>
          <w:cols w:space="708"/>
        </w:sectPr>
      </w:pPr>
    </w:p>
    <w:p w14:paraId="1E2F9820" w14:textId="77777777" w:rsidR="009F1A47" w:rsidRPr="00FF42A7" w:rsidRDefault="009F1A47">
      <w:pPr>
        <w:pStyle w:val="Tekstpodstawowy"/>
        <w:spacing w:before="59"/>
        <w:ind w:left="0"/>
        <w:jc w:val="left"/>
      </w:pPr>
    </w:p>
    <w:p w14:paraId="22EBBB13" w14:textId="22613612" w:rsidR="009F1A47" w:rsidRPr="00FF42A7" w:rsidRDefault="008653B9">
      <w:pPr>
        <w:pStyle w:val="Tekstpodstawowy"/>
        <w:spacing w:before="1"/>
        <w:ind w:left="873" w:right="872"/>
      </w:pPr>
      <w:r w:rsidRPr="00FF42A7">
        <w:rPr>
          <w:color w:val="0071BB"/>
          <w:w w:val="120"/>
        </w:rPr>
        <w:t>(koncepcja „mężczyzny jako żywiciela rodziny”) w celu uzasadnienia różnicy w traktowaniu, która stawiała wdowców w niekorzystnej sytuacji w stosunku do wdów. Stwierd</w:t>
      </w:r>
      <w:r w:rsidR="00202B7E" w:rsidRPr="00FF42A7">
        <w:rPr>
          <w:color w:val="0071BB"/>
          <w:w w:val="120"/>
        </w:rPr>
        <w:t>zono</w:t>
      </w:r>
      <w:r w:rsidRPr="00FF42A7">
        <w:rPr>
          <w:color w:val="0071BB"/>
          <w:w w:val="120"/>
        </w:rPr>
        <w:t>, że przedmiotowe przepisy przyczyniają się raczej do utrwalania uprzedzeń i stereotypów dotyczących charakteru lub roli kobiet w społeczeństwie i są niekorzystne zarówno dla kariery kobiet, jak i życia rodzinnego mężczyzn.</w:t>
      </w:r>
    </w:p>
    <w:p w14:paraId="48748B43" w14:textId="77777777" w:rsidR="009F1A47" w:rsidRPr="00FF42A7" w:rsidRDefault="00000000">
      <w:pPr>
        <w:pStyle w:val="Nagwek1"/>
        <w:spacing w:before="239"/>
      </w:pPr>
      <w:r w:rsidRPr="00FF42A7">
        <w:rPr>
          <w:noProof/>
        </w:rPr>
        <mc:AlternateContent>
          <mc:Choice Requires="wps">
            <w:drawing>
              <wp:anchor distT="0" distB="0" distL="0" distR="0" simplePos="0" relativeHeight="251672576" behindDoc="1" locked="0" layoutInCell="1" allowOverlap="1" wp14:anchorId="6E3A5192" wp14:editId="4E583EE1">
                <wp:simplePos x="0" y="0"/>
                <wp:positionH relativeFrom="page">
                  <wp:posOffset>896111</wp:posOffset>
                </wp:positionH>
                <wp:positionV relativeFrom="paragraph">
                  <wp:posOffset>407896</wp:posOffset>
                </wp:positionV>
                <wp:extent cx="5768340" cy="18415"/>
                <wp:effectExtent l="0" t="0" r="0" b="0"/>
                <wp:wrapTopAndBottom/>
                <wp:docPr id="30" name="Graphic 30"/>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476665E9" id="Graphic 30" o:spid="_x0000_s1026" style="position:absolute;margin-left:70.55pt;margin-top:32.1pt;width:454.2pt;height:1.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" path="m5768340,l,,,18288r5768340,l5768340,xe" fillcolor="#999" stroked="f">
                <v:path arrowok="t"/>
                <w10:wrap type="topAndBottom" anchorx="page"/>
              </v:shape>
            </w:pict>
          </mc:Fallback>
        </mc:AlternateContent>
      </w:r>
      <w:r w:rsidRPr="00FF42A7">
        <w:rPr>
          <w:color w:val="0071BB"/>
          <w:w w:val="120"/>
          <w:sz w:val="29"/>
        </w:rPr>
        <w:t xml:space="preserve">Wolność myśli, sumienia i </w:t>
      </w:r>
      <w:r w:rsidRPr="00FF42A7">
        <w:rPr>
          <w:color w:val="0071BB"/>
          <w:spacing w:val="-2"/>
          <w:w w:val="120"/>
          <w:sz w:val="29"/>
        </w:rPr>
        <w:t>religii</w:t>
      </w:r>
    </w:p>
    <w:p w14:paraId="3A0F6E7E" w14:textId="77777777" w:rsidR="009F1A47" w:rsidRPr="00FF42A7" w:rsidRDefault="00000000">
      <w:pPr>
        <w:spacing w:before="259"/>
        <w:ind w:left="874"/>
        <w:jc w:val="both"/>
        <w:rPr>
          <w:sz w:val="28"/>
        </w:rPr>
      </w:pPr>
      <w:r w:rsidRPr="00FF42A7">
        <w:rPr>
          <w:color w:val="808080"/>
          <w:w w:val="120"/>
          <w:sz w:val="29"/>
        </w:rPr>
        <w:t xml:space="preserve">Noszenie </w:t>
      </w:r>
      <w:r w:rsidRPr="00FF42A7">
        <w:rPr>
          <w:color w:val="808080"/>
          <w:spacing w:val="-2"/>
          <w:w w:val="120"/>
          <w:sz w:val="29"/>
        </w:rPr>
        <w:t xml:space="preserve">strojów </w:t>
      </w:r>
      <w:r w:rsidRPr="00FF42A7">
        <w:rPr>
          <w:color w:val="808080"/>
          <w:w w:val="120"/>
          <w:sz w:val="29"/>
        </w:rPr>
        <w:t>religijnych</w:t>
      </w:r>
    </w:p>
    <w:p w14:paraId="7D0EB9DA" w14:textId="77777777" w:rsidR="009F1A47" w:rsidRPr="00FF42A7" w:rsidRDefault="009F1A47">
      <w:pPr>
        <w:pStyle w:val="Nagwek2"/>
        <w:spacing w:before="113"/>
        <w:rPr>
          <w:u w:val="none"/>
        </w:rPr>
      </w:pPr>
      <w:hyperlink r:id="rId79">
        <w:proofErr w:type="spellStart"/>
        <w:r w:rsidRPr="00FF42A7">
          <w:rPr>
            <w:color w:val="0071BB"/>
            <w:w w:val="135"/>
            <w:u w:color="0071BB"/>
          </w:rPr>
          <w:t>Dahlab</w:t>
        </w:r>
        <w:proofErr w:type="spellEnd"/>
        <w:r w:rsidRPr="00FF42A7">
          <w:rPr>
            <w:color w:val="0071BB"/>
            <w:w w:val="135"/>
            <w:u w:color="0071BB"/>
          </w:rPr>
          <w:t xml:space="preserve"> przeciwko </w:t>
        </w:r>
        <w:r w:rsidRPr="00FF42A7">
          <w:rPr>
            <w:color w:val="0071BB"/>
            <w:spacing w:val="-2"/>
            <w:w w:val="135"/>
            <w:u w:color="0071BB"/>
          </w:rPr>
          <w:t>Szwajcarii</w:t>
        </w:r>
      </w:hyperlink>
    </w:p>
    <w:p w14:paraId="38FCD77B" w14:textId="77777777" w:rsidR="009F1A47" w:rsidRPr="00FF42A7" w:rsidRDefault="00000000">
      <w:pPr>
        <w:spacing w:before="56"/>
        <w:ind w:left="874"/>
        <w:jc w:val="both"/>
        <w:rPr>
          <w:sz w:val="18"/>
        </w:rPr>
      </w:pPr>
      <w:r w:rsidRPr="00FF42A7">
        <w:rPr>
          <w:color w:val="808080"/>
          <w:w w:val="125"/>
          <w:sz w:val="18"/>
        </w:rPr>
        <w:t>15 lutego 2001</w:t>
      </w:r>
      <w:r w:rsidRPr="00FF42A7">
        <w:rPr>
          <w:color w:val="808080"/>
          <w:spacing w:val="-2"/>
          <w:w w:val="125"/>
          <w:sz w:val="18"/>
        </w:rPr>
        <w:t xml:space="preserve"> r</w:t>
      </w:r>
      <w:r w:rsidRPr="00FF42A7">
        <w:rPr>
          <w:color w:val="808080"/>
          <w:w w:val="125"/>
          <w:sz w:val="18"/>
        </w:rPr>
        <w:t xml:space="preserve">. (decyzja o </w:t>
      </w:r>
      <w:r w:rsidRPr="00FF42A7">
        <w:rPr>
          <w:color w:val="808080"/>
          <w:spacing w:val="-2"/>
          <w:w w:val="125"/>
          <w:sz w:val="18"/>
        </w:rPr>
        <w:t>dopuszczalności)</w:t>
      </w:r>
    </w:p>
    <w:p w14:paraId="56E36A1D" w14:textId="48A1409B" w:rsidR="009F1A47" w:rsidRPr="00FF42A7" w:rsidRDefault="008653B9">
      <w:pPr>
        <w:pStyle w:val="Tekstpodstawowy"/>
        <w:spacing w:before="1"/>
        <w:ind w:right="871"/>
      </w:pPr>
      <w:r w:rsidRPr="00FF42A7">
        <w:rPr>
          <w:w w:val="120"/>
        </w:rPr>
        <w:t>Skarżąca, nauczycielka szkoły podstawowej, która przeszła na islam, skarżyła się na decyzję władz szkolnych zakazującą jej noszenia chusty podczas nauczania, która ostatecznie została utrzymana w mocy przez Sąd Federalny w 1997 r. Skarżąca twierdziła w szczególności, że zakaz nałożony przez władze szwajcarskie stanowił dyskryminację ze względu na płeć, ponieważ mężczyzna wyznający islam mógł uczyć w szkole państwowej bez żadnych ograniczeń.</w:t>
      </w:r>
    </w:p>
    <w:p w14:paraId="6D6AD1F8" w14:textId="145FBD0D" w:rsidR="009F1A47" w:rsidRPr="00FF42A7" w:rsidRDefault="00000000">
      <w:pPr>
        <w:pStyle w:val="Tekstpodstawowy"/>
        <w:ind w:right="869"/>
      </w:pPr>
      <w:r w:rsidRPr="00FF42A7">
        <w:rPr>
          <w:color w:val="0071BB"/>
          <w:w w:val="120"/>
        </w:rPr>
        <w:t>Trybunał uznał skargę za</w:t>
      </w:r>
      <w:r w:rsidRPr="00FF42A7">
        <w:rPr>
          <w:b/>
          <w:color w:val="0071BB"/>
          <w:w w:val="120"/>
        </w:rPr>
        <w:t xml:space="preserve"> niedopuszczalną </w:t>
      </w:r>
      <w:r w:rsidRPr="00FF42A7">
        <w:rPr>
          <w:color w:val="0071BB"/>
          <w:w w:val="120"/>
        </w:rPr>
        <w:t>jako oczywiście bezzasadną. W szczególności zauważył, że środek, na mocy którego skarżącej zakazano noszenia islamskiej chusty wyłącznie w kontekście wykonywania obowiązków zawodowych, nie był skierowany przeciwko niej jako osobie płci żeńskiej, ale miał na celu zapewnienie neutralności państwowego systemu edukacji podstawowej. Środe</w:t>
      </w:r>
      <w:r w:rsidR="008653B9" w:rsidRPr="00FF42A7">
        <w:rPr>
          <w:color w:val="0071BB"/>
          <w:w w:val="120"/>
        </w:rPr>
        <w:t>k taki</w:t>
      </w:r>
      <w:r w:rsidR="008653B9" w:rsidRPr="00FF42A7">
        <w:rPr>
          <w:color w:val="0071BB"/>
          <w:spacing w:val="40"/>
          <w:w w:val="120"/>
        </w:rPr>
        <w:t xml:space="preserve"> </w:t>
      </w:r>
      <w:r w:rsidRPr="00FF42A7">
        <w:rPr>
          <w:color w:val="0071BB"/>
          <w:w w:val="120"/>
        </w:rPr>
        <w:t>mógłby również zostać zastosowany wobec mężczyzny, który w podobnych okolicznościach nosiłby ubranie wyraźnie identyfikujące go jako wyznawcę innej religii. Trybunał stwierdził zatem, że w niniejszej sprawie nie doszło do dyskryminacji ze względu na płeć.</w:t>
      </w:r>
    </w:p>
    <w:p w14:paraId="36060577" w14:textId="77777777" w:rsidR="009F1A47" w:rsidRPr="00FF42A7" w:rsidRDefault="009F1A47">
      <w:pPr>
        <w:pStyle w:val="Nagwek2"/>
        <w:spacing w:before="106"/>
        <w:rPr>
          <w:u w:val="none"/>
        </w:rPr>
      </w:pPr>
      <w:hyperlink r:id="rId80">
        <w:proofErr w:type="spellStart"/>
        <w:r w:rsidRPr="00FF42A7">
          <w:rPr>
            <w:color w:val="0071BB"/>
            <w:w w:val="135"/>
            <w:u w:val="thick" w:color="0071BB"/>
          </w:rPr>
          <w:t>Leyla</w:t>
        </w:r>
        <w:proofErr w:type="spellEnd"/>
        <w:r w:rsidRPr="00FF42A7">
          <w:rPr>
            <w:color w:val="0071BB"/>
            <w:w w:val="135"/>
            <w:u w:val="thick" w:color="0071BB"/>
          </w:rPr>
          <w:t xml:space="preserve"> </w:t>
        </w:r>
        <w:proofErr w:type="spellStart"/>
        <w:r w:rsidRPr="00FF42A7">
          <w:rPr>
            <w:color w:val="0071BB"/>
            <w:w w:val="135"/>
            <w:u w:val="thick" w:color="0071BB"/>
          </w:rPr>
          <w:t>Şahin</w:t>
        </w:r>
        <w:proofErr w:type="spellEnd"/>
        <w:r w:rsidRPr="00FF42A7">
          <w:rPr>
            <w:color w:val="0071BB"/>
            <w:w w:val="135"/>
            <w:u w:val="thick" w:color="0071BB"/>
          </w:rPr>
          <w:t xml:space="preserve"> przeciwko </w:t>
        </w:r>
        <w:r w:rsidRPr="00FF42A7">
          <w:rPr>
            <w:color w:val="0071BB"/>
            <w:spacing w:val="-2"/>
            <w:w w:val="135"/>
            <w:u w:val="thick" w:color="0071BB"/>
          </w:rPr>
          <w:t>Turcji</w:t>
        </w:r>
      </w:hyperlink>
    </w:p>
    <w:p w14:paraId="200C6F23" w14:textId="77777777" w:rsidR="009F1A47" w:rsidRPr="00FF42A7" w:rsidRDefault="00000000">
      <w:pPr>
        <w:spacing w:before="55"/>
        <w:ind w:left="874"/>
        <w:jc w:val="both"/>
        <w:rPr>
          <w:sz w:val="18"/>
        </w:rPr>
      </w:pPr>
      <w:r w:rsidRPr="00FF42A7">
        <w:rPr>
          <w:color w:val="808080"/>
          <w:w w:val="125"/>
          <w:sz w:val="18"/>
        </w:rPr>
        <w:t xml:space="preserve">10 listopada 2005 r. (Wielka </w:t>
      </w:r>
      <w:r w:rsidRPr="00FF42A7">
        <w:rPr>
          <w:color w:val="808080"/>
          <w:spacing w:val="-2"/>
          <w:w w:val="125"/>
          <w:sz w:val="18"/>
        </w:rPr>
        <w:t>Izba)</w:t>
      </w:r>
    </w:p>
    <w:p w14:paraId="18106171" w14:textId="7835992C" w:rsidR="009F1A47" w:rsidRPr="00FF42A7" w:rsidRDefault="00000000">
      <w:pPr>
        <w:pStyle w:val="Tekstpodstawowy"/>
        <w:spacing w:before="1"/>
        <w:ind w:right="870"/>
      </w:pPr>
      <w:r w:rsidRPr="00FF42A7">
        <w:rPr>
          <w:w w:val="120"/>
        </w:rPr>
        <w:t>Pochodząca z tradycyjnej rodziny praktykujących muzułmanów skarżąca</w:t>
      </w:r>
      <w:r w:rsidR="005A106D" w:rsidRPr="00FF42A7">
        <w:rPr>
          <w:w w:val="120"/>
        </w:rPr>
        <w:t>,</w:t>
      </w:r>
      <w:r w:rsidRPr="00FF42A7">
        <w:rPr>
          <w:w w:val="120"/>
        </w:rPr>
        <w:t xml:space="preserve"> uważała noszenie islamskiej chusty za swój obowiązek religijny. Skarżyła się na przepis ogłoszony w 1998 r., kiedy była studentką medycyny na Uniwersytecie w Stambule, zakazujący</w:t>
      </w:r>
      <w:r w:rsidR="0087342C" w:rsidRPr="00FF42A7">
        <w:rPr>
          <w:w w:val="120"/>
        </w:rPr>
        <w:t xml:space="preserve"> studentom</w:t>
      </w:r>
      <w:r w:rsidRPr="00FF42A7">
        <w:rPr>
          <w:w w:val="120"/>
        </w:rPr>
        <w:t xml:space="preserve"> noszenia takich chust podczas zajęć i egzaminów, co ostatecznie skłoniło ją do opuszczenia kraju i kontynuowania studiów w Austrii.</w:t>
      </w:r>
    </w:p>
    <w:p w14:paraId="4776E9B7" w14:textId="77777777" w:rsidR="009F1A47" w:rsidRPr="00FF42A7" w:rsidRDefault="00000000">
      <w:pPr>
        <w:pStyle w:val="Tekstpodstawowy"/>
        <w:ind w:right="870"/>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9 </w:t>
      </w:r>
      <w:r w:rsidRPr="00FF42A7">
        <w:rPr>
          <w:color w:val="0071BB"/>
          <w:w w:val="120"/>
        </w:rPr>
        <w:t>(wolność myśli, sumienia i religii) Konwencji. Zwrócił w szczególności uwagę, że to zasada sekularyzmu, wyjaśniona przez turecki Trybunał Konstytucyjny, była nadrzędną przesłanką zakazu noszenia symboli religijnych na uniwersytetach. W takim kontekście, w którym wartości pluralizmu, poszanowania praw innych osób, a w szczególności równości mężczyzn i kobiet przed prawem są nauczane i stosowane w praktyce, zrozumiałe jest, że właściwe organy pragną zachować świecki charakter danej instytucji i w związku z tym uznają za sprzeczne z tymi wartościami zezwolenie na noszenie strojów religijnych, w tym, jak w niniejszej sprawie, islamskiej chusty.</w:t>
      </w:r>
    </w:p>
    <w:p w14:paraId="37F0FE21" w14:textId="77777777" w:rsidR="009F1A47" w:rsidRPr="00FF42A7" w:rsidRDefault="009F1A47">
      <w:pPr>
        <w:pStyle w:val="Nagwek2"/>
        <w:spacing w:before="104"/>
        <w:ind w:left="873"/>
        <w:rPr>
          <w:u w:val="none"/>
        </w:rPr>
      </w:pPr>
      <w:hyperlink r:id="rId81">
        <w:r w:rsidRPr="00FF42A7">
          <w:rPr>
            <w:color w:val="0071BB"/>
            <w:w w:val="140"/>
            <w:u w:color="0071BB"/>
          </w:rPr>
          <w:t>S.A.S. przeciwko Francji (nr</w:t>
        </w:r>
        <w:r w:rsidRPr="00FF42A7">
          <w:rPr>
            <w:color w:val="0071BB"/>
            <w:spacing w:val="-2"/>
            <w:w w:val="140"/>
            <w:u w:color="0071BB"/>
          </w:rPr>
          <w:t xml:space="preserve"> 43835/11)</w:t>
        </w:r>
      </w:hyperlink>
    </w:p>
    <w:p w14:paraId="3351FA00" w14:textId="77777777" w:rsidR="009F1A47" w:rsidRPr="00FF42A7" w:rsidRDefault="00000000">
      <w:pPr>
        <w:spacing w:before="58"/>
        <w:ind w:left="874"/>
        <w:jc w:val="both"/>
        <w:rPr>
          <w:sz w:val="18"/>
        </w:rPr>
      </w:pPr>
      <w:r w:rsidRPr="00FF42A7">
        <w:rPr>
          <w:color w:val="808080"/>
          <w:w w:val="125"/>
          <w:sz w:val="18"/>
        </w:rPr>
        <w:t xml:space="preserve">26 czerwca 2014 r. (Wielka </w:t>
      </w:r>
      <w:r w:rsidRPr="00FF42A7">
        <w:rPr>
          <w:color w:val="808080"/>
          <w:spacing w:val="-2"/>
          <w:w w:val="125"/>
          <w:sz w:val="18"/>
        </w:rPr>
        <w:t>Izba)</w:t>
      </w:r>
    </w:p>
    <w:p w14:paraId="6AF0ACD0" w14:textId="77777777" w:rsidR="009F1A47" w:rsidRPr="00FF42A7" w:rsidRDefault="00000000">
      <w:pPr>
        <w:pStyle w:val="Tekstpodstawowy"/>
        <w:spacing w:before="1"/>
        <w:ind w:right="871"/>
      </w:pPr>
      <w:r w:rsidRPr="00FF42A7">
        <w:rPr>
          <w:w w:val="120"/>
        </w:rPr>
        <w:t>Sprawa dotyczyła skargi obywatelki Francji, praktykującej muzułmanki, która twierdziła, że po wejściu w życie w dniu 11 kwietnia 2011 r. ustawy zakazującej zakrywania twarzy w miejscach publicznych nie wolno jej już nosić zasłony zakrywającej całą twarz.</w:t>
      </w:r>
    </w:p>
    <w:p w14:paraId="2E228719" w14:textId="4D2EC9ED" w:rsidR="009F1A47" w:rsidRPr="00FF42A7" w:rsidRDefault="00000000">
      <w:pPr>
        <w:ind w:left="873" w:right="871"/>
        <w:jc w:val="both"/>
        <w:rPr>
          <w:sz w:val="20"/>
        </w:rPr>
      </w:pPr>
      <w:r w:rsidRPr="00FF42A7">
        <w:rPr>
          <w:color w:val="0071BB"/>
          <w:w w:val="125"/>
          <w:sz w:val="20"/>
        </w:rPr>
        <w:t xml:space="preserve">Trybunał uznał, że </w:t>
      </w:r>
      <w:r w:rsidRPr="00FF42A7">
        <w:rPr>
          <w:b/>
          <w:color w:val="0071BB"/>
          <w:w w:val="125"/>
          <w:sz w:val="20"/>
        </w:rPr>
        <w:t xml:space="preserve">nie </w:t>
      </w:r>
      <w:r w:rsidRPr="00FF42A7">
        <w:rPr>
          <w:color w:val="0071BB"/>
          <w:w w:val="125"/>
          <w:sz w:val="20"/>
        </w:rPr>
        <w:t xml:space="preserve">doszło </w:t>
      </w:r>
      <w:r w:rsidRPr="00FF42A7">
        <w:rPr>
          <w:b/>
          <w:color w:val="0071BB"/>
          <w:w w:val="125"/>
          <w:sz w:val="20"/>
        </w:rPr>
        <w:t xml:space="preserve">do naruszenia art. 8 </w:t>
      </w:r>
      <w:r w:rsidRPr="00FF42A7">
        <w:rPr>
          <w:color w:val="0071BB"/>
          <w:w w:val="125"/>
          <w:sz w:val="20"/>
        </w:rPr>
        <w:t xml:space="preserve">(prawo do poszanowania życia prywatnego i rodzinnego), </w:t>
      </w:r>
      <w:r w:rsidRPr="00FF42A7">
        <w:rPr>
          <w:b/>
          <w:color w:val="0071BB"/>
          <w:w w:val="125"/>
          <w:sz w:val="20"/>
        </w:rPr>
        <w:t xml:space="preserve">art. 9 </w:t>
      </w:r>
      <w:r w:rsidRPr="00FF42A7">
        <w:rPr>
          <w:color w:val="0071BB"/>
          <w:w w:val="125"/>
          <w:sz w:val="20"/>
        </w:rPr>
        <w:t xml:space="preserve">(prawo do poszanowania wolności myśli, sumienia i religii) </w:t>
      </w:r>
      <w:r w:rsidRPr="00FF42A7">
        <w:rPr>
          <w:b/>
          <w:color w:val="0071BB"/>
          <w:w w:val="125"/>
          <w:sz w:val="20"/>
        </w:rPr>
        <w:t xml:space="preserve">ani art. 14 </w:t>
      </w:r>
      <w:r w:rsidRPr="00FF42A7">
        <w:rPr>
          <w:color w:val="0071BB"/>
          <w:w w:val="125"/>
          <w:sz w:val="20"/>
        </w:rPr>
        <w:t xml:space="preserve">(zakaz dyskryminacji) </w:t>
      </w:r>
      <w:r w:rsidRPr="00FF42A7">
        <w:rPr>
          <w:b/>
          <w:color w:val="0071BB"/>
          <w:w w:val="125"/>
          <w:sz w:val="20"/>
        </w:rPr>
        <w:t xml:space="preserve">w związku z art. 8 lub 9 </w:t>
      </w:r>
      <w:r w:rsidRPr="00FF42A7">
        <w:rPr>
          <w:color w:val="0071BB"/>
          <w:w w:val="125"/>
          <w:sz w:val="20"/>
        </w:rPr>
        <w:t xml:space="preserve">Konwencji. W wyroku tym Trybunał zwrócił w szczególności uwagę, że </w:t>
      </w:r>
      <w:r w:rsidR="0087342C" w:rsidRPr="00FF42A7">
        <w:rPr>
          <w:color w:val="0071BB"/>
          <w:w w:val="125"/>
          <w:sz w:val="20"/>
        </w:rPr>
        <w:t>P</w:t>
      </w:r>
      <w:r w:rsidRPr="00FF42A7">
        <w:rPr>
          <w:color w:val="0071BB"/>
          <w:w w:val="125"/>
          <w:sz w:val="20"/>
        </w:rPr>
        <w:t>aństwo-</w:t>
      </w:r>
      <w:r w:rsidR="0087342C" w:rsidRPr="00FF42A7">
        <w:rPr>
          <w:color w:val="0071BB"/>
          <w:w w:val="125"/>
          <w:sz w:val="20"/>
        </w:rPr>
        <w:t>S</w:t>
      </w:r>
      <w:r w:rsidRPr="00FF42A7">
        <w:rPr>
          <w:color w:val="0071BB"/>
          <w:w w:val="125"/>
          <w:sz w:val="20"/>
        </w:rPr>
        <w:t xml:space="preserve">trona nie może powoływać </w:t>
      </w:r>
      <w:r w:rsidR="0087342C" w:rsidRPr="00FF42A7">
        <w:rPr>
          <w:color w:val="0071BB"/>
          <w:w w:val="125"/>
          <w:sz w:val="20"/>
        </w:rPr>
        <w:t xml:space="preserve">się na zasadę równości płci </w:t>
      </w:r>
      <w:r w:rsidR="0087342C" w:rsidRPr="00FF42A7">
        <w:rPr>
          <w:color w:val="0071BB"/>
          <w:spacing w:val="-5"/>
          <w:w w:val="125"/>
          <w:sz w:val="20"/>
        </w:rPr>
        <w:t>w celu zakazywania praktyk</w:t>
      </w:r>
      <w:r w:rsidR="00367387" w:rsidRPr="00FF42A7">
        <w:rPr>
          <w:color w:val="0071BB"/>
          <w:spacing w:val="-5"/>
          <w:w w:val="125"/>
          <w:sz w:val="20"/>
        </w:rPr>
        <w:t>i, której</w:t>
      </w:r>
      <w:r w:rsidR="0087342C" w:rsidRPr="00FF42A7">
        <w:rPr>
          <w:color w:val="0071BB"/>
          <w:spacing w:val="-5"/>
          <w:w w:val="125"/>
          <w:sz w:val="20"/>
        </w:rPr>
        <w:t xml:space="preserve"> </w:t>
      </w:r>
      <w:r w:rsidR="00367387" w:rsidRPr="00FF42A7">
        <w:rPr>
          <w:color w:val="0071BB"/>
          <w:spacing w:val="-5"/>
          <w:w w:val="125"/>
          <w:sz w:val="20"/>
        </w:rPr>
        <w:t>broniły kobiety</w:t>
      </w:r>
      <w:r w:rsidR="0087342C" w:rsidRPr="00FF42A7">
        <w:rPr>
          <w:color w:val="0071BB"/>
          <w:w w:val="125"/>
          <w:sz w:val="20"/>
        </w:rPr>
        <w:br/>
      </w:r>
      <w:r w:rsidR="0087342C" w:rsidRPr="00FF42A7">
        <w:rPr>
          <w:color w:val="0071BB"/>
          <w:w w:val="125"/>
          <w:sz w:val="20"/>
        </w:rPr>
        <w:br/>
      </w:r>
    </w:p>
    <w:p w14:paraId="7DA59455" w14:textId="77777777" w:rsidR="009F1A47" w:rsidRPr="00FF42A7" w:rsidRDefault="009F1A47">
      <w:pPr>
        <w:jc w:val="both"/>
        <w:rPr>
          <w:sz w:val="20"/>
        </w:rPr>
        <w:sectPr w:rsidR="009F1A47" w:rsidRPr="00FF42A7">
          <w:pgSz w:w="11910" w:h="16840"/>
          <w:pgMar w:top="1400" w:right="566" w:bottom="680" w:left="566" w:header="720" w:footer="497" w:gutter="0"/>
          <w:cols w:space="708"/>
        </w:sectPr>
      </w:pPr>
    </w:p>
    <w:p w14:paraId="5438814E" w14:textId="77777777" w:rsidR="009F1A47" w:rsidRPr="00FF42A7" w:rsidRDefault="009F1A47">
      <w:pPr>
        <w:pStyle w:val="Tekstpodstawowy"/>
        <w:spacing w:before="59"/>
        <w:ind w:left="0"/>
        <w:jc w:val="left"/>
      </w:pPr>
    </w:p>
    <w:p w14:paraId="16C57411" w14:textId="45DF3548" w:rsidR="009F1A47" w:rsidRPr="00FF42A7" w:rsidRDefault="00000000">
      <w:pPr>
        <w:pStyle w:val="Tekstpodstawowy"/>
        <w:spacing w:before="1"/>
        <w:ind w:right="873" w:hanging="1"/>
      </w:pPr>
      <w:r w:rsidRPr="00FF42A7">
        <w:rPr>
          <w:color w:val="0071BB"/>
          <w:w w:val="120"/>
        </w:rPr>
        <w:t xml:space="preserve"> – takie jak skarżąca – w kontekście wykonywania praw zapisanych w tych artykułach, chyba że można by uznać, że na tej podstawie można chronić jednostki przed wykonywaniem ich własnych podstawowych praw i wolności.</w:t>
      </w:r>
    </w:p>
    <w:p w14:paraId="300264C7" w14:textId="77777777" w:rsidR="009F1A47" w:rsidRPr="00FF42A7" w:rsidRDefault="00000000">
      <w:pPr>
        <w:pStyle w:val="Nagwek1"/>
        <w:spacing w:before="240"/>
      </w:pPr>
      <w:r w:rsidRPr="00FF42A7">
        <w:rPr>
          <w:noProof/>
        </w:rPr>
        <mc:AlternateContent>
          <mc:Choice Requires="wps">
            <w:drawing>
              <wp:anchor distT="0" distB="0" distL="0" distR="0" simplePos="0" relativeHeight="251674624" behindDoc="1" locked="0" layoutInCell="1" allowOverlap="1" wp14:anchorId="2A712CDC" wp14:editId="52D2B5B5">
                <wp:simplePos x="0" y="0"/>
                <wp:positionH relativeFrom="page">
                  <wp:posOffset>896111</wp:posOffset>
                </wp:positionH>
                <wp:positionV relativeFrom="paragraph">
                  <wp:posOffset>409001</wp:posOffset>
                </wp:positionV>
                <wp:extent cx="5768340" cy="18415"/>
                <wp:effectExtent l="0" t="0" r="0" b="0"/>
                <wp:wrapTopAndBottom/>
                <wp:docPr id="31" name="Graphic 31"/>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1EE683C" id="Graphic 31" o:spid="_x0000_s1026" style="position:absolute;margin-left:70.55pt;margin-top:32.2pt;width:454.2pt;height:1.4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" path="m5768340,l,,,18288r5768340,l5768340,xe" fillcolor="#999" stroked="f">
                <v:path arrowok="t"/>
                <w10:wrap type="topAndBottom" anchorx="page"/>
              </v:shape>
            </w:pict>
          </mc:Fallback>
        </mc:AlternateContent>
      </w:r>
      <w:r w:rsidRPr="00FF42A7">
        <w:rPr>
          <w:color w:val="0071BB"/>
          <w:w w:val="125"/>
          <w:sz w:val="29"/>
        </w:rPr>
        <w:t xml:space="preserve">Prawo do </w:t>
      </w:r>
      <w:r w:rsidRPr="00FF42A7">
        <w:rPr>
          <w:color w:val="0071BB"/>
          <w:spacing w:val="-4"/>
          <w:w w:val="125"/>
          <w:sz w:val="29"/>
        </w:rPr>
        <w:t>zawarcia małżeństwa</w:t>
      </w:r>
    </w:p>
    <w:p w14:paraId="66E0ED66" w14:textId="77777777" w:rsidR="009F1A47" w:rsidRPr="00FF42A7" w:rsidRDefault="00000000">
      <w:pPr>
        <w:spacing w:before="196"/>
        <w:ind w:left="874"/>
        <w:jc w:val="both"/>
        <w:rPr>
          <w:sz w:val="28"/>
        </w:rPr>
      </w:pPr>
      <w:r w:rsidRPr="00FF42A7">
        <w:rPr>
          <w:color w:val="808080"/>
          <w:w w:val="120"/>
          <w:sz w:val="29"/>
        </w:rPr>
        <w:t xml:space="preserve">Okres oczekiwania przed </w:t>
      </w:r>
      <w:r w:rsidRPr="00FF42A7">
        <w:rPr>
          <w:color w:val="808080"/>
          <w:spacing w:val="-2"/>
          <w:w w:val="120"/>
          <w:sz w:val="29"/>
        </w:rPr>
        <w:t>ponownym zawarciem małżeństwa</w:t>
      </w:r>
    </w:p>
    <w:p w14:paraId="5E004A5A" w14:textId="77777777" w:rsidR="009F1A47" w:rsidRPr="00FF42A7" w:rsidRDefault="009F1A47">
      <w:pPr>
        <w:pStyle w:val="Nagwek2"/>
        <w:rPr>
          <w:u w:val="none"/>
        </w:rPr>
      </w:pPr>
      <w:hyperlink r:id="rId82">
        <w:proofErr w:type="spellStart"/>
        <w:r w:rsidRPr="00FF42A7">
          <w:rPr>
            <w:color w:val="0071BB"/>
            <w:w w:val="135"/>
            <w:u w:color="0071BB"/>
          </w:rPr>
          <w:t>Nurcan</w:t>
        </w:r>
        <w:proofErr w:type="spellEnd"/>
        <w:r w:rsidRPr="00FF42A7">
          <w:rPr>
            <w:color w:val="0071BB"/>
            <w:w w:val="135"/>
            <w:u w:color="0071BB"/>
          </w:rPr>
          <w:t xml:space="preserve"> </w:t>
        </w:r>
        <w:proofErr w:type="spellStart"/>
        <w:r w:rsidRPr="00FF42A7">
          <w:rPr>
            <w:color w:val="0071BB"/>
            <w:w w:val="135"/>
            <w:u w:color="0071BB"/>
          </w:rPr>
          <w:t>Bayraktar</w:t>
        </w:r>
        <w:proofErr w:type="spellEnd"/>
        <w:r w:rsidRPr="00FF42A7">
          <w:rPr>
            <w:color w:val="0071BB"/>
            <w:w w:val="135"/>
            <w:u w:color="0071BB"/>
          </w:rPr>
          <w:t xml:space="preserve"> przeciwko </w:t>
        </w:r>
        <w:r w:rsidRPr="00FF42A7">
          <w:rPr>
            <w:color w:val="0071BB"/>
            <w:spacing w:val="-2"/>
            <w:w w:val="135"/>
            <w:u w:color="0071BB"/>
          </w:rPr>
          <w:t>Turcji</w:t>
        </w:r>
      </w:hyperlink>
    </w:p>
    <w:p w14:paraId="4C3158E7" w14:textId="74125346" w:rsidR="009F1A47" w:rsidRPr="00FF42A7" w:rsidRDefault="00000000">
      <w:pPr>
        <w:spacing w:before="58"/>
        <w:ind w:left="874"/>
        <w:jc w:val="both"/>
        <w:rPr>
          <w:sz w:val="18"/>
        </w:rPr>
      </w:pPr>
      <w:r w:rsidRPr="00FF42A7">
        <w:rPr>
          <w:color w:val="808080"/>
          <w:w w:val="125"/>
          <w:sz w:val="18"/>
        </w:rPr>
        <w:t>27 czerwca</w:t>
      </w:r>
      <w:r w:rsidRPr="00FF42A7">
        <w:rPr>
          <w:color w:val="808080"/>
          <w:spacing w:val="-4"/>
          <w:w w:val="125"/>
          <w:sz w:val="18"/>
        </w:rPr>
        <w:t xml:space="preserve"> 2023</w:t>
      </w:r>
      <w:r w:rsidR="00367387" w:rsidRPr="00FF42A7">
        <w:rPr>
          <w:color w:val="808080"/>
          <w:spacing w:val="-4"/>
          <w:w w:val="125"/>
          <w:sz w:val="18"/>
        </w:rPr>
        <w:t xml:space="preserve"> r.</w:t>
      </w:r>
    </w:p>
    <w:p w14:paraId="1C2C7993" w14:textId="18574806" w:rsidR="009F1A47" w:rsidRPr="00FF42A7" w:rsidRDefault="00000000">
      <w:pPr>
        <w:pStyle w:val="Tekstpodstawowy"/>
        <w:spacing w:before="1"/>
        <w:ind w:left="873" w:right="871"/>
      </w:pPr>
      <w:r w:rsidRPr="00FF42A7">
        <w:rPr>
          <w:w w:val="120"/>
        </w:rPr>
        <w:t>Sprawa dotyczyła prawnego obowiązku przestrzegania przez rozwiedzione kobiety 300-dniowego okresu oczekiwania przed ponownym zawarciem małżeństwa – z osobą inną niż były mąż – chyba że udowodnią one, że nie są w ciąży, poddając się badaniu lekarskiemu. Skarżąca w tej sprawie skarżyła się na wymóg poddania</w:t>
      </w:r>
      <w:r w:rsidR="00367387" w:rsidRPr="00FF42A7">
        <w:rPr>
          <w:w w:val="120"/>
        </w:rPr>
        <w:t xml:space="preserve"> się</w:t>
      </w:r>
      <w:r w:rsidR="00367387" w:rsidRPr="00FF42A7">
        <w:rPr>
          <w:spacing w:val="40"/>
          <w:w w:val="120"/>
        </w:rPr>
        <w:t xml:space="preserve"> </w:t>
      </w:r>
      <w:r w:rsidRPr="00FF42A7">
        <w:rPr>
          <w:w w:val="120"/>
        </w:rPr>
        <w:t xml:space="preserve">badaniu lekarskiemu w celu sprawdzenia, czy nie jest w ciąży, aby mogła ponownie zawrzeć związek małżeński przed upływem 300-dniowego okresu oczekiwania, który rozpoczął się w dniu jej rozwodu </w:t>
      </w:r>
      <w:r w:rsidRPr="00FF42A7">
        <w:rPr>
          <w:spacing w:val="40"/>
          <w:w w:val="120"/>
        </w:rPr>
        <w:t>(</w:t>
      </w:r>
      <w:r w:rsidRPr="00FF42A7">
        <w:rPr>
          <w:w w:val="120"/>
        </w:rPr>
        <w:t>ostateczna decyzja z dnia 21 stycznia 2014 r.). W szczególności twierdziła, że okres oczekiwania w Turcji dla kobiet, które chciały ponownie zawrzeć związek małżeński po rozwodzie, chyba że udowodniły, że nie są w ciąży, poddają</w:t>
      </w:r>
      <w:r w:rsidR="00367387" w:rsidRPr="00FF42A7">
        <w:rPr>
          <w:w w:val="120"/>
        </w:rPr>
        <w:t>c się</w:t>
      </w:r>
      <w:r w:rsidR="00367387" w:rsidRPr="00FF42A7">
        <w:rPr>
          <w:spacing w:val="40"/>
          <w:w w:val="120"/>
        </w:rPr>
        <w:t xml:space="preserve"> </w:t>
      </w:r>
      <w:r w:rsidRPr="00FF42A7">
        <w:rPr>
          <w:w w:val="120"/>
        </w:rPr>
        <w:t>badaniom lekarskim, stanowi dyskryminację ze względu na płeć i naruszenie ich prawa do zawarcia małżeństwa. Skarżyła się również na długość postępowania przed tureckim Trybunałem Konstytucyjnym.</w:t>
      </w:r>
    </w:p>
    <w:p w14:paraId="5D00B5DF" w14:textId="787E464F" w:rsidR="009F1A47" w:rsidRPr="00FF42A7" w:rsidRDefault="00000000" w:rsidP="00146A0A">
      <w:pPr>
        <w:pStyle w:val="Tekstpodstawowy"/>
        <w:spacing w:line="237" w:lineRule="auto"/>
        <w:ind w:right="872" w:hanging="1"/>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8 </w:t>
      </w:r>
      <w:r w:rsidRPr="00FF42A7">
        <w:rPr>
          <w:color w:val="0071BB"/>
          <w:w w:val="120"/>
        </w:rPr>
        <w:t xml:space="preserve">(prawo do poszanowania życia prywatnego) </w:t>
      </w:r>
      <w:r w:rsidR="00367387" w:rsidRPr="00FF42A7">
        <w:rPr>
          <w:color w:val="0071BB"/>
          <w:w w:val="120"/>
        </w:rPr>
        <w:br/>
      </w:r>
      <w:r w:rsidRPr="00FF42A7">
        <w:rPr>
          <w:color w:val="0071BB"/>
          <w:w w:val="120"/>
        </w:rPr>
        <w:t>Konwencji w odniesieniu do skarżącego, stwierdzając, że nałożenie</w:t>
      </w:r>
      <w:r w:rsidRPr="00FF42A7">
        <w:rPr>
          <w:color w:val="0071BB"/>
          <w:spacing w:val="-5"/>
          <w:w w:val="120"/>
        </w:rPr>
        <w:t xml:space="preserve"> 300-dniowego</w:t>
      </w:r>
      <w:r w:rsidR="00367387" w:rsidRPr="00FF42A7">
        <w:rPr>
          <w:color w:val="0071BB"/>
          <w:spacing w:val="-5"/>
          <w:w w:val="120"/>
        </w:rPr>
        <w:t xml:space="preserve"> okresu -</w:t>
      </w:r>
      <w:r w:rsidRPr="00FF42A7">
        <w:rPr>
          <w:color w:val="0071BB"/>
          <w:w w:val="120"/>
        </w:rPr>
        <w:t xml:space="preserve">oczekiwania i wymóg przedstawienia zaświadczenia lekarskiego w celu skrócenia tego okresu nie służyły żadnej pilnej potrzebie społecznej, nie były proporcjonalne do uzasadnionych celów, które miały zostać osiągnięte, ani nie były uzasadnione wystarczającymi i istotnymi względami. Wynikająca z tego ingerencja w prawo skarżącej do poszanowania życia prywatnego nie była zatem konieczna w demokratycznym społeczeństwie. Trybunał stwierdził również, że doszło </w:t>
      </w:r>
      <w:r w:rsidRPr="00FF42A7">
        <w:rPr>
          <w:b/>
          <w:color w:val="0071BB"/>
          <w:w w:val="120"/>
        </w:rPr>
        <w:t xml:space="preserve">do naruszenia art. 14 </w:t>
      </w:r>
      <w:r w:rsidRPr="00FF42A7">
        <w:rPr>
          <w:bCs/>
          <w:color w:val="0071BB"/>
          <w:spacing w:val="80"/>
          <w:w w:val="120"/>
        </w:rPr>
        <w:t>(</w:t>
      </w:r>
      <w:r w:rsidRPr="00FF42A7">
        <w:rPr>
          <w:color w:val="0071BB"/>
          <w:w w:val="120"/>
        </w:rPr>
        <w:t xml:space="preserve">zakaz dyskryminacji) </w:t>
      </w:r>
      <w:r w:rsidRPr="00FF42A7">
        <w:rPr>
          <w:b/>
          <w:color w:val="0071BB"/>
          <w:w w:val="120"/>
        </w:rPr>
        <w:t>w związku z art</w:t>
      </w:r>
      <w:r w:rsidR="00367387" w:rsidRPr="00FF42A7">
        <w:rPr>
          <w:b/>
          <w:color w:val="0071BB"/>
          <w:w w:val="120"/>
        </w:rPr>
        <w:t>.</w:t>
      </w:r>
      <w:r w:rsidRPr="00FF42A7">
        <w:rPr>
          <w:b/>
          <w:color w:val="0071BB"/>
          <w:w w:val="120"/>
        </w:rPr>
        <w:t xml:space="preserve"> 12</w:t>
      </w:r>
      <w:r w:rsidRPr="00FF42A7">
        <w:rPr>
          <w:color w:val="0071BB"/>
          <w:w w:val="120"/>
        </w:rPr>
        <w:t xml:space="preserve"> (prawo</w:t>
      </w:r>
      <w:r w:rsidR="00B24F25" w:rsidRPr="00FF42A7">
        <w:rPr>
          <w:color w:val="0071BB"/>
          <w:w w:val="120"/>
        </w:rPr>
        <w:t xml:space="preserve"> </w:t>
      </w:r>
      <w:r w:rsidRPr="00FF42A7">
        <w:rPr>
          <w:color w:val="0071BB"/>
          <w:w w:val="120"/>
        </w:rPr>
        <w:t>do</w:t>
      </w:r>
      <w:r w:rsidR="008D0C52">
        <w:rPr>
          <w:color w:val="0071BB"/>
          <w:w w:val="120"/>
        </w:rPr>
        <w:t xml:space="preserve"> </w:t>
      </w:r>
      <w:r w:rsidRPr="00FF42A7">
        <w:rPr>
          <w:color w:val="0071BB"/>
          <w:w w:val="120"/>
        </w:rPr>
        <w:t>zawarcia</w:t>
      </w:r>
      <w:r w:rsidR="00B24F25" w:rsidRPr="00FF42A7">
        <w:rPr>
          <w:color w:val="0071BB"/>
          <w:w w:val="120"/>
        </w:rPr>
        <w:t xml:space="preserve"> </w:t>
      </w:r>
      <w:r w:rsidRPr="00FF42A7">
        <w:rPr>
          <w:color w:val="0071BB"/>
          <w:w w:val="120"/>
        </w:rPr>
        <w:t>małżeństwa)</w:t>
      </w:r>
      <w:r w:rsidR="00367387" w:rsidRPr="00FF42A7">
        <w:rPr>
          <w:color w:val="0071BB"/>
          <w:w w:val="120"/>
        </w:rPr>
        <w:t xml:space="preserve"> </w:t>
      </w:r>
      <w:r w:rsidRPr="00FF42A7">
        <w:rPr>
          <w:color w:val="0071BB"/>
          <w:w w:val="120"/>
        </w:rPr>
        <w:t xml:space="preserve">Konwencji w </w:t>
      </w:r>
      <w:r w:rsidRPr="00FF42A7">
        <w:rPr>
          <w:color w:val="0071BB"/>
          <w:spacing w:val="72"/>
          <w:w w:val="120"/>
        </w:rPr>
        <w:t xml:space="preserve">  </w:t>
      </w:r>
      <w:r w:rsidRPr="00FF42A7">
        <w:rPr>
          <w:color w:val="0071BB"/>
          <w:spacing w:val="40"/>
          <w:w w:val="120"/>
        </w:rPr>
        <w:t xml:space="preserve">  </w:t>
      </w:r>
      <w:r w:rsidRPr="00FF42A7">
        <w:rPr>
          <w:color w:val="0071BB"/>
          <w:w w:val="120"/>
        </w:rPr>
        <w:t xml:space="preserve"> niniejszej sprawie, uznając, że nierówne traktowanie, jakiego doświadczyła skarżąca ze względu na płeć, nie było ani konieczne, ani obiektywnie uzasadnione. W szczególności zauważył, że wymóg, aby rozwiedzione kobiety, ze względu na możliwość zajścia w ciążę, przestrzegały 300-dniowego okresu oczekiwania przed ponownym zawarciem małżeństwa, chyba że były w stanie udowodnić na podstawie badania lekarskiego, że nie są w ciąży, stanowił formę bezpośredniej dyskryminacji ze względu na płeć, której nie można było uzasadnić celem zapobiegania niepewności co do pochodzenia nienarodzonego dziecka. Trybunał sprecyzował ponadto, że cel zapobiegania „mieszaniu się linii krwi” – innymi słowy ustalenia biologicznego ojcostwa – wydaje się przestarzały w nowoczesnym społeczeństwie. Uznał, że nawet przy założeniu, iż celem okresu oczekiwania było zachowanie domniemania ojcostwa byłego męża w odniesieniu do każdego dziecka urodzonego w tym okresie, byłoby to zbędne, biorąc pod uwagę, że w obowiązującym systemie prawnym istnieją inne środki prawne umożliwiające uznanie i ustalenie ojcostwa. Wreszcie Trybunał uznał, że postępowanie przed Trybunałem Konstytucyjnym nie było nadmiernie długie i w związku z tym uznał skargę skarżącej na podstawie </w:t>
      </w:r>
      <w:r w:rsidRPr="00FF42A7">
        <w:rPr>
          <w:b/>
          <w:color w:val="0071BB"/>
          <w:w w:val="120"/>
        </w:rPr>
        <w:t>art</w:t>
      </w:r>
      <w:r w:rsidRPr="00FF42A7">
        <w:rPr>
          <w:b/>
          <w:color w:val="0071BB"/>
          <w:spacing w:val="40"/>
          <w:w w:val="120"/>
        </w:rPr>
        <w:t xml:space="preserve">. 6 </w:t>
      </w:r>
      <w:r w:rsidR="008D0C52">
        <w:rPr>
          <w:b/>
          <w:color w:val="0071BB"/>
          <w:w w:val="120"/>
        </w:rPr>
        <w:t>ust.</w:t>
      </w:r>
      <w:r w:rsidRPr="00FF42A7">
        <w:rPr>
          <w:b/>
          <w:color w:val="0071BB"/>
          <w:spacing w:val="40"/>
          <w:w w:val="120"/>
        </w:rPr>
        <w:t xml:space="preserve"> 1 </w:t>
      </w:r>
      <w:r w:rsidRPr="00FF42A7">
        <w:rPr>
          <w:bCs/>
          <w:color w:val="0071BB"/>
          <w:spacing w:val="40"/>
          <w:w w:val="120"/>
        </w:rPr>
        <w:t>(</w:t>
      </w:r>
      <w:r w:rsidRPr="00FF42A7">
        <w:rPr>
          <w:color w:val="0071BB"/>
          <w:w w:val="120"/>
        </w:rPr>
        <w:t>prawo do rzetelnego rozpatrzenia sprawy w rozsądnym terminie) Konwencji za oczywiście bezzasadną.</w:t>
      </w:r>
    </w:p>
    <w:p w14:paraId="7F4E04F3" w14:textId="77777777" w:rsidR="009F1A47" w:rsidRPr="00FF42A7" w:rsidRDefault="009F1A47">
      <w:pPr>
        <w:pStyle w:val="Tekstpodstawowy"/>
        <w:sectPr w:rsidR="009F1A47" w:rsidRPr="00FF42A7">
          <w:pgSz w:w="11910" w:h="16840"/>
          <w:pgMar w:top="1400" w:right="566" w:bottom="680" w:left="566" w:header="720" w:footer="497" w:gutter="0"/>
          <w:cols w:space="708"/>
        </w:sectPr>
      </w:pPr>
    </w:p>
    <w:p w14:paraId="6F20CF6B" w14:textId="77777777" w:rsidR="009F1A47" w:rsidRPr="00FF42A7" w:rsidRDefault="00000000">
      <w:pPr>
        <w:pStyle w:val="Nagwek1"/>
        <w:spacing w:before="309"/>
        <w:jc w:val="left"/>
      </w:pPr>
      <w:r w:rsidRPr="00FF42A7">
        <w:rPr>
          <w:noProof/>
        </w:rPr>
        <w:lastRenderedPageBreak/>
        <mc:AlternateContent>
          <mc:Choice Requires="wps">
            <w:drawing>
              <wp:anchor distT="0" distB="0" distL="0" distR="0" simplePos="0" relativeHeight="251676672" behindDoc="1" locked="0" layoutInCell="1" allowOverlap="1" wp14:anchorId="7891CD06" wp14:editId="0C734B14">
                <wp:simplePos x="0" y="0"/>
                <wp:positionH relativeFrom="page">
                  <wp:posOffset>896111</wp:posOffset>
                </wp:positionH>
                <wp:positionV relativeFrom="paragraph">
                  <wp:posOffset>451104</wp:posOffset>
                </wp:positionV>
                <wp:extent cx="5768340" cy="18415"/>
                <wp:effectExtent l="0" t="0" r="0" b="0"/>
                <wp:wrapTopAndBottom/>
                <wp:docPr id="32" name="Graphic 32"/>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D3B091B" id="Graphic 32" o:spid="_x0000_s1026" style="position:absolute;margin-left:70.55pt;margin-top:35.5pt;width:454.2pt;height:1.4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" path="m5768340,l,,,18288r5768340,l5768340,xe" fillcolor="#999" stroked="f">
                <v:path arrowok="t"/>
                <w10:wrap type="topAndBottom" anchorx="page"/>
              </v:shape>
            </w:pict>
          </mc:Fallback>
        </mc:AlternateContent>
      </w:r>
      <w:r w:rsidRPr="00FF42A7">
        <w:rPr>
          <w:color w:val="0071BB"/>
          <w:w w:val="120"/>
          <w:sz w:val="29"/>
        </w:rPr>
        <w:t xml:space="preserve">Ochrona </w:t>
      </w:r>
      <w:r w:rsidRPr="00FF42A7">
        <w:rPr>
          <w:color w:val="0071BB"/>
          <w:spacing w:val="-2"/>
          <w:w w:val="120"/>
          <w:sz w:val="29"/>
        </w:rPr>
        <w:t>mienia</w:t>
      </w:r>
    </w:p>
    <w:p w14:paraId="58C22080" w14:textId="77777777" w:rsidR="009F1A47" w:rsidRPr="00FF42A7" w:rsidRDefault="00000000">
      <w:pPr>
        <w:spacing w:before="199"/>
        <w:ind w:left="874"/>
        <w:rPr>
          <w:sz w:val="28"/>
        </w:rPr>
      </w:pPr>
      <w:r w:rsidRPr="00FF42A7">
        <w:rPr>
          <w:color w:val="808080"/>
          <w:spacing w:val="-2"/>
          <w:w w:val="120"/>
          <w:sz w:val="29"/>
        </w:rPr>
        <w:t xml:space="preserve">Zezwolenia </w:t>
      </w:r>
      <w:r w:rsidRPr="00FF42A7">
        <w:rPr>
          <w:color w:val="808080"/>
          <w:w w:val="120"/>
          <w:sz w:val="29"/>
        </w:rPr>
        <w:t>na podróż dla osób starszych</w:t>
      </w:r>
    </w:p>
    <w:p w14:paraId="2A65A63E" w14:textId="77777777" w:rsidR="009F1A47" w:rsidRPr="00FF42A7" w:rsidRDefault="009F1A47">
      <w:pPr>
        <w:pStyle w:val="Nagwek2"/>
        <w:spacing w:before="113"/>
        <w:rPr>
          <w:u w:val="none"/>
        </w:rPr>
      </w:pPr>
      <w:hyperlink r:id="rId83">
        <w:r w:rsidRPr="00FF42A7">
          <w:rPr>
            <w:color w:val="0071BB"/>
            <w:w w:val="130"/>
            <w:u w:color="0071BB"/>
          </w:rPr>
          <w:t xml:space="preserve">Michael </w:t>
        </w:r>
        <w:proofErr w:type="spellStart"/>
        <w:r w:rsidRPr="00FF42A7">
          <w:rPr>
            <w:color w:val="0071BB"/>
            <w:w w:val="130"/>
            <w:u w:color="0071BB"/>
          </w:rPr>
          <w:t>Matthews</w:t>
        </w:r>
        <w:proofErr w:type="spellEnd"/>
        <w:r w:rsidRPr="00FF42A7">
          <w:rPr>
            <w:color w:val="0071BB"/>
            <w:w w:val="130"/>
            <w:u w:color="0071BB"/>
          </w:rPr>
          <w:t xml:space="preserve"> przeciwko Zjednoczonemu </w:t>
        </w:r>
        <w:r w:rsidRPr="00FF42A7">
          <w:rPr>
            <w:color w:val="0071BB"/>
            <w:spacing w:val="-2"/>
            <w:w w:val="130"/>
            <w:u w:color="0071BB"/>
          </w:rPr>
          <w:t>Królestwu</w:t>
        </w:r>
      </w:hyperlink>
    </w:p>
    <w:p w14:paraId="18A766E7" w14:textId="77777777" w:rsidR="009F1A47" w:rsidRPr="00FF42A7" w:rsidRDefault="00000000">
      <w:pPr>
        <w:spacing w:before="56"/>
        <w:ind w:left="874"/>
        <w:jc w:val="both"/>
        <w:rPr>
          <w:sz w:val="18"/>
        </w:rPr>
      </w:pPr>
      <w:r w:rsidRPr="00FF42A7">
        <w:rPr>
          <w:color w:val="808080"/>
          <w:w w:val="125"/>
          <w:sz w:val="18"/>
        </w:rPr>
        <w:t>15 czerwca 2002</w:t>
      </w:r>
      <w:r w:rsidRPr="00FF42A7">
        <w:rPr>
          <w:color w:val="808080"/>
          <w:spacing w:val="3"/>
          <w:w w:val="125"/>
          <w:sz w:val="18"/>
        </w:rPr>
        <w:t xml:space="preserve"> r</w:t>
      </w:r>
      <w:r w:rsidRPr="00FF42A7">
        <w:rPr>
          <w:color w:val="808080"/>
          <w:w w:val="125"/>
          <w:sz w:val="18"/>
        </w:rPr>
        <w:t xml:space="preserve">. (skreślone z wykazu – polubowne </w:t>
      </w:r>
      <w:r w:rsidRPr="00FF42A7">
        <w:rPr>
          <w:color w:val="808080"/>
          <w:spacing w:val="-2"/>
          <w:w w:val="125"/>
          <w:sz w:val="18"/>
        </w:rPr>
        <w:t>rozstrzygnięcie)</w:t>
      </w:r>
    </w:p>
    <w:p w14:paraId="69235F3E" w14:textId="6D56B024" w:rsidR="009F1A47" w:rsidRPr="00FF42A7" w:rsidRDefault="00000000">
      <w:pPr>
        <w:pStyle w:val="Tekstpodstawowy"/>
        <w:spacing w:before="4"/>
        <w:ind w:right="871"/>
      </w:pPr>
      <w:r w:rsidRPr="00FF42A7">
        <w:rPr>
          <w:w w:val="120"/>
        </w:rPr>
        <w:t xml:space="preserve">W wieku 64 lat skarżący złożył w lokalnym urzędzie pocztowym wniosek o wydanie karty uprawniającej osoby starsze do bezpłatnych przejazdów większością środków transportu publicznego w aglomeracji londyńskiej. Wniosek został odrzucony, ponieważ zgodnie z obowiązującym wówczas prawem brytyjskim karta taka mogła być wydana wyłącznie mężczyznom w wieku 65 lat lub starszym, podczas gdy kobiety mogły ją otrzymać, z zastrzeżeniem przepisów lokalnych, w wieku 60 lat lub starszym. </w:t>
      </w:r>
      <w:r w:rsidR="00D616CB" w:rsidRPr="00FF42A7">
        <w:rPr>
          <w:w w:val="120"/>
        </w:rPr>
        <w:t xml:space="preserve">Skarżący </w:t>
      </w:r>
      <w:r w:rsidRPr="00FF42A7">
        <w:rPr>
          <w:w w:val="120"/>
        </w:rPr>
        <w:t>skarżył się na dyskryminację ze względu na płeć w odniesieniu do jego prawa własności.</w:t>
      </w:r>
    </w:p>
    <w:p w14:paraId="0D09B7A0" w14:textId="54460298" w:rsidR="009F1A47" w:rsidRPr="00FF42A7" w:rsidRDefault="00B24F25">
      <w:pPr>
        <w:pStyle w:val="Tekstpodstawowy"/>
        <w:spacing w:line="237" w:lineRule="auto"/>
        <w:ind w:left="873" w:right="874"/>
      </w:pPr>
      <w:r w:rsidRPr="00FF42A7">
        <w:rPr>
          <w:color w:val="0071BB"/>
          <w:w w:val="120"/>
        </w:rPr>
        <w:t xml:space="preserve">Trybunał, po formalnym odnotowaniu </w:t>
      </w:r>
      <w:r w:rsidRPr="00FF42A7">
        <w:rPr>
          <w:b/>
          <w:color w:val="0071BB"/>
          <w:w w:val="120"/>
        </w:rPr>
        <w:t xml:space="preserve">polubownego rozstrzygnięcia </w:t>
      </w:r>
      <w:r w:rsidRPr="00FF42A7">
        <w:rPr>
          <w:color w:val="0071BB"/>
          <w:w w:val="120"/>
        </w:rPr>
        <w:t xml:space="preserve">(art. 39 Konwencji) osiągniętego przez rząd Zjednoczonego Królestwa i skarżącego oraz po upewnieniu się, że rozstrzygnięcie to opiera się na poszanowaniu praw człowieka określonych w Konwencji lub </w:t>
      </w:r>
      <w:r w:rsidR="008D1ED9" w:rsidRPr="00FF42A7">
        <w:rPr>
          <w:color w:val="0071BB"/>
          <w:w w:val="120"/>
        </w:rPr>
        <w:t>P</w:t>
      </w:r>
      <w:r w:rsidRPr="00FF42A7">
        <w:rPr>
          <w:color w:val="0071BB"/>
          <w:w w:val="120"/>
        </w:rPr>
        <w:t xml:space="preserve">rotokołach do niej, postanowił </w:t>
      </w:r>
      <w:r w:rsidRPr="00FF42A7">
        <w:rPr>
          <w:b/>
          <w:color w:val="0071BB"/>
          <w:w w:val="120"/>
        </w:rPr>
        <w:t xml:space="preserve">wykreślić </w:t>
      </w:r>
      <w:r w:rsidRPr="00FF42A7">
        <w:rPr>
          <w:color w:val="0071BB"/>
          <w:w w:val="120"/>
        </w:rPr>
        <w:t>sprawę z listy spraw do rozpatrzenia.</w:t>
      </w:r>
    </w:p>
    <w:p w14:paraId="48D63065" w14:textId="77777777" w:rsidR="009F1A47" w:rsidRPr="00FF42A7" w:rsidRDefault="00000000" w:rsidP="00146A0A">
      <w:pPr>
        <w:pStyle w:val="Nagwek1"/>
        <w:spacing w:before="243"/>
        <w:ind w:left="873" w:right="868"/>
        <w:jc w:val="left"/>
      </w:pPr>
      <w:r w:rsidRPr="00FF42A7">
        <w:rPr>
          <w:color w:val="808080"/>
          <w:w w:val="120"/>
          <w:sz w:val="29"/>
        </w:rPr>
        <w:t xml:space="preserve">Prawo do karty uchodźcy (a tym samym do </w:t>
      </w:r>
      <w:r w:rsidRPr="00FF42A7">
        <w:rPr>
          <w:color w:val="808080"/>
          <w:spacing w:val="-2"/>
          <w:w w:val="120"/>
          <w:sz w:val="29"/>
        </w:rPr>
        <w:t xml:space="preserve">pomocy </w:t>
      </w:r>
      <w:r w:rsidRPr="00FF42A7">
        <w:rPr>
          <w:color w:val="808080"/>
          <w:w w:val="120"/>
          <w:sz w:val="29"/>
        </w:rPr>
        <w:t>mieszkaniowej</w:t>
      </w:r>
      <w:r w:rsidRPr="00FF42A7">
        <w:rPr>
          <w:color w:val="808080"/>
          <w:spacing w:val="-2"/>
          <w:w w:val="120"/>
          <w:sz w:val="29"/>
        </w:rPr>
        <w:t>)</w:t>
      </w:r>
    </w:p>
    <w:p w14:paraId="5C0B602A" w14:textId="77777777" w:rsidR="009F1A47" w:rsidRPr="00FF42A7" w:rsidRDefault="009F1A47">
      <w:pPr>
        <w:pStyle w:val="Nagwek2"/>
        <w:spacing w:before="111"/>
        <w:rPr>
          <w:u w:val="none"/>
        </w:rPr>
      </w:pPr>
      <w:hyperlink r:id="rId84">
        <w:proofErr w:type="spellStart"/>
        <w:r w:rsidRPr="00FF42A7">
          <w:rPr>
            <w:color w:val="0071BB"/>
            <w:w w:val="135"/>
            <w:u w:color="0071BB"/>
          </w:rPr>
          <w:t>Vrountou</w:t>
        </w:r>
        <w:proofErr w:type="spellEnd"/>
        <w:r w:rsidRPr="00FF42A7">
          <w:rPr>
            <w:color w:val="0071BB"/>
            <w:w w:val="135"/>
            <w:u w:color="0071BB"/>
          </w:rPr>
          <w:t xml:space="preserve"> przeciwko </w:t>
        </w:r>
        <w:r w:rsidRPr="00FF42A7">
          <w:rPr>
            <w:color w:val="0071BB"/>
            <w:spacing w:val="-2"/>
            <w:w w:val="135"/>
            <w:u w:color="0071BB"/>
          </w:rPr>
          <w:t>Cyprowi</w:t>
        </w:r>
      </w:hyperlink>
    </w:p>
    <w:p w14:paraId="3B75246B" w14:textId="5517F03C" w:rsidR="009F1A47" w:rsidRPr="00FF42A7" w:rsidRDefault="00000000">
      <w:pPr>
        <w:spacing w:before="58"/>
        <w:ind w:left="874"/>
        <w:jc w:val="both"/>
        <w:rPr>
          <w:sz w:val="18"/>
        </w:rPr>
      </w:pPr>
      <w:r w:rsidRPr="00FF42A7">
        <w:rPr>
          <w:color w:val="808080"/>
          <w:w w:val="120"/>
          <w:sz w:val="18"/>
        </w:rPr>
        <w:t>13 października</w:t>
      </w:r>
      <w:r w:rsidRPr="00FF42A7">
        <w:rPr>
          <w:color w:val="808080"/>
          <w:spacing w:val="-4"/>
          <w:w w:val="120"/>
          <w:sz w:val="18"/>
        </w:rPr>
        <w:t xml:space="preserve"> 2015</w:t>
      </w:r>
      <w:r w:rsidR="00367387" w:rsidRPr="00FF42A7">
        <w:rPr>
          <w:color w:val="808080"/>
          <w:spacing w:val="-4"/>
          <w:w w:val="120"/>
          <w:sz w:val="18"/>
        </w:rPr>
        <w:t xml:space="preserve"> r.</w:t>
      </w:r>
    </w:p>
    <w:p w14:paraId="1802EBB3" w14:textId="1CDE5717" w:rsidR="009F1A47" w:rsidRPr="00FF42A7" w:rsidRDefault="00367387">
      <w:pPr>
        <w:pStyle w:val="Tekstpodstawowy"/>
        <w:spacing w:before="1"/>
        <w:ind w:right="868"/>
      </w:pPr>
      <w:r w:rsidRPr="00FF42A7">
        <w:rPr>
          <w:w w:val="120"/>
        </w:rPr>
        <w:t>Skarżąca skarżyła się na odmowę wydania jej karty uchodźcy przez władze, twierdząc, że oznaczało to pozbawienie jej szeregu świadczeń, w tym pomocy mieszkaniowej. Twierdziła również, że odmowa wydania jej karty uchodźcy na podstawie tego, że była dzieckiem wysiedlonej kobiety, a nie wysiedlonego mężczyzny, stanowiła dyskryminację ze względu na płeć oraz że żadna władza na Cyprze, w tym sądy, nie zbadała zasadności jej skargi. Po złożeniu skargi do Europejskiego Trybunału Sprawiedliwości zmieniono program wprowadzony w 1974 r. dla ofiar wojny i osób wysiedlonych z terenów okupowanych przez tureckie siły zbrojne lub ewakuowanych w celu zaspokojenia potrzeb Gwardii Narodowej, tak że od 2013 r. dzieci wysiedlonych kobiet uzyskały prawo do pomocy mieszkaniowej na takich samych zasadach jak dzieci wysiedlonych mężczyzn.</w:t>
      </w:r>
    </w:p>
    <w:p w14:paraId="4318E8CD" w14:textId="50EDF131" w:rsidR="009F1A47" w:rsidRPr="00FF42A7" w:rsidRDefault="00000000">
      <w:pPr>
        <w:pStyle w:val="Tekstpodstawowy"/>
        <w:ind w:right="869"/>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008D1ED9" w:rsidRPr="00FF42A7">
        <w:rPr>
          <w:b/>
          <w:color w:val="0071BB"/>
          <w:w w:val="120"/>
        </w:rPr>
        <w:t>P</w:t>
      </w:r>
      <w:r w:rsidRPr="00FF42A7">
        <w:rPr>
          <w:b/>
          <w:color w:val="0071BB"/>
          <w:w w:val="120"/>
        </w:rPr>
        <w:t xml:space="preserve">rotokołu nr 1 </w:t>
      </w:r>
      <w:r w:rsidRPr="00FF42A7">
        <w:rPr>
          <w:color w:val="0071BB"/>
          <w:w w:val="120"/>
        </w:rPr>
        <w:t xml:space="preserve">do Konwencji. W pierwszej kolejności stwierdził istnienie różnicy w traktowaniu ze względu na płeć, wynikającej z faktu, że dzieci mężczyzn przesiedlonych, uprawnione do otrzymania karty uchodźcy (a tym samym do pomocy mieszkaniowej), były traktowane w sposób preferencyjny w stosunku do dzieci kobiet przesiedlonych. Jeśli chodzi o to, czy istniało </w:t>
      </w:r>
      <w:r w:rsidR="00E427CF" w:rsidRPr="00FF42A7">
        <w:rPr>
          <w:color w:val="0071BB"/>
          <w:w w:val="120"/>
        </w:rPr>
        <w:t xml:space="preserve">racjonalne </w:t>
      </w:r>
      <w:r w:rsidRPr="00FF42A7">
        <w:rPr>
          <w:color w:val="0071BB"/>
          <w:w w:val="120"/>
        </w:rPr>
        <w:t xml:space="preserve">i obiektywne uzasadnienie dla tego różnego traktowania, głównym argumentem przedstawionym przez rząd były różnice społeczno-ekonomiczne między kobietami i mężczyznami, które rzekomo istniały na Cyprze w momencie wprowadzenia programu. Trybunał przypomniał jednak, że tego rodzaju odniesienie do „tradycji, ogólnych założeń lub panujących postaw społecznych” nie stanowi wystarczającego uzasadnienia dla różnego traktowania ze względu na płeć. W odniesieniu do marginesu uznania, jakim rzekomo dysponowało </w:t>
      </w:r>
      <w:r w:rsidR="00E839B8" w:rsidRPr="00FF42A7">
        <w:rPr>
          <w:color w:val="0071BB"/>
          <w:w w:val="120"/>
        </w:rPr>
        <w:t>P</w:t>
      </w:r>
      <w:r w:rsidRPr="00FF42A7">
        <w:rPr>
          <w:color w:val="0071BB"/>
          <w:w w:val="120"/>
        </w:rPr>
        <w:t xml:space="preserve">aństwo przy wyborze terminu i sposobu rozszerzenia programu z 1974 r. na dzieci wysiedlonych kobiet, Trybunał zauważył, że program ten przez prawie czterdzieści lat wykluczał dzieci wysiedlonych kobiet. Same względy budżetowe nie mogły uzasadniać takiego różnego traktowania opartego wyłącznie na płci, zwłaszcza że kolejne rozszerzenia programu w latach 1974–2013 miały same w sobie konsekwencje finansowe. Ponadto fakt, że program funkcjonował tak długo i nadal opierał się wyłącznie na tradycyjnych rolach rodzinnych rozumianych w 1974 r., oznaczał, że </w:t>
      </w:r>
      <w:r w:rsidR="00E839B8" w:rsidRPr="00FF42A7">
        <w:rPr>
          <w:color w:val="0071BB"/>
          <w:w w:val="120"/>
        </w:rPr>
        <w:t>P</w:t>
      </w:r>
      <w:r w:rsidRPr="00FF42A7">
        <w:rPr>
          <w:color w:val="0071BB"/>
          <w:w w:val="120"/>
        </w:rPr>
        <w:t>aństwo przekroczyło wszelką swobodę uznania, jaką miało w tej dziedzinie. Do uzasadnienia tak długotrwałego różnego traktowania potrzebne byłyby bardzo ważkie powody. Nie wykazano jednak istnienia takich powodów. W związku z tym nie istniał</w:t>
      </w:r>
      <w:r w:rsidR="00905A78" w:rsidRPr="00FF42A7">
        <w:rPr>
          <w:color w:val="0071BB"/>
          <w:w w:val="120"/>
        </w:rPr>
        <w:t xml:space="preserve">o </w:t>
      </w:r>
      <w:r w:rsidRPr="00FF42A7">
        <w:rPr>
          <w:color w:val="0071BB"/>
          <w:w w:val="120"/>
        </w:rPr>
        <w:t xml:space="preserve">żadne </w:t>
      </w:r>
    </w:p>
    <w:p w14:paraId="2DA7D1D9" w14:textId="77777777" w:rsidR="009F1A47" w:rsidRPr="00FF42A7" w:rsidRDefault="009F1A47">
      <w:pPr>
        <w:pStyle w:val="Tekstpodstawowy"/>
        <w:sectPr w:rsidR="009F1A47" w:rsidRPr="00FF42A7">
          <w:pgSz w:w="11910" w:h="16840"/>
          <w:pgMar w:top="1400" w:right="566" w:bottom="680" w:left="566" w:header="720" w:footer="497" w:gutter="0"/>
          <w:cols w:space="708"/>
        </w:sectPr>
      </w:pPr>
    </w:p>
    <w:p w14:paraId="1A2A2F5A" w14:textId="77777777" w:rsidR="009F1A47" w:rsidRPr="00FF42A7" w:rsidRDefault="009F1A47">
      <w:pPr>
        <w:pStyle w:val="Tekstpodstawowy"/>
        <w:spacing w:before="59"/>
        <w:ind w:left="0"/>
        <w:jc w:val="left"/>
      </w:pPr>
    </w:p>
    <w:p w14:paraId="5F67480A" w14:textId="2F8D7CAF" w:rsidR="009F1A47" w:rsidRPr="00FF42A7" w:rsidRDefault="00905A78">
      <w:pPr>
        <w:pStyle w:val="Tekstpodstawowy"/>
        <w:spacing w:before="1"/>
        <w:ind w:left="873" w:right="872"/>
      </w:pPr>
      <w:r w:rsidRPr="00FF42A7">
        <w:rPr>
          <w:color w:val="0071BB"/>
          <w:w w:val="120"/>
        </w:rPr>
        <w:t>o</w:t>
      </w:r>
      <w:r w:rsidR="00367387" w:rsidRPr="00FF42A7">
        <w:rPr>
          <w:color w:val="0071BB"/>
          <w:w w:val="120"/>
        </w:rPr>
        <w:t>biektywne</w:t>
      </w:r>
      <w:r w:rsidRPr="00FF42A7">
        <w:rPr>
          <w:color w:val="0071BB"/>
          <w:w w:val="120"/>
        </w:rPr>
        <w:t xml:space="preserve"> i </w:t>
      </w:r>
      <w:r w:rsidR="00460BF2" w:rsidRPr="00FF42A7">
        <w:rPr>
          <w:color w:val="0071BB"/>
          <w:w w:val="120"/>
        </w:rPr>
        <w:t xml:space="preserve">rozsądne </w:t>
      </w:r>
      <w:r w:rsidR="00367387" w:rsidRPr="00FF42A7">
        <w:rPr>
          <w:color w:val="0071BB"/>
          <w:w w:val="120"/>
        </w:rPr>
        <w:t xml:space="preserve">uzasadnienie </w:t>
      </w:r>
      <w:r w:rsidR="00460BF2" w:rsidRPr="00FF42A7">
        <w:rPr>
          <w:color w:val="0071BB"/>
          <w:w w:val="120"/>
        </w:rPr>
        <w:t xml:space="preserve">dla </w:t>
      </w:r>
      <w:r w:rsidR="00367387" w:rsidRPr="00FF42A7">
        <w:rPr>
          <w:color w:val="0071BB"/>
          <w:w w:val="120"/>
        </w:rPr>
        <w:t xml:space="preserve">różnicy w traktowaniu. Trybunał stwierdził również </w:t>
      </w:r>
      <w:r w:rsidR="00367387" w:rsidRPr="00FF42A7">
        <w:rPr>
          <w:b/>
          <w:color w:val="0071BB"/>
          <w:w w:val="120"/>
        </w:rPr>
        <w:t xml:space="preserve">naruszenie art. 13 </w:t>
      </w:r>
      <w:r w:rsidR="00367387" w:rsidRPr="00FF42A7">
        <w:rPr>
          <w:color w:val="0071BB"/>
          <w:w w:val="120"/>
        </w:rPr>
        <w:t>(prawo do skutecznego środka odwoławczego) Konwencji ze względu na brak skutecznych środków odwoławczych w momencie rozpatrywania sprawy, które umożliwiłyby skarżącemu zakwestionowanie dyskryminacyjnego charakteru systemu.</w:t>
      </w:r>
    </w:p>
    <w:p w14:paraId="18439841" w14:textId="77777777" w:rsidR="009F1A47" w:rsidRPr="00FF42A7" w:rsidRDefault="00000000">
      <w:pPr>
        <w:pStyle w:val="Nagwek1"/>
        <w:spacing w:before="240"/>
      </w:pPr>
      <w:r w:rsidRPr="00FF42A7">
        <w:rPr>
          <w:color w:val="808080"/>
          <w:w w:val="120"/>
          <w:sz w:val="29"/>
        </w:rPr>
        <w:t xml:space="preserve">Prawo do </w:t>
      </w:r>
      <w:r w:rsidRPr="00FF42A7">
        <w:rPr>
          <w:color w:val="808080"/>
          <w:spacing w:val="-2"/>
          <w:w w:val="120"/>
          <w:sz w:val="29"/>
        </w:rPr>
        <w:t xml:space="preserve">świadczeń </w:t>
      </w:r>
      <w:r w:rsidRPr="00FF42A7">
        <w:rPr>
          <w:color w:val="808080"/>
          <w:w w:val="120"/>
          <w:sz w:val="29"/>
        </w:rPr>
        <w:t>z zabezpieczenia społecznego</w:t>
      </w:r>
    </w:p>
    <w:p w14:paraId="7434A950" w14:textId="77777777" w:rsidR="009F1A47" w:rsidRPr="00FF42A7" w:rsidRDefault="009F1A47">
      <w:pPr>
        <w:pStyle w:val="Nagwek2"/>
        <w:rPr>
          <w:u w:val="none"/>
        </w:rPr>
      </w:pPr>
      <w:hyperlink r:id="rId85">
        <w:r w:rsidRPr="00FF42A7">
          <w:rPr>
            <w:color w:val="0071BB"/>
            <w:w w:val="135"/>
            <w:u w:color="0071BB"/>
          </w:rPr>
          <w:t xml:space="preserve">Stec przeciwko Zjednoczonemu </w:t>
        </w:r>
        <w:r w:rsidRPr="00FF42A7">
          <w:rPr>
            <w:color w:val="0071BB"/>
            <w:spacing w:val="-2"/>
            <w:w w:val="135"/>
            <w:u w:color="0071BB"/>
          </w:rPr>
          <w:t>Królestwu</w:t>
        </w:r>
      </w:hyperlink>
    </w:p>
    <w:p w14:paraId="235048A4" w14:textId="6F055486" w:rsidR="009F1A47" w:rsidRPr="00FF42A7" w:rsidRDefault="00000000">
      <w:pPr>
        <w:spacing w:before="56"/>
        <w:ind w:left="874"/>
        <w:jc w:val="both"/>
        <w:rPr>
          <w:sz w:val="18"/>
        </w:rPr>
      </w:pPr>
      <w:r w:rsidRPr="00FF42A7">
        <w:rPr>
          <w:color w:val="808080"/>
          <w:w w:val="125"/>
          <w:sz w:val="18"/>
        </w:rPr>
        <w:t>12 kwietnia 2006 r. (</w:t>
      </w:r>
      <w:r w:rsidR="00367387" w:rsidRPr="00FF42A7">
        <w:rPr>
          <w:color w:val="808080"/>
          <w:w w:val="125"/>
          <w:sz w:val="18"/>
        </w:rPr>
        <w:t>W</w:t>
      </w:r>
      <w:r w:rsidRPr="00FF42A7">
        <w:rPr>
          <w:color w:val="808080"/>
          <w:w w:val="125"/>
          <w:sz w:val="18"/>
        </w:rPr>
        <w:t xml:space="preserve">ielka </w:t>
      </w:r>
      <w:r w:rsidR="00367387" w:rsidRPr="00FF42A7">
        <w:rPr>
          <w:color w:val="808080"/>
          <w:spacing w:val="-2"/>
          <w:w w:val="125"/>
          <w:sz w:val="18"/>
        </w:rPr>
        <w:t>I</w:t>
      </w:r>
      <w:r w:rsidRPr="00FF42A7">
        <w:rPr>
          <w:color w:val="808080"/>
          <w:spacing w:val="-2"/>
          <w:w w:val="125"/>
          <w:sz w:val="18"/>
        </w:rPr>
        <w:t>zba)</w:t>
      </w:r>
    </w:p>
    <w:p w14:paraId="59FF88AE" w14:textId="534AD02C" w:rsidR="009F1A47" w:rsidRPr="00FF42A7" w:rsidRDefault="00000000">
      <w:pPr>
        <w:pStyle w:val="Tekstpodstawowy"/>
        <w:spacing w:before="3" w:line="237" w:lineRule="auto"/>
        <w:ind w:left="873" w:right="873"/>
      </w:pPr>
      <w:r w:rsidRPr="00FF42A7">
        <w:rPr>
          <w:w w:val="120"/>
        </w:rPr>
        <w:t xml:space="preserve">W niniejszej sprawie skarżący, dwóch mężczyzn i dwie kobiety, zarzucili, że </w:t>
      </w:r>
      <w:r w:rsidR="00F92156" w:rsidRPr="00FF42A7">
        <w:rPr>
          <w:w w:val="120"/>
        </w:rPr>
        <w:t xml:space="preserve">byli </w:t>
      </w:r>
      <w:r w:rsidRPr="00FF42A7">
        <w:rPr>
          <w:w w:val="120"/>
        </w:rPr>
        <w:t>dyskryminowani ze względu na płeć w zakresie uprawnień do zasiłku z tytułu obniżenia zarobków</w:t>
      </w:r>
      <w:hyperlink w:anchor="_bookmark7" w:history="1">
        <w:r w:rsidR="009F1A47" w:rsidRPr="00FF42A7">
          <w:rPr>
            <w:w w:val="120"/>
            <w:position w:val="7"/>
            <w:sz w:val="13"/>
          </w:rPr>
          <w:t>8</w:t>
        </w:r>
      </w:hyperlink>
      <w:r w:rsidR="00D17361" w:rsidRPr="00FF42A7">
        <w:t xml:space="preserve"> </w:t>
      </w:r>
      <w:r w:rsidRPr="00FF42A7">
        <w:rPr>
          <w:w w:val="120"/>
        </w:rPr>
        <w:t>(</w:t>
      </w:r>
      <w:r w:rsidRPr="00FF42A7">
        <w:rPr>
          <w:i/>
          <w:iCs/>
          <w:w w:val="120"/>
        </w:rPr>
        <w:t>REA</w:t>
      </w:r>
      <w:r w:rsidRPr="00FF42A7">
        <w:rPr>
          <w:w w:val="120"/>
        </w:rPr>
        <w:t xml:space="preserve">) w wyniku zmian w systemie </w:t>
      </w:r>
      <w:r w:rsidRPr="00FF42A7">
        <w:rPr>
          <w:i/>
          <w:iCs/>
          <w:w w:val="120"/>
        </w:rPr>
        <w:t>REA</w:t>
      </w:r>
      <w:r w:rsidR="00367387" w:rsidRPr="00FF42A7">
        <w:rPr>
          <w:i/>
          <w:iCs/>
          <w:w w:val="120"/>
        </w:rPr>
        <w:t xml:space="preserve">, </w:t>
      </w:r>
      <w:r w:rsidRPr="00FF42A7">
        <w:rPr>
          <w:w w:val="120"/>
        </w:rPr>
        <w:t>które powiązały go z wiekiem uprawniającym do emerytury państwowej</w:t>
      </w:r>
      <w:hyperlink w:anchor="_bookmark8" w:history="1">
        <w:r w:rsidR="009F1A47" w:rsidRPr="00FF42A7">
          <w:rPr>
            <w:w w:val="120"/>
            <w:position w:val="7"/>
            <w:sz w:val="13"/>
          </w:rPr>
          <w:t>9</w:t>
        </w:r>
      </w:hyperlink>
      <w:r w:rsidRPr="00FF42A7">
        <w:rPr>
          <w:w w:val="120"/>
        </w:rPr>
        <w:t>. W przypadku wszystkich skarżących spowodowało to w różny sposób spadek dochodów, którego uniknęliby, gdyby byli płci przeciwnej i w związku z tym podlegali innemu wiekowi emerytalnemu.</w:t>
      </w:r>
    </w:p>
    <w:p w14:paraId="3B2B5187" w14:textId="5A8A63FB" w:rsidR="009F1A47" w:rsidRPr="00FF42A7" w:rsidRDefault="00000000">
      <w:pPr>
        <w:pStyle w:val="Tekstpodstawowy"/>
        <w:ind w:left="873" w:right="870"/>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Pr="00FF42A7">
        <w:rPr>
          <w:b/>
          <w:color w:val="0071BB"/>
          <w:w w:val="120"/>
        </w:rPr>
        <w:t xml:space="preserve">Protokołu nr </w:t>
      </w:r>
      <w:r w:rsidR="00D37FA3" w:rsidRPr="00FF42A7">
        <w:rPr>
          <w:b/>
          <w:color w:val="0071BB"/>
          <w:w w:val="120"/>
        </w:rPr>
        <w:t xml:space="preserve">1. </w:t>
      </w:r>
      <w:r w:rsidRPr="00FF42A7">
        <w:rPr>
          <w:color w:val="0071BB"/>
          <w:w w:val="120"/>
        </w:rPr>
        <w:t xml:space="preserve">Stwierdził, że różnica w wieku emerytalnym mężczyzn i kobiet w Zjednoczonym Królestwie miała pierwotnie na celu wyrównanie niekorzystnej sytuacji ekonomicznej kobiet. Była ona nadal racjonalnie i obiektywnie uzasadniona z tego powodu do czasu, gdy zmiany społeczne i gospodarcze zniwelowały potrzebę specjalnego traktowania kobiet. Decyzje rządu Zjednoczonego Królestwa dotyczące dokładnego terminu i sposobu usunięcia nierówności nie były w sposób oczywisty nieuzasadnione. Podobnie decyzja o powiązaniu uprawnień do </w:t>
      </w:r>
      <w:r w:rsidRPr="00FF42A7">
        <w:rPr>
          <w:i/>
          <w:iCs/>
          <w:color w:val="0071BB"/>
          <w:w w:val="120"/>
        </w:rPr>
        <w:t>REA</w:t>
      </w:r>
      <w:r w:rsidRPr="00FF42A7">
        <w:rPr>
          <w:color w:val="0071BB"/>
          <w:w w:val="120"/>
        </w:rPr>
        <w:t xml:space="preserve"> z systemem emerytalnym była racjonalnie i obiektywnie uzasadniona, biorąc pod uwagę, że świadczenie to miało na celu zrekompensowanie zmniejszonej zdolności do zarobkowania w okresie życia zawodowego.</w:t>
      </w:r>
    </w:p>
    <w:p w14:paraId="07E38B7A" w14:textId="77777777" w:rsidR="009F1A47" w:rsidRPr="00FF42A7" w:rsidRDefault="009F1A47">
      <w:pPr>
        <w:pStyle w:val="Nagwek2"/>
        <w:spacing w:before="108"/>
        <w:ind w:right="876" w:hanging="1"/>
        <w:rPr>
          <w:u w:val="none"/>
        </w:rPr>
      </w:pPr>
      <w:hyperlink r:id="rId86">
        <w:r w:rsidRPr="00FF42A7">
          <w:rPr>
            <w:color w:val="0071BB"/>
            <w:w w:val="135"/>
            <w:u w:color="0071BB"/>
          </w:rPr>
          <w:t>Barrow przeciwko Zjednoczonemu Królestwu</w:t>
        </w:r>
      </w:hyperlink>
      <w:r w:rsidRPr="00FF42A7">
        <w:rPr>
          <w:color w:val="0071BB"/>
          <w:w w:val="135"/>
          <w:u w:val="none"/>
        </w:rPr>
        <w:t xml:space="preserve">, </w:t>
      </w:r>
      <w:hyperlink r:id="rId87">
        <w:r w:rsidRPr="00FF42A7">
          <w:rPr>
            <w:color w:val="0071BB"/>
            <w:w w:val="135"/>
            <w:u w:color="0071BB"/>
          </w:rPr>
          <w:t>Pearson przeciwko Zjednoczonemu Królestwu</w:t>
        </w:r>
      </w:hyperlink>
      <w:r w:rsidRPr="00FF42A7">
        <w:rPr>
          <w:color w:val="0071BB"/>
          <w:w w:val="135"/>
          <w:u w:val="none"/>
        </w:rPr>
        <w:t xml:space="preserve"> i </w:t>
      </w:r>
      <w:hyperlink r:id="rId88">
        <w:r w:rsidRPr="00FF42A7">
          <w:rPr>
            <w:color w:val="0071BB"/>
            <w:w w:val="135"/>
            <w:u w:color="0071BB"/>
          </w:rPr>
          <w:t xml:space="preserve">Walker przeciwko </w:t>
        </w:r>
      </w:hyperlink>
      <w:hyperlink r:id="rId89">
        <w:r w:rsidRPr="00FF42A7">
          <w:rPr>
            <w:color w:val="0071BB"/>
            <w:w w:val="135"/>
            <w:u w:color="0071BB"/>
          </w:rPr>
          <w:t>Zjednoczonemu Królestwu</w:t>
        </w:r>
      </w:hyperlink>
    </w:p>
    <w:p w14:paraId="3F6A7C38" w14:textId="14C944D9" w:rsidR="009F1A47" w:rsidRPr="00FF42A7" w:rsidRDefault="00000000">
      <w:pPr>
        <w:spacing w:before="54"/>
        <w:ind w:left="874"/>
        <w:jc w:val="both"/>
        <w:rPr>
          <w:sz w:val="18"/>
        </w:rPr>
      </w:pPr>
      <w:r w:rsidRPr="00FF42A7">
        <w:rPr>
          <w:color w:val="808080"/>
          <w:w w:val="125"/>
          <w:sz w:val="18"/>
        </w:rPr>
        <w:t>22 sierpnia</w:t>
      </w:r>
      <w:r w:rsidRPr="00FF42A7">
        <w:rPr>
          <w:color w:val="808080"/>
          <w:spacing w:val="-4"/>
          <w:w w:val="125"/>
          <w:sz w:val="18"/>
        </w:rPr>
        <w:t xml:space="preserve"> 2006</w:t>
      </w:r>
      <w:r w:rsidR="00D37FA3" w:rsidRPr="00FF42A7">
        <w:rPr>
          <w:color w:val="808080"/>
          <w:spacing w:val="-4"/>
          <w:w w:val="125"/>
          <w:sz w:val="18"/>
        </w:rPr>
        <w:t xml:space="preserve"> r.</w:t>
      </w:r>
    </w:p>
    <w:p w14:paraId="732C5352" w14:textId="77777777" w:rsidR="009F1A47" w:rsidRPr="00FF42A7" w:rsidRDefault="00000000">
      <w:pPr>
        <w:pStyle w:val="Tekstpodstawowy"/>
        <w:spacing w:before="1"/>
        <w:ind w:left="873" w:right="870"/>
      </w:pPr>
      <w:r w:rsidRPr="00FF42A7">
        <w:rPr>
          <w:w w:val="120"/>
        </w:rPr>
        <w:t>W pierwszej sprawie skarżąca twierdziła, że jej renta inwalidzka została wstrzymana po osiągnięciu przez nią wieku 60 lat, podczas gdy mężczyzna w takiej samej sytuacji otrzymywałby tę rentę do ukończenia 65 roku życia. Podczas gdy kobiety mogły ubiegać się o emeryturę państwową w wieku 60 lat i były zwolnione ze składek na ubezpieczenie społeczne, jeśli kontynuowały pracę, skarżący w drugiej sprawie skarżył się, że nie mógł pobierać emerytury państwowej do ukończenia 65 roku życia, a skarżący w trzeciej sprawie skarżył się, że był zobowiązany do opłacania składek na ubezpieczenie społeczne po ukończeniu 60 roku życia.</w:t>
      </w:r>
    </w:p>
    <w:p w14:paraId="06856EF9" w14:textId="477B4F7A" w:rsidR="009F1A47" w:rsidRPr="00FF42A7" w:rsidRDefault="00000000">
      <w:pPr>
        <w:pStyle w:val="Tekstpodstawowy"/>
        <w:ind w:left="873" w:right="872"/>
      </w:pPr>
      <w:r w:rsidRPr="00FF42A7">
        <w:rPr>
          <w:color w:val="0071BB"/>
          <w:w w:val="120"/>
        </w:rPr>
        <w:t xml:space="preserve">Trybunał uznał, że w żadnej z trzech spraw </w:t>
      </w:r>
      <w:r w:rsidRPr="00FF42A7">
        <w:rPr>
          <w:b/>
          <w:color w:val="0071BB"/>
          <w:w w:val="120"/>
        </w:rPr>
        <w:t>nie</w:t>
      </w:r>
      <w:r w:rsidRPr="00FF42A7">
        <w:rPr>
          <w:color w:val="0071BB"/>
          <w:w w:val="120"/>
        </w:rPr>
        <w:t xml:space="preserve"> 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008D1ED9" w:rsidRPr="00FF42A7">
        <w:rPr>
          <w:b/>
          <w:bCs/>
          <w:color w:val="0071BB"/>
          <w:w w:val="120"/>
        </w:rPr>
        <w:t>P</w:t>
      </w:r>
      <w:r w:rsidRPr="00FF42A7">
        <w:rPr>
          <w:b/>
          <w:color w:val="0071BB"/>
          <w:w w:val="120"/>
        </w:rPr>
        <w:t xml:space="preserve">rotokołu nr </w:t>
      </w:r>
      <w:r w:rsidR="00D37FA3" w:rsidRPr="00FF42A7">
        <w:rPr>
          <w:b/>
          <w:color w:val="0071BB"/>
          <w:w w:val="120"/>
        </w:rPr>
        <w:t>1.</w:t>
      </w:r>
      <w:r w:rsidRPr="00FF42A7">
        <w:rPr>
          <w:color w:val="0071BB"/>
          <w:w w:val="120"/>
        </w:rPr>
        <w:t xml:space="preserve"> W szczególności powtórzył, że zarzucana dyskryminacja wynikała z różnicy wieku, w którym mężczyźni i kobiety nabywali prawo do emerytury państwowej w Zjednoczonym Królestwie. W świetle pierwotnego uzasadnienia tej różnicy (wyrównanie nierówności finansowej między płciami), powolnego charakteru zmian w życiu zawodowym kobiet oraz braku wspólnych standardów wśród państw europejskich, Trybunał uznał, że nie można krytykować Zjednoczonego Królestwa za to, że nie rozpoczęło wcześniej działań zmierzających d</w:t>
      </w:r>
      <w:r w:rsidR="00D37FA3" w:rsidRPr="00FF42A7">
        <w:rPr>
          <w:color w:val="0071BB"/>
          <w:w w:val="120"/>
        </w:rPr>
        <w:t xml:space="preserve">o ustalenia </w:t>
      </w:r>
      <w:r w:rsidRPr="00FF42A7">
        <w:rPr>
          <w:color w:val="0071BB"/>
          <w:w w:val="120"/>
        </w:rPr>
        <w:t>jednolitego wieku emerytalnego lub za to, że reformy wprowadzało powoli i etapami, zwłaszcza biorąc pod uwagę niezwykle daleko idące konsekwencje dla kobiet i gospodarki w ogóle.</w:t>
      </w:r>
    </w:p>
    <w:p w14:paraId="47FEF570" w14:textId="77777777" w:rsidR="009F1A47" w:rsidRPr="00FF42A7" w:rsidRDefault="009F1A47">
      <w:pPr>
        <w:pStyle w:val="Tekstpodstawowy"/>
        <w:ind w:left="0"/>
        <w:jc w:val="left"/>
      </w:pPr>
    </w:p>
    <w:p w14:paraId="1B1A9F42" w14:textId="77777777" w:rsidR="009F1A47" w:rsidRPr="00FF42A7" w:rsidRDefault="009F1A47">
      <w:pPr>
        <w:pStyle w:val="Tekstpodstawowy"/>
        <w:ind w:left="0"/>
        <w:jc w:val="left"/>
      </w:pPr>
    </w:p>
    <w:p w14:paraId="675C6B16" w14:textId="77777777" w:rsidR="009F1A47" w:rsidRPr="00FF42A7" w:rsidRDefault="009F1A47">
      <w:pPr>
        <w:pStyle w:val="Tekstpodstawowy"/>
        <w:ind w:left="0"/>
        <w:jc w:val="left"/>
      </w:pPr>
    </w:p>
    <w:p w14:paraId="5F85091A" w14:textId="77777777" w:rsidR="009F1A47" w:rsidRPr="00FF42A7" w:rsidRDefault="00000000">
      <w:pPr>
        <w:pStyle w:val="Tekstpodstawowy"/>
        <w:spacing w:before="39"/>
        <w:ind w:left="0"/>
        <w:jc w:val="left"/>
      </w:pPr>
      <w:r w:rsidRPr="00FF42A7">
        <w:rPr>
          <w:noProof/>
        </w:rPr>
        <mc:AlternateContent>
          <mc:Choice Requires="wps">
            <w:drawing>
              <wp:anchor distT="0" distB="0" distL="0" distR="0" simplePos="0" relativeHeight="251678720" behindDoc="1" locked="0" layoutInCell="1" allowOverlap="1" wp14:anchorId="3E140752" wp14:editId="2169B274">
                <wp:simplePos x="0" y="0"/>
                <wp:positionH relativeFrom="page">
                  <wp:posOffset>914400</wp:posOffset>
                </wp:positionH>
                <wp:positionV relativeFrom="paragraph">
                  <wp:posOffset>195294</wp:posOffset>
                </wp:positionV>
                <wp:extent cx="1828800" cy="7620"/>
                <wp:effectExtent l="0" t="0" r="0" b="0"/>
                <wp:wrapTopAndBottom/>
                <wp:docPr id="33" name="Graphic 33"/>
                <wp:cNvGraphicFramePr/>
                <a:graphic xmlns:a="http://schemas.openxmlformats.org/drawingml/2006/main">
                  <a:graphicData uri="http://schemas.microsoft.com/office/word/2010/wordprocessingShape">
                    <wps:wsp>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1045AB4" id="Graphic 33" o:spid="_x0000_s1026" style="position:absolute;margin-left:1in;margin-top:15.4pt;width:2in;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" path="m1828800,l,,,7607r1828800,l1828800,xe" fillcolor="black" stroked="f">
                <v:path arrowok="t"/>
                <w10:wrap type="topAndBottom" anchorx="page"/>
              </v:shape>
            </w:pict>
          </mc:Fallback>
        </mc:AlternateContent>
      </w:r>
    </w:p>
    <w:p w14:paraId="0DBB09AF" w14:textId="26FC1A0E" w:rsidR="009F1A47" w:rsidRPr="00FF42A7" w:rsidRDefault="00FF2A1F">
      <w:pPr>
        <w:spacing w:before="107"/>
        <w:ind w:left="873" w:right="868"/>
        <w:jc w:val="both"/>
        <w:rPr>
          <w:sz w:val="16"/>
        </w:rPr>
      </w:pPr>
      <w:bookmarkStart w:id="7" w:name="_bookmark7"/>
      <w:bookmarkEnd w:id="7"/>
      <w:r w:rsidRPr="00FF42A7">
        <w:rPr>
          <w:w w:val="120"/>
          <w:sz w:val="16"/>
          <w:vertAlign w:val="superscript"/>
        </w:rPr>
        <w:t>8</w:t>
      </w:r>
      <w:r w:rsidRPr="00FF42A7">
        <w:rPr>
          <w:w w:val="120"/>
          <w:sz w:val="16"/>
        </w:rPr>
        <w:t>. Świadczenie związane z zarobkami przysługujące osobom zatrudnionym lub byłym pracownikom, którzy utracili zdolność do pracy w wyniku wypadku przy pracy lub choroby zawodowej.</w:t>
      </w:r>
    </w:p>
    <w:p w14:paraId="5B6F2CE1" w14:textId="4895AACE" w:rsidR="009F1A47" w:rsidRPr="00FF42A7" w:rsidRDefault="00FF2A1F">
      <w:pPr>
        <w:ind w:left="873" w:right="868"/>
        <w:jc w:val="both"/>
        <w:rPr>
          <w:sz w:val="16"/>
        </w:rPr>
      </w:pPr>
      <w:bookmarkStart w:id="8" w:name="_bookmark8"/>
      <w:bookmarkEnd w:id="8"/>
      <w:r w:rsidRPr="00FF42A7">
        <w:rPr>
          <w:w w:val="120"/>
          <w:sz w:val="16"/>
          <w:vertAlign w:val="superscript"/>
        </w:rPr>
        <w:t>9</w:t>
      </w:r>
      <w:r w:rsidRPr="00FF42A7">
        <w:rPr>
          <w:w w:val="120"/>
          <w:sz w:val="16"/>
        </w:rPr>
        <w:t xml:space="preserve">. Przed 1986 r. po przejściu na emeryturę przysługiwało prawo do zasiłku </w:t>
      </w:r>
      <w:r w:rsidRPr="00FF42A7">
        <w:rPr>
          <w:i/>
          <w:iCs/>
          <w:w w:val="120"/>
          <w:sz w:val="16"/>
        </w:rPr>
        <w:t>REA</w:t>
      </w:r>
      <w:r w:rsidRPr="00FF42A7">
        <w:rPr>
          <w:w w:val="120"/>
          <w:sz w:val="16"/>
        </w:rPr>
        <w:t>, który był wypłacany równocześnie z emeryturą państwową. Od 1986 r. wprowadzono szereg środków ustawodawczych mających na celu zniesienie lub ograniczenie zasiłku REA dla osób, które nie osiągnęły już wieku emerytalnego, poprzez wprowadzenie ograniczeń wiekowych wynoszących 65 lat dla mężczyzn i 60 lat dla kobiet (wiek stosowany w ustawowym systemie emerytur).</w:t>
      </w:r>
    </w:p>
    <w:p w14:paraId="53199751" w14:textId="77777777" w:rsidR="009F1A47" w:rsidRPr="00FF42A7" w:rsidRDefault="009F1A47">
      <w:pPr>
        <w:jc w:val="both"/>
        <w:rPr>
          <w:sz w:val="16"/>
        </w:rPr>
        <w:sectPr w:rsidR="009F1A47" w:rsidRPr="00FF42A7">
          <w:pgSz w:w="11910" w:h="16840"/>
          <w:pgMar w:top="1400" w:right="566" w:bottom="680" w:left="566" w:header="720" w:footer="497" w:gutter="0"/>
          <w:cols w:space="708"/>
        </w:sectPr>
      </w:pPr>
    </w:p>
    <w:p w14:paraId="17CEE7A1" w14:textId="77777777" w:rsidR="009F1A47" w:rsidRPr="00FF42A7" w:rsidRDefault="00000000">
      <w:pPr>
        <w:pStyle w:val="Nagwek1"/>
        <w:spacing w:before="309"/>
        <w:jc w:val="left"/>
      </w:pPr>
      <w:r w:rsidRPr="00FF42A7">
        <w:rPr>
          <w:color w:val="808080"/>
          <w:spacing w:val="-2"/>
          <w:w w:val="120"/>
          <w:sz w:val="29"/>
        </w:rPr>
        <w:lastRenderedPageBreak/>
        <w:t xml:space="preserve">Ubezpieczenie </w:t>
      </w:r>
      <w:r w:rsidRPr="00FF42A7">
        <w:rPr>
          <w:color w:val="808080"/>
          <w:w w:val="120"/>
          <w:sz w:val="29"/>
        </w:rPr>
        <w:t>zdrowotne pracowników</w:t>
      </w:r>
    </w:p>
    <w:p w14:paraId="7798BFDC" w14:textId="77777777" w:rsidR="009F1A47" w:rsidRPr="00FF42A7" w:rsidRDefault="009F1A47">
      <w:pPr>
        <w:pStyle w:val="Nagwek2"/>
        <w:rPr>
          <w:u w:val="none"/>
        </w:rPr>
      </w:pPr>
      <w:hyperlink r:id="rId90">
        <w:proofErr w:type="spellStart"/>
        <w:r w:rsidRPr="00FF42A7">
          <w:rPr>
            <w:color w:val="0071BB"/>
            <w:w w:val="135"/>
            <w:u w:val="thick" w:color="0071BB"/>
          </w:rPr>
          <w:t>Jurčić</w:t>
        </w:r>
        <w:proofErr w:type="spellEnd"/>
        <w:r w:rsidRPr="00FF42A7">
          <w:rPr>
            <w:color w:val="0071BB"/>
            <w:w w:val="135"/>
            <w:u w:val="thick" w:color="0071BB"/>
          </w:rPr>
          <w:t xml:space="preserve"> przeciwko </w:t>
        </w:r>
        <w:r w:rsidRPr="00FF42A7">
          <w:rPr>
            <w:color w:val="0071BB"/>
            <w:spacing w:val="-2"/>
            <w:w w:val="135"/>
            <w:u w:val="thick" w:color="0071BB"/>
          </w:rPr>
          <w:t>Chorwacji</w:t>
        </w:r>
      </w:hyperlink>
    </w:p>
    <w:p w14:paraId="3A0559DA" w14:textId="0F338464" w:rsidR="009F1A47" w:rsidRPr="00FF42A7" w:rsidRDefault="00000000">
      <w:pPr>
        <w:spacing w:before="55"/>
        <w:ind w:left="874"/>
        <w:jc w:val="both"/>
        <w:rPr>
          <w:sz w:val="18"/>
        </w:rPr>
      </w:pPr>
      <w:r w:rsidRPr="00FF42A7">
        <w:rPr>
          <w:color w:val="808080"/>
          <w:w w:val="125"/>
          <w:sz w:val="18"/>
        </w:rPr>
        <w:t>4 lutego</w:t>
      </w:r>
      <w:r w:rsidRPr="00FF42A7">
        <w:rPr>
          <w:color w:val="808080"/>
          <w:spacing w:val="-4"/>
          <w:w w:val="125"/>
          <w:sz w:val="18"/>
        </w:rPr>
        <w:t xml:space="preserve"> 2021</w:t>
      </w:r>
      <w:r w:rsidR="00D37FA3" w:rsidRPr="00FF42A7">
        <w:rPr>
          <w:color w:val="808080"/>
          <w:spacing w:val="-4"/>
          <w:w w:val="125"/>
          <w:sz w:val="18"/>
        </w:rPr>
        <w:t xml:space="preserve"> r.</w:t>
      </w:r>
    </w:p>
    <w:p w14:paraId="7A54CEA4" w14:textId="2FDFC891" w:rsidR="009F1A47" w:rsidRPr="00FF42A7" w:rsidRDefault="00000000">
      <w:pPr>
        <w:pStyle w:val="Tekstpodstawowy"/>
        <w:spacing w:before="2"/>
        <w:ind w:left="873" w:right="869"/>
      </w:pPr>
      <w:r w:rsidRPr="00FF42A7">
        <w:rPr>
          <w:w w:val="120"/>
        </w:rPr>
        <w:t xml:space="preserve">Sprawa dotyczyła odmowy przyznania </w:t>
      </w:r>
      <w:r w:rsidR="00D37FA3" w:rsidRPr="00FF42A7">
        <w:rPr>
          <w:w w:val="120"/>
        </w:rPr>
        <w:t xml:space="preserve">skarżącej </w:t>
      </w:r>
      <w:r w:rsidRPr="00FF42A7">
        <w:rPr>
          <w:w w:val="120"/>
        </w:rPr>
        <w:t>ubezpieczenia zdrowotnego w okresie ciąży. Władze twierdziły, że umowa o pracę, którą podpisała tuż przed dowiedzeniem się o ciąży, była fikcyjna i że nie powinna była podejmować pracy w trakcie leczenia metodą</w:t>
      </w:r>
      <w:r w:rsidRPr="00FF42A7">
        <w:rPr>
          <w:i/>
          <w:w w:val="120"/>
        </w:rPr>
        <w:t xml:space="preserve"> in vitro</w:t>
      </w:r>
      <w:r w:rsidRPr="00FF42A7">
        <w:rPr>
          <w:w w:val="120"/>
        </w:rPr>
        <w:t xml:space="preserve">. </w:t>
      </w:r>
      <w:r w:rsidR="00D37FA3" w:rsidRPr="00FF42A7">
        <w:rPr>
          <w:w w:val="120"/>
        </w:rPr>
        <w:t xml:space="preserve">Skarżąca </w:t>
      </w:r>
      <w:r w:rsidRPr="00FF42A7">
        <w:rPr>
          <w:w w:val="120"/>
        </w:rPr>
        <w:t>skarżyła się na cofnięcie jej ubezpieczenia zdrowotnego, twierdząc, że było to wynikiem dyskryminacji ze względu na płeć jako kobiety poddającej się leczeniu metodą</w:t>
      </w:r>
      <w:r w:rsidRPr="00FF42A7">
        <w:rPr>
          <w:i/>
          <w:w w:val="120"/>
        </w:rPr>
        <w:t xml:space="preserve"> in vitro</w:t>
      </w:r>
      <w:r w:rsidRPr="00FF42A7">
        <w:rPr>
          <w:w w:val="120"/>
        </w:rPr>
        <w:t>.</w:t>
      </w:r>
    </w:p>
    <w:p w14:paraId="2288709A" w14:textId="6B2B6AF9" w:rsidR="009F1A47" w:rsidRPr="00FF42A7" w:rsidRDefault="00000000">
      <w:pPr>
        <w:pStyle w:val="Tekstpodstawowy"/>
        <w:ind w:left="873" w:right="869"/>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008D1ED9" w:rsidRPr="00FF42A7">
        <w:rPr>
          <w:b/>
          <w:color w:val="0071BB"/>
          <w:w w:val="120"/>
        </w:rPr>
        <w:t>P</w:t>
      </w:r>
      <w:r w:rsidRPr="00FF42A7">
        <w:rPr>
          <w:b/>
          <w:color w:val="0071BB"/>
          <w:w w:val="120"/>
        </w:rPr>
        <w:t>rotokołu nr</w:t>
      </w:r>
      <w:r w:rsidR="00D37FA3" w:rsidRPr="00FF42A7">
        <w:rPr>
          <w:b/>
          <w:color w:val="0071BB"/>
          <w:w w:val="120"/>
        </w:rPr>
        <w:t xml:space="preserve"> 1</w:t>
      </w:r>
      <w:r w:rsidR="00D37FA3" w:rsidRPr="00FF42A7">
        <w:rPr>
          <w:color w:val="0071BB"/>
          <w:w w:val="120"/>
        </w:rPr>
        <w:t>.</w:t>
      </w:r>
      <w:r w:rsidRPr="00FF42A7">
        <w:rPr>
          <w:color w:val="0071BB"/>
          <w:w w:val="120"/>
        </w:rPr>
        <w:t xml:space="preserve"> W szczególności stwierdził, że władze chorwackie nie wykazały żadnego oszustwa i sugerowały, że kobiety w ciąży nie powinny szukać pracy, dyskryminując w ten sposób skarżącą. Trybunał ostrzegł również, że stereotypy dotyczące płci stosowane przez władze, które zaobserwowano w sprawie skarżącej, stanowią poważną przeszkodę w osiągnięciu rzeczywistej równości płci, która jest jednym z głównych celów państw członkowskich Rady Europy. Podkreślając, że odmowa zatrudnienia lub przyznania świadczenia związanego z zatrudnieniem kobiecie w ciąży ze względu na jej ciążę stanowi bezpośrednią dyskryminację ze względu na płeć, Trybunał stwierdził, że różnica w traktowaniu skarżącej nie była obiektywnie uzasadniona, co doprowadziło do naruszenia jej praw wynikających z Konwencji.</w:t>
      </w:r>
    </w:p>
    <w:p w14:paraId="675483B5" w14:textId="77777777" w:rsidR="009F1A47" w:rsidRPr="00FF42A7" w:rsidRDefault="00000000">
      <w:pPr>
        <w:pStyle w:val="Nagwek1"/>
        <w:spacing w:before="164"/>
        <w:jc w:val="left"/>
      </w:pPr>
      <w:r w:rsidRPr="00FF42A7">
        <w:rPr>
          <w:color w:val="808080"/>
          <w:w w:val="120"/>
          <w:sz w:val="29"/>
        </w:rPr>
        <w:t xml:space="preserve">Wyłączenie z prawa do </w:t>
      </w:r>
      <w:r w:rsidRPr="00FF42A7">
        <w:rPr>
          <w:color w:val="808080"/>
          <w:spacing w:val="-2"/>
          <w:w w:val="120"/>
          <w:sz w:val="29"/>
        </w:rPr>
        <w:t>dochodu</w:t>
      </w:r>
    </w:p>
    <w:p w14:paraId="304DA6B3" w14:textId="77777777" w:rsidR="009F1A47" w:rsidRPr="00FF42A7" w:rsidRDefault="009F1A47">
      <w:pPr>
        <w:pStyle w:val="Nagwek2"/>
        <w:rPr>
          <w:u w:val="none"/>
        </w:rPr>
      </w:pPr>
      <w:hyperlink r:id="rId91">
        <w:proofErr w:type="spellStart"/>
        <w:r w:rsidRPr="00FF42A7">
          <w:rPr>
            <w:color w:val="0071BB"/>
            <w:w w:val="135"/>
            <w:u w:color="0071BB"/>
          </w:rPr>
          <w:t>Dimici</w:t>
        </w:r>
        <w:proofErr w:type="spellEnd"/>
        <w:r w:rsidRPr="00FF42A7">
          <w:rPr>
            <w:color w:val="0071BB"/>
            <w:w w:val="135"/>
            <w:u w:color="0071BB"/>
          </w:rPr>
          <w:t xml:space="preserve"> przeciwko </w:t>
        </w:r>
        <w:r w:rsidRPr="00FF42A7">
          <w:rPr>
            <w:color w:val="0071BB"/>
            <w:spacing w:val="-2"/>
            <w:w w:val="135"/>
            <w:u w:color="0071BB"/>
          </w:rPr>
          <w:t>Turcji</w:t>
        </w:r>
      </w:hyperlink>
    </w:p>
    <w:p w14:paraId="2E00E2BE" w14:textId="73723E26" w:rsidR="009F1A47" w:rsidRPr="00FF42A7" w:rsidRDefault="00000000">
      <w:pPr>
        <w:spacing w:before="55"/>
        <w:ind w:left="874"/>
        <w:jc w:val="both"/>
        <w:rPr>
          <w:sz w:val="18"/>
        </w:rPr>
      </w:pPr>
      <w:r w:rsidRPr="00FF42A7">
        <w:rPr>
          <w:color w:val="808080"/>
          <w:w w:val="125"/>
          <w:sz w:val="18"/>
        </w:rPr>
        <w:t>5 lipca</w:t>
      </w:r>
      <w:r w:rsidRPr="00FF42A7">
        <w:rPr>
          <w:color w:val="808080"/>
          <w:spacing w:val="-4"/>
          <w:w w:val="125"/>
          <w:sz w:val="18"/>
        </w:rPr>
        <w:t xml:space="preserve"> 2022</w:t>
      </w:r>
      <w:r w:rsidR="00D37FA3" w:rsidRPr="00FF42A7">
        <w:rPr>
          <w:color w:val="808080"/>
          <w:spacing w:val="-4"/>
          <w:w w:val="125"/>
          <w:sz w:val="18"/>
        </w:rPr>
        <w:t xml:space="preserve"> r.</w:t>
      </w:r>
    </w:p>
    <w:p w14:paraId="730751F6" w14:textId="29BEF74F" w:rsidR="009F1A47" w:rsidRPr="00FF42A7" w:rsidRDefault="00D37FA3">
      <w:pPr>
        <w:pStyle w:val="Tekstpodstawowy"/>
        <w:spacing w:before="3" w:line="237" w:lineRule="auto"/>
        <w:ind w:left="873" w:right="872"/>
      </w:pPr>
      <w:r w:rsidRPr="00FF42A7">
        <w:rPr>
          <w:w w:val="120"/>
        </w:rPr>
        <w:t xml:space="preserve">Sprawa dotyczyła warunków regulujących podział nadwyżki dochodów Fundacji </w:t>
      </w:r>
      <w:proofErr w:type="spellStart"/>
      <w:r w:rsidRPr="00FF42A7">
        <w:rPr>
          <w:i/>
          <w:iCs/>
          <w:w w:val="120"/>
        </w:rPr>
        <w:t>Örfioğlu</w:t>
      </w:r>
      <w:proofErr w:type="spellEnd"/>
      <w:r w:rsidRPr="00FF42A7">
        <w:rPr>
          <w:w w:val="120"/>
        </w:rPr>
        <w:t xml:space="preserve"> (utworzonej w </w:t>
      </w:r>
      <w:proofErr w:type="spellStart"/>
      <w:r w:rsidRPr="00FF42A7">
        <w:rPr>
          <w:w w:val="120"/>
        </w:rPr>
        <w:t>Diyarbakır</w:t>
      </w:r>
      <w:proofErr w:type="spellEnd"/>
      <w:r w:rsidRPr="00FF42A7">
        <w:rPr>
          <w:w w:val="120"/>
        </w:rPr>
        <w:t xml:space="preserve"> w 1536 r., w okresie osmańskim), które wprowadzały różnicę w traktowaniu osób uprawnionych ze względu na płeć. Zgodnie z dokumentem założycielskim fundacji, pochodzącym z szesnastego wieku, tylko męskie potomstwo mogło otrzymywać kwoty z nadwyżki dochodów fundacji, w wyniku czego zmarła żona pierwszego skarżącego (która zmarła w 2018 r.) i matka trzech pozostałych skarżących została pozbawiona prawa do tych dochodów. Skarżący twierdzili, że doszło do dyskryminacji ze względu na płeć.</w:t>
      </w:r>
    </w:p>
    <w:p w14:paraId="7AE03A62" w14:textId="4517D9A7" w:rsidR="009F1A47" w:rsidRPr="00FF42A7" w:rsidRDefault="00000000">
      <w:pPr>
        <w:pStyle w:val="Tekstpodstawowy"/>
        <w:spacing w:before="8"/>
        <w:ind w:left="873" w:right="870"/>
      </w:pPr>
      <w:r w:rsidRPr="00FF42A7">
        <w:rPr>
          <w:color w:val="0071BB"/>
          <w:w w:val="120"/>
        </w:rPr>
        <w:t xml:space="preserve">Trybunał uznał, że doszło do naruszenia art. 14 (zakaz dyskryminacji) Konwencji w związku z art. 1 (ochrona własności) </w:t>
      </w:r>
      <w:r w:rsidR="008D1ED9" w:rsidRPr="00FF42A7">
        <w:rPr>
          <w:color w:val="0071BB"/>
          <w:w w:val="120"/>
        </w:rPr>
        <w:t>P</w:t>
      </w:r>
      <w:r w:rsidRPr="00FF42A7">
        <w:rPr>
          <w:color w:val="0071BB"/>
          <w:w w:val="120"/>
        </w:rPr>
        <w:t xml:space="preserve">rotokołu nr </w:t>
      </w:r>
      <w:r w:rsidR="00D37FA3" w:rsidRPr="00FF42A7">
        <w:rPr>
          <w:color w:val="0071BB"/>
          <w:w w:val="120"/>
        </w:rPr>
        <w:t xml:space="preserve">1 </w:t>
      </w:r>
      <w:r w:rsidRPr="00FF42A7">
        <w:rPr>
          <w:color w:val="0071BB"/>
          <w:w w:val="120"/>
        </w:rPr>
        <w:t xml:space="preserve">do Konwencji, stwierdzając, że władze tureckie nie wypełniły należycie obowiązku ochrony zmarłej – której spadkobiercami byli skarżący – przed dyskryminacją ze względu na płeć. Trybunał zauważył w szczególności, że zmarłej odmówiono prawa do nadwyżki dochodów Fundacji </w:t>
      </w:r>
      <w:proofErr w:type="spellStart"/>
      <w:r w:rsidRPr="00FF42A7">
        <w:rPr>
          <w:i/>
          <w:iCs/>
          <w:color w:val="0071BB"/>
          <w:w w:val="120"/>
        </w:rPr>
        <w:t>Örfioğlu</w:t>
      </w:r>
      <w:proofErr w:type="spellEnd"/>
      <w:r w:rsidRPr="00FF42A7">
        <w:rPr>
          <w:color w:val="0071BB"/>
          <w:w w:val="120"/>
        </w:rPr>
        <w:t xml:space="preserve">, mimo że przysługiwałoby jej to, gdyby była mężczyzną. Została zatem potraktowana w sposób odmienny ze względu na płeć. Trybunał zauważył również, że sądy krajowe jedynie ustaliły, a następnie zastosowały wolę założyciela wyrażoną w dokumencie założycielskim fundacji, nie próbując zbadać jej w świetle zasad porządku publicznego. Wydaje się, że nie podjęły one żadnej próby </w:t>
      </w:r>
      <w:proofErr w:type="gramStart"/>
      <w:r w:rsidRPr="00FF42A7">
        <w:rPr>
          <w:color w:val="0071BB"/>
          <w:w w:val="120"/>
        </w:rPr>
        <w:t>oceny,</w:t>
      </w:r>
      <w:proofErr w:type="gramEnd"/>
      <w:r w:rsidRPr="00FF42A7">
        <w:rPr>
          <w:color w:val="0071BB"/>
          <w:w w:val="120"/>
        </w:rPr>
        <w:t xml:space="preserve"> czy wola założyciela była zgodna z Konwencją, </w:t>
      </w:r>
      <w:r w:rsidR="00D37FA3" w:rsidRPr="00FF42A7">
        <w:rPr>
          <w:color w:val="0071BB"/>
          <w:w w:val="120"/>
        </w:rPr>
        <w:t>K</w:t>
      </w:r>
      <w:r w:rsidRPr="00FF42A7">
        <w:rPr>
          <w:color w:val="0071BB"/>
          <w:w w:val="120"/>
        </w:rPr>
        <w:t>onstytucją lub przepisami ustawowymi, mimo że odpowiednie przepisy wyraźnie budziły wątpliwości pod względem zasady niedyskryminacji i zasady równości mężczyzn i kobiet.</w:t>
      </w:r>
    </w:p>
    <w:p w14:paraId="072CB0B9" w14:textId="77777777" w:rsidR="009F1A47" w:rsidRPr="00FF42A7" w:rsidRDefault="00000000">
      <w:pPr>
        <w:pStyle w:val="Nagwek1"/>
        <w:spacing w:before="168"/>
        <w:jc w:val="left"/>
      </w:pPr>
      <w:r w:rsidRPr="00FF42A7">
        <w:rPr>
          <w:color w:val="808080"/>
          <w:spacing w:val="-2"/>
          <w:w w:val="120"/>
          <w:sz w:val="29"/>
        </w:rPr>
        <w:t xml:space="preserve">Zasiłek </w:t>
      </w:r>
      <w:r w:rsidRPr="00FF42A7">
        <w:rPr>
          <w:color w:val="808080"/>
          <w:w w:val="120"/>
          <w:sz w:val="29"/>
        </w:rPr>
        <w:t>mieszkaniowy</w:t>
      </w:r>
    </w:p>
    <w:p w14:paraId="58846B11" w14:textId="77777777" w:rsidR="009F1A47" w:rsidRPr="00FF42A7" w:rsidRDefault="009F1A47">
      <w:pPr>
        <w:pStyle w:val="Nagwek2"/>
        <w:jc w:val="left"/>
        <w:rPr>
          <w:u w:val="none"/>
        </w:rPr>
      </w:pPr>
      <w:hyperlink r:id="rId92">
        <w:r w:rsidRPr="00FF42A7">
          <w:rPr>
            <w:color w:val="0071BB"/>
            <w:w w:val="135"/>
            <w:u w:color="0071BB"/>
          </w:rPr>
          <w:t>J.D. i A przeciwko Zjednoczonemu Królestwu (nr 32949/17 i</w:t>
        </w:r>
        <w:r w:rsidRPr="00FF42A7">
          <w:rPr>
            <w:color w:val="0071BB"/>
            <w:spacing w:val="-2"/>
            <w:w w:val="135"/>
            <w:u w:color="0071BB"/>
          </w:rPr>
          <w:t xml:space="preserve"> 34614/17)</w:t>
        </w:r>
      </w:hyperlink>
    </w:p>
    <w:p w14:paraId="16717112" w14:textId="56620CCE" w:rsidR="00764920" w:rsidRPr="00FF42A7" w:rsidRDefault="00D37FA3" w:rsidP="00146A0A">
      <w:pPr>
        <w:spacing w:before="8"/>
        <w:ind w:left="873" w:right="868"/>
        <w:rPr>
          <w:w w:val="120"/>
          <w:sz w:val="20"/>
          <w:szCs w:val="20"/>
        </w:rPr>
      </w:pPr>
      <w:r w:rsidRPr="00FF42A7">
        <w:rPr>
          <w:color w:val="808080"/>
          <w:w w:val="120"/>
          <w:sz w:val="18"/>
        </w:rPr>
        <w:t>24 października</w:t>
      </w:r>
      <w:r w:rsidRPr="00FF42A7">
        <w:rPr>
          <w:color w:val="808080"/>
          <w:spacing w:val="-4"/>
          <w:w w:val="120"/>
          <w:sz w:val="18"/>
        </w:rPr>
        <w:t xml:space="preserve"> 2019 r. </w:t>
      </w:r>
    </w:p>
    <w:p w14:paraId="784A3C7E" w14:textId="487CDA9B" w:rsidR="00D37FA3" w:rsidRPr="00FF42A7" w:rsidRDefault="00764920" w:rsidP="00FF42A7">
      <w:pPr>
        <w:spacing w:before="8"/>
        <w:ind w:left="873" w:right="868"/>
        <w:jc w:val="both"/>
        <w:rPr>
          <w:w w:val="120"/>
          <w:sz w:val="20"/>
          <w:szCs w:val="20"/>
        </w:rPr>
      </w:pPr>
      <w:r w:rsidRPr="00FF42A7">
        <w:rPr>
          <w:w w:val="120"/>
          <w:sz w:val="20"/>
          <w:szCs w:val="20"/>
        </w:rPr>
        <w:t>Druga skarżąca</w:t>
      </w:r>
      <w:r w:rsidR="001C303F" w:rsidRPr="00FF42A7">
        <w:rPr>
          <w:w w:val="120"/>
          <w:sz w:val="20"/>
          <w:szCs w:val="20"/>
        </w:rPr>
        <w:t>, w tej sprawie, zagrożona skrajną przemocą domową,</w:t>
      </w:r>
      <w:r w:rsidRPr="00FF42A7">
        <w:rPr>
          <w:w w:val="120"/>
          <w:sz w:val="20"/>
          <w:szCs w:val="20"/>
        </w:rPr>
        <w:t xml:space="preserve"> została objęta „programem schronienia” co oznaczało również pewne</w:t>
      </w:r>
      <w:r w:rsidR="001C303F" w:rsidRPr="00FF42A7">
        <w:t xml:space="preserve"> </w:t>
      </w:r>
      <w:r w:rsidR="001C303F" w:rsidRPr="00FF42A7">
        <w:rPr>
          <w:w w:val="120"/>
          <w:sz w:val="20"/>
          <w:szCs w:val="20"/>
        </w:rPr>
        <w:t xml:space="preserve">dostosowania w jej posiadłości </w:t>
      </w:r>
    </w:p>
    <w:p w14:paraId="67FC46F7" w14:textId="77777777" w:rsidR="009F1A47" w:rsidRPr="00FF42A7" w:rsidRDefault="009F1A47" w:rsidP="00FF42A7">
      <w:pPr>
        <w:spacing w:before="58"/>
        <w:ind w:right="868"/>
        <w:jc w:val="both"/>
      </w:pPr>
    </w:p>
    <w:p w14:paraId="0AA4EA07" w14:textId="77777777" w:rsidR="00D37FA3" w:rsidRPr="00FF42A7" w:rsidRDefault="00D37FA3" w:rsidP="001C303F">
      <w:pPr>
        <w:spacing w:before="8"/>
        <w:ind w:left="873" w:right="868"/>
        <w:jc w:val="both"/>
        <w:sectPr w:rsidR="00D37FA3" w:rsidRPr="00FF42A7">
          <w:pgSz w:w="11910" w:h="16840"/>
          <w:pgMar w:top="1400" w:right="566" w:bottom="680" w:left="566" w:header="720" w:footer="497" w:gutter="0"/>
          <w:cols w:space="708"/>
        </w:sectPr>
      </w:pPr>
    </w:p>
    <w:p w14:paraId="73B2C949" w14:textId="77777777" w:rsidR="009F1A47" w:rsidRPr="00FF42A7" w:rsidRDefault="009F1A47" w:rsidP="00FF42A7">
      <w:pPr>
        <w:pStyle w:val="Tekstpodstawowy"/>
        <w:spacing w:before="59"/>
        <w:ind w:left="0"/>
      </w:pPr>
    </w:p>
    <w:p w14:paraId="2CE0DEF2" w14:textId="78DB543B" w:rsidR="009F1A47" w:rsidRPr="00FF42A7" w:rsidRDefault="00000000" w:rsidP="001C303F">
      <w:pPr>
        <w:pStyle w:val="Tekstpodstawowy"/>
        <w:spacing w:before="1"/>
        <w:ind w:right="870"/>
      </w:pPr>
      <w:r w:rsidRPr="00FF42A7">
        <w:rPr>
          <w:w w:val="120"/>
        </w:rPr>
        <w:t xml:space="preserve"> (w tym instalację „pokoju paniki” na poddaszu dla niej i jej syna, z którym mieszkała w trzypokojowym domu). Twierdziła, że nowe przepisy dotyczące dodatków mieszkaniowych w sektorze mieszkaniowym (nieformalnie znane jako „podatek od sypialni”) dyskryminowały ją ze względu na jej szczególną sytuację jako ofiary przemocy ze względu na płeć.</w:t>
      </w:r>
    </w:p>
    <w:p w14:paraId="49D5B345" w14:textId="05902A65" w:rsidR="009F1A47" w:rsidRPr="00FF42A7" w:rsidRDefault="00000000">
      <w:pPr>
        <w:pStyle w:val="Tekstpodstawowy"/>
        <w:ind w:left="873" w:right="870"/>
      </w:pPr>
      <w:r w:rsidRPr="00FF42A7">
        <w:rPr>
          <w:color w:val="0071BB"/>
          <w:w w:val="120"/>
        </w:rPr>
        <w:t xml:space="preserve">Trybunał uznał, że w odniesieniu do drugiego skarżącego 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(ochrona własności)</w:t>
      </w:r>
      <w:r w:rsidR="008D1ED9" w:rsidRPr="00FF42A7">
        <w:rPr>
          <w:color w:val="0071BB"/>
          <w:w w:val="120"/>
        </w:rPr>
        <w:t xml:space="preserve"> </w:t>
      </w:r>
      <w:r w:rsidR="008D1ED9" w:rsidRPr="00FF42A7">
        <w:rPr>
          <w:b/>
          <w:color w:val="0071BB"/>
          <w:w w:val="120"/>
        </w:rPr>
        <w:t>P</w:t>
      </w:r>
      <w:r w:rsidRPr="00FF42A7">
        <w:rPr>
          <w:b/>
          <w:color w:val="0071BB"/>
          <w:w w:val="120"/>
        </w:rPr>
        <w:t>rotokołu nr 1</w:t>
      </w:r>
      <w:r w:rsidRPr="00FF42A7">
        <w:rPr>
          <w:color w:val="0071BB"/>
          <w:w w:val="120"/>
        </w:rPr>
        <w:t>. W szczególności Trybunał zauważył, że cel rozporządzenia, jakim jest zachęcanie ludzi do przeprowadzki, był sprzeczny z celem programu azylowego, który polegał na umożliwieniu ofiarom przemocy ze względu na płeć pozostania w swoich domach. W związku z tym</w:t>
      </w:r>
      <w:r w:rsidR="001F289B" w:rsidRPr="00FF42A7">
        <w:rPr>
          <w:color w:val="0071BB"/>
          <w:w w:val="120"/>
        </w:rPr>
        <w:t>,</w:t>
      </w:r>
      <w:r w:rsidRPr="00FF42A7">
        <w:rPr>
          <w:color w:val="0071BB"/>
          <w:w w:val="120"/>
        </w:rPr>
        <w:t xml:space="preserve"> traktowanie drugiej skarżącej w taki sam sposób jak inne osoby podlegające nowym przepisom dotyczącym dodatków mieszkaniowych było nieproporcjonalne, ponieważ nie odpowiadało uzasadnionemu celowi środka. Ponadto rząd Zjednoczonego Królestwa nie przedstawił żadnych istotnych powodów uzasadniających nadanie pierwszeństwa celowi programu przed umożliwieniem ofiarom przemocy domowej pozostania w swoich domach.</w:t>
      </w:r>
    </w:p>
    <w:p w14:paraId="264B313D" w14:textId="77777777" w:rsidR="009F1A47" w:rsidRPr="00FF42A7" w:rsidRDefault="00000000">
      <w:pPr>
        <w:pStyle w:val="Nagwek1"/>
        <w:spacing w:before="227"/>
      </w:pPr>
      <w:r w:rsidRPr="00FF42A7">
        <w:rPr>
          <w:color w:val="808080"/>
          <w:w w:val="120"/>
          <w:sz w:val="29"/>
        </w:rPr>
        <w:t xml:space="preserve">Obowiązek opłacania składek na </w:t>
      </w:r>
      <w:r w:rsidRPr="00FF42A7">
        <w:rPr>
          <w:color w:val="808080"/>
          <w:spacing w:val="-2"/>
          <w:w w:val="120"/>
          <w:sz w:val="29"/>
        </w:rPr>
        <w:t xml:space="preserve">ubezpieczenie </w:t>
      </w:r>
      <w:r w:rsidRPr="00FF42A7">
        <w:rPr>
          <w:color w:val="808080"/>
          <w:w w:val="120"/>
          <w:sz w:val="29"/>
        </w:rPr>
        <w:t>społeczne</w:t>
      </w:r>
    </w:p>
    <w:p w14:paraId="2DACBC77" w14:textId="77777777" w:rsidR="009F1A47" w:rsidRPr="00FF42A7" w:rsidRDefault="009F1A47">
      <w:pPr>
        <w:pStyle w:val="Nagwek2"/>
        <w:spacing w:before="113"/>
        <w:rPr>
          <w:u w:val="none"/>
        </w:rPr>
      </w:pPr>
      <w:hyperlink r:id="rId93">
        <w:r w:rsidRPr="00FF42A7">
          <w:rPr>
            <w:color w:val="0071BB"/>
            <w:w w:val="135"/>
            <w:u w:color="0071BB"/>
          </w:rPr>
          <w:t xml:space="preserve">Van </w:t>
        </w:r>
        <w:proofErr w:type="spellStart"/>
        <w:r w:rsidRPr="00FF42A7">
          <w:rPr>
            <w:color w:val="0071BB"/>
            <w:w w:val="135"/>
            <w:u w:color="0071BB"/>
          </w:rPr>
          <w:t>Raalte</w:t>
        </w:r>
        <w:proofErr w:type="spellEnd"/>
        <w:r w:rsidRPr="00FF42A7">
          <w:rPr>
            <w:color w:val="0071BB"/>
            <w:w w:val="135"/>
            <w:u w:color="0071BB"/>
          </w:rPr>
          <w:t xml:space="preserve"> przeciwko </w:t>
        </w:r>
        <w:r w:rsidRPr="00FF42A7">
          <w:rPr>
            <w:color w:val="0071BB"/>
            <w:spacing w:val="-2"/>
            <w:w w:val="135"/>
            <w:u w:color="0071BB"/>
          </w:rPr>
          <w:t>Niderlandom</w:t>
        </w:r>
      </w:hyperlink>
    </w:p>
    <w:p w14:paraId="56C6E9C3" w14:textId="0F8E6E1C" w:rsidR="009F1A47" w:rsidRPr="00FF42A7" w:rsidRDefault="00000000">
      <w:pPr>
        <w:spacing w:before="56"/>
        <w:ind w:left="874"/>
        <w:jc w:val="both"/>
        <w:rPr>
          <w:sz w:val="18"/>
        </w:rPr>
      </w:pPr>
      <w:r w:rsidRPr="00FF42A7">
        <w:rPr>
          <w:color w:val="808080"/>
          <w:w w:val="125"/>
          <w:sz w:val="18"/>
        </w:rPr>
        <w:t>21 lutego</w:t>
      </w:r>
      <w:r w:rsidRPr="00FF42A7">
        <w:rPr>
          <w:color w:val="808080"/>
          <w:spacing w:val="-4"/>
          <w:w w:val="125"/>
          <w:sz w:val="18"/>
        </w:rPr>
        <w:t xml:space="preserve"> 1997</w:t>
      </w:r>
      <w:r w:rsidR="006F1F01" w:rsidRPr="00FF42A7">
        <w:rPr>
          <w:color w:val="808080"/>
          <w:spacing w:val="-4"/>
          <w:w w:val="125"/>
          <w:sz w:val="18"/>
        </w:rPr>
        <w:t xml:space="preserve"> r.</w:t>
      </w:r>
    </w:p>
    <w:p w14:paraId="2802B116" w14:textId="77777777" w:rsidR="009F1A47" w:rsidRPr="00FF42A7" w:rsidRDefault="00000000">
      <w:pPr>
        <w:pStyle w:val="Tekstpodstawowy"/>
        <w:spacing w:before="1"/>
        <w:ind w:left="873" w:right="869"/>
      </w:pPr>
      <w:r w:rsidRPr="00FF42A7">
        <w:rPr>
          <w:w w:val="120"/>
        </w:rPr>
        <w:t>Skarżący, który nigdy nie był żonaty i nie miał dzieci, twierdził, że był ofiarą dyskryminacyjnego traktowania w zakresie obowiązku opłacania składek na podstawie ustawy o powszechnych świadczeniach na opiekę nad dziećmi. Twierdził, że pobieranie od niego, nieżonatego mężczyzny bezdzietnego w wieku powyżej 45 lat, składek na podstawie ustawy o powszechnych świadczeniach na opiekę nad dziećmi stanowiło dyskryminację ze względu na płeć, biorąc pod uwagę fakt, że w czasie zdarzeń, których dotyczyła skarga, nie pobierano podobnych składek od niezamężnych kobiet bezdzietnych w tym samym wieku.</w:t>
      </w:r>
    </w:p>
    <w:p w14:paraId="0A506B44" w14:textId="06A5F035" w:rsidR="009F1A47" w:rsidRPr="00FF42A7" w:rsidRDefault="00AB0873" w:rsidP="00146A0A">
      <w:pPr>
        <w:pStyle w:val="Tekstpodstawowy"/>
        <w:tabs>
          <w:tab w:val="left" w:pos="1401"/>
          <w:tab w:val="left" w:pos="1585"/>
          <w:tab w:val="left" w:pos="2087"/>
          <w:tab w:val="left" w:pos="2579"/>
          <w:tab w:val="left" w:pos="3189"/>
          <w:tab w:val="left" w:pos="3251"/>
          <w:tab w:val="left" w:pos="3592"/>
          <w:tab w:val="left" w:pos="4033"/>
          <w:tab w:val="left" w:pos="4207"/>
          <w:tab w:val="left" w:pos="4614"/>
          <w:tab w:val="left" w:pos="5404"/>
          <w:tab w:val="left" w:pos="5618"/>
          <w:tab w:val="left" w:pos="5721"/>
          <w:tab w:val="left" w:pos="5990"/>
          <w:tab w:val="left" w:pos="6506"/>
          <w:tab w:val="left" w:pos="6830"/>
          <w:tab w:val="left" w:pos="7408"/>
          <w:tab w:val="left" w:pos="7500"/>
          <w:tab w:val="left" w:pos="7936"/>
          <w:tab w:val="left" w:pos="8133"/>
          <w:tab w:val="left" w:pos="8514"/>
          <w:tab w:val="left" w:pos="9134"/>
        </w:tabs>
        <w:ind w:left="873" w:right="870"/>
      </w:pPr>
      <w:r w:rsidRPr="00FF42A7">
        <w:rPr>
          <w:color w:val="0071BB"/>
          <w:w w:val="120"/>
        </w:rPr>
        <w:t xml:space="preserve">Trybunał uznał, że doszło do </w:t>
      </w:r>
      <w:r w:rsidRPr="00FF42A7">
        <w:rPr>
          <w:b/>
          <w:color w:val="0071BB"/>
          <w:w w:val="120"/>
        </w:rPr>
        <w:t>naruszenia</w:t>
      </w:r>
      <w:r w:rsidR="006F1F01" w:rsidRPr="00FF42A7">
        <w:rPr>
          <w:b/>
          <w:color w:val="0071BB"/>
          <w:w w:val="120"/>
        </w:rPr>
        <w:t xml:space="preserve"> </w:t>
      </w:r>
      <w:r w:rsidRPr="00FF42A7">
        <w:rPr>
          <w:b/>
          <w:color w:val="0071BB"/>
          <w:w w:val="120"/>
        </w:rPr>
        <w:t>art. 14</w:t>
      </w:r>
      <w:r w:rsidRPr="00FF42A7">
        <w:rPr>
          <w:color w:val="0071BB"/>
          <w:w w:val="120"/>
        </w:rPr>
        <w:t xml:space="preserve"> (zakaz dyskryminacji)</w:t>
      </w:r>
      <w:r w:rsidR="006F1F01" w:rsidRPr="00FF42A7">
        <w:rPr>
          <w:color w:val="0071BB"/>
          <w:w w:val="120"/>
        </w:rPr>
        <w:t xml:space="preserve"> </w:t>
      </w:r>
      <w:r w:rsidRPr="00FF42A7">
        <w:rPr>
          <w:color w:val="0071BB"/>
          <w:w w:val="120"/>
        </w:rPr>
        <w:t>Konwencji</w:t>
      </w:r>
      <w:r w:rsidRPr="00FF42A7">
        <w:rPr>
          <w:color w:val="0071BB"/>
          <w:spacing w:val="40"/>
          <w:w w:val="120"/>
        </w:rPr>
        <w:t xml:space="preserve">  </w:t>
      </w:r>
      <w:r w:rsidRPr="00FF42A7">
        <w:rPr>
          <w:color w:val="0071BB"/>
          <w:w w:val="120"/>
        </w:rPr>
        <w:t xml:space="preserve"> </w:t>
      </w:r>
      <w:r w:rsidRPr="00FF42A7">
        <w:rPr>
          <w:color w:val="0071BB"/>
          <w:spacing w:val="40"/>
          <w:w w:val="120"/>
        </w:rPr>
        <w:t xml:space="preserve">  </w:t>
      </w:r>
      <w:r w:rsidRPr="00FF42A7">
        <w:rPr>
          <w:b/>
          <w:color w:val="0071BB"/>
          <w:w w:val="120"/>
        </w:rPr>
        <w:t xml:space="preserve"> </w:t>
      </w:r>
      <w:r w:rsidRPr="00FF42A7">
        <w:rPr>
          <w:b/>
          <w:color w:val="0071BB"/>
          <w:spacing w:val="40"/>
          <w:w w:val="120"/>
        </w:rPr>
        <w:t xml:space="preserve">  </w:t>
      </w:r>
      <w:r w:rsidRPr="00FF42A7">
        <w:rPr>
          <w:b/>
          <w:color w:val="0071BB"/>
          <w:w w:val="120"/>
        </w:rPr>
        <w:t xml:space="preserve"> </w:t>
      </w:r>
      <w:r w:rsidRPr="00FF42A7">
        <w:rPr>
          <w:b/>
          <w:color w:val="0071BB"/>
          <w:spacing w:val="40"/>
          <w:w w:val="120"/>
        </w:rPr>
        <w:t xml:space="preserve">  </w:t>
      </w:r>
      <w:r w:rsidRPr="00FF42A7">
        <w:rPr>
          <w:b/>
          <w:color w:val="0071BB"/>
          <w:w w:val="120"/>
        </w:rPr>
        <w:t xml:space="preserve"> </w:t>
      </w:r>
      <w:r w:rsidRPr="00FF42A7">
        <w:rPr>
          <w:b/>
          <w:color w:val="0071BB"/>
          <w:spacing w:val="40"/>
          <w:w w:val="120"/>
        </w:rPr>
        <w:t xml:space="preserve">  </w:t>
      </w:r>
      <w:r w:rsidRPr="00FF42A7">
        <w:rPr>
          <w:b/>
          <w:color w:val="0071BB"/>
          <w:w w:val="120"/>
        </w:rPr>
        <w:t xml:space="preserve"> w związku z art. </w:t>
      </w:r>
      <w:r w:rsidR="001F289B" w:rsidRPr="00FF42A7">
        <w:rPr>
          <w:b/>
          <w:color w:val="0071BB"/>
          <w:w w:val="120"/>
        </w:rPr>
        <w:t>1</w:t>
      </w:r>
      <w:r w:rsidR="001F289B" w:rsidRPr="00FF42A7">
        <w:rPr>
          <w:b/>
          <w:color w:val="0071BB"/>
          <w:spacing w:val="40"/>
          <w:w w:val="120"/>
        </w:rPr>
        <w:t xml:space="preserve"> </w:t>
      </w:r>
      <w:r w:rsidR="001F289B" w:rsidRPr="00FF42A7">
        <w:rPr>
          <w:color w:val="0071BB"/>
          <w:w w:val="120"/>
        </w:rPr>
        <w:t>(</w:t>
      </w:r>
      <w:r w:rsidRPr="00FF42A7">
        <w:rPr>
          <w:color w:val="0071BB"/>
          <w:w w:val="120"/>
        </w:rPr>
        <w:t xml:space="preserve">ochrona własności) </w:t>
      </w:r>
      <w:r w:rsidRPr="00FF42A7">
        <w:rPr>
          <w:b/>
          <w:color w:val="0071BB"/>
          <w:w w:val="120"/>
        </w:rPr>
        <w:t>Protokołu nr</w:t>
      </w:r>
      <w:r w:rsidRPr="00FF42A7">
        <w:rPr>
          <w:b/>
          <w:color w:val="0071BB"/>
          <w:spacing w:val="39"/>
          <w:w w:val="120"/>
        </w:rPr>
        <w:t xml:space="preserve"> 1</w:t>
      </w:r>
      <w:r w:rsidRPr="00FF42A7">
        <w:rPr>
          <w:b/>
          <w:color w:val="0071BB"/>
          <w:w w:val="120"/>
        </w:rPr>
        <w:t xml:space="preserve">, </w:t>
      </w:r>
      <w:r w:rsidRPr="00FF42A7">
        <w:rPr>
          <w:color w:val="0071BB"/>
          <w:w w:val="120"/>
        </w:rPr>
        <w:t>stwierdzając, że niezależnie od tego, czy chęć oszczędzenia uczuć bezdzietnych kobiet w pewnym wieku można uznać za cel uzasadniony,</w:t>
      </w:r>
      <w:r w:rsidRPr="00FF42A7">
        <w:rPr>
          <w:color w:val="0071BB"/>
          <w:spacing w:val="-6"/>
          <w:w w:val="120"/>
        </w:rPr>
        <w:t xml:space="preserve"> </w:t>
      </w:r>
      <w:r w:rsidRPr="00FF42A7">
        <w:rPr>
          <w:color w:val="0071BB"/>
          <w:spacing w:val="-2"/>
          <w:w w:val="120"/>
        </w:rPr>
        <w:t>cel</w:t>
      </w:r>
      <w:r w:rsidRPr="00FF42A7">
        <w:rPr>
          <w:color w:val="0071BB"/>
        </w:rPr>
        <w:t xml:space="preserve"> taki </w:t>
      </w:r>
      <w:r w:rsidRPr="00FF42A7">
        <w:rPr>
          <w:color w:val="0071BB"/>
          <w:spacing w:val="-4"/>
          <w:w w:val="120"/>
        </w:rPr>
        <w:t xml:space="preserve">mógł nie </w:t>
      </w:r>
      <w:r w:rsidRPr="00FF42A7">
        <w:rPr>
          <w:color w:val="0071BB"/>
          <w:spacing w:val="-2"/>
          <w:w w:val="120"/>
        </w:rPr>
        <w:t>stanowić</w:t>
      </w:r>
      <w:r w:rsidRPr="00FF42A7">
        <w:rPr>
          <w:color w:val="0071BB"/>
        </w:rPr>
        <w:tab/>
      </w:r>
      <w:r w:rsidRPr="00FF42A7">
        <w:rPr>
          <w:color w:val="0071BB"/>
          <w:spacing w:val="-2"/>
          <w:w w:val="120"/>
        </w:rPr>
        <w:t>uzasadnienia</w:t>
      </w:r>
      <w:r w:rsidRPr="00FF42A7">
        <w:rPr>
          <w:color w:val="0071BB"/>
        </w:rPr>
        <w:t xml:space="preserve"> </w:t>
      </w:r>
      <w:r w:rsidRPr="00FF42A7">
        <w:rPr>
          <w:color w:val="0071BB"/>
          <w:spacing w:val="-4"/>
          <w:w w:val="120"/>
        </w:rPr>
        <w:t xml:space="preserve">dla </w:t>
      </w:r>
      <w:r w:rsidRPr="00FF42A7">
        <w:rPr>
          <w:color w:val="0071BB"/>
          <w:w w:val="120"/>
        </w:rPr>
        <w:t xml:space="preserve">różnic w traktowaniu </w:t>
      </w:r>
      <w:r w:rsidRPr="00FF42A7">
        <w:rPr>
          <w:color w:val="0071BB"/>
          <w:spacing w:val="-2"/>
          <w:w w:val="120"/>
        </w:rPr>
        <w:t xml:space="preserve">ze względu na płeć </w:t>
      </w:r>
      <w:r w:rsidRPr="00FF42A7">
        <w:rPr>
          <w:color w:val="0071BB"/>
          <w:w w:val="120"/>
        </w:rPr>
        <w:t>w niniejszej sprawie. Trybunał zauważył w szczególności, że chociaż Państwa-Strony Konwencji mają pewną swobodę uznania w zakresie wprowadzania zwolnień od takich obowiązków składkowych, art. 14 wymaga, aby wszelkie takie środki były co do zasady stosowane w sposób jednakowy wobec mężczyzn i kobiet, chyba że istnieją ważne powody uzasadniające różnicę w traktowaniu. W niniejszej sprawie Trybunał nie był przekonany, że takie powody istnieją. W tym kontekście należy pamiętać, że podobnie jak kobiety powyżej 45 roku życia mogą rodzić dzieci, tak mężczyźni w wieku 45 lat lub młodsi mogą nie być w stanie mieć potomstwa. Trybunał zauważył ponadto, że niezamężna bezdzietna kobieta w wieku 45 lat lub starsza</w:t>
      </w:r>
      <w:r w:rsidR="00494495" w:rsidRPr="00FF42A7">
        <w:rPr>
          <w:color w:val="0071BB"/>
          <w:w w:val="120"/>
        </w:rPr>
        <w:t xml:space="preserve"> może</w:t>
      </w:r>
      <w:r w:rsidRPr="00FF42A7">
        <w:rPr>
          <w:color w:val="0071BB"/>
          <w:w w:val="120"/>
        </w:rPr>
        <w:t xml:space="preserve"> uzyskać prawo do świadczeń na podstawie przedmiotowej ustawy; może ona na przykład poślubić mężczyznę, który ma już dzieci z poprzedniego małżeństwa. Pon</w:t>
      </w:r>
      <w:r w:rsidRPr="00FF42A7">
        <w:rPr>
          <w:color w:val="0071BB"/>
          <w:spacing w:val="-4"/>
          <w:w w:val="120"/>
        </w:rPr>
        <w:t>adto</w:t>
      </w:r>
      <w:r w:rsidR="003279EE" w:rsidRPr="00FF42A7">
        <w:rPr>
          <w:color w:val="0071BB"/>
          <w:spacing w:val="-4"/>
          <w:w w:val="120"/>
        </w:rPr>
        <w:t xml:space="preserve"> </w:t>
      </w:r>
      <w:r w:rsidRPr="00FF42A7">
        <w:rPr>
          <w:color w:val="0071BB"/>
          <w:spacing w:val="-2"/>
          <w:w w:val="120"/>
        </w:rPr>
        <w:t>argument</w:t>
      </w:r>
      <w:r w:rsidRPr="00FF42A7">
        <w:rPr>
          <w:color w:val="0071BB"/>
          <w:spacing w:val="-4"/>
          <w:w w:val="120"/>
        </w:rPr>
        <w:t>,</w:t>
      </w:r>
      <w:r w:rsidR="003279EE" w:rsidRPr="00FF42A7">
        <w:rPr>
          <w:color w:val="0071BB"/>
          <w:spacing w:val="-4"/>
          <w:w w:val="120"/>
        </w:rPr>
        <w:t xml:space="preserve"> że pobieranie składek w ramach programu</w:t>
      </w:r>
      <w:r w:rsidRPr="00FF42A7">
        <w:rPr>
          <w:color w:val="0071BB"/>
          <w:spacing w:val="-4"/>
          <w:w w:val="120"/>
        </w:rPr>
        <w:t xml:space="preserve"> </w:t>
      </w:r>
      <w:r w:rsidRPr="00FF42A7">
        <w:rPr>
          <w:color w:val="0071BB"/>
          <w:spacing w:val="-2"/>
          <w:w w:val="120"/>
        </w:rPr>
        <w:t>świadczeń</w:t>
      </w:r>
      <w:r w:rsidR="00376535" w:rsidRPr="00FF42A7">
        <w:rPr>
          <w:color w:val="0071BB"/>
          <w:spacing w:val="-2"/>
          <w:w w:val="120"/>
        </w:rPr>
        <w:t xml:space="preserve"> z tytułu opieki and dzieckiem</w:t>
      </w:r>
      <w:r w:rsidR="00494495" w:rsidRPr="00FF42A7">
        <w:rPr>
          <w:color w:val="0071BB"/>
          <w:spacing w:val="-2"/>
          <w:w w:val="120"/>
        </w:rPr>
        <w:t xml:space="preserve"> </w:t>
      </w:r>
      <w:r w:rsidR="00376535" w:rsidRPr="00FF42A7">
        <w:rPr>
          <w:color w:val="0071BB"/>
        </w:rPr>
        <w:t>od</w:t>
      </w:r>
      <w:r w:rsidRPr="00FF42A7">
        <w:rPr>
          <w:color w:val="0071BB"/>
          <w:w w:val="120"/>
        </w:rPr>
        <w:t xml:space="preserve"> niezamężnych</w:t>
      </w:r>
      <w:r w:rsidR="00376535" w:rsidRPr="00FF42A7">
        <w:rPr>
          <w:color w:val="0071BB"/>
          <w:w w:val="120"/>
        </w:rPr>
        <w:t xml:space="preserve">, </w:t>
      </w:r>
      <w:r w:rsidRPr="00FF42A7">
        <w:rPr>
          <w:color w:val="0071BB"/>
          <w:w w:val="120"/>
        </w:rPr>
        <w:t xml:space="preserve">bezdzietnych </w:t>
      </w:r>
      <w:r w:rsidR="00376535" w:rsidRPr="00FF42A7">
        <w:rPr>
          <w:color w:val="0071BB"/>
          <w:w w:val="120"/>
        </w:rPr>
        <w:t xml:space="preserve">kobiet </w:t>
      </w:r>
      <w:r w:rsidRPr="00FF42A7">
        <w:rPr>
          <w:color w:val="0071BB"/>
          <w:w w:val="120"/>
        </w:rPr>
        <w:t>stanowiłoby dla nich nieuzasadnione obciążenie emocjonalne</w:t>
      </w:r>
      <w:r w:rsidRPr="00FF42A7">
        <w:rPr>
          <w:color w:val="0071BB"/>
          <w:spacing w:val="-2"/>
          <w:w w:val="120"/>
        </w:rPr>
        <w:t xml:space="preserve">, </w:t>
      </w:r>
      <w:r w:rsidRPr="00FF42A7">
        <w:rPr>
          <w:color w:val="0071BB"/>
          <w:w w:val="120"/>
        </w:rPr>
        <w:t xml:space="preserve">można </w:t>
      </w:r>
      <w:r w:rsidR="00376535" w:rsidRPr="00FF42A7">
        <w:rPr>
          <w:color w:val="0071BB"/>
          <w:w w:val="120"/>
        </w:rPr>
        <w:t>równie</w:t>
      </w:r>
      <w:r w:rsidRPr="00FF42A7">
        <w:rPr>
          <w:color w:val="0071BB"/>
          <w:w w:val="120"/>
        </w:rPr>
        <w:t xml:space="preserve"> dobrze </w:t>
      </w:r>
      <w:r w:rsidR="003279EE" w:rsidRPr="00FF42A7">
        <w:rPr>
          <w:color w:val="0071BB"/>
          <w:w w:val="120"/>
        </w:rPr>
        <w:t>odnieść</w:t>
      </w:r>
      <w:r w:rsidR="00376535" w:rsidRPr="00FF42A7">
        <w:rPr>
          <w:color w:val="0071BB"/>
          <w:w w:val="120"/>
        </w:rPr>
        <w:t xml:space="preserve"> </w:t>
      </w:r>
      <w:r w:rsidRPr="00FF42A7">
        <w:rPr>
          <w:color w:val="0071BB"/>
          <w:w w:val="120"/>
        </w:rPr>
        <w:t xml:space="preserve">do </w:t>
      </w:r>
      <w:r w:rsidR="003279EE" w:rsidRPr="00FF42A7">
        <w:rPr>
          <w:color w:val="0071BB"/>
          <w:w w:val="120"/>
        </w:rPr>
        <w:t xml:space="preserve">nieżonatych i </w:t>
      </w:r>
      <w:r w:rsidRPr="00FF42A7">
        <w:rPr>
          <w:color w:val="0071BB"/>
          <w:w w:val="120"/>
        </w:rPr>
        <w:t xml:space="preserve">bezdzietnych </w:t>
      </w:r>
      <w:r w:rsidR="00376535" w:rsidRPr="00FF42A7">
        <w:rPr>
          <w:color w:val="0071BB"/>
          <w:w w:val="120"/>
        </w:rPr>
        <w:t xml:space="preserve">mężczyzn </w:t>
      </w:r>
      <w:r w:rsidRPr="00FF42A7">
        <w:rPr>
          <w:color w:val="0071BB"/>
          <w:w w:val="120"/>
        </w:rPr>
        <w:t>lub bezdzietnych</w:t>
      </w:r>
      <w:r w:rsidR="00376535" w:rsidRPr="00FF42A7">
        <w:rPr>
          <w:color w:val="0071BB"/>
          <w:w w:val="120"/>
        </w:rPr>
        <w:t xml:space="preserve"> par</w:t>
      </w:r>
      <w:r w:rsidRPr="00FF42A7">
        <w:rPr>
          <w:color w:val="0071BB"/>
          <w:w w:val="120"/>
        </w:rPr>
        <w:t>.</w:t>
      </w:r>
    </w:p>
    <w:p w14:paraId="4A2FD41D" w14:textId="77777777" w:rsidR="009F1A47" w:rsidRPr="00FF42A7" w:rsidRDefault="00000000" w:rsidP="00146A0A">
      <w:pPr>
        <w:pStyle w:val="Nagwek1"/>
        <w:spacing w:before="157"/>
      </w:pPr>
      <w:r w:rsidRPr="00FF42A7">
        <w:rPr>
          <w:color w:val="808080"/>
          <w:spacing w:val="-2"/>
          <w:w w:val="120"/>
          <w:sz w:val="29"/>
        </w:rPr>
        <w:t xml:space="preserve">System </w:t>
      </w:r>
      <w:r w:rsidRPr="00FF42A7">
        <w:rPr>
          <w:color w:val="808080"/>
          <w:w w:val="120"/>
          <w:sz w:val="29"/>
        </w:rPr>
        <w:t>emerytalny</w:t>
      </w:r>
    </w:p>
    <w:p w14:paraId="27E93028" w14:textId="77777777" w:rsidR="009F1A47" w:rsidRPr="00FF42A7" w:rsidRDefault="00000000">
      <w:pPr>
        <w:spacing w:before="117"/>
        <w:ind w:left="874"/>
        <w:rPr>
          <w:rFonts w:ascii="Arial" w:hAnsi="Arial"/>
          <w:b/>
          <w:i/>
          <w:sz w:val="20"/>
        </w:rPr>
      </w:pPr>
      <w:r w:rsidRPr="00FF42A7">
        <w:rPr>
          <w:rFonts w:ascii="Arial" w:hAnsi="Arial"/>
          <w:b/>
          <w:i/>
          <w:color w:val="4D4D4D"/>
          <w:spacing w:val="-2"/>
          <w:w w:val="115"/>
          <w:sz w:val="20"/>
        </w:rPr>
        <w:t xml:space="preserve">Emerytura </w:t>
      </w:r>
      <w:r w:rsidRPr="00FF42A7">
        <w:rPr>
          <w:rFonts w:ascii="Arial" w:hAnsi="Arial"/>
          <w:b/>
          <w:i/>
          <w:color w:val="4D4D4D"/>
          <w:w w:val="115"/>
          <w:sz w:val="20"/>
        </w:rPr>
        <w:t>dla osób pozostających w związku małżeńskim</w:t>
      </w:r>
    </w:p>
    <w:p w14:paraId="37E93D48" w14:textId="77777777" w:rsidR="009F1A47" w:rsidRPr="00FF42A7" w:rsidRDefault="009F1A47">
      <w:pPr>
        <w:pStyle w:val="Nagwek2"/>
        <w:spacing w:before="132"/>
        <w:rPr>
          <w:u w:val="none"/>
        </w:rPr>
      </w:pPr>
      <w:hyperlink r:id="rId94">
        <w:proofErr w:type="spellStart"/>
        <w:r w:rsidRPr="00FF42A7">
          <w:rPr>
            <w:color w:val="0071BB"/>
            <w:w w:val="135"/>
            <w:u w:color="0071BB"/>
          </w:rPr>
          <w:t>Wessels-Bergervoet</w:t>
        </w:r>
        <w:proofErr w:type="spellEnd"/>
        <w:r w:rsidRPr="00FF42A7">
          <w:rPr>
            <w:color w:val="0071BB"/>
            <w:w w:val="135"/>
            <w:u w:color="0071BB"/>
          </w:rPr>
          <w:t xml:space="preserve"> przeciwko </w:t>
        </w:r>
        <w:r w:rsidRPr="00FF42A7">
          <w:rPr>
            <w:color w:val="0071BB"/>
            <w:spacing w:val="-2"/>
            <w:w w:val="135"/>
            <w:u w:color="0071BB"/>
          </w:rPr>
          <w:t>Niderlandom</w:t>
        </w:r>
      </w:hyperlink>
    </w:p>
    <w:p w14:paraId="09E0C954" w14:textId="37052B06" w:rsidR="009F1A47" w:rsidRPr="00FF42A7" w:rsidRDefault="00000000">
      <w:pPr>
        <w:spacing w:before="55"/>
        <w:ind w:left="874"/>
        <w:jc w:val="both"/>
        <w:rPr>
          <w:sz w:val="18"/>
        </w:rPr>
      </w:pPr>
      <w:r w:rsidRPr="00FF42A7">
        <w:rPr>
          <w:color w:val="808080"/>
          <w:w w:val="125"/>
          <w:sz w:val="18"/>
        </w:rPr>
        <w:t>4 czerwca</w:t>
      </w:r>
      <w:r w:rsidRPr="00FF42A7">
        <w:rPr>
          <w:color w:val="808080"/>
          <w:spacing w:val="-4"/>
          <w:w w:val="125"/>
          <w:sz w:val="18"/>
        </w:rPr>
        <w:t xml:space="preserve"> 2002</w:t>
      </w:r>
      <w:r w:rsidR="00494495" w:rsidRPr="00FF42A7">
        <w:rPr>
          <w:color w:val="808080"/>
          <w:spacing w:val="-4"/>
          <w:w w:val="125"/>
          <w:sz w:val="18"/>
        </w:rPr>
        <w:t xml:space="preserve"> r.</w:t>
      </w:r>
    </w:p>
    <w:p w14:paraId="60747F72" w14:textId="1C2FFD6F" w:rsidR="009F1A47" w:rsidRPr="00FF42A7" w:rsidRDefault="00494495" w:rsidP="00CC5150">
      <w:pPr>
        <w:pStyle w:val="Tekstpodstawowy"/>
        <w:spacing w:before="2"/>
        <w:ind w:left="873" w:right="870"/>
        <w:sectPr w:rsidR="009F1A47" w:rsidRPr="00FF42A7">
          <w:pgSz w:w="11910" w:h="16840"/>
          <w:pgMar w:top="1400" w:right="566" w:bottom="680" w:left="566" w:header="720" w:footer="497" w:gutter="0"/>
          <w:cols w:space="708"/>
        </w:sectPr>
      </w:pPr>
      <w:r w:rsidRPr="00FF42A7">
        <w:rPr>
          <w:w w:val="120"/>
        </w:rPr>
        <w:t>Skarżąca</w:t>
      </w:r>
      <w:r w:rsidR="001B11D4" w:rsidRPr="00FF42A7">
        <w:rPr>
          <w:spacing w:val="40"/>
          <w:w w:val="120"/>
        </w:rPr>
        <w:t xml:space="preserve"> </w:t>
      </w:r>
      <w:r w:rsidR="001B11D4" w:rsidRPr="008D0C52">
        <w:rPr>
          <w:w w:val="120"/>
        </w:rPr>
        <w:t>oraz jej mąż mieszkali</w:t>
      </w:r>
      <w:r w:rsidR="008D0C52" w:rsidRPr="008D0C52">
        <w:rPr>
          <w:w w:val="120"/>
        </w:rPr>
        <w:t xml:space="preserve"> </w:t>
      </w:r>
      <w:r w:rsidRPr="00FF42A7">
        <w:rPr>
          <w:w w:val="120"/>
        </w:rPr>
        <w:t>przez całe</w:t>
      </w:r>
      <w:r w:rsidRPr="008D0C52">
        <w:rPr>
          <w:w w:val="120"/>
        </w:rPr>
        <w:t xml:space="preserve">  </w:t>
      </w:r>
      <w:r w:rsidRPr="00FF42A7">
        <w:rPr>
          <w:w w:val="120"/>
        </w:rPr>
        <w:t xml:space="preserve"> </w:t>
      </w:r>
      <w:r w:rsidR="008D0C52" w:rsidRPr="00FF42A7">
        <w:rPr>
          <w:w w:val="120"/>
        </w:rPr>
        <w:t>życie</w:t>
      </w:r>
      <w:r w:rsidR="008D0C52" w:rsidRPr="008D0C52">
        <w:rPr>
          <w:w w:val="120"/>
        </w:rPr>
        <w:t xml:space="preserve"> </w:t>
      </w:r>
      <w:r w:rsidR="008D0C52" w:rsidRPr="00FF42A7">
        <w:rPr>
          <w:w w:val="120"/>
        </w:rPr>
        <w:t>w</w:t>
      </w:r>
      <w:r w:rsidR="00DD5630" w:rsidRPr="00FF42A7">
        <w:rPr>
          <w:w w:val="120"/>
        </w:rPr>
        <w:t xml:space="preserve"> Niderlandach.</w:t>
      </w:r>
      <w:r w:rsidR="00CC5150" w:rsidRPr="008D0C52">
        <w:rPr>
          <w:w w:val="120"/>
        </w:rPr>
        <w:t xml:space="preserve"> Mężowi</w:t>
      </w:r>
      <w:r w:rsidR="00CC5150" w:rsidRPr="00FF42A7">
        <w:rPr>
          <w:spacing w:val="40"/>
          <w:w w:val="120"/>
        </w:rPr>
        <w:t xml:space="preserve"> </w:t>
      </w:r>
      <w:r w:rsidRPr="00FF42A7">
        <w:rPr>
          <w:w w:val="120"/>
        </w:rPr>
        <w:t>skarżącej przyznano emeryturę dla osób pozostających w związku małżeńskim na podstawie ustawy o powszechnym ubezpieczeniu emerytalnym (</w:t>
      </w:r>
      <w:proofErr w:type="spellStart"/>
      <w:r w:rsidRPr="00FF42A7">
        <w:rPr>
          <w:i/>
          <w:w w:val="120"/>
        </w:rPr>
        <w:t>Algemene</w:t>
      </w:r>
      <w:proofErr w:type="spellEnd"/>
      <w:r w:rsidRPr="00FF42A7">
        <w:rPr>
          <w:i/>
          <w:w w:val="120"/>
        </w:rPr>
        <w:t xml:space="preserve"> </w:t>
      </w:r>
      <w:proofErr w:type="spellStart"/>
      <w:r w:rsidRPr="00FF42A7">
        <w:rPr>
          <w:i/>
          <w:w w:val="120"/>
        </w:rPr>
        <w:t>Ouderdomswet</w:t>
      </w:r>
      <w:proofErr w:type="spellEnd"/>
      <w:r w:rsidRPr="00FF42A7">
        <w:rPr>
          <w:i/>
          <w:w w:val="120"/>
        </w:rPr>
        <w:t xml:space="preserve"> </w:t>
      </w:r>
      <w:r w:rsidRPr="00FF42A7">
        <w:rPr>
          <w:w w:val="120"/>
        </w:rPr>
        <w:t xml:space="preserve">– </w:t>
      </w:r>
      <w:r w:rsidRPr="00FF42A7">
        <w:rPr>
          <w:i/>
          <w:iCs/>
          <w:w w:val="120"/>
        </w:rPr>
        <w:t>„AOW”</w:t>
      </w:r>
      <w:r w:rsidRPr="00FF42A7">
        <w:rPr>
          <w:w w:val="120"/>
        </w:rPr>
        <w:t>) z dniem 1</w:t>
      </w:r>
      <w:r w:rsidR="003279EE" w:rsidRPr="00FF42A7">
        <w:rPr>
          <w:w w:val="120"/>
        </w:rPr>
        <w:t xml:space="preserve"> sierpnia 1984 r. Jednakże jego emerytura została obniżona o 38%,</w:t>
      </w:r>
    </w:p>
    <w:p w14:paraId="65ED0ACC" w14:textId="245E4C17" w:rsidR="009F1A47" w:rsidRPr="00FF42A7" w:rsidRDefault="00B731CD" w:rsidP="00CC5150">
      <w:pPr>
        <w:pStyle w:val="Tekstpodstawowy"/>
        <w:spacing w:before="1"/>
        <w:ind w:right="870"/>
      </w:pPr>
      <w:r w:rsidRPr="00FF42A7">
        <w:rPr>
          <w:w w:val="120"/>
        </w:rPr>
        <w:lastRenderedPageBreak/>
        <w:t>ponieważ nie był on ubezpieczony na podstawie tej ustawy przez okres 19 lat, kiedy to pracował w Niemczech i był ubezpieczony na podstawie niemieckich przepisów dotyczących zabezpieczenia społecznego. Od tej decyzji nie wniesiono odwołania. Skarżącej przyznano emeryturę na podstawie AOW od dnia 1 marca 1989 r. na takich samych zasadach jak emerytura jej męża, zmniejszoną o 38%. Odwoła</w:t>
      </w:r>
      <w:r w:rsidR="008E2D9D" w:rsidRPr="00FF42A7">
        <w:rPr>
          <w:w w:val="120"/>
        </w:rPr>
        <w:t>ła się bezskutecznie</w:t>
      </w:r>
      <w:r w:rsidRPr="00FF42A7">
        <w:rPr>
          <w:w w:val="120"/>
        </w:rPr>
        <w:t xml:space="preserve">. Skarżąca twierdziła, że obniżenie jej emerytury na podstawie AOW stanowiło dyskryminację ze względu na płeć, ponieważ w tamtym czasie zamężna kobieta była ubezpieczona na podstawie tej ustawy tylko w okresie, w którym ubezpieczony był jej mąż, podczas gdy nie istniała analogiczna zasada dotycząca </w:t>
      </w:r>
      <w:r w:rsidR="008E2D9D" w:rsidRPr="00FF42A7">
        <w:rPr>
          <w:w w:val="120"/>
        </w:rPr>
        <w:t xml:space="preserve">żonatych </w:t>
      </w:r>
      <w:r w:rsidRPr="00FF42A7">
        <w:rPr>
          <w:w w:val="120"/>
        </w:rPr>
        <w:t>mężczyzn.</w:t>
      </w:r>
    </w:p>
    <w:p w14:paraId="51C432D0" w14:textId="23E22FA8"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008D1ED9" w:rsidRPr="00FF42A7">
        <w:rPr>
          <w:b/>
          <w:bCs/>
          <w:color w:val="0071BB"/>
          <w:w w:val="120"/>
        </w:rPr>
        <w:t>P</w:t>
      </w:r>
      <w:r w:rsidRPr="00FF42A7">
        <w:rPr>
          <w:b/>
          <w:color w:val="0071BB"/>
          <w:w w:val="120"/>
        </w:rPr>
        <w:t>rotokołu nr 1</w:t>
      </w:r>
      <w:r w:rsidRPr="00FF42A7">
        <w:rPr>
          <w:color w:val="0071BB"/>
          <w:w w:val="120"/>
        </w:rPr>
        <w:t xml:space="preserve">, stwierdzając, że różnica w traktowaniu kobiet zamężnych i mężczyzn żonatych w zakresie uprawnień do świadczeń na podstawie AOW, której ofiarą padła skarżąca, nie była oparta na żadnym „obiektywnym i </w:t>
      </w:r>
      <w:r w:rsidR="008E2D9D" w:rsidRPr="00FF42A7">
        <w:rPr>
          <w:color w:val="0071BB"/>
          <w:w w:val="120"/>
        </w:rPr>
        <w:t xml:space="preserve">rozsądnym </w:t>
      </w:r>
      <w:r w:rsidRPr="00FF42A7">
        <w:rPr>
          <w:color w:val="0071BB"/>
          <w:w w:val="120"/>
        </w:rPr>
        <w:t>uzasadnieniu”. Trybunał zauważył w szczególności, że badając, czy różnica w traktowaniu może być uznana za uzasadnioną, bierze pod uwagę nie tylko cel, jaki przyświecał wprowadzeniu odpowiednich przepisów, ale także skutki, jakie wywołuje ona w konkretnym przypadku. W niniejszej sprawie skarżąca otrzymywała od dnia</w:t>
      </w:r>
      <w:r w:rsidRPr="00FF42A7">
        <w:rPr>
          <w:color w:val="0071BB"/>
          <w:spacing w:val="40"/>
          <w:w w:val="120"/>
        </w:rPr>
        <w:t xml:space="preserve"> 1 </w:t>
      </w:r>
      <w:r w:rsidRPr="00FF42A7">
        <w:rPr>
          <w:color w:val="0071BB"/>
          <w:w w:val="120"/>
        </w:rPr>
        <w:t>marca 1989 r. emeryturę o 38 % niższą od emerytury, którą otrzymałby mężczyzna pozostający w takim samym związku małżeńskim. Innymi słowy, nierówność w traktowaniu wynikająca z poprzednich przepisów prawa zmaterializowała się w 1989 r., kiedy to, biorąc pod uwagę panujące wówczas poglądy społeczne, cel przepisów prawa nie mógł być już dłużej utrzymywany. W tym kontekście Trybunał wziął również pod uwagę, że w 1985 r., kiedy zmieniono odpowiednie przepisy prawne w celu dostosowania ich do bardziej współczesnych standardów równości mężczyzn i kobiet, nie podjęto żadnych środków w celu usunięcia dyskryminującego skutku poprzednich przepisów prawnych.</w:t>
      </w:r>
    </w:p>
    <w:p w14:paraId="6EDE3551" w14:textId="77777777" w:rsidR="009F1A47" w:rsidRPr="00FF42A7" w:rsidRDefault="00000000">
      <w:pPr>
        <w:spacing w:before="94"/>
        <w:ind w:left="873"/>
        <w:jc w:val="both"/>
        <w:rPr>
          <w:rFonts w:ascii="Arial"/>
          <w:b/>
          <w:i/>
          <w:sz w:val="20"/>
        </w:rPr>
      </w:pPr>
      <w:r w:rsidRPr="00FF42A7">
        <w:rPr>
          <w:rFonts w:ascii="Arial"/>
          <w:b/>
          <w:i/>
          <w:color w:val="4D4D4D"/>
          <w:spacing w:val="-5"/>
          <w:w w:val="115"/>
          <w:sz w:val="20"/>
        </w:rPr>
        <w:t xml:space="preserve">Wiek </w:t>
      </w:r>
      <w:r w:rsidRPr="00FF42A7">
        <w:rPr>
          <w:rFonts w:ascii="Arial"/>
          <w:b/>
          <w:i/>
          <w:color w:val="4D4D4D"/>
          <w:w w:val="115"/>
          <w:sz w:val="20"/>
        </w:rPr>
        <w:t>emerytalny</w:t>
      </w:r>
    </w:p>
    <w:p w14:paraId="5DB069DF" w14:textId="77777777" w:rsidR="009F1A47" w:rsidRPr="00FF42A7" w:rsidRDefault="009F1A47">
      <w:pPr>
        <w:pStyle w:val="Nagwek2"/>
        <w:spacing w:before="130"/>
        <w:ind w:left="873"/>
        <w:rPr>
          <w:u w:val="none"/>
        </w:rPr>
      </w:pPr>
      <w:hyperlink r:id="rId95">
        <w:proofErr w:type="spellStart"/>
        <w:r w:rsidRPr="00FF42A7">
          <w:rPr>
            <w:color w:val="0071BB"/>
            <w:w w:val="135"/>
            <w:u w:color="0071BB"/>
          </w:rPr>
          <w:t>Andrle</w:t>
        </w:r>
        <w:proofErr w:type="spellEnd"/>
        <w:r w:rsidRPr="00FF42A7">
          <w:rPr>
            <w:color w:val="0071BB"/>
            <w:w w:val="135"/>
            <w:u w:color="0071BB"/>
          </w:rPr>
          <w:t xml:space="preserve"> przeciwko </w:t>
        </w:r>
        <w:r w:rsidRPr="00FF42A7">
          <w:rPr>
            <w:color w:val="0071BB"/>
            <w:spacing w:val="-2"/>
            <w:w w:val="135"/>
            <w:u w:color="0071BB"/>
          </w:rPr>
          <w:t>Republice</w:t>
        </w:r>
        <w:r w:rsidRPr="00FF42A7">
          <w:rPr>
            <w:color w:val="0071BB"/>
            <w:w w:val="135"/>
            <w:u w:color="0071BB"/>
          </w:rPr>
          <w:t xml:space="preserve"> Czeskiej</w:t>
        </w:r>
      </w:hyperlink>
    </w:p>
    <w:p w14:paraId="53DA7D2E" w14:textId="3259116B" w:rsidR="009F1A47" w:rsidRPr="00FF42A7" w:rsidRDefault="00000000">
      <w:pPr>
        <w:spacing w:before="58"/>
        <w:ind w:left="874"/>
        <w:jc w:val="both"/>
        <w:rPr>
          <w:sz w:val="18"/>
        </w:rPr>
      </w:pPr>
      <w:r w:rsidRPr="00FF42A7">
        <w:rPr>
          <w:color w:val="808080"/>
          <w:w w:val="125"/>
          <w:sz w:val="18"/>
        </w:rPr>
        <w:t>17 lutego</w:t>
      </w:r>
      <w:r w:rsidRPr="00FF42A7">
        <w:rPr>
          <w:color w:val="808080"/>
          <w:spacing w:val="-4"/>
          <w:w w:val="125"/>
          <w:sz w:val="18"/>
        </w:rPr>
        <w:t xml:space="preserve"> 2011</w:t>
      </w:r>
      <w:r w:rsidR="00DD5630" w:rsidRPr="00FF42A7">
        <w:rPr>
          <w:color w:val="808080"/>
          <w:spacing w:val="-4"/>
          <w:w w:val="125"/>
          <w:sz w:val="18"/>
        </w:rPr>
        <w:t xml:space="preserve"> r.</w:t>
      </w:r>
    </w:p>
    <w:p w14:paraId="00014081" w14:textId="374B1201" w:rsidR="009F1A47" w:rsidRPr="00FF42A7" w:rsidRDefault="00000000">
      <w:pPr>
        <w:pStyle w:val="Tekstpodstawowy"/>
        <w:spacing w:before="1"/>
        <w:ind w:right="868"/>
      </w:pPr>
      <w:r w:rsidRPr="00FF42A7">
        <w:rPr>
          <w:w w:val="120"/>
        </w:rPr>
        <w:t xml:space="preserve">Sprawa dotyczyła obecnego systemu emerytalnego w Czechach, w ramach którego kobiety i mężczyźni sprawujący opiekę nad dziećmi nabywali uprawnienia emerytalne w różnym wieku. Po rozwodzie skarżący uzyskał prawo do opieki nad dwójką małoletnich dzieci. W 2003 r. wystąpił o przejście na emeryturę w wieku 57 lat, ale jego wniosek został odrzucony z powodu nieosiągnięcia wieku emerytalnego, który wynosił wówczas 60 lat dla mężczyzn. Wiek emerytalny dla kobiet wynosił 57 lat lub mniej, w zależności od liczby wychowanych dzieci. Wnoszący skargę odwołał się, twierdząc, że przy obliczaniu wieku emerytalnego należało uwzględnić fakt, że wychował dwoje dzieci, ale jego odwołanie zostało oddalone po tym, jak Trybunał Konstytucyjny orzekł w odrębnym postępowaniu, że przepisy nie są niezgodne z </w:t>
      </w:r>
      <w:r w:rsidR="00555363" w:rsidRPr="00FF42A7">
        <w:rPr>
          <w:w w:val="120"/>
        </w:rPr>
        <w:t>K</w:t>
      </w:r>
      <w:r w:rsidRPr="00FF42A7">
        <w:rPr>
          <w:w w:val="120"/>
        </w:rPr>
        <w:t>onstytucją. Wnoszący skargę zarzucał w szczególności, że odmówiono mu emerytury w wieku, w którym kobieta w jego sytuacji mogłaby ją otrzymać.</w:t>
      </w:r>
    </w:p>
    <w:p w14:paraId="4B1452D4" w14:textId="1F651172" w:rsidR="009F1A47" w:rsidRPr="00FF42A7" w:rsidRDefault="00000000" w:rsidP="00146A0A">
      <w:pPr>
        <w:pStyle w:val="Tekstpodstawowy"/>
        <w:ind w:right="869"/>
        <w:jc w:val="distribute"/>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w:t>
      </w:r>
      <w:r w:rsidRPr="00FF42A7">
        <w:rPr>
          <w:b/>
          <w:color w:val="0071BB"/>
          <w:w w:val="120"/>
        </w:rPr>
        <w:t xml:space="preserve"> 1 </w:t>
      </w:r>
      <w:r w:rsidRPr="00FF42A7">
        <w:rPr>
          <w:color w:val="0071BB"/>
          <w:w w:val="120"/>
        </w:rPr>
        <w:t xml:space="preserve">(ochrona własności) </w:t>
      </w:r>
      <w:r w:rsidR="00AB7905" w:rsidRPr="00FF42A7">
        <w:rPr>
          <w:b/>
          <w:color w:val="0071BB"/>
          <w:w w:val="120"/>
        </w:rPr>
        <w:t xml:space="preserve">Protokołu </w:t>
      </w:r>
      <w:r w:rsidRPr="00FF42A7">
        <w:rPr>
          <w:b/>
          <w:color w:val="0071BB"/>
          <w:w w:val="120"/>
        </w:rPr>
        <w:t>nr 1</w:t>
      </w:r>
      <w:r w:rsidRPr="00FF42A7">
        <w:rPr>
          <w:color w:val="0071BB"/>
          <w:w w:val="120"/>
        </w:rPr>
        <w:t xml:space="preserve">, stwierdzając, że podejście Republiki Czeskiej do systemu emerytalnego było uzasadnione w sposób racjonalny i obiektywny i będzie takie nadal, dopóki zmiany społeczne i gospodarcze w tym kraju nie spowodują, że specjalne traktowanie kobiet nie będzie już konieczne. W szczególności uznał, że obniżenie wieku uprawniającego kobiety do emerytury w Republice Czeskiej, przyjęte w 1964 r. na mocy ustawy o zabezpieczeniu społecznym, wynikało ze szczególnych okoliczności historycznych i odzwierciedlało realia ówczesnej socjalistycznej Czechosłowacji. Środek ten służył „uzasadnionemu celowi”, ponieważ miał na celu zrekompensowanie nierówności i trudności wynikających z oczekiwań wobec kobiet w ramach modelu rodziny obowiązującego w tamtym czasie (i utrzymującego się do dziś), zgodnie z którym kobiety miały pracować w pełnym wymiarze czasu pracy, a jednocześnie zajmować się dziećmi i gospodarstwem domowym. W rzeczywistości wynagrodzenia i emerytury kobiet były również ogólnie niższe w porównaniu z mężczyznami. Trybunał podkreślił również, że władze krajowe są najlepiej przygotowane do rozstrzygania </w:t>
      </w:r>
      <w:r w:rsidRPr="00FF42A7">
        <w:rPr>
          <w:color w:val="0071BB"/>
          <w:spacing w:val="26"/>
          <w:w w:val="120"/>
        </w:rPr>
        <w:t xml:space="preserve">tak </w:t>
      </w:r>
      <w:r w:rsidRPr="00FF42A7">
        <w:rPr>
          <w:color w:val="0071BB"/>
          <w:w w:val="120"/>
        </w:rPr>
        <w:t xml:space="preserve">złożonych kwestii dotyczących </w:t>
      </w:r>
    </w:p>
    <w:p w14:paraId="65BA712C" w14:textId="77777777" w:rsidR="009F1A47" w:rsidRPr="00FF42A7" w:rsidRDefault="009F1A47">
      <w:pPr>
        <w:pStyle w:val="Tekstpodstawowy"/>
        <w:sectPr w:rsidR="009F1A47" w:rsidRPr="00FF42A7">
          <w:pgSz w:w="11910" w:h="16840"/>
          <w:pgMar w:top="1400" w:right="566" w:bottom="680" w:left="566" w:header="720" w:footer="497" w:gutter="0"/>
          <w:cols w:space="708"/>
        </w:sectPr>
      </w:pPr>
    </w:p>
    <w:p w14:paraId="3C948ABD" w14:textId="77777777" w:rsidR="009F1A47" w:rsidRPr="00FF42A7" w:rsidRDefault="009F1A47">
      <w:pPr>
        <w:pStyle w:val="Tekstpodstawowy"/>
        <w:spacing w:before="59"/>
        <w:ind w:left="0"/>
        <w:jc w:val="left"/>
      </w:pPr>
    </w:p>
    <w:p w14:paraId="299B41C3" w14:textId="5774D103" w:rsidR="009F1A47" w:rsidRPr="00FF42A7" w:rsidRDefault="00555363">
      <w:pPr>
        <w:pStyle w:val="Tekstpodstawowy"/>
        <w:spacing w:before="1"/>
        <w:ind w:right="872"/>
      </w:pPr>
      <w:r w:rsidRPr="00FF42A7">
        <w:rPr>
          <w:color w:val="0071BB"/>
          <w:w w:val="120"/>
        </w:rPr>
        <w:t>ekonomii oraz polityki społecznej, które zależały od wielu zmiennych krajowych i bezpośredniej wiedzy na temat danego społeczeństwa.</w:t>
      </w:r>
    </w:p>
    <w:p w14:paraId="4436AC28" w14:textId="77777777" w:rsidR="009F1A47" w:rsidRPr="00FF42A7" w:rsidRDefault="00000000">
      <w:pPr>
        <w:spacing w:before="119"/>
        <w:ind w:left="873"/>
        <w:jc w:val="both"/>
        <w:rPr>
          <w:rFonts w:ascii="Arial" w:hAnsi="Arial"/>
          <w:b/>
          <w:i/>
          <w:sz w:val="20"/>
        </w:rPr>
      </w:pPr>
      <w:r w:rsidRPr="00FF42A7">
        <w:rPr>
          <w:rFonts w:ascii="Arial" w:hAnsi="Arial"/>
          <w:b/>
          <w:i/>
          <w:color w:val="4D4D4D"/>
          <w:spacing w:val="-2"/>
          <w:w w:val="115"/>
          <w:sz w:val="20"/>
        </w:rPr>
        <w:t xml:space="preserve">Renta </w:t>
      </w:r>
      <w:r w:rsidRPr="00FF42A7">
        <w:rPr>
          <w:rFonts w:ascii="Arial" w:hAnsi="Arial"/>
          <w:b/>
          <w:i/>
          <w:color w:val="4D4D4D"/>
          <w:w w:val="115"/>
          <w:sz w:val="20"/>
        </w:rPr>
        <w:t>dla osób pozostałych przy życiu</w:t>
      </w:r>
    </w:p>
    <w:p w14:paraId="00775DF7" w14:textId="77777777" w:rsidR="009F1A47" w:rsidRPr="00FF42A7" w:rsidRDefault="009F1A47">
      <w:pPr>
        <w:pStyle w:val="Nagwek2"/>
        <w:spacing w:before="132"/>
        <w:ind w:left="873"/>
        <w:rPr>
          <w:u w:val="none"/>
        </w:rPr>
      </w:pPr>
      <w:hyperlink r:id="rId96">
        <w:r w:rsidRPr="00FF42A7">
          <w:rPr>
            <w:color w:val="0071BB"/>
            <w:w w:val="135"/>
            <w:u w:color="0071BB"/>
          </w:rPr>
          <w:t xml:space="preserve">Zeman przeciwko </w:t>
        </w:r>
        <w:r w:rsidRPr="00FF42A7">
          <w:rPr>
            <w:color w:val="0071BB"/>
            <w:spacing w:val="-2"/>
            <w:w w:val="135"/>
            <w:u w:color="0071BB"/>
          </w:rPr>
          <w:t>Austrii</w:t>
        </w:r>
      </w:hyperlink>
    </w:p>
    <w:p w14:paraId="7E5C81A0" w14:textId="5CD0D41E" w:rsidR="009F1A47" w:rsidRPr="00FF42A7" w:rsidRDefault="00000000">
      <w:pPr>
        <w:spacing w:before="56"/>
        <w:ind w:left="874"/>
        <w:jc w:val="both"/>
        <w:rPr>
          <w:sz w:val="18"/>
        </w:rPr>
      </w:pPr>
      <w:r w:rsidRPr="00FF42A7">
        <w:rPr>
          <w:color w:val="808080"/>
          <w:w w:val="125"/>
          <w:sz w:val="18"/>
        </w:rPr>
        <w:t>29 czerwca</w:t>
      </w:r>
      <w:r w:rsidRPr="00FF42A7">
        <w:rPr>
          <w:color w:val="808080"/>
          <w:spacing w:val="-4"/>
          <w:w w:val="125"/>
          <w:sz w:val="18"/>
        </w:rPr>
        <w:t xml:space="preserve"> 2006</w:t>
      </w:r>
      <w:r w:rsidR="00555363" w:rsidRPr="00FF42A7">
        <w:rPr>
          <w:color w:val="808080"/>
          <w:spacing w:val="-4"/>
          <w:w w:val="125"/>
          <w:sz w:val="18"/>
        </w:rPr>
        <w:t xml:space="preserve"> r.</w:t>
      </w:r>
    </w:p>
    <w:p w14:paraId="3DE5E078" w14:textId="37833B47" w:rsidR="009F1A47" w:rsidRPr="00FF42A7" w:rsidRDefault="00000000">
      <w:pPr>
        <w:pStyle w:val="Tekstpodstawowy"/>
        <w:spacing w:before="1"/>
        <w:ind w:right="869"/>
      </w:pPr>
      <w:r w:rsidRPr="00FF42A7">
        <w:rPr>
          <w:w w:val="125"/>
        </w:rPr>
        <w:t>Skarżący skarżył się na obniżenie renty rodzinnej na podstawie zmienionej ustawy o emeryturach i ren</w:t>
      </w:r>
      <w:r w:rsidR="00555363" w:rsidRPr="00FF42A7">
        <w:rPr>
          <w:w w:val="125"/>
        </w:rPr>
        <w:t>t</w:t>
      </w:r>
      <w:r w:rsidRPr="00FF42A7">
        <w:rPr>
          <w:w w:val="125"/>
        </w:rPr>
        <w:t>ach oraz ustawy o zasiłkach emerytalnych. Zgodnie z przepisami tej ustawy wdowcy byli uprawnieni do 40% emerytury, którą ich zmarła żona nabyła przed styczniem 1995 r., natomiast wdowy były uprawnione do 60% emerytury zmarłego męża. Odwołania skarżącego, w których twierdził, że gdyby był kobietą w podobnej sytuacji, byłby uprawniony do 60%, zostały oddalone.</w:t>
      </w:r>
    </w:p>
    <w:p w14:paraId="36E13F06" w14:textId="6D2730C5" w:rsidR="009F1A47" w:rsidRPr="00FF42A7" w:rsidRDefault="00000000">
      <w:pPr>
        <w:pStyle w:val="Tekstpodstawowy"/>
        <w:ind w:right="871"/>
      </w:pPr>
      <w:r w:rsidRPr="00FF42A7">
        <w:rPr>
          <w:color w:val="0071BB"/>
          <w:w w:val="120"/>
        </w:rPr>
        <w:t xml:space="preserve">Trybunał uznał, że w sprawie skarżącej doszło </w:t>
      </w:r>
      <w:r w:rsidRPr="00FF42A7">
        <w:rPr>
          <w:b/>
          <w:color w:val="0071BB"/>
          <w:w w:val="120"/>
        </w:rPr>
        <w:t>do</w:t>
      </w:r>
      <w:r w:rsidRPr="00FF42A7">
        <w:rPr>
          <w:color w:val="0071BB"/>
          <w:w w:val="120"/>
        </w:rPr>
        <w:t xml:space="preserve"> </w:t>
      </w:r>
      <w:r w:rsidRPr="00FF42A7">
        <w:rPr>
          <w:b/>
          <w:color w:val="0071BB"/>
          <w:w w:val="120"/>
        </w:rPr>
        <w:t xml:space="preserve">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00AB7905" w:rsidRPr="00FF42A7">
        <w:rPr>
          <w:b/>
          <w:bCs/>
          <w:color w:val="0071BB"/>
          <w:w w:val="120"/>
        </w:rPr>
        <w:t>P</w:t>
      </w:r>
      <w:r w:rsidRPr="00FF42A7">
        <w:rPr>
          <w:b/>
          <w:color w:val="0071BB"/>
          <w:w w:val="120"/>
        </w:rPr>
        <w:t>rotokołu nr 1</w:t>
      </w:r>
      <w:r w:rsidRPr="00FF42A7">
        <w:rPr>
          <w:color w:val="0071BB"/>
          <w:w w:val="120"/>
        </w:rPr>
        <w:t xml:space="preserve">, stwierdzając, że różnica w traktowaniu mężczyzn i kobiet w zakresie uprawnień do renty rodzinnej nabytych przed 1995 r. nie była oparta na żadnym „obiektywnym i </w:t>
      </w:r>
      <w:r w:rsidR="00B37E68" w:rsidRPr="00FF42A7">
        <w:rPr>
          <w:color w:val="0071BB"/>
          <w:w w:val="120"/>
        </w:rPr>
        <w:t>rozsądnym uzasadnieniu</w:t>
      </w:r>
      <w:r w:rsidRPr="00FF42A7">
        <w:rPr>
          <w:color w:val="0071BB"/>
          <w:w w:val="120"/>
        </w:rPr>
        <w:t>”.</w:t>
      </w:r>
    </w:p>
    <w:p w14:paraId="7A3BA470" w14:textId="77777777" w:rsidR="009F1A47" w:rsidRPr="00FF42A7" w:rsidRDefault="00000000">
      <w:pPr>
        <w:pStyle w:val="Nagwek1"/>
        <w:spacing w:before="173"/>
      </w:pPr>
      <w:r w:rsidRPr="00FF42A7">
        <w:rPr>
          <w:color w:val="808080"/>
          <w:w w:val="120"/>
          <w:sz w:val="29"/>
        </w:rPr>
        <w:t xml:space="preserve">Brak dostępu wdowców do zasiłków dla </w:t>
      </w:r>
      <w:r w:rsidRPr="00FF42A7">
        <w:rPr>
          <w:color w:val="808080"/>
          <w:spacing w:val="-2"/>
          <w:w w:val="120"/>
          <w:sz w:val="29"/>
        </w:rPr>
        <w:t>wdów</w:t>
      </w:r>
    </w:p>
    <w:p w14:paraId="5D206608" w14:textId="77777777" w:rsidR="009F1A47" w:rsidRPr="00FF42A7" w:rsidRDefault="009F1A47">
      <w:pPr>
        <w:pStyle w:val="Nagwek2"/>
        <w:jc w:val="left"/>
        <w:rPr>
          <w:u w:val="none"/>
        </w:rPr>
      </w:pPr>
      <w:hyperlink r:id="rId97">
        <w:proofErr w:type="spellStart"/>
        <w:r w:rsidRPr="00FF42A7">
          <w:rPr>
            <w:color w:val="0071BB"/>
            <w:w w:val="135"/>
            <w:u w:color="0071BB"/>
          </w:rPr>
          <w:t>Cornwell</w:t>
        </w:r>
        <w:proofErr w:type="spellEnd"/>
        <w:r w:rsidRPr="00FF42A7">
          <w:rPr>
            <w:color w:val="0071BB"/>
            <w:w w:val="135"/>
            <w:u w:color="0071BB"/>
          </w:rPr>
          <w:t xml:space="preserve"> przeciwko Zjednoczonemu Królestwu</w:t>
        </w:r>
      </w:hyperlink>
      <w:r w:rsidRPr="00FF42A7">
        <w:rPr>
          <w:color w:val="0071BB"/>
          <w:w w:val="135"/>
          <w:u w:val="none"/>
        </w:rPr>
        <w:t xml:space="preserve"> i </w:t>
      </w:r>
      <w:hyperlink r:id="rId98">
        <w:proofErr w:type="spellStart"/>
        <w:r w:rsidRPr="00FF42A7">
          <w:rPr>
            <w:color w:val="0071BB"/>
            <w:w w:val="135"/>
            <w:u w:color="0071BB"/>
          </w:rPr>
          <w:t>Leary</w:t>
        </w:r>
        <w:proofErr w:type="spellEnd"/>
        <w:r w:rsidRPr="00FF42A7">
          <w:rPr>
            <w:color w:val="0071BB"/>
            <w:w w:val="135"/>
            <w:u w:color="0071BB"/>
          </w:rPr>
          <w:t xml:space="preserve"> przeciwko Zjednoczonemu </w:t>
        </w:r>
        <w:r w:rsidRPr="00FF42A7">
          <w:rPr>
            <w:color w:val="0071BB"/>
            <w:spacing w:val="-2"/>
            <w:w w:val="135"/>
            <w:u w:color="0071BB"/>
          </w:rPr>
          <w:t>Królestwu</w:t>
        </w:r>
      </w:hyperlink>
    </w:p>
    <w:p w14:paraId="3EF718CC" w14:textId="77777777" w:rsidR="009F1A47" w:rsidRPr="00FF42A7" w:rsidRDefault="00000000">
      <w:pPr>
        <w:spacing w:before="56"/>
        <w:ind w:left="874"/>
        <w:rPr>
          <w:sz w:val="18"/>
        </w:rPr>
      </w:pPr>
      <w:r w:rsidRPr="00FF42A7">
        <w:rPr>
          <w:color w:val="808080"/>
          <w:w w:val="125"/>
          <w:sz w:val="18"/>
        </w:rPr>
        <w:t xml:space="preserve">25 kwietnia 2000 r. (wykreślone z wykazu – </w:t>
      </w:r>
      <w:r w:rsidRPr="00FF42A7">
        <w:rPr>
          <w:color w:val="808080"/>
          <w:spacing w:val="-2"/>
          <w:w w:val="125"/>
          <w:sz w:val="18"/>
        </w:rPr>
        <w:t xml:space="preserve">ugody </w:t>
      </w:r>
      <w:r w:rsidRPr="00FF42A7">
        <w:rPr>
          <w:color w:val="808080"/>
          <w:w w:val="125"/>
          <w:sz w:val="18"/>
        </w:rPr>
        <w:t>polubowne</w:t>
      </w:r>
      <w:r w:rsidRPr="00FF42A7">
        <w:rPr>
          <w:color w:val="808080"/>
          <w:spacing w:val="-2"/>
          <w:w w:val="125"/>
          <w:sz w:val="18"/>
        </w:rPr>
        <w:t>)</w:t>
      </w:r>
    </w:p>
    <w:p w14:paraId="287F266C" w14:textId="77777777" w:rsidR="009F1A47" w:rsidRPr="00FF42A7" w:rsidRDefault="00000000" w:rsidP="00146A0A">
      <w:pPr>
        <w:pStyle w:val="Tekstpodstawowy"/>
        <w:spacing w:before="1"/>
        <w:ind w:left="873" w:right="869"/>
        <w:jc w:val="distribute"/>
      </w:pPr>
      <w:r w:rsidRPr="00FF42A7">
        <w:rPr>
          <w:w w:val="120"/>
        </w:rPr>
        <w:t>Obaj skarżący zarzucali, że brak świadczeń dla wdowców na mocy brytyjskich przepisów dotyczących zabezpieczenia społecznego stanowi dyskryminację ze względu na płeć.</w:t>
      </w:r>
    </w:p>
    <w:p w14:paraId="30F1CEAF" w14:textId="5CA3070A" w:rsidR="009F1A47" w:rsidRPr="00FF42A7" w:rsidRDefault="00000000">
      <w:pPr>
        <w:pStyle w:val="Tekstpodstawowy"/>
        <w:ind w:left="873" w:right="869"/>
      </w:pPr>
      <w:r w:rsidRPr="00FF42A7">
        <w:rPr>
          <w:color w:val="0071BB"/>
          <w:w w:val="120"/>
        </w:rPr>
        <w:t xml:space="preserve">Trybunał, po formalnym odnotowaniu </w:t>
      </w:r>
      <w:r w:rsidRPr="00FF42A7">
        <w:rPr>
          <w:b/>
          <w:color w:val="0071BB"/>
          <w:w w:val="120"/>
        </w:rPr>
        <w:t xml:space="preserve">ugody </w:t>
      </w:r>
      <w:r w:rsidRPr="00FF42A7">
        <w:rPr>
          <w:color w:val="0071BB"/>
          <w:w w:val="120"/>
        </w:rPr>
        <w:t xml:space="preserve">(art. 39 Konwencji) osiągniętej przez rząd Wielkiej Brytanii i skarżących oraz po upewnieniu się, że ugoda została zawarta z poszanowaniem praw człowieka określonych w Konwencji lub </w:t>
      </w:r>
      <w:r w:rsidR="00AB7905" w:rsidRPr="00FF42A7">
        <w:rPr>
          <w:color w:val="0071BB"/>
          <w:w w:val="120"/>
        </w:rPr>
        <w:t>P</w:t>
      </w:r>
      <w:r w:rsidRPr="00FF42A7">
        <w:rPr>
          <w:color w:val="0071BB"/>
          <w:w w:val="120"/>
        </w:rPr>
        <w:t xml:space="preserve">rotokołach do niej, postanowił </w:t>
      </w:r>
      <w:r w:rsidRPr="00FF42A7">
        <w:rPr>
          <w:b/>
          <w:color w:val="0071BB"/>
          <w:w w:val="120"/>
        </w:rPr>
        <w:t xml:space="preserve">wykreślić </w:t>
      </w:r>
      <w:r w:rsidR="00FF6E3A">
        <w:rPr>
          <w:color w:val="0071BB"/>
          <w:w w:val="120"/>
        </w:rPr>
        <w:t>skargi</w:t>
      </w:r>
      <w:r w:rsidRPr="00FF42A7">
        <w:rPr>
          <w:color w:val="0071BB"/>
          <w:w w:val="120"/>
        </w:rPr>
        <w:t xml:space="preserve"> z listy spraw do rozpatrzenia.</w:t>
      </w:r>
    </w:p>
    <w:p w14:paraId="4792D40F" w14:textId="4C70C603" w:rsidR="009F1A47" w:rsidRPr="00FF42A7" w:rsidRDefault="00000000">
      <w:pPr>
        <w:spacing w:before="54"/>
        <w:ind w:left="874" w:right="872" w:hanging="1"/>
        <w:jc w:val="both"/>
        <w:rPr>
          <w:sz w:val="20"/>
        </w:rPr>
      </w:pPr>
      <w:r w:rsidRPr="00FF42A7">
        <w:rPr>
          <w:i/>
          <w:color w:val="404040"/>
          <w:w w:val="120"/>
          <w:sz w:val="20"/>
        </w:rPr>
        <w:t>Zob</w:t>
      </w:r>
      <w:r w:rsidRPr="00FF42A7">
        <w:rPr>
          <w:color w:val="404040"/>
          <w:w w:val="120"/>
          <w:sz w:val="20"/>
        </w:rPr>
        <w:t xml:space="preserve">. </w:t>
      </w:r>
      <w:r w:rsidRPr="00FF42A7">
        <w:rPr>
          <w:i/>
          <w:color w:val="404040"/>
          <w:w w:val="120"/>
          <w:sz w:val="20"/>
        </w:rPr>
        <w:t xml:space="preserve">również </w:t>
      </w:r>
      <w:r w:rsidRPr="00FF42A7">
        <w:rPr>
          <w:color w:val="404040"/>
          <w:w w:val="120"/>
          <w:sz w:val="20"/>
        </w:rPr>
        <w:t>m.in</w:t>
      </w:r>
      <w:r w:rsidRPr="00FF42A7">
        <w:rPr>
          <w:i/>
          <w:color w:val="404040"/>
          <w:w w:val="120"/>
          <w:sz w:val="20"/>
        </w:rPr>
        <w:t xml:space="preserve">.: </w:t>
      </w:r>
      <w:hyperlink r:id="rId99">
        <w:proofErr w:type="spellStart"/>
        <w:r w:rsidR="009F1A47" w:rsidRPr="00FF42A7">
          <w:rPr>
            <w:rFonts w:ascii="Arial"/>
            <w:b/>
            <w:i/>
            <w:color w:val="0071BB"/>
            <w:w w:val="120"/>
            <w:sz w:val="20"/>
            <w:u w:val="thick" w:color="0071BB"/>
          </w:rPr>
          <w:t>Crossland</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xml:space="preserve">) z dnia 29 maja 2000 r.; </w:t>
      </w:r>
      <w:hyperlink r:id="rId100">
        <w:r w:rsidR="009F1A47" w:rsidRPr="00FF42A7">
          <w:rPr>
            <w:rFonts w:ascii="Arial"/>
            <w:b/>
            <w:i/>
            <w:color w:val="0071BB"/>
            <w:w w:val="120"/>
            <w:sz w:val="20"/>
            <w:u w:val="thick" w:color="0071BB"/>
          </w:rPr>
          <w:t>Atkinson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xml:space="preserve">) z dnia 8 kwietnia 2003 r.; </w:t>
      </w:r>
      <w:hyperlink r:id="rId101">
        <w:proofErr w:type="spellStart"/>
        <w:r w:rsidR="009F1A47" w:rsidRPr="00FF42A7">
          <w:rPr>
            <w:rFonts w:ascii="Arial"/>
            <w:b/>
            <w:i/>
            <w:color w:val="0071BB"/>
            <w:w w:val="120"/>
            <w:sz w:val="20"/>
            <w:u w:val="thick" w:color="0071BB"/>
          </w:rPr>
          <w:t>Owens</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z dnia 13 stycznia 2004 r.</w:t>
      </w:r>
    </w:p>
    <w:p w14:paraId="66DE1E09" w14:textId="77777777" w:rsidR="009F1A47" w:rsidRPr="00FF42A7" w:rsidRDefault="009F1A47">
      <w:pPr>
        <w:pStyle w:val="Nagwek2"/>
        <w:spacing w:before="116"/>
        <w:rPr>
          <w:u w:val="none"/>
        </w:rPr>
      </w:pPr>
      <w:hyperlink r:id="rId102">
        <w:proofErr w:type="spellStart"/>
        <w:r w:rsidRPr="00FF42A7">
          <w:rPr>
            <w:color w:val="0071BB"/>
            <w:w w:val="135"/>
            <w:u w:color="0071BB"/>
          </w:rPr>
          <w:t>Sawden</w:t>
        </w:r>
        <w:proofErr w:type="spellEnd"/>
        <w:r w:rsidRPr="00FF42A7">
          <w:rPr>
            <w:color w:val="0071BB"/>
            <w:w w:val="135"/>
            <w:u w:color="0071BB"/>
          </w:rPr>
          <w:t xml:space="preserve"> przeciwko Zjednoczonemu </w:t>
        </w:r>
        <w:r w:rsidRPr="00FF42A7">
          <w:rPr>
            <w:color w:val="0071BB"/>
            <w:spacing w:val="-2"/>
            <w:w w:val="135"/>
            <w:u w:color="0071BB"/>
          </w:rPr>
          <w:t>Królestwu</w:t>
        </w:r>
      </w:hyperlink>
    </w:p>
    <w:p w14:paraId="72333042" w14:textId="77777777" w:rsidR="009F1A47" w:rsidRPr="00FF42A7" w:rsidRDefault="00000000">
      <w:pPr>
        <w:spacing w:before="55"/>
        <w:ind w:left="874"/>
        <w:jc w:val="both"/>
        <w:rPr>
          <w:sz w:val="18"/>
        </w:rPr>
      </w:pPr>
      <w:r w:rsidRPr="00FF42A7">
        <w:rPr>
          <w:color w:val="808080"/>
          <w:w w:val="125"/>
          <w:sz w:val="18"/>
        </w:rPr>
        <w:t xml:space="preserve">12 marca 2002 r. (skreślona z </w:t>
      </w:r>
      <w:r w:rsidRPr="00FF42A7">
        <w:rPr>
          <w:color w:val="808080"/>
          <w:spacing w:val="-4"/>
          <w:w w:val="125"/>
          <w:sz w:val="18"/>
        </w:rPr>
        <w:t>wykazu)</w:t>
      </w:r>
    </w:p>
    <w:p w14:paraId="30CF50E2" w14:textId="494728F3" w:rsidR="009F1A47" w:rsidRPr="00FF42A7" w:rsidRDefault="00000000">
      <w:pPr>
        <w:pStyle w:val="Tekstpodstawowy"/>
        <w:spacing w:before="4"/>
        <w:ind w:right="871"/>
      </w:pPr>
      <w:r w:rsidRPr="00FF42A7">
        <w:rPr>
          <w:w w:val="120"/>
        </w:rPr>
        <w:t xml:space="preserve">Żona </w:t>
      </w:r>
      <w:r w:rsidR="00ED0525" w:rsidRPr="00FF42A7">
        <w:rPr>
          <w:w w:val="120"/>
        </w:rPr>
        <w:t xml:space="preserve">skarżącego </w:t>
      </w:r>
      <w:r w:rsidRPr="00FF42A7">
        <w:rPr>
          <w:w w:val="120"/>
        </w:rPr>
        <w:t xml:space="preserve">zmarła w sierpniu 1997 r., pozostawiając go jako zarządcę jej majątku. Miesiąc później </w:t>
      </w:r>
      <w:r w:rsidR="00ED0525" w:rsidRPr="00FF42A7">
        <w:rPr>
          <w:w w:val="120"/>
        </w:rPr>
        <w:t xml:space="preserve">skarżący </w:t>
      </w:r>
      <w:r w:rsidRPr="00FF42A7">
        <w:rPr>
          <w:w w:val="120"/>
        </w:rPr>
        <w:t xml:space="preserve">złożył wniosek o świadczenia z zabezpieczenia społecznego równoważne tym, do których byłaby uprawniona wdowa, której mąż zmarł w podobnych okolicznościach jak jego żona, a mianowicie o </w:t>
      </w:r>
      <w:r w:rsidR="00290E5A" w:rsidRPr="00FF42A7">
        <w:rPr>
          <w:w w:val="120"/>
        </w:rPr>
        <w:t>zasiłek dla wdowy i zasiłek dla owdowiałej matki</w:t>
      </w:r>
      <w:r w:rsidRPr="00FF42A7">
        <w:rPr>
          <w:w w:val="120"/>
        </w:rPr>
        <w:t>, przysługujące na podstawie ustawy o zabezpieczeniu społecznym i świadczeniach z 1992 r. Poinformowano go, że jego wniosek jest nieważny, ponieważ przepisy regulujące wypłatę świadczeń dla wdów dotyczą wyłącznie kobiet. Złożył odwołanie od tej decyzji, które zostało oddalone. W kwietniu 2001 r. weszła w życie ustawa o reformie systemu opieki społecznej i emerytur z 1999 r., która zapewniła dostęp do świadczeń z tytułu śmierci członka rodziny zarówno mężczyznom, jak i kobietom. Przed sądem skarżący zarzucił brytyjskim przepisom dotyczącym zabezpieczenia społecznego i podatków dyskryminację ze względu na płeć.</w:t>
      </w:r>
    </w:p>
    <w:p w14:paraId="1C5EC027" w14:textId="63A910EC" w:rsidR="009F1A47" w:rsidRPr="00FF42A7" w:rsidRDefault="00000000">
      <w:pPr>
        <w:pStyle w:val="Tekstpodstawowy"/>
        <w:spacing w:line="237" w:lineRule="auto"/>
        <w:ind w:right="874"/>
      </w:pPr>
      <w:r w:rsidRPr="00FF42A7">
        <w:rPr>
          <w:color w:val="0071BB"/>
          <w:w w:val="120"/>
        </w:rPr>
        <w:t xml:space="preserve">Trybunał, po formalnym odnotowaniu </w:t>
      </w:r>
      <w:r w:rsidRPr="00FF42A7">
        <w:rPr>
          <w:b/>
          <w:color w:val="0071BB"/>
          <w:w w:val="120"/>
        </w:rPr>
        <w:t xml:space="preserve">polubownego rozstrzygnięcia </w:t>
      </w:r>
      <w:r w:rsidRPr="00FF42A7">
        <w:rPr>
          <w:color w:val="0071BB"/>
          <w:w w:val="120"/>
        </w:rPr>
        <w:t xml:space="preserve">(art. 39 Konwencji) osiągniętego przez rząd Wielkiej Brytanii i skarżącego oraz po upewnieniu się, że rozstrzygnięcie to opiera się na poszanowaniu praw człowieka określonych w Konwencji lub jej </w:t>
      </w:r>
      <w:r w:rsidR="008D1ED9" w:rsidRPr="00FF42A7">
        <w:rPr>
          <w:color w:val="0071BB"/>
          <w:w w:val="120"/>
        </w:rPr>
        <w:t>P</w:t>
      </w:r>
      <w:r w:rsidRPr="00FF42A7">
        <w:rPr>
          <w:color w:val="0071BB"/>
          <w:w w:val="120"/>
        </w:rPr>
        <w:t xml:space="preserve">rotokołach, postanowił </w:t>
      </w:r>
      <w:r w:rsidRPr="00FF42A7">
        <w:rPr>
          <w:b/>
          <w:color w:val="0071BB"/>
          <w:w w:val="120"/>
        </w:rPr>
        <w:t xml:space="preserve">wykreślić </w:t>
      </w:r>
      <w:r w:rsidR="008D0C52">
        <w:rPr>
          <w:color w:val="0071BB"/>
          <w:w w:val="120"/>
        </w:rPr>
        <w:t>skargę</w:t>
      </w:r>
      <w:r w:rsidRPr="00FF42A7">
        <w:rPr>
          <w:color w:val="0071BB"/>
          <w:w w:val="120"/>
        </w:rPr>
        <w:t xml:space="preserve"> z listy spraw do rozpatrzenia.</w:t>
      </w:r>
    </w:p>
    <w:p w14:paraId="79FE47AB" w14:textId="34B5CB87" w:rsidR="009F1A47" w:rsidRPr="00FF42A7" w:rsidRDefault="00000000">
      <w:pPr>
        <w:spacing w:before="53"/>
        <w:ind w:left="874" w:right="873"/>
        <w:jc w:val="both"/>
        <w:rPr>
          <w:sz w:val="20"/>
        </w:rPr>
      </w:pPr>
      <w:r w:rsidRPr="00FF42A7">
        <w:rPr>
          <w:i/>
          <w:color w:val="404040"/>
          <w:w w:val="120"/>
          <w:sz w:val="20"/>
        </w:rPr>
        <w:t>Zob</w:t>
      </w:r>
      <w:r w:rsidRPr="00FF42A7">
        <w:rPr>
          <w:color w:val="404040"/>
          <w:w w:val="120"/>
          <w:sz w:val="20"/>
        </w:rPr>
        <w:t xml:space="preserve">. </w:t>
      </w:r>
      <w:r w:rsidRPr="00FF42A7">
        <w:rPr>
          <w:i/>
          <w:color w:val="404040"/>
          <w:w w:val="120"/>
          <w:sz w:val="20"/>
        </w:rPr>
        <w:t xml:space="preserve">również </w:t>
      </w:r>
      <w:r w:rsidRPr="00FF42A7">
        <w:rPr>
          <w:color w:val="404040"/>
          <w:w w:val="120"/>
          <w:sz w:val="20"/>
        </w:rPr>
        <w:t>m.in</w:t>
      </w:r>
      <w:r w:rsidRPr="00FF42A7">
        <w:rPr>
          <w:i/>
          <w:color w:val="404040"/>
          <w:w w:val="120"/>
          <w:sz w:val="20"/>
        </w:rPr>
        <w:t xml:space="preserve">.: </w:t>
      </w:r>
      <w:hyperlink r:id="rId103">
        <w:proofErr w:type="spellStart"/>
        <w:r w:rsidR="009F1A47" w:rsidRPr="00FF42A7">
          <w:rPr>
            <w:rFonts w:ascii="Arial"/>
            <w:b/>
            <w:i/>
            <w:color w:val="0071BB"/>
            <w:w w:val="120"/>
            <w:sz w:val="20"/>
            <w:u w:val="thick" w:color="0071BB"/>
          </w:rPr>
          <w:t>Loffelman</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xml:space="preserve">) z dnia 26 marca 2002 r.; </w:t>
      </w:r>
      <w:hyperlink r:id="rId104">
        <w:r w:rsidR="009F1A47" w:rsidRPr="00FF42A7">
          <w:rPr>
            <w:rFonts w:ascii="Arial"/>
            <w:b/>
            <w:i/>
            <w:color w:val="0071BB"/>
            <w:w w:val="120"/>
            <w:sz w:val="20"/>
            <w:u w:val="thick" w:color="0071BB"/>
          </w:rPr>
          <w:t>Downie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xml:space="preserve">) z dnia 21 maja 2002 r.; </w:t>
      </w:r>
      <w:hyperlink r:id="rId105">
        <w:r w:rsidR="009F1A47" w:rsidRPr="00FF42A7">
          <w:rPr>
            <w:rFonts w:ascii="Arial"/>
            <w:b/>
            <w:i/>
            <w:color w:val="0071BB"/>
            <w:w w:val="120"/>
            <w:sz w:val="20"/>
            <w:u w:val="thick" w:color="0071BB"/>
          </w:rPr>
          <w:t>Rice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(skreślon</w:t>
      </w:r>
      <w:r w:rsidR="008D0C52">
        <w:rPr>
          <w:color w:val="404040"/>
          <w:w w:val="120"/>
          <w:sz w:val="20"/>
        </w:rPr>
        <w:t>a</w:t>
      </w:r>
      <w:r w:rsidRPr="00FF42A7">
        <w:rPr>
          <w:color w:val="404040"/>
          <w:w w:val="120"/>
          <w:sz w:val="20"/>
        </w:rPr>
        <w:t xml:space="preserve"> z </w:t>
      </w:r>
      <w:r w:rsidR="008D0C52">
        <w:rPr>
          <w:color w:val="404040"/>
          <w:w w:val="120"/>
          <w:sz w:val="20"/>
        </w:rPr>
        <w:t>listy</w:t>
      </w:r>
      <w:r w:rsidRPr="00FF42A7">
        <w:rPr>
          <w:color w:val="404040"/>
          <w:w w:val="120"/>
          <w:sz w:val="20"/>
        </w:rPr>
        <w:t>) z dnia 1 października 2002 r.</w:t>
      </w:r>
    </w:p>
    <w:p w14:paraId="2B107178" w14:textId="77777777" w:rsidR="009F1A47" w:rsidRPr="00FF42A7" w:rsidRDefault="009F1A47">
      <w:pPr>
        <w:jc w:val="both"/>
        <w:rPr>
          <w:sz w:val="20"/>
        </w:rPr>
        <w:sectPr w:rsidR="009F1A47" w:rsidRPr="00FF42A7">
          <w:pgSz w:w="11910" w:h="16840"/>
          <w:pgMar w:top="1400" w:right="566" w:bottom="680" w:left="566" w:header="720" w:footer="497" w:gutter="0"/>
          <w:cols w:space="708"/>
        </w:sectPr>
      </w:pPr>
    </w:p>
    <w:p w14:paraId="30DDD64C" w14:textId="77777777" w:rsidR="009F1A47" w:rsidRPr="00FF42A7" w:rsidRDefault="009F1A47">
      <w:pPr>
        <w:pStyle w:val="Tekstpodstawowy"/>
        <w:spacing w:before="59"/>
        <w:ind w:left="0"/>
        <w:jc w:val="left"/>
      </w:pPr>
    </w:p>
    <w:p w14:paraId="4972E2F2" w14:textId="77777777" w:rsidR="009F1A47" w:rsidRPr="00FF42A7" w:rsidRDefault="009F1A47">
      <w:pPr>
        <w:pStyle w:val="Nagwek2"/>
        <w:spacing w:before="1"/>
        <w:rPr>
          <w:u w:val="none"/>
        </w:rPr>
      </w:pPr>
      <w:hyperlink r:id="rId106">
        <w:proofErr w:type="spellStart"/>
        <w:r w:rsidRPr="00FF42A7">
          <w:rPr>
            <w:color w:val="0071BB"/>
            <w:w w:val="135"/>
            <w:u w:color="0071BB"/>
          </w:rPr>
          <w:t>Willis</w:t>
        </w:r>
        <w:proofErr w:type="spellEnd"/>
        <w:r w:rsidRPr="00FF42A7">
          <w:rPr>
            <w:color w:val="0071BB"/>
            <w:w w:val="135"/>
            <w:u w:color="0071BB"/>
          </w:rPr>
          <w:t xml:space="preserve"> przeciwko Zjednoczonemu </w:t>
        </w:r>
        <w:r w:rsidRPr="00FF42A7">
          <w:rPr>
            <w:color w:val="0071BB"/>
            <w:spacing w:val="-2"/>
            <w:w w:val="135"/>
            <w:u w:color="0071BB"/>
          </w:rPr>
          <w:t>Królestwu</w:t>
        </w:r>
      </w:hyperlink>
    </w:p>
    <w:p w14:paraId="577946BD" w14:textId="77777777" w:rsidR="009F1A47" w:rsidRPr="00FF42A7" w:rsidRDefault="00000000">
      <w:pPr>
        <w:spacing w:before="55"/>
        <w:ind w:left="874"/>
        <w:jc w:val="both"/>
        <w:rPr>
          <w:sz w:val="18"/>
        </w:rPr>
      </w:pPr>
      <w:r w:rsidRPr="00FF42A7">
        <w:rPr>
          <w:color w:val="808080"/>
          <w:w w:val="125"/>
          <w:sz w:val="18"/>
        </w:rPr>
        <w:t>11 czerwca</w:t>
      </w:r>
      <w:r w:rsidRPr="00FF42A7">
        <w:rPr>
          <w:color w:val="808080"/>
          <w:spacing w:val="-4"/>
          <w:w w:val="125"/>
          <w:sz w:val="18"/>
        </w:rPr>
        <w:t xml:space="preserve"> 2002 r.</w:t>
      </w:r>
    </w:p>
    <w:p w14:paraId="629B9EEB" w14:textId="7088B9DF" w:rsidR="009F1A47" w:rsidRPr="00FF42A7" w:rsidRDefault="00AB7905">
      <w:pPr>
        <w:pStyle w:val="Tekstpodstawowy"/>
        <w:spacing w:before="1"/>
        <w:ind w:right="870" w:hanging="1"/>
      </w:pPr>
      <w:r w:rsidRPr="00FF42A7">
        <w:rPr>
          <w:w w:val="120"/>
        </w:rPr>
        <w:t xml:space="preserve">Skarżący skarżył się na dyskryminację, jakiej doświadczył wraz ze swoją zmarłą żoną w związku z decyzją o odmowie przyznania mu </w:t>
      </w:r>
      <w:r w:rsidR="00290E5A" w:rsidRPr="00FF42A7">
        <w:rPr>
          <w:w w:val="120"/>
        </w:rPr>
        <w:t>zasiłku dla wdów i zasiłku dla owdowiałych matek</w:t>
      </w:r>
      <w:r w:rsidR="00D53D3A" w:rsidRPr="00FF42A7">
        <w:rPr>
          <w:w w:val="120"/>
        </w:rPr>
        <w:t xml:space="preserve"> </w:t>
      </w:r>
      <w:r w:rsidRPr="00FF42A7">
        <w:rPr>
          <w:w w:val="120"/>
        </w:rPr>
        <w:t>oraz w związku z utratą prawa do renty wdowiej w przyszłości, pomimo składek na ubezpieczenie społeczne opłacanych przez jego żonę za życia. Twierdził, że brytyjskie przepisy dotyczące zabezpieczenia społecznego są dyskryminujące ze względu na płeć.</w:t>
      </w:r>
    </w:p>
    <w:p w14:paraId="072C8A8C" w14:textId="0F5DCE6C" w:rsidR="009F1A47" w:rsidRPr="00FF42A7" w:rsidRDefault="00000000">
      <w:pPr>
        <w:pStyle w:val="Tekstpodstawowy"/>
        <w:ind w:left="873" w:right="871"/>
      </w:pPr>
      <w:r w:rsidRPr="00FF42A7">
        <w:rPr>
          <w:color w:val="0071BB"/>
          <w:w w:val="120"/>
        </w:rPr>
        <w:t xml:space="preserve">Trybunał uznał, że doszło </w:t>
      </w:r>
      <w:r w:rsidRPr="00FF42A7">
        <w:rPr>
          <w:b/>
          <w:color w:val="0071BB"/>
          <w:w w:val="120"/>
        </w:rPr>
        <w:t xml:space="preserve">do naruszenia art. 14 </w:t>
      </w:r>
      <w:r w:rsidRPr="00FF42A7">
        <w:rPr>
          <w:color w:val="0071BB"/>
          <w:w w:val="120"/>
        </w:rPr>
        <w:t xml:space="preserve">(zakaz dyskryminacji) Konwencji </w:t>
      </w:r>
      <w:r w:rsidRPr="00FF42A7">
        <w:rPr>
          <w:b/>
          <w:color w:val="0071BB"/>
          <w:w w:val="120"/>
        </w:rPr>
        <w:t xml:space="preserve">w związku z art. 1 </w:t>
      </w:r>
      <w:r w:rsidRPr="00FF42A7">
        <w:rPr>
          <w:color w:val="0071BB"/>
          <w:w w:val="120"/>
        </w:rPr>
        <w:t xml:space="preserve">(ochrona własności) </w:t>
      </w:r>
      <w:r w:rsidRPr="00FF42A7">
        <w:rPr>
          <w:b/>
          <w:color w:val="0071BB"/>
          <w:w w:val="120"/>
        </w:rPr>
        <w:t>Protokołu nr 1</w:t>
      </w:r>
      <w:r w:rsidRPr="00FF42A7">
        <w:rPr>
          <w:color w:val="0071BB"/>
          <w:w w:val="120"/>
        </w:rPr>
        <w:t xml:space="preserve">, stwierdzając, że różnica w traktowaniu mężczyzn i kobiet w zakresie prawa do </w:t>
      </w:r>
      <w:r w:rsidR="00293EF7" w:rsidRPr="00FF42A7">
        <w:rPr>
          <w:color w:val="0071BB"/>
          <w:w w:val="120"/>
        </w:rPr>
        <w:t>zasiłku dla wdów i zasiłku dla owdowiałych matek</w:t>
      </w:r>
      <w:r w:rsidRPr="00FF42A7">
        <w:rPr>
          <w:color w:val="0071BB"/>
          <w:w w:val="120"/>
        </w:rPr>
        <w:t xml:space="preserve"> nie była oparta na żadnym obiektywnym i </w:t>
      </w:r>
      <w:r w:rsidR="00D53D3A" w:rsidRPr="00FF42A7">
        <w:rPr>
          <w:color w:val="0071BB"/>
          <w:w w:val="120"/>
        </w:rPr>
        <w:t>rozsądnym uzasadnieniu</w:t>
      </w:r>
      <w:r w:rsidRPr="00FF42A7">
        <w:rPr>
          <w:color w:val="0071BB"/>
          <w:w w:val="120"/>
        </w:rPr>
        <w:t>. Trybunał zauważył w szczególności, że nie podniesiono argumentu, iż skarżący nie spełniał różnych ustawowych warunków przyznania tych dwóch świadczeń. Jedynym powodem odmowy przyznania mu tych świadczeń był fakt, że jest mężczyzną. Kobieta znajdująca się w takiej samej sytuacji miałaby prawo, egzekwowalne na mocy prawa krajowego, do otrzymania obu świadczeń. W odniesieniu do braku uprawnień skarżącego do renty wdowiej Trybunał stwierdził ponadto, że nawet gdyby skarżący był kobietą, nie kwalifikowałby się do renty wdowiej na podstawie warunków określonych w ustawie z 1992 r. W rzeczywistości wdowa znajdująca się w sytuacji skarżącego nie kwalifikowałaby się do renty co najmniej do 2006 r. i mogłaby nigdy nie uzyskać do niej uprawnień ze względu na skutek innych warunków ustawowych, wymagających na przykład, aby osoba ubiegająca się o rentę nie zawarła ponownego związku małżeńskiego przed datą, w której jej uprawnienia stałyby się wymagalne.</w:t>
      </w:r>
      <w:r w:rsidR="00AB7905" w:rsidRPr="00FF42A7">
        <w:rPr>
          <w:color w:val="0071BB"/>
          <w:w w:val="120"/>
        </w:rPr>
        <w:t xml:space="preserve"> Trybunał s</w:t>
      </w:r>
      <w:r w:rsidRPr="00FF42A7">
        <w:rPr>
          <w:color w:val="0071BB"/>
          <w:w w:val="120"/>
        </w:rPr>
        <w:t>twierdził zatem, że ponieważ skarżący nie został potraktowany inaczej niż kobieta w analogicznej sytuacji, nie doszło do naruszenia art. 14 Konwencji w odniesieniu do jego prawa d</w:t>
      </w:r>
      <w:r w:rsidR="00642742" w:rsidRPr="00FF42A7">
        <w:rPr>
          <w:color w:val="0071BB"/>
          <w:w w:val="120"/>
        </w:rPr>
        <w:t>o renty</w:t>
      </w:r>
      <w:r w:rsidRPr="00FF42A7">
        <w:rPr>
          <w:color w:val="0071BB"/>
          <w:w w:val="120"/>
        </w:rPr>
        <w:t xml:space="preserve"> wdowiej. </w:t>
      </w:r>
      <w:r w:rsidR="00642742" w:rsidRPr="00FF42A7">
        <w:rPr>
          <w:color w:val="0071BB"/>
          <w:w w:val="120"/>
        </w:rPr>
        <w:t xml:space="preserve">W związku z tym </w:t>
      </w:r>
      <w:r w:rsidRPr="00FF42A7">
        <w:rPr>
          <w:color w:val="0071BB"/>
          <w:w w:val="120"/>
        </w:rPr>
        <w:t xml:space="preserve">Trybunał </w:t>
      </w:r>
      <w:r w:rsidR="00642742" w:rsidRPr="00FF42A7">
        <w:rPr>
          <w:color w:val="0071BB"/>
          <w:w w:val="120"/>
        </w:rPr>
        <w:t xml:space="preserve">nie </w:t>
      </w:r>
      <w:r w:rsidRPr="00FF42A7">
        <w:rPr>
          <w:color w:val="0071BB"/>
          <w:w w:val="120"/>
        </w:rPr>
        <w:t xml:space="preserve">stwierdził </w:t>
      </w:r>
      <w:r w:rsidRPr="00FF42A7">
        <w:rPr>
          <w:b/>
          <w:color w:val="0071BB"/>
          <w:w w:val="120"/>
        </w:rPr>
        <w:t xml:space="preserve">naruszenia art. 14 </w:t>
      </w:r>
      <w:r w:rsidR="00642742" w:rsidRPr="00FF42A7">
        <w:rPr>
          <w:b/>
          <w:color w:val="0071BB"/>
          <w:w w:val="120"/>
        </w:rPr>
        <w:t xml:space="preserve">w związku z art. 1 Protokołu nr 1 </w:t>
      </w:r>
      <w:r w:rsidR="00642742" w:rsidRPr="00FF42A7">
        <w:rPr>
          <w:bCs/>
          <w:color w:val="0071BB"/>
          <w:w w:val="120"/>
        </w:rPr>
        <w:t>w zakresie braku prawa skarżącego do renty wdowiej.</w:t>
      </w:r>
    </w:p>
    <w:p w14:paraId="52CBC2EC" w14:textId="77777777" w:rsidR="009F1A47" w:rsidRPr="00FF42A7" w:rsidRDefault="009F1A47">
      <w:pPr>
        <w:pStyle w:val="Nagwek2"/>
        <w:spacing w:before="94"/>
        <w:ind w:left="873"/>
        <w:rPr>
          <w:u w:val="none"/>
        </w:rPr>
      </w:pPr>
      <w:hyperlink r:id="rId107">
        <w:proofErr w:type="spellStart"/>
        <w:r w:rsidRPr="00FF42A7">
          <w:rPr>
            <w:color w:val="0071BB"/>
            <w:w w:val="135"/>
            <w:u w:color="0071BB"/>
          </w:rPr>
          <w:t>Hobbs</w:t>
        </w:r>
        <w:proofErr w:type="spellEnd"/>
        <w:r w:rsidRPr="00FF42A7">
          <w:rPr>
            <w:color w:val="0071BB"/>
            <w:w w:val="135"/>
            <w:u w:color="0071BB"/>
          </w:rPr>
          <w:t xml:space="preserve">, Richard, </w:t>
        </w:r>
        <w:proofErr w:type="spellStart"/>
        <w:r w:rsidRPr="00FF42A7">
          <w:rPr>
            <w:color w:val="0071BB"/>
            <w:w w:val="135"/>
            <w:u w:color="0071BB"/>
          </w:rPr>
          <w:t>Walsh</w:t>
        </w:r>
        <w:proofErr w:type="spellEnd"/>
        <w:r w:rsidRPr="00FF42A7">
          <w:rPr>
            <w:color w:val="0071BB"/>
            <w:w w:val="135"/>
            <w:u w:color="0071BB"/>
          </w:rPr>
          <w:t xml:space="preserve"> i </w:t>
        </w:r>
        <w:proofErr w:type="spellStart"/>
        <w:r w:rsidRPr="00FF42A7">
          <w:rPr>
            <w:color w:val="0071BB"/>
            <w:w w:val="135"/>
            <w:u w:color="0071BB"/>
          </w:rPr>
          <w:t>Geen</w:t>
        </w:r>
        <w:proofErr w:type="spellEnd"/>
        <w:r w:rsidRPr="00FF42A7">
          <w:rPr>
            <w:color w:val="0071BB"/>
            <w:w w:val="135"/>
            <w:u w:color="0071BB"/>
          </w:rPr>
          <w:t xml:space="preserve"> przeciwko Wielkiej </w:t>
        </w:r>
        <w:r w:rsidRPr="00FF42A7">
          <w:rPr>
            <w:color w:val="0071BB"/>
            <w:spacing w:val="-2"/>
            <w:w w:val="135"/>
            <w:u w:color="0071BB"/>
          </w:rPr>
          <w:t>Brytanii</w:t>
        </w:r>
      </w:hyperlink>
    </w:p>
    <w:p w14:paraId="6E01BC10" w14:textId="3E162115" w:rsidR="009F1A47" w:rsidRPr="00FF42A7" w:rsidRDefault="00000000">
      <w:pPr>
        <w:spacing w:before="55"/>
        <w:ind w:left="874"/>
        <w:jc w:val="both"/>
        <w:rPr>
          <w:sz w:val="18"/>
        </w:rPr>
      </w:pPr>
      <w:r w:rsidRPr="00FF42A7">
        <w:rPr>
          <w:color w:val="808080"/>
          <w:spacing w:val="-2"/>
          <w:w w:val="125"/>
          <w:sz w:val="18"/>
        </w:rPr>
        <w:t>14 listopada</w:t>
      </w:r>
      <w:r w:rsidRPr="00FF42A7">
        <w:rPr>
          <w:color w:val="808080"/>
          <w:spacing w:val="-4"/>
          <w:w w:val="125"/>
          <w:sz w:val="18"/>
        </w:rPr>
        <w:t xml:space="preserve"> 2006</w:t>
      </w:r>
      <w:r w:rsidR="00642742" w:rsidRPr="00FF42A7">
        <w:rPr>
          <w:color w:val="808080"/>
          <w:spacing w:val="-4"/>
          <w:w w:val="125"/>
          <w:sz w:val="18"/>
        </w:rPr>
        <w:t xml:space="preserve"> r.</w:t>
      </w:r>
    </w:p>
    <w:p w14:paraId="539893F8" w14:textId="7D8B1846" w:rsidR="009F1A47" w:rsidRPr="00FF42A7" w:rsidRDefault="00000000">
      <w:pPr>
        <w:pStyle w:val="Tekstpodstawowy"/>
        <w:spacing w:before="4"/>
        <w:ind w:right="870"/>
      </w:pPr>
      <w:r w:rsidRPr="00FF42A7">
        <w:rPr>
          <w:w w:val="120"/>
        </w:rPr>
        <w:t xml:space="preserve">Wszyscy czterej skarżący owdowieli w połowie lub pod koniec lat dziewięćdziesiątych. Skarżyli się w szczególności na odmowę przyznania im przez władze Zjednoczonego Królestwa renty rodzinnej lub ekwiwalentu z tytułu utraty współmałżonka ze względu na </w:t>
      </w:r>
      <w:r w:rsidR="001E4A63" w:rsidRPr="00FF42A7">
        <w:rPr>
          <w:w w:val="120"/>
        </w:rPr>
        <w:t xml:space="preserve">ich </w:t>
      </w:r>
      <w:r w:rsidRPr="00FF42A7">
        <w:rPr>
          <w:w w:val="120"/>
        </w:rPr>
        <w:t>płeć. Drugi, trzeci i czwarty skarżący skarżyli się dodatkowo na nieprzyznanie im renty wdowiej, a początkowo także na nieprzyznanie im zasiłku dla wdów i zasiłku</w:t>
      </w:r>
      <w:r w:rsidR="00293EF7" w:rsidRPr="00FF42A7">
        <w:rPr>
          <w:w w:val="120"/>
        </w:rPr>
        <w:t xml:space="preserve"> dla</w:t>
      </w:r>
      <w:r w:rsidRPr="00FF42A7">
        <w:rPr>
          <w:w w:val="120"/>
        </w:rPr>
        <w:t xml:space="preserve"> </w:t>
      </w:r>
      <w:r w:rsidR="00293EF7" w:rsidRPr="00FF42A7">
        <w:rPr>
          <w:w w:val="120"/>
        </w:rPr>
        <w:t>owdowiałych matek.</w:t>
      </w:r>
    </w:p>
    <w:p w14:paraId="1F716923" w14:textId="439B7B67" w:rsidR="009F1A47" w:rsidRPr="00FF42A7" w:rsidRDefault="00000000">
      <w:pPr>
        <w:pStyle w:val="Tekstpodstawowy"/>
        <w:ind w:right="870"/>
      </w:pPr>
      <w:r w:rsidRPr="00FF42A7">
        <w:rPr>
          <w:color w:val="0071BB"/>
          <w:w w:val="120"/>
        </w:rPr>
        <w:t xml:space="preserve">W odniesieniu do pierwszej skargi skarżących Trybunał nie uznał, aby w okresie, w którym skarżącym odmówiono przyznania zasiłku, różnica w traktowaniu mężczyzn i kobiet w zakresie zasiłku dla wdów po utracie męża była uzasadniona w sposób racjonalny i obiektywny. W związku z tym uznał, że doszło </w:t>
      </w:r>
      <w:r w:rsidRPr="00FF42A7">
        <w:rPr>
          <w:b/>
          <w:color w:val="0071BB"/>
          <w:w w:val="120"/>
        </w:rPr>
        <w:t>do naruszenia art. 14 (</w:t>
      </w:r>
      <w:r w:rsidRPr="00FF42A7">
        <w:rPr>
          <w:color w:val="0071BB"/>
          <w:w w:val="120"/>
        </w:rPr>
        <w:t xml:space="preserve">zakaz dyskryminacji) </w:t>
      </w:r>
      <w:r w:rsidRPr="00FF42A7">
        <w:rPr>
          <w:b/>
          <w:color w:val="0071BB"/>
          <w:w w:val="120"/>
        </w:rPr>
        <w:t xml:space="preserve">w związku z art. 1 </w:t>
      </w:r>
      <w:r w:rsidRPr="00FF42A7">
        <w:rPr>
          <w:bCs/>
          <w:color w:val="0071BB"/>
          <w:w w:val="120"/>
        </w:rPr>
        <w:t>(</w:t>
      </w:r>
      <w:r w:rsidRPr="00FF42A7">
        <w:rPr>
          <w:color w:val="0071BB"/>
          <w:w w:val="120"/>
        </w:rPr>
        <w:t>ochrona własności)</w:t>
      </w:r>
      <w:r w:rsidR="00CD738F" w:rsidRPr="00FF42A7">
        <w:rPr>
          <w:color w:val="0071BB"/>
          <w:w w:val="120"/>
        </w:rPr>
        <w:t xml:space="preserve"> </w:t>
      </w:r>
      <w:r w:rsidR="00CD738F" w:rsidRPr="00FF42A7">
        <w:rPr>
          <w:b/>
          <w:bCs/>
          <w:color w:val="0071BB"/>
          <w:w w:val="120"/>
        </w:rPr>
        <w:t>P</w:t>
      </w:r>
      <w:r w:rsidRPr="00FF42A7">
        <w:rPr>
          <w:b/>
          <w:color w:val="0071BB"/>
          <w:w w:val="120"/>
        </w:rPr>
        <w:t>rotokołu nr</w:t>
      </w:r>
      <w:r w:rsidRPr="00FF42A7">
        <w:rPr>
          <w:b/>
          <w:color w:val="0071BB"/>
          <w:spacing w:val="40"/>
          <w:w w:val="120"/>
        </w:rPr>
        <w:t xml:space="preserve"> 1 </w:t>
      </w:r>
      <w:r w:rsidRPr="00FF42A7">
        <w:rPr>
          <w:color w:val="0071BB"/>
          <w:w w:val="120"/>
        </w:rPr>
        <w:t xml:space="preserve">w odniesieniu do pierwszego, drugiego i trzeciego skarżącego. Trybunał zauważył ponadto, że strony osiągnęły polubowne porozumienie w sprawie roszczeń dotyczących </w:t>
      </w:r>
      <w:r w:rsidR="00293EF7" w:rsidRPr="00FF42A7">
        <w:rPr>
          <w:color w:val="0071BB"/>
          <w:w w:val="120"/>
        </w:rPr>
        <w:t>zasiłku dla wdów i zasiłku dla owdowiałych matek</w:t>
      </w:r>
      <w:r w:rsidRPr="00FF42A7">
        <w:rPr>
          <w:color w:val="0071BB"/>
          <w:w w:val="120"/>
        </w:rPr>
        <w:t xml:space="preserve"> i </w:t>
      </w:r>
      <w:r w:rsidRPr="00FF42A7">
        <w:rPr>
          <w:b/>
          <w:color w:val="0071BB"/>
          <w:w w:val="120"/>
        </w:rPr>
        <w:t xml:space="preserve">skreślił </w:t>
      </w:r>
      <w:r w:rsidRPr="00FF42A7">
        <w:rPr>
          <w:color w:val="0071BB"/>
          <w:w w:val="120"/>
        </w:rPr>
        <w:t>t</w:t>
      </w:r>
      <w:r w:rsidR="00FF6E3A">
        <w:rPr>
          <w:color w:val="0071BB"/>
          <w:w w:val="120"/>
        </w:rPr>
        <w:t>e</w:t>
      </w:r>
      <w:r w:rsidRPr="00FF42A7">
        <w:rPr>
          <w:color w:val="0071BB"/>
          <w:w w:val="120"/>
        </w:rPr>
        <w:t xml:space="preserve"> części skarg </w:t>
      </w:r>
      <w:r w:rsidRPr="00FF42A7">
        <w:rPr>
          <w:b/>
          <w:color w:val="0071BB"/>
          <w:w w:val="120"/>
        </w:rPr>
        <w:t xml:space="preserve">z listy spraw. </w:t>
      </w:r>
      <w:r w:rsidRPr="00FF42A7">
        <w:rPr>
          <w:color w:val="0071BB"/>
          <w:w w:val="120"/>
        </w:rPr>
        <w:t>Wreszcie Trybunał nie stwierdził naruszenia w odniesieniu do roszczeń skarżących dotyczących renty wdowiej w odniesieniu do drugiego i trzeciego skarżącego oraz odroczył rozpatrzenie roszczenia dotyczącego renty wdowiej w sprawie czwartego skarżącego.</w:t>
      </w:r>
    </w:p>
    <w:p w14:paraId="16C48568" w14:textId="4EA8F12D" w:rsidR="009F1A47" w:rsidRPr="00FF42A7" w:rsidRDefault="00000000" w:rsidP="00146A0A">
      <w:pPr>
        <w:spacing w:before="8" w:line="243" w:lineRule="exact"/>
        <w:ind w:left="873" w:right="868"/>
        <w:jc w:val="both"/>
        <w:rPr>
          <w:sz w:val="20"/>
        </w:rPr>
      </w:pPr>
      <w:r w:rsidRPr="00FF42A7">
        <w:rPr>
          <w:i/>
          <w:color w:val="404040"/>
          <w:w w:val="125"/>
          <w:sz w:val="20"/>
        </w:rPr>
        <w:t>Zob. również</w:t>
      </w:r>
      <w:r w:rsidRPr="00FF42A7">
        <w:rPr>
          <w:color w:val="404040"/>
          <w:w w:val="125"/>
          <w:sz w:val="20"/>
        </w:rPr>
        <w:t xml:space="preserve">, między innymi: </w:t>
      </w:r>
      <w:hyperlink r:id="rId108">
        <w:r w:rsidR="009F1A47" w:rsidRPr="00FF42A7">
          <w:rPr>
            <w:rFonts w:ascii="Arial"/>
            <w:b/>
            <w:i/>
            <w:color w:val="0071BB"/>
            <w:w w:val="125"/>
            <w:sz w:val="20"/>
            <w:u w:val="thick" w:color="0071BB"/>
          </w:rPr>
          <w:t>Cross przeciwko Zjednoczonemu Kr</w:t>
        </w:r>
        <w:r w:rsidR="009F1A47" w:rsidRPr="00FF42A7">
          <w:rPr>
            <w:rFonts w:ascii="Arial"/>
            <w:b/>
            <w:i/>
            <w:color w:val="0071BB"/>
            <w:w w:val="125"/>
            <w:sz w:val="20"/>
            <w:u w:val="thick" w:color="0071BB"/>
          </w:rPr>
          <w:t>ó</w:t>
        </w:r>
        <w:r w:rsidR="009F1A47" w:rsidRPr="00FF42A7">
          <w:rPr>
            <w:rFonts w:ascii="Arial"/>
            <w:b/>
            <w:i/>
            <w:color w:val="0071BB"/>
            <w:w w:val="125"/>
            <w:sz w:val="20"/>
            <w:u w:val="thick" w:color="0071BB"/>
          </w:rPr>
          <w:t>lestwu</w:t>
        </w:r>
      </w:hyperlink>
      <w:r w:rsidRPr="00FF42A7">
        <w:rPr>
          <w:color w:val="404040"/>
          <w:w w:val="125"/>
          <w:sz w:val="20"/>
        </w:rPr>
        <w:t>, wyrok z dnia 9 października</w:t>
      </w:r>
      <w:r w:rsidRPr="00FF42A7">
        <w:rPr>
          <w:color w:val="404040"/>
          <w:spacing w:val="-2"/>
          <w:w w:val="125"/>
          <w:sz w:val="20"/>
        </w:rPr>
        <w:t xml:space="preserve"> 2007 r.;</w:t>
      </w:r>
      <w:r w:rsidR="00CD738F" w:rsidRPr="00FF42A7">
        <w:t xml:space="preserve"> </w:t>
      </w:r>
      <w:hyperlink r:id="rId109">
        <w:r w:rsidR="009F1A47" w:rsidRPr="00FF42A7">
          <w:rPr>
            <w:rFonts w:ascii="Arial"/>
            <w:b/>
            <w:i/>
            <w:color w:val="0071BB"/>
            <w:w w:val="120"/>
            <w:sz w:val="20"/>
            <w:u w:val="thick" w:color="0071BB"/>
          </w:rPr>
          <w:t>Anderson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009F1A47" w:rsidRPr="00FF42A7">
        <w:rPr>
          <w:color w:val="404040"/>
          <w:w w:val="120"/>
          <w:sz w:val="20"/>
        </w:rPr>
        <w:t xml:space="preserve"> oraz </w:t>
      </w:r>
      <w:hyperlink r:id="rId110">
        <w:proofErr w:type="spellStart"/>
        <w:r w:rsidR="009F1A47" w:rsidRPr="00FF42A7">
          <w:rPr>
            <w:rFonts w:ascii="Arial"/>
            <w:b/>
            <w:i/>
            <w:color w:val="0071BB"/>
            <w:w w:val="120"/>
            <w:sz w:val="20"/>
            <w:u w:val="thick" w:color="0071BB"/>
          </w:rPr>
          <w:t>Crilly</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009F1A47" w:rsidRPr="00FF42A7">
        <w:rPr>
          <w:color w:val="404040"/>
          <w:w w:val="120"/>
          <w:sz w:val="20"/>
        </w:rPr>
        <w:t xml:space="preserve">, wyroki </w:t>
      </w:r>
      <w:r w:rsidR="009F1A47" w:rsidRPr="00FF42A7">
        <w:rPr>
          <w:color w:val="404040"/>
          <w:spacing w:val="-5"/>
          <w:w w:val="120"/>
          <w:sz w:val="20"/>
        </w:rPr>
        <w:t>z dnia</w:t>
      </w:r>
      <w:r w:rsidR="00CD738F" w:rsidRPr="00FF42A7">
        <w:rPr>
          <w:color w:val="404040"/>
          <w:w w:val="120"/>
          <w:sz w:val="20"/>
        </w:rPr>
        <w:t xml:space="preserve"> </w:t>
      </w:r>
      <w:r w:rsidRPr="00FF42A7">
        <w:rPr>
          <w:color w:val="404040"/>
          <w:w w:val="120"/>
          <w:sz w:val="20"/>
        </w:rPr>
        <w:t xml:space="preserve">20 listopada 2007 r.; </w:t>
      </w:r>
      <w:hyperlink r:id="rId111">
        <w:proofErr w:type="spellStart"/>
        <w:r w:rsidR="009F1A47" w:rsidRPr="00FF42A7">
          <w:rPr>
            <w:rFonts w:ascii="Arial"/>
            <w:b/>
            <w:i/>
            <w:color w:val="0071BB"/>
            <w:w w:val="120"/>
            <w:sz w:val="20"/>
            <w:u w:val="thick" w:color="0071BB"/>
          </w:rPr>
          <w:t>Geen</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xml:space="preserve">, wyrok z dnia 4 grudnia 2007 r.; </w:t>
      </w:r>
      <w:hyperlink r:id="rId112">
        <w:proofErr w:type="spellStart"/>
        <w:r w:rsidR="009F1A47" w:rsidRPr="00FF42A7">
          <w:rPr>
            <w:rFonts w:ascii="Arial"/>
            <w:b/>
            <w:i/>
            <w:color w:val="0071BB"/>
            <w:w w:val="120"/>
            <w:sz w:val="20"/>
            <w:u w:val="thick" w:color="0071BB"/>
          </w:rPr>
          <w:t>Goodwin</w:t>
        </w:r>
        <w:proofErr w:type="spellEnd"/>
        <w:r w:rsidR="009F1A47" w:rsidRPr="00FF42A7">
          <w:rPr>
            <w:rFonts w:ascii="Arial"/>
            <w:b/>
            <w:i/>
            <w:color w:val="0071BB"/>
            <w:w w:val="120"/>
            <w:sz w:val="20"/>
            <w:u w:val="thick" w:color="0071BB"/>
          </w:rPr>
          <w:t xml:space="preserve">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xml:space="preserve"> i </w:t>
      </w:r>
      <w:hyperlink r:id="rId113">
        <w:proofErr w:type="spellStart"/>
        <w:r w:rsidR="009F1A47" w:rsidRPr="00FF42A7">
          <w:rPr>
            <w:rFonts w:ascii="Arial"/>
            <w:b/>
            <w:i/>
            <w:color w:val="0071BB"/>
            <w:w w:val="120"/>
            <w:sz w:val="20"/>
            <w:u w:val="single" w:color="0071BB"/>
          </w:rPr>
          <w:t>Higham</w:t>
        </w:r>
        <w:proofErr w:type="spellEnd"/>
        <w:r w:rsidR="009F1A47" w:rsidRPr="00FF42A7">
          <w:rPr>
            <w:rFonts w:ascii="Arial"/>
            <w:b/>
            <w:i/>
            <w:color w:val="0071BB"/>
            <w:w w:val="120"/>
            <w:sz w:val="20"/>
            <w:u w:val="single" w:color="0071BB"/>
          </w:rPr>
          <w:t xml:space="preserve"> przeciwko Zjednoczonemu Kr</w:t>
        </w:r>
        <w:r w:rsidR="009F1A47" w:rsidRPr="00FF42A7">
          <w:rPr>
            <w:rFonts w:ascii="Arial"/>
            <w:b/>
            <w:i/>
            <w:color w:val="0071BB"/>
            <w:w w:val="120"/>
            <w:sz w:val="20"/>
            <w:u w:val="single" w:color="0071BB"/>
          </w:rPr>
          <w:t>ó</w:t>
        </w:r>
        <w:r w:rsidR="009F1A47" w:rsidRPr="00FF42A7">
          <w:rPr>
            <w:rFonts w:ascii="Arial"/>
            <w:b/>
            <w:i/>
            <w:color w:val="0071BB"/>
            <w:w w:val="120"/>
            <w:sz w:val="20"/>
            <w:u w:val="single" w:color="0071BB"/>
          </w:rPr>
          <w:t>lestwu</w:t>
        </w:r>
      </w:hyperlink>
      <w:r w:rsidRPr="00FF42A7">
        <w:rPr>
          <w:color w:val="404040"/>
          <w:w w:val="120"/>
          <w:sz w:val="20"/>
        </w:rPr>
        <w:t xml:space="preserve">, wyroki z dnia 22 stycznia 2008 r.; </w:t>
      </w:r>
      <w:hyperlink r:id="rId114">
        <w:r w:rsidR="009F1A47" w:rsidRPr="00FF42A7">
          <w:rPr>
            <w:rFonts w:ascii="Arial"/>
            <w:b/>
            <w:i/>
            <w:color w:val="0071BB"/>
            <w:w w:val="120"/>
            <w:sz w:val="20"/>
            <w:u w:val="thick" w:color="0071BB"/>
          </w:rPr>
          <w:t>Szulc przeciwko 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xml:space="preserve">, wyrok z dnia 8 kwietnia 2008 r.; </w:t>
      </w:r>
      <w:hyperlink r:id="rId115">
        <w:proofErr w:type="spellStart"/>
        <w:r w:rsidR="009F1A47" w:rsidRPr="00FF42A7">
          <w:rPr>
            <w:rFonts w:ascii="Arial"/>
            <w:b/>
            <w:i/>
            <w:color w:val="0071BB"/>
            <w:w w:val="120"/>
            <w:sz w:val="20"/>
            <w:u w:val="thick" w:color="0071BB"/>
          </w:rPr>
          <w:t>Smith</w:t>
        </w:r>
        <w:proofErr w:type="spellEnd"/>
        <w:r w:rsidR="009F1A47" w:rsidRPr="00FF42A7">
          <w:rPr>
            <w:rFonts w:ascii="Arial"/>
            <w:b/>
            <w:i/>
            <w:color w:val="0071BB"/>
            <w:w w:val="120"/>
            <w:sz w:val="20"/>
            <w:u w:val="thick" w:color="0071BB"/>
          </w:rPr>
          <w:t xml:space="preserve"> przeciwko </w:t>
        </w:r>
      </w:hyperlink>
      <w:hyperlink r:id="rId116">
        <w:r w:rsidR="009F1A47" w:rsidRPr="00FF42A7">
          <w:rPr>
            <w:rFonts w:ascii="Arial"/>
            <w:b/>
            <w:i/>
            <w:color w:val="0071BB"/>
            <w:w w:val="120"/>
            <w:sz w:val="20"/>
            <w:u w:val="thick" w:color="0071BB"/>
          </w:rPr>
          <w:t>Zjednoczonemu Kr</w:t>
        </w:r>
        <w:r w:rsidR="009F1A47" w:rsidRPr="00FF42A7">
          <w:rPr>
            <w:rFonts w:ascii="Arial"/>
            <w:b/>
            <w:i/>
            <w:color w:val="0071BB"/>
            <w:w w:val="120"/>
            <w:sz w:val="20"/>
            <w:u w:val="thick" w:color="0071BB"/>
          </w:rPr>
          <w:t>ó</w:t>
        </w:r>
        <w:r w:rsidR="009F1A47" w:rsidRPr="00FF42A7">
          <w:rPr>
            <w:rFonts w:ascii="Arial"/>
            <w:b/>
            <w:i/>
            <w:color w:val="0071BB"/>
            <w:w w:val="120"/>
            <w:sz w:val="20"/>
            <w:u w:val="thick" w:color="0071BB"/>
          </w:rPr>
          <w:t>lestwu</w:t>
        </w:r>
      </w:hyperlink>
      <w:r w:rsidRPr="00FF42A7">
        <w:rPr>
          <w:color w:val="404040"/>
          <w:w w:val="120"/>
          <w:sz w:val="20"/>
        </w:rPr>
        <w:t>, wyrok z dnia 20 maja 2008 r.</w:t>
      </w:r>
    </w:p>
    <w:p w14:paraId="0C3E93F7" w14:textId="77777777" w:rsidR="009F1A47" w:rsidRPr="00FF42A7" w:rsidRDefault="009F1A47">
      <w:pPr>
        <w:jc w:val="both"/>
        <w:rPr>
          <w:sz w:val="20"/>
        </w:rPr>
        <w:sectPr w:rsidR="009F1A47" w:rsidRPr="00FF42A7">
          <w:pgSz w:w="11910" w:h="16840"/>
          <w:pgMar w:top="1400" w:right="566" w:bottom="680" w:left="566" w:header="720" w:footer="497" w:gutter="0"/>
          <w:cols w:space="708"/>
        </w:sectPr>
      </w:pPr>
    </w:p>
    <w:p w14:paraId="57BF3283" w14:textId="77777777" w:rsidR="009F1A47" w:rsidRPr="00FF42A7" w:rsidRDefault="009F1A47">
      <w:pPr>
        <w:pStyle w:val="Tekstpodstawowy"/>
        <w:spacing w:before="59"/>
        <w:ind w:left="0"/>
        <w:jc w:val="left"/>
      </w:pPr>
    </w:p>
    <w:p w14:paraId="5D01A5E1" w14:textId="77777777" w:rsidR="009F1A47" w:rsidRPr="00FF42A7" w:rsidRDefault="009F1A47">
      <w:pPr>
        <w:pStyle w:val="Nagwek2"/>
        <w:spacing w:before="1"/>
        <w:rPr>
          <w:u w:val="none"/>
        </w:rPr>
      </w:pPr>
      <w:hyperlink r:id="rId117">
        <w:proofErr w:type="spellStart"/>
        <w:r w:rsidRPr="00FF42A7">
          <w:rPr>
            <w:color w:val="0071BB"/>
            <w:w w:val="130"/>
            <w:u w:color="0071BB"/>
          </w:rPr>
          <w:t>Runkee</w:t>
        </w:r>
        <w:proofErr w:type="spellEnd"/>
        <w:r w:rsidRPr="00FF42A7">
          <w:rPr>
            <w:color w:val="0071BB"/>
            <w:w w:val="130"/>
            <w:u w:color="0071BB"/>
          </w:rPr>
          <w:t xml:space="preserve"> i White przeciwko Zjednoczonemu </w:t>
        </w:r>
        <w:r w:rsidRPr="00FF42A7">
          <w:rPr>
            <w:color w:val="0071BB"/>
            <w:spacing w:val="-2"/>
            <w:w w:val="130"/>
            <w:u w:color="0071BB"/>
          </w:rPr>
          <w:t>Królestwu</w:t>
        </w:r>
      </w:hyperlink>
    </w:p>
    <w:p w14:paraId="23457DDC" w14:textId="27668597" w:rsidR="009F1A47" w:rsidRPr="00FF42A7" w:rsidRDefault="00000000">
      <w:pPr>
        <w:spacing w:before="55"/>
        <w:ind w:left="874"/>
        <w:jc w:val="both"/>
        <w:rPr>
          <w:sz w:val="18"/>
        </w:rPr>
      </w:pPr>
      <w:r w:rsidRPr="00FF42A7">
        <w:rPr>
          <w:color w:val="808080"/>
          <w:w w:val="125"/>
          <w:sz w:val="18"/>
        </w:rPr>
        <w:t>10 maja</w:t>
      </w:r>
      <w:r w:rsidRPr="00FF42A7">
        <w:rPr>
          <w:color w:val="808080"/>
          <w:spacing w:val="-4"/>
          <w:w w:val="125"/>
          <w:sz w:val="18"/>
        </w:rPr>
        <w:t xml:space="preserve"> 2007</w:t>
      </w:r>
      <w:r w:rsidR="00CD738F" w:rsidRPr="00FF42A7">
        <w:rPr>
          <w:color w:val="808080"/>
          <w:spacing w:val="-4"/>
          <w:w w:val="125"/>
          <w:sz w:val="18"/>
        </w:rPr>
        <w:t xml:space="preserve"> r.</w:t>
      </w:r>
    </w:p>
    <w:p w14:paraId="3BFA2196" w14:textId="4239227D" w:rsidR="009F1A47" w:rsidRPr="00FF42A7" w:rsidRDefault="00000000">
      <w:pPr>
        <w:pStyle w:val="Tekstpodstawowy"/>
        <w:spacing w:before="1"/>
        <w:ind w:left="873" w:right="870"/>
      </w:pPr>
      <w:r w:rsidRPr="00FF42A7">
        <w:rPr>
          <w:w w:val="120"/>
        </w:rPr>
        <w:t xml:space="preserve">Obaj skarżący twierdzili, że jako mężczyźni nie byli uprawnieni do otrzymywania świadczeń dla wdów (renty wdowiej i zasiłku </w:t>
      </w:r>
      <w:r w:rsidR="00685542" w:rsidRPr="00FF42A7">
        <w:rPr>
          <w:w w:val="120"/>
        </w:rPr>
        <w:t>dla wdów</w:t>
      </w:r>
      <w:r w:rsidRPr="00FF42A7">
        <w:rPr>
          <w:w w:val="120"/>
        </w:rPr>
        <w:t>) równoważnych świadczeniom przysługującym kobietom w podobnej sytuacji.</w:t>
      </w:r>
    </w:p>
    <w:p w14:paraId="05E747F8" w14:textId="7E53B199" w:rsidR="009F1A47" w:rsidRPr="00FF42A7" w:rsidRDefault="00000000">
      <w:pPr>
        <w:pStyle w:val="Tekstpodstawowy"/>
        <w:ind w:left="873" w:right="870"/>
      </w:pPr>
      <w:r w:rsidRPr="00FF42A7">
        <w:rPr>
          <w:color w:val="0071BB"/>
          <w:w w:val="120"/>
        </w:rPr>
        <w:t xml:space="preserve">Trybunał zauważył, że renta wdowia, od momentu jej wprowadzenia do dnia jej zniesienia w dniu 9 kwietnia 2001 r. (z wyjątkiem kobiet, których małżonkowie zmarli przed tą datą), miała na celu wyrównanie nierówności między starszymi wdowami jako grupą a resztą społeczeństwa. Trybunał uznał, że różnica ta była uzasadniona w sposób racjonalny i obiektywny. Biorąc pod uwagę powolny charakter zmian w życiu zawodowym kobiet oraz niemożność określenia dokładnej daty, od której starsze wdowy jako grupa przestały potrzebować pomocy, Trybunał nie uznał, że Wielka Brytania może być krytykowana za to, że nie zniosła tej renty wcześniej. W związku z tym nie doszło do naruszenia </w:t>
      </w:r>
      <w:r w:rsidRPr="00FF42A7">
        <w:rPr>
          <w:b/>
          <w:color w:val="0071BB"/>
          <w:w w:val="120"/>
        </w:rPr>
        <w:t xml:space="preserve">art. 14 </w:t>
      </w:r>
      <w:r w:rsidR="003E5202" w:rsidRPr="00FF42A7">
        <w:rPr>
          <w:bCs/>
          <w:color w:val="0071BB"/>
          <w:spacing w:val="80"/>
          <w:w w:val="120"/>
        </w:rPr>
        <w:t>(</w:t>
      </w:r>
      <w:r w:rsidRPr="00FF42A7">
        <w:rPr>
          <w:color w:val="0071BB"/>
          <w:w w:val="120"/>
        </w:rPr>
        <w:t xml:space="preserve">zakaz dyskryminacji) Konwencji </w:t>
      </w:r>
      <w:r w:rsidRPr="00FF42A7">
        <w:rPr>
          <w:b/>
          <w:color w:val="0071BB"/>
          <w:w w:val="120"/>
        </w:rPr>
        <w:t>w związku z art</w:t>
      </w:r>
      <w:r w:rsidRPr="00FF42A7">
        <w:rPr>
          <w:b/>
          <w:color w:val="0071BB"/>
          <w:spacing w:val="40"/>
          <w:w w:val="120"/>
        </w:rPr>
        <w:t xml:space="preserve">. 1 </w:t>
      </w:r>
      <w:r w:rsidRPr="00FF42A7">
        <w:rPr>
          <w:bCs/>
          <w:color w:val="0071BB"/>
          <w:spacing w:val="40"/>
          <w:w w:val="120"/>
        </w:rPr>
        <w:t>(</w:t>
      </w:r>
      <w:r w:rsidRPr="00FF42A7">
        <w:rPr>
          <w:color w:val="0071BB"/>
          <w:w w:val="120"/>
        </w:rPr>
        <w:t xml:space="preserve">ochrona własności) </w:t>
      </w:r>
      <w:r w:rsidR="003E5202" w:rsidRPr="00FF42A7">
        <w:rPr>
          <w:b/>
          <w:bCs/>
          <w:color w:val="0071BB"/>
          <w:w w:val="120"/>
        </w:rPr>
        <w:t>P</w:t>
      </w:r>
      <w:r w:rsidRPr="00FF42A7">
        <w:rPr>
          <w:b/>
          <w:color w:val="0071BB"/>
          <w:w w:val="120"/>
        </w:rPr>
        <w:t>rotokołu nr</w:t>
      </w:r>
      <w:r w:rsidRPr="00FF42A7">
        <w:rPr>
          <w:b/>
          <w:color w:val="0071BB"/>
          <w:spacing w:val="40"/>
          <w:w w:val="120"/>
        </w:rPr>
        <w:t xml:space="preserve"> 1 </w:t>
      </w:r>
      <w:r w:rsidRPr="00FF42A7">
        <w:rPr>
          <w:color w:val="0071BB"/>
          <w:w w:val="120"/>
        </w:rPr>
        <w:t xml:space="preserve">w odniesieniu do braku prawa do renty wdowiej. Jednakże, podobnie jak w podobnych sprawach dotyczących tej samej kwestii na podstawie Konwencji (zob. powyżej, </w:t>
      </w:r>
      <w:proofErr w:type="spellStart"/>
      <w:r w:rsidRPr="00FF42A7">
        <w:rPr>
          <w:i/>
          <w:color w:val="0071BB"/>
          <w:w w:val="120"/>
        </w:rPr>
        <w:t>Willis</w:t>
      </w:r>
      <w:proofErr w:type="spellEnd"/>
      <w:r w:rsidRPr="00FF42A7">
        <w:rPr>
          <w:i/>
          <w:color w:val="0071BB"/>
          <w:w w:val="120"/>
        </w:rPr>
        <w:t xml:space="preserve"> przeciwko Zjednoczonemu Królestwu)</w:t>
      </w:r>
      <w:r w:rsidRPr="00FF42A7">
        <w:rPr>
          <w:color w:val="0071BB"/>
          <w:w w:val="120"/>
        </w:rPr>
        <w:t xml:space="preserve">, Trybunał uznał, że doszło </w:t>
      </w:r>
      <w:r w:rsidRPr="00FF42A7">
        <w:rPr>
          <w:b/>
          <w:color w:val="0071BB"/>
          <w:w w:val="120"/>
        </w:rPr>
        <w:t>do naruszenia art. 14 w związku z art.</w:t>
      </w:r>
      <w:r w:rsidRPr="00FF42A7">
        <w:rPr>
          <w:b/>
          <w:color w:val="0071BB"/>
          <w:spacing w:val="80"/>
          <w:w w:val="150"/>
        </w:rPr>
        <w:t xml:space="preserve"> </w:t>
      </w:r>
      <w:r w:rsidR="003E5202" w:rsidRPr="00FF42A7">
        <w:rPr>
          <w:b/>
          <w:color w:val="0071BB"/>
          <w:spacing w:val="80"/>
          <w:w w:val="150"/>
        </w:rPr>
        <w:t>1</w:t>
      </w:r>
      <w:r w:rsidRPr="00FF42A7">
        <w:rPr>
          <w:b/>
          <w:color w:val="0071BB"/>
          <w:spacing w:val="80"/>
          <w:w w:val="150"/>
        </w:rPr>
        <w:t xml:space="preserve"> </w:t>
      </w:r>
      <w:r w:rsidR="003E5202" w:rsidRPr="00FF42A7">
        <w:rPr>
          <w:b/>
          <w:color w:val="0071BB"/>
          <w:w w:val="120"/>
        </w:rPr>
        <w:t xml:space="preserve">Protokołu </w:t>
      </w:r>
      <w:r w:rsidRPr="00FF42A7">
        <w:rPr>
          <w:b/>
          <w:color w:val="0071BB"/>
          <w:w w:val="120"/>
        </w:rPr>
        <w:t xml:space="preserve">nr 1 </w:t>
      </w:r>
      <w:r w:rsidRPr="00FF42A7">
        <w:rPr>
          <w:color w:val="0071BB"/>
          <w:w w:val="120"/>
        </w:rPr>
        <w:t>w odniesieniu do braku uprawnień do renty wdowiej.</w:t>
      </w:r>
    </w:p>
    <w:p w14:paraId="14C0ABB8" w14:textId="77777777" w:rsidR="009F1A47" w:rsidRPr="00FF42A7" w:rsidRDefault="00000000">
      <w:pPr>
        <w:spacing w:before="45" w:line="237" w:lineRule="auto"/>
        <w:ind w:left="874" w:right="873"/>
        <w:jc w:val="both"/>
        <w:rPr>
          <w:sz w:val="20"/>
          <w:szCs w:val="20"/>
        </w:rPr>
      </w:pPr>
      <w:r w:rsidRPr="00FF42A7">
        <w:rPr>
          <w:i/>
          <w:color w:val="404040"/>
          <w:w w:val="120"/>
          <w:sz w:val="20"/>
          <w:szCs w:val="20"/>
        </w:rPr>
        <w:t>Zob</w:t>
      </w:r>
      <w:r w:rsidRPr="00FF42A7">
        <w:rPr>
          <w:color w:val="404040"/>
          <w:w w:val="120"/>
          <w:sz w:val="20"/>
          <w:szCs w:val="20"/>
        </w:rPr>
        <w:t xml:space="preserve">. </w:t>
      </w:r>
      <w:r w:rsidRPr="00FF42A7">
        <w:rPr>
          <w:i/>
          <w:color w:val="404040"/>
          <w:w w:val="120"/>
          <w:sz w:val="20"/>
          <w:szCs w:val="20"/>
        </w:rPr>
        <w:t xml:space="preserve">również </w:t>
      </w:r>
      <w:r w:rsidRPr="00FF42A7">
        <w:rPr>
          <w:color w:val="404040"/>
          <w:w w:val="120"/>
          <w:sz w:val="20"/>
          <w:szCs w:val="20"/>
        </w:rPr>
        <w:t xml:space="preserve">m.in.: </w:t>
      </w:r>
      <w:hyperlink r:id="rId118">
        <w:proofErr w:type="spellStart"/>
        <w:r w:rsidR="009F1A47" w:rsidRPr="00FF42A7">
          <w:rPr>
            <w:rFonts w:ascii="Arial"/>
            <w:b/>
            <w:i/>
            <w:color w:val="0071BB"/>
            <w:w w:val="120"/>
            <w:sz w:val="20"/>
            <w:szCs w:val="20"/>
            <w:u w:val="thick" w:color="0071BB"/>
          </w:rPr>
          <w:t>Fallon</w:t>
        </w:r>
        <w:proofErr w:type="spellEnd"/>
        <w:r w:rsidR="009F1A47" w:rsidRPr="00FF42A7">
          <w:rPr>
            <w:rFonts w:ascii="Arial"/>
            <w:b/>
            <w:i/>
            <w:color w:val="0071BB"/>
            <w:w w:val="120"/>
            <w:sz w:val="20"/>
            <w:szCs w:val="20"/>
            <w:u w:val="thick" w:color="0071BB"/>
          </w:rPr>
          <w:t xml:space="preserve"> przeciwko Zjednoczonemu 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i </w:t>
      </w:r>
      <w:hyperlink r:id="rId119">
        <w:proofErr w:type="spellStart"/>
        <w:r w:rsidR="009F1A47" w:rsidRPr="00FF42A7">
          <w:rPr>
            <w:rFonts w:ascii="Arial"/>
            <w:b/>
            <w:i/>
            <w:color w:val="0071BB"/>
            <w:w w:val="120"/>
            <w:sz w:val="20"/>
            <w:szCs w:val="20"/>
            <w:u w:val="single" w:color="0071BB"/>
          </w:rPr>
          <w:t>Woods</w:t>
        </w:r>
        <w:proofErr w:type="spellEnd"/>
        <w:r w:rsidR="009F1A47" w:rsidRPr="00FF42A7">
          <w:rPr>
            <w:rFonts w:ascii="Arial"/>
            <w:b/>
            <w:i/>
            <w:color w:val="0071BB"/>
            <w:w w:val="120"/>
            <w:sz w:val="20"/>
            <w:szCs w:val="20"/>
            <w:u w:val="single" w:color="0071BB"/>
          </w:rPr>
          <w:t xml:space="preserve"> przeciwko Zjednoczonemu </w:t>
        </w:r>
      </w:hyperlink>
      <w:hyperlink r:id="rId120">
        <w:r w:rsidR="009F1A47" w:rsidRPr="00FF42A7">
          <w:rPr>
            <w:rFonts w:ascii="Arial"/>
            <w:b/>
            <w:i/>
            <w:color w:val="0071BB"/>
            <w:w w:val="120"/>
            <w:sz w:val="20"/>
            <w:szCs w:val="20"/>
            <w:u w:val="thick" w:color="0071BB"/>
          </w:rPr>
          <w:t>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wyroki z dnia 20 listopada 2007 r.; </w:t>
      </w:r>
      <w:hyperlink r:id="rId121">
        <w:r w:rsidR="009F1A47" w:rsidRPr="00FF42A7">
          <w:rPr>
            <w:rFonts w:ascii="Arial"/>
            <w:b/>
            <w:i/>
            <w:color w:val="0071BB"/>
            <w:w w:val="120"/>
            <w:sz w:val="20"/>
            <w:szCs w:val="20"/>
            <w:u w:val="thick" w:color="0071BB"/>
          </w:rPr>
          <w:t>Williams przeciwko Zjednoczonemu 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wyrok z dnia 8 stycznia 2008 r.; </w:t>
      </w:r>
      <w:hyperlink r:id="rId122">
        <w:proofErr w:type="spellStart"/>
        <w:r w:rsidR="009F1A47" w:rsidRPr="00FF42A7">
          <w:rPr>
            <w:rFonts w:ascii="Arial"/>
            <w:b/>
            <w:i/>
            <w:color w:val="0071BB"/>
            <w:w w:val="120"/>
            <w:sz w:val="20"/>
            <w:szCs w:val="20"/>
            <w:u w:val="thick" w:color="0071BB"/>
          </w:rPr>
          <w:t>McNamee</w:t>
        </w:r>
        <w:proofErr w:type="spellEnd"/>
        <w:r w:rsidR="009F1A47" w:rsidRPr="00FF42A7">
          <w:rPr>
            <w:rFonts w:ascii="Arial"/>
            <w:b/>
            <w:i/>
            <w:color w:val="0071BB"/>
            <w:w w:val="120"/>
            <w:sz w:val="20"/>
            <w:szCs w:val="20"/>
            <w:u w:val="thick" w:color="0071BB"/>
          </w:rPr>
          <w:t xml:space="preserve"> przeciwko Zjednoczonemu 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wyrok z dnia 27 marca 2008 r.; </w:t>
      </w:r>
      <w:hyperlink r:id="rId123">
        <w:proofErr w:type="spellStart"/>
        <w:r w:rsidR="009F1A47" w:rsidRPr="00FF42A7">
          <w:rPr>
            <w:rFonts w:ascii="Arial"/>
            <w:b/>
            <w:i/>
            <w:color w:val="0071BB"/>
            <w:w w:val="120"/>
            <w:sz w:val="20"/>
            <w:szCs w:val="20"/>
            <w:u w:val="thick" w:color="0071BB"/>
          </w:rPr>
          <w:t>Cummins</w:t>
        </w:r>
        <w:proofErr w:type="spellEnd"/>
        <w:r w:rsidR="009F1A47" w:rsidRPr="00FF42A7">
          <w:rPr>
            <w:rFonts w:ascii="Arial"/>
            <w:b/>
            <w:i/>
            <w:color w:val="0071BB"/>
            <w:w w:val="120"/>
            <w:sz w:val="20"/>
            <w:szCs w:val="20"/>
            <w:u w:val="thick" w:color="0071BB"/>
          </w:rPr>
          <w:t xml:space="preserve"> przeciwko Zjednoczonemu 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wyrok z dnia 1 kwietnia 2008 r.; </w:t>
      </w:r>
      <w:hyperlink r:id="rId124">
        <w:r w:rsidR="009F1A47" w:rsidRPr="00FF42A7">
          <w:rPr>
            <w:rFonts w:ascii="Arial"/>
            <w:b/>
            <w:i/>
            <w:color w:val="0071BB"/>
            <w:w w:val="120"/>
            <w:sz w:val="20"/>
            <w:szCs w:val="20"/>
            <w:u w:val="single" w:color="0071BB"/>
          </w:rPr>
          <w:t xml:space="preserve">Szulc przeciwko </w:t>
        </w:r>
      </w:hyperlink>
      <w:hyperlink r:id="rId125">
        <w:r w:rsidR="009F1A47" w:rsidRPr="00FF42A7">
          <w:rPr>
            <w:rFonts w:ascii="Arial"/>
            <w:b/>
            <w:i/>
            <w:color w:val="0071BB"/>
            <w:w w:val="120"/>
            <w:sz w:val="20"/>
            <w:szCs w:val="20"/>
            <w:u w:val="thick" w:color="0071BB"/>
          </w:rPr>
          <w:t>Zjednoczonemu Kr</w:t>
        </w:r>
        <w:r w:rsidR="009F1A47" w:rsidRPr="00FF42A7">
          <w:rPr>
            <w:rFonts w:ascii="Arial"/>
            <w:b/>
            <w:i/>
            <w:color w:val="0071BB"/>
            <w:w w:val="120"/>
            <w:sz w:val="20"/>
            <w:szCs w:val="20"/>
            <w:u w:val="thick" w:color="0071BB"/>
          </w:rPr>
          <w:t>ó</w:t>
        </w:r>
        <w:r w:rsidR="009F1A47" w:rsidRPr="00FF42A7">
          <w:rPr>
            <w:rFonts w:ascii="Arial"/>
            <w:b/>
            <w:i/>
            <w:color w:val="0071BB"/>
            <w:w w:val="120"/>
            <w:sz w:val="20"/>
            <w:szCs w:val="20"/>
            <w:u w:val="thick" w:color="0071BB"/>
          </w:rPr>
          <w:t>lestwu,</w:t>
        </w:r>
      </w:hyperlink>
      <w:r w:rsidRPr="00FF42A7">
        <w:rPr>
          <w:color w:val="404040"/>
          <w:w w:val="120"/>
          <w:sz w:val="20"/>
          <w:szCs w:val="20"/>
        </w:rPr>
        <w:t xml:space="preserve"> wyrok z dnia 8 kwietnia 2008 r.</w:t>
      </w:r>
    </w:p>
    <w:p w14:paraId="3E887548" w14:textId="77777777" w:rsidR="009F1A47" w:rsidRPr="00FF42A7" w:rsidRDefault="009F1A47">
      <w:pPr>
        <w:pStyle w:val="Tekstpodstawowy"/>
        <w:spacing w:before="5"/>
        <w:ind w:left="0"/>
        <w:jc w:val="left"/>
      </w:pPr>
    </w:p>
    <w:p w14:paraId="140810EB" w14:textId="77777777" w:rsidR="009F1A47" w:rsidRPr="00FF42A7" w:rsidRDefault="00000000">
      <w:pPr>
        <w:pStyle w:val="Nagwek1"/>
        <w:spacing w:before="0"/>
      </w:pPr>
      <w:r w:rsidRPr="00FF42A7">
        <w:rPr>
          <w:noProof/>
        </w:rPr>
        <mc:AlternateContent>
          <mc:Choice Requires="wps">
            <w:drawing>
              <wp:anchor distT="0" distB="0" distL="0" distR="0" simplePos="0" relativeHeight="251662336" behindDoc="1" locked="0" layoutInCell="1" allowOverlap="1" wp14:anchorId="6EEFC190" wp14:editId="7EE19EB4">
                <wp:simplePos x="0" y="0"/>
                <wp:positionH relativeFrom="page">
                  <wp:posOffset>896111</wp:posOffset>
                </wp:positionH>
                <wp:positionV relativeFrom="paragraph">
                  <wp:posOffset>256390</wp:posOffset>
                </wp:positionV>
                <wp:extent cx="5768340" cy="18415"/>
                <wp:effectExtent l="0" t="0" r="0" b="0"/>
                <wp:wrapTopAndBottom/>
                <wp:docPr id="34" name="Graphic 34"/>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0C1BCC3" id="Graphic 34" o:spid="_x0000_s1026" style="position:absolute;margin-left:70.55pt;margin-top:20.2pt;width:454.2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" path="m5768340,l,,,18287r5768340,l5768340,xe" fillcolor="#999" stroked="f">
                <v:path arrowok="t"/>
                <w10:wrap type="topAndBottom" anchorx="page"/>
              </v:shape>
            </w:pict>
          </mc:Fallback>
        </mc:AlternateContent>
      </w:r>
      <w:r w:rsidRPr="00FF42A7">
        <w:rPr>
          <w:color w:val="0071BB"/>
          <w:w w:val="120"/>
          <w:sz w:val="29"/>
        </w:rPr>
        <w:t xml:space="preserve">Prawo do wolnych </w:t>
      </w:r>
      <w:r w:rsidRPr="00FF42A7">
        <w:rPr>
          <w:color w:val="0071BB"/>
          <w:spacing w:val="-2"/>
          <w:w w:val="120"/>
          <w:sz w:val="29"/>
        </w:rPr>
        <w:t>wyborów</w:t>
      </w:r>
    </w:p>
    <w:p w14:paraId="147DBEF9" w14:textId="77777777" w:rsidR="009F1A47" w:rsidRPr="00FF42A7" w:rsidRDefault="00000000">
      <w:pPr>
        <w:spacing w:before="259"/>
        <w:ind w:left="874"/>
        <w:jc w:val="both"/>
        <w:rPr>
          <w:sz w:val="28"/>
        </w:rPr>
      </w:pPr>
      <w:r w:rsidRPr="00FF42A7">
        <w:rPr>
          <w:color w:val="808080"/>
          <w:w w:val="120"/>
          <w:sz w:val="29"/>
        </w:rPr>
        <w:t xml:space="preserve">Listy kandydatów w wyborach do </w:t>
      </w:r>
      <w:r w:rsidRPr="00FF42A7">
        <w:rPr>
          <w:color w:val="808080"/>
          <w:spacing w:val="-2"/>
          <w:w w:val="120"/>
          <w:sz w:val="29"/>
        </w:rPr>
        <w:t xml:space="preserve">organów </w:t>
      </w:r>
      <w:r w:rsidRPr="00FF42A7">
        <w:rPr>
          <w:color w:val="808080"/>
          <w:w w:val="120"/>
          <w:sz w:val="29"/>
        </w:rPr>
        <w:t>przedstawicielskich</w:t>
      </w:r>
    </w:p>
    <w:p w14:paraId="37140164" w14:textId="77777777" w:rsidR="009F1A47" w:rsidRPr="00FF42A7" w:rsidRDefault="009F1A47">
      <w:pPr>
        <w:pStyle w:val="Nagwek2"/>
        <w:spacing w:before="113"/>
        <w:rPr>
          <w:u w:val="none"/>
        </w:rPr>
      </w:pPr>
      <w:hyperlink r:id="rId126">
        <w:proofErr w:type="spellStart"/>
        <w:r w:rsidRPr="00FF42A7">
          <w:rPr>
            <w:color w:val="0071BB"/>
            <w:w w:val="135"/>
            <w:u w:color="0071BB"/>
          </w:rPr>
          <w:t>Staatkundig</w:t>
        </w:r>
        <w:proofErr w:type="spellEnd"/>
        <w:r w:rsidRPr="00FF42A7">
          <w:rPr>
            <w:color w:val="0071BB"/>
            <w:w w:val="135"/>
            <w:u w:color="0071BB"/>
          </w:rPr>
          <w:t xml:space="preserve"> </w:t>
        </w:r>
        <w:proofErr w:type="spellStart"/>
        <w:r w:rsidRPr="00FF42A7">
          <w:rPr>
            <w:color w:val="0071BB"/>
            <w:w w:val="135"/>
            <w:u w:color="0071BB"/>
          </w:rPr>
          <w:t>Gereformeerde</w:t>
        </w:r>
        <w:proofErr w:type="spellEnd"/>
        <w:r w:rsidRPr="00FF42A7">
          <w:rPr>
            <w:color w:val="0071BB"/>
            <w:w w:val="135"/>
            <w:u w:color="0071BB"/>
          </w:rPr>
          <w:t xml:space="preserve"> </w:t>
        </w:r>
        <w:proofErr w:type="spellStart"/>
        <w:r w:rsidRPr="00FF42A7">
          <w:rPr>
            <w:color w:val="0071BB"/>
            <w:w w:val="135"/>
            <w:u w:color="0071BB"/>
          </w:rPr>
          <w:t>Partij</w:t>
        </w:r>
        <w:proofErr w:type="spellEnd"/>
        <w:r w:rsidRPr="00FF42A7">
          <w:rPr>
            <w:color w:val="0071BB"/>
            <w:w w:val="135"/>
            <w:u w:color="0071BB"/>
          </w:rPr>
          <w:t xml:space="preserve"> przeciwko </w:t>
        </w:r>
        <w:r w:rsidRPr="00FF42A7">
          <w:rPr>
            <w:color w:val="0071BB"/>
            <w:spacing w:val="-2"/>
            <w:w w:val="135"/>
            <w:u w:color="0071BB"/>
          </w:rPr>
          <w:t>Holandii</w:t>
        </w:r>
      </w:hyperlink>
    </w:p>
    <w:p w14:paraId="1586363E" w14:textId="77777777" w:rsidR="009F1A47" w:rsidRPr="00FF42A7" w:rsidRDefault="00000000">
      <w:pPr>
        <w:spacing w:before="56"/>
        <w:ind w:left="874"/>
        <w:jc w:val="both"/>
        <w:rPr>
          <w:sz w:val="18"/>
        </w:rPr>
      </w:pPr>
      <w:r w:rsidRPr="00FF42A7">
        <w:rPr>
          <w:color w:val="808080"/>
          <w:w w:val="125"/>
          <w:sz w:val="18"/>
        </w:rPr>
        <w:t xml:space="preserve">10 lipca 2012 r. (postanowienie o </w:t>
      </w:r>
      <w:r w:rsidRPr="00FF42A7">
        <w:rPr>
          <w:color w:val="808080"/>
          <w:spacing w:val="-2"/>
          <w:w w:val="125"/>
          <w:sz w:val="18"/>
        </w:rPr>
        <w:t>dopuszczalności)</w:t>
      </w:r>
    </w:p>
    <w:p w14:paraId="58DBA4FD" w14:textId="6D4D9C34" w:rsidR="009F1A47" w:rsidRPr="00FF42A7" w:rsidRDefault="00000000">
      <w:pPr>
        <w:pStyle w:val="Tekstpodstawowy"/>
        <w:spacing w:before="1"/>
        <w:ind w:left="873" w:right="871"/>
      </w:pPr>
      <w:r w:rsidRPr="00FF42A7">
        <w:rPr>
          <w:w w:val="120"/>
        </w:rPr>
        <w:t xml:space="preserve">Po orzeczeniu sądu okręgowego w postępowaniu cywilnym wszczętym przeciwko </w:t>
      </w:r>
      <w:r w:rsidR="008D0C52" w:rsidRPr="00FF42A7">
        <w:rPr>
          <w:w w:val="120"/>
        </w:rPr>
        <w:t>skarżącemu</w:t>
      </w:r>
      <w:r w:rsidR="008C1CA7" w:rsidRPr="00FF42A7">
        <w:rPr>
          <w:w w:val="120"/>
        </w:rPr>
        <w:t xml:space="preserve"> </w:t>
      </w:r>
      <w:r w:rsidRPr="00FF42A7">
        <w:rPr>
          <w:w w:val="120"/>
        </w:rPr>
        <w:t xml:space="preserve">przez kilka stowarzyszeń i organizacji, które domagały się od </w:t>
      </w:r>
      <w:r w:rsidR="00A35B7D" w:rsidRPr="00FF42A7">
        <w:rPr>
          <w:w w:val="120"/>
        </w:rPr>
        <w:t>P</w:t>
      </w:r>
      <w:r w:rsidRPr="00FF42A7">
        <w:rPr>
          <w:w w:val="120"/>
        </w:rPr>
        <w:t xml:space="preserve">aństwa podjęcia kroków zmierzających do zobowiązania go do otwarcia list kandydatów do organów przedstawicielskich dla kobiet, skarżący – bardzo tradycyjna protestancka partia polityczna – zmienił swoje zasady, dopuszczając kobiety do członkostwa, ale nadal nie zezwalając im na kandydowanie w wyborach na stanowiska publiczne. W 2010 r. Sąd Najwyższy uznał sposób, w jaki skarżąca partia realizowała swoje przekonania w zakresie nominowania kandydatów do wyborów do ogólnych organów przedstawicielskich, za niedopuszczalny. Stwierdził ponadto, że </w:t>
      </w:r>
      <w:r w:rsidR="00A35B7D" w:rsidRPr="00FF42A7">
        <w:rPr>
          <w:w w:val="120"/>
        </w:rPr>
        <w:t>P</w:t>
      </w:r>
      <w:r w:rsidRPr="00FF42A7">
        <w:rPr>
          <w:w w:val="120"/>
        </w:rPr>
        <w:t>aństwo nie miało racji, przyjmując stanowisko, że jego własna ocena interesów nie uprawnia go do podjęcia żadnych środków przeciwko tej praktyce. Stała Komisja Parlamentarna ds. Spraw Wewnętrznych Izby Niższej Parlamentu postanowiła następnie poczekać na wynik postępowania przed sądem przed podjęciem decyzji o ewentualnym podjęciu działań.</w:t>
      </w:r>
    </w:p>
    <w:p w14:paraId="516FABC1" w14:textId="25ACA6CE" w:rsidR="009F1A47" w:rsidRPr="00FF42A7" w:rsidRDefault="00685542" w:rsidP="00F3080F">
      <w:pPr>
        <w:pStyle w:val="Tekstpodstawowy"/>
        <w:spacing w:before="1"/>
        <w:ind w:left="873" w:right="871"/>
        <w:rPr>
          <w:color w:val="0071BB"/>
          <w:w w:val="120"/>
        </w:rPr>
      </w:pPr>
      <w:r w:rsidRPr="00FF42A7">
        <w:rPr>
          <w:color w:val="0071BB"/>
          <w:w w:val="120"/>
        </w:rPr>
        <w:t>Trybunał uznał skargę za</w:t>
      </w:r>
      <w:r w:rsidR="003E5202" w:rsidRPr="00FF42A7">
        <w:rPr>
          <w:color w:val="0071BB"/>
          <w:w w:val="120"/>
        </w:rPr>
        <w:t xml:space="preserve"> </w:t>
      </w:r>
      <w:r w:rsidR="003E5202" w:rsidRPr="00FF42A7">
        <w:rPr>
          <w:b/>
          <w:bCs/>
          <w:color w:val="0071BB"/>
          <w:w w:val="120"/>
        </w:rPr>
        <w:t>niedopu</w:t>
      </w:r>
      <w:r w:rsidR="00F3080F" w:rsidRPr="00FF42A7">
        <w:rPr>
          <w:b/>
          <w:bCs/>
          <w:color w:val="0071BB"/>
          <w:w w:val="120"/>
        </w:rPr>
        <w:t>s</w:t>
      </w:r>
      <w:r w:rsidR="003E5202" w:rsidRPr="00FF42A7">
        <w:rPr>
          <w:b/>
          <w:bCs/>
          <w:color w:val="0071BB"/>
          <w:w w:val="120"/>
        </w:rPr>
        <w:t>zczaln</w:t>
      </w:r>
      <w:r w:rsidRPr="00FF42A7">
        <w:rPr>
          <w:b/>
          <w:bCs/>
          <w:color w:val="0071BB"/>
          <w:w w:val="120"/>
        </w:rPr>
        <w:t>ą</w:t>
      </w:r>
      <w:r w:rsidR="003E5202" w:rsidRPr="00FF42A7">
        <w:rPr>
          <w:color w:val="0071BB"/>
          <w:w w:val="120"/>
        </w:rPr>
        <w:t xml:space="preserve"> jako będąc</w:t>
      </w:r>
      <w:r w:rsidRPr="00FF42A7">
        <w:rPr>
          <w:color w:val="0071BB"/>
          <w:w w:val="120"/>
        </w:rPr>
        <w:t>ą</w:t>
      </w:r>
      <w:r w:rsidR="003E5202" w:rsidRPr="00FF42A7">
        <w:rPr>
          <w:color w:val="0071BB"/>
          <w:w w:val="120"/>
        </w:rPr>
        <w:t xml:space="preserve"> w sposób oczywisty bezzasadn</w:t>
      </w:r>
      <w:r w:rsidRPr="00FF42A7">
        <w:rPr>
          <w:color w:val="0071BB"/>
          <w:w w:val="120"/>
        </w:rPr>
        <w:t>ą</w:t>
      </w:r>
      <w:r w:rsidR="003E5202" w:rsidRPr="00FF42A7">
        <w:rPr>
          <w:color w:val="0071BB"/>
          <w:w w:val="120"/>
        </w:rPr>
        <w:t>.</w:t>
      </w:r>
      <w:r w:rsidR="00F3080F" w:rsidRPr="00FF42A7">
        <w:rPr>
          <w:color w:val="0071BB"/>
          <w:w w:val="120"/>
        </w:rPr>
        <w:t xml:space="preserve"> </w:t>
      </w:r>
      <w:r w:rsidR="003E5202" w:rsidRPr="00FF42A7">
        <w:rPr>
          <w:color w:val="0071BB"/>
          <w:w w:val="120"/>
        </w:rPr>
        <w:t xml:space="preserve">W szczególności powtórzył, że demokracja jest jedynym modelem politycznym przewidzianym w Konwencji i jedynym modelem zgodnym z nią. Ponadto postęp w zakresie równości płci w państwach członkowskich uniemożliwiał </w:t>
      </w:r>
      <w:r w:rsidR="00A35B7D" w:rsidRPr="00FF42A7">
        <w:rPr>
          <w:color w:val="0071BB"/>
          <w:w w:val="120"/>
        </w:rPr>
        <w:t>P</w:t>
      </w:r>
      <w:r w:rsidR="003E5202" w:rsidRPr="00FF42A7">
        <w:rPr>
          <w:color w:val="0071BB"/>
          <w:w w:val="120"/>
        </w:rPr>
        <w:t>aństwu popieranie poglądów, zgodnie z którymi rola mężczyzny jest pierwszorzędna, a rola kobiety drugorzędna. Fakt, że żadna kobieta nie wyraziła chęci kandydowania w wyborach z ramienia partii skarżącej, nie miał decydującego znaczenia. Nie miało większego znaczenia, czy odmowa podstawowego prawa politycznego wyłącznie ze względu na płeć została wyraźnie zapisana w statucie partii skarżącej lub w innych jej dokumentach wewnętrznych, skoro była ona publicznie popierana i stosowana w praktyce. Stanowisko partii skarżącej było nie do przyjęcia, niezależnie od głęboko zakorzenionych przekonań religijnych, na których się opierało.</w:t>
      </w:r>
    </w:p>
    <w:p w14:paraId="441CE002" w14:textId="77777777" w:rsidR="009F1A47" w:rsidRPr="00FF42A7" w:rsidRDefault="009F1A47">
      <w:pPr>
        <w:pStyle w:val="Tekstpodstawowy"/>
        <w:sectPr w:rsidR="009F1A47" w:rsidRPr="00FF42A7">
          <w:pgSz w:w="11910" w:h="16840"/>
          <w:pgMar w:top="1400" w:right="566" w:bottom="680" w:left="566" w:header="720" w:footer="497" w:gutter="0"/>
          <w:cols w:space="708"/>
        </w:sectPr>
      </w:pPr>
    </w:p>
    <w:p w14:paraId="22CA7EDA" w14:textId="77777777" w:rsidR="009F1A47" w:rsidRPr="00FF42A7" w:rsidRDefault="00000000">
      <w:pPr>
        <w:pStyle w:val="Nagwek1"/>
        <w:spacing w:before="309"/>
      </w:pPr>
      <w:r w:rsidRPr="00FF42A7">
        <w:rPr>
          <w:noProof/>
        </w:rPr>
        <w:lastRenderedPageBreak/>
        <mc:AlternateContent>
          <mc:Choice Requires="wps">
            <w:drawing>
              <wp:anchor distT="0" distB="0" distL="0" distR="0" simplePos="0" relativeHeight="251680768" behindDoc="1" locked="0" layoutInCell="1" allowOverlap="1" wp14:anchorId="30926716" wp14:editId="7B898F08">
                <wp:simplePos x="0" y="0"/>
                <wp:positionH relativeFrom="page">
                  <wp:posOffset>896111</wp:posOffset>
                </wp:positionH>
                <wp:positionV relativeFrom="paragraph">
                  <wp:posOffset>451104</wp:posOffset>
                </wp:positionV>
                <wp:extent cx="5768340" cy="18415"/>
                <wp:effectExtent l="0" t="0" r="0" b="0"/>
                <wp:wrapTopAndBottom/>
                <wp:docPr id="35" name="Graphic 35"/>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37731F38" id="Graphic 35" o:spid="_x0000_s1026" style="position:absolute;margin-left:70.55pt;margin-top:35.5pt;width:454.2pt;height:1.4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" path="m5768340,l,,,18288r5768340,l5768340,xe" fillcolor="#999" stroked="f">
                <v:path arrowok="t"/>
                <w10:wrap type="topAndBottom" anchorx="page"/>
              </v:shape>
            </w:pict>
          </mc:Fallback>
        </mc:AlternateContent>
      </w:r>
      <w:r w:rsidRPr="00FF42A7">
        <w:rPr>
          <w:color w:val="0071BB"/>
          <w:w w:val="120"/>
          <w:sz w:val="29"/>
        </w:rPr>
        <w:t xml:space="preserve">Ogólny zakaz </w:t>
      </w:r>
      <w:r w:rsidRPr="00FF42A7">
        <w:rPr>
          <w:color w:val="0071BB"/>
          <w:spacing w:val="-2"/>
          <w:w w:val="120"/>
          <w:sz w:val="29"/>
        </w:rPr>
        <w:t>dyskryminacji</w:t>
      </w:r>
    </w:p>
    <w:p w14:paraId="4D7127AB" w14:textId="77777777" w:rsidR="009F1A47" w:rsidRPr="00FF42A7" w:rsidRDefault="009F1A47">
      <w:pPr>
        <w:pStyle w:val="Nagwek2"/>
        <w:spacing w:before="133"/>
        <w:rPr>
          <w:u w:val="none"/>
        </w:rPr>
      </w:pPr>
      <w:hyperlink r:id="rId127">
        <w:proofErr w:type="spellStart"/>
        <w:r w:rsidRPr="00FF42A7">
          <w:rPr>
            <w:color w:val="0071BB"/>
            <w:w w:val="135"/>
            <w:u w:color="0071BB"/>
          </w:rPr>
          <w:t>Napotnik</w:t>
        </w:r>
        <w:proofErr w:type="spellEnd"/>
        <w:r w:rsidRPr="00FF42A7">
          <w:rPr>
            <w:color w:val="0071BB"/>
            <w:w w:val="135"/>
            <w:u w:color="0071BB"/>
          </w:rPr>
          <w:t xml:space="preserve"> przeciwko </w:t>
        </w:r>
        <w:r w:rsidRPr="00FF42A7">
          <w:rPr>
            <w:color w:val="0071BB"/>
            <w:spacing w:val="-2"/>
            <w:w w:val="135"/>
            <w:u w:color="0071BB"/>
          </w:rPr>
          <w:t>Rumunii</w:t>
        </w:r>
      </w:hyperlink>
    </w:p>
    <w:p w14:paraId="090BA6FD" w14:textId="7D395553" w:rsidR="009F1A47" w:rsidRPr="00FF42A7" w:rsidRDefault="00000000">
      <w:pPr>
        <w:spacing w:before="58"/>
        <w:ind w:left="874"/>
        <w:jc w:val="both"/>
        <w:rPr>
          <w:sz w:val="18"/>
        </w:rPr>
      </w:pPr>
      <w:r w:rsidRPr="00FF42A7">
        <w:rPr>
          <w:color w:val="808080"/>
          <w:w w:val="120"/>
          <w:sz w:val="18"/>
        </w:rPr>
        <w:t>20 października</w:t>
      </w:r>
      <w:r w:rsidRPr="00FF42A7">
        <w:rPr>
          <w:color w:val="808080"/>
          <w:spacing w:val="-4"/>
          <w:w w:val="120"/>
          <w:sz w:val="18"/>
        </w:rPr>
        <w:t xml:space="preserve"> 2020</w:t>
      </w:r>
      <w:r w:rsidR="00F3080F" w:rsidRPr="00FF42A7">
        <w:rPr>
          <w:color w:val="808080"/>
          <w:spacing w:val="-4"/>
          <w:w w:val="120"/>
          <w:sz w:val="18"/>
        </w:rPr>
        <w:t xml:space="preserve"> r.</w:t>
      </w:r>
    </w:p>
    <w:p w14:paraId="1F11DF8D" w14:textId="1B2BF28C" w:rsidR="009F1A47" w:rsidRPr="00FF42A7" w:rsidRDefault="00000000">
      <w:pPr>
        <w:pStyle w:val="Tekstpodstawowy"/>
        <w:spacing w:before="2"/>
        <w:ind w:left="873" w:right="870"/>
      </w:pPr>
      <w:r w:rsidRPr="00FF42A7">
        <w:rPr>
          <w:w w:val="120"/>
        </w:rPr>
        <w:t>W niniejszej sprawie skarżąca została oddelegowana do pracy dyplomatycznej za granicą, do ambasady Rumunii w Lublanie</w:t>
      </w:r>
      <w:r w:rsidR="00F3080F" w:rsidRPr="00FF42A7">
        <w:rPr>
          <w:w w:val="120"/>
        </w:rPr>
        <w:t xml:space="preserve">, </w:t>
      </w:r>
      <w:r w:rsidRPr="00FF42A7">
        <w:rPr>
          <w:w w:val="120"/>
        </w:rPr>
        <w:t>a następnie</w:t>
      </w:r>
      <w:r w:rsidRPr="00FF42A7">
        <w:rPr>
          <w:spacing w:val="40"/>
          <w:w w:val="120"/>
        </w:rPr>
        <w:t xml:space="preserve">  </w:t>
      </w:r>
      <w:r w:rsidRPr="00FF42A7">
        <w:rPr>
          <w:w w:val="120"/>
        </w:rPr>
        <w:t xml:space="preserve"> zwolniona</w:t>
      </w:r>
      <w:r w:rsidRPr="00FF42A7">
        <w:rPr>
          <w:spacing w:val="40"/>
          <w:w w:val="120"/>
        </w:rPr>
        <w:t xml:space="preserve">  </w:t>
      </w:r>
      <w:r w:rsidRPr="00FF42A7">
        <w:rPr>
          <w:w w:val="120"/>
        </w:rPr>
        <w:t xml:space="preserve"> natychmiast</w:t>
      </w:r>
      <w:r w:rsidRPr="00FF42A7">
        <w:rPr>
          <w:spacing w:val="40"/>
          <w:w w:val="120"/>
        </w:rPr>
        <w:t xml:space="preserve">  </w:t>
      </w:r>
      <w:r w:rsidRPr="00FF42A7">
        <w:rPr>
          <w:w w:val="120"/>
        </w:rPr>
        <w:t xml:space="preserve"> po</w:t>
      </w:r>
      <w:r w:rsidRPr="00FF42A7">
        <w:rPr>
          <w:spacing w:val="40"/>
          <w:w w:val="120"/>
        </w:rPr>
        <w:t xml:space="preserve">  </w:t>
      </w:r>
      <w:r w:rsidRPr="00FF42A7">
        <w:rPr>
          <w:w w:val="120"/>
        </w:rPr>
        <w:t xml:space="preserve"> ogłoszeniu</w:t>
      </w:r>
      <w:r w:rsidRPr="00FF42A7">
        <w:rPr>
          <w:spacing w:val="40"/>
          <w:w w:val="120"/>
        </w:rPr>
        <w:t xml:space="preserve">  </w:t>
      </w:r>
      <w:r w:rsidRPr="00FF42A7">
        <w:rPr>
          <w:w w:val="120"/>
        </w:rPr>
        <w:t xml:space="preserve"> swojej</w:t>
      </w:r>
      <w:r w:rsidRPr="00FF42A7">
        <w:rPr>
          <w:spacing w:val="40"/>
          <w:w w:val="120"/>
        </w:rPr>
        <w:t xml:space="preserve"> </w:t>
      </w:r>
      <w:r w:rsidRPr="00FF42A7">
        <w:rPr>
          <w:w w:val="120"/>
        </w:rPr>
        <w:t>drugiej</w:t>
      </w:r>
      <w:r w:rsidR="00BA791F" w:rsidRPr="00FF42A7">
        <w:rPr>
          <w:spacing w:val="40"/>
          <w:w w:val="120"/>
        </w:rPr>
        <w:t xml:space="preserve"> </w:t>
      </w:r>
      <w:r w:rsidRPr="00FF42A7">
        <w:rPr>
          <w:w w:val="120"/>
        </w:rPr>
        <w:t>ciąży. Skarżąca twierdziła, że była dyskryminowana w miejscu pracy, argumentując, że ciąg wydarzeń wyraźnie wskazuje, iż została zwolniona z pracy dyplomatycznej z powodu ciąży.</w:t>
      </w:r>
    </w:p>
    <w:p w14:paraId="0BB9DB13" w14:textId="673DAACA" w:rsidR="009F1A47" w:rsidRPr="00FF42A7" w:rsidRDefault="00000000">
      <w:pPr>
        <w:pStyle w:val="Tekstpodstawowy"/>
        <w:ind w:left="873" w:right="869"/>
      </w:pPr>
      <w:r w:rsidRPr="00FF42A7">
        <w:rPr>
          <w:color w:val="0071BB"/>
          <w:w w:val="120"/>
        </w:rPr>
        <w:t xml:space="preserve">Trybunał uznał, że </w:t>
      </w:r>
      <w:r w:rsidRPr="00FF42A7">
        <w:rPr>
          <w:b/>
          <w:color w:val="0071BB"/>
          <w:w w:val="120"/>
        </w:rPr>
        <w:t xml:space="preserve">nie </w:t>
      </w:r>
      <w:r w:rsidRPr="00FF42A7">
        <w:rPr>
          <w:color w:val="0071BB"/>
          <w:w w:val="120"/>
        </w:rPr>
        <w:t xml:space="preserve">doszło </w:t>
      </w:r>
      <w:r w:rsidRPr="00FF42A7">
        <w:rPr>
          <w:b/>
          <w:color w:val="0071BB"/>
          <w:w w:val="120"/>
        </w:rPr>
        <w:t xml:space="preserve">do naruszenia art. 1 </w:t>
      </w:r>
      <w:r w:rsidRPr="00FF42A7">
        <w:rPr>
          <w:color w:val="0071BB"/>
          <w:w w:val="120"/>
        </w:rPr>
        <w:t xml:space="preserve">(ogólny zakaz dyskryminacji) </w:t>
      </w:r>
      <w:r w:rsidR="00F3080F" w:rsidRPr="00FF42A7">
        <w:rPr>
          <w:b/>
          <w:color w:val="0071BB"/>
          <w:w w:val="120"/>
        </w:rPr>
        <w:t xml:space="preserve">Protokołu </w:t>
      </w:r>
      <w:r w:rsidRPr="00FF42A7">
        <w:rPr>
          <w:b/>
          <w:color w:val="0071BB"/>
          <w:w w:val="120"/>
        </w:rPr>
        <w:t xml:space="preserve">nr 12 </w:t>
      </w:r>
      <w:r w:rsidRPr="00FF42A7">
        <w:rPr>
          <w:color w:val="0071BB"/>
          <w:w w:val="120"/>
        </w:rPr>
        <w:t>do Konwencji. Stwierdził, że skarżąca była traktowana w sposób odmienny ze względu na płeć,</w:t>
      </w:r>
      <w:r w:rsidR="00F3080F" w:rsidRPr="00FF42A7">
        <w:rPr>
          <w:color w:val="0071BB"/>
          <w:w w:val="120"/>
        </w:rPr>
        <w:t xml:space="preserve"> </w:t>
      </w:r>
      <w:r w:rsidRPr="00FF42A7">
        <w:rPr>
          <w:color w:val="0071BB"/>
          <w:w w:val="120"/>
        </w:rPr>
        <w:t>ale władze krajowe wystarczająco uzasadniły takie odmienne traktowanie koniecznością zapewnienia funkcjonowania sekcji konsularnej ambasady, a ostatecznie ochroną praw innych osób, a mianowicie Rumunów potrzebujących pomocy za granicą. W każdym razie skarżąca nie poniosła żadnych znaczących strat: nie została zwolniona ani ukarana, a wręcz przeciwnie – dwukrotnie awansowała.</w:t>
      </w:r>
    </w:p>
    <w:p w14:paraId="741619E0" w14:textId="77777777" w:rsidR="009F1A47" w:rsidRPr="00FF42A7" w:rsidRDefault="009F1A47">
      <w:pPr>
        <w:pStyle w:val="Nagwek2"/>
        <w:spacing w:before="104"/>
        <w:ind w:left="873"/>
        <w:rPr>
          <w:u w:val="none"/>
        </w:rPr>
      </w:pPr>
      <w:hyperlink r:id="rId128">
        <w:proofErr w:type="spellStart"/>
        <w:r w:rsidRPr="00FF42A7">
          <w:rPr>
            <w:color w:val="0071BB"/>
            <w:w w:val="130"/>
            <w:u w:color="0071BB"/>
          </w:rPr>
          <w:t>Moraru</w:t>
        </w:r>
        <w:proofErr w:type="spellEnd"/>
        <w:r w:rsidRPr="00FF42A7">
          <w:rPr>
            <w:color w:val="0071BB"/>
            <w:w w:val="130"/>
            <w:u w:color="0071BB"/>
          </w:rPr>
          <w:t xml:space="preserve"> i Marin przeciwko </w:t>
        </w:r>
        <w:r w:rsidRPr="00FF42A7">
          <w:rPr>
            <w:color w:val="0071BB"/>
            <w:spacing w:val="-2"/>
            <w:w w:val="130"/>
            <w:u w:color="0071BB"/>
          </w:rPr>
          <w:t>Rumunii</w:t>
        </w:r>
      </w:hyperlink>
    </w:p>
    <w:p w14:paraId="0EEBAC80" w14:textId="77777777" w:rsidR="009F1A47" w:rsidRPr="00FF42A7" w:rsidRDefault="00000000">
      <w:pPr>
        <w:spacing w:before="58"/>
        <w:ind w:left="874"/>
        <w:jc w:val="both"/>
        <w:rPr>
          <w:sz w:val="18"/>
        </w:rPr>
      </w:pPr>
      <w:r w:rsidRPr="00FF42A7">
        <w:rPr>
          <w:color w:val="808080"/>
          <w:w w:val="125"/>
          <w:sz w:val="18"/>
        </w:rPr>
        <w:t>20 grudnia</w:t>
      </w:r>
      <w:r w:rsidRPr="00FF42A7">
        <w:rPr>
          <w:color w:val="808080"/>
          <w:spacing w:val="-4"/>
          <w:w w:val="125"/>
          <w:sz w:val="18"/>
        </w:rPr>
        <w:t xml:space="preserve"> 2022 r.</w:t>
      </w:r>
    </w:p>
    <w:p w14:paraId="02456360" w14:textId="77777777" w:rsidR="009F1A47" w:rsidRPr="00FF42A7" w:rsidRDefault="00000000">
      <w:pPr>
        <w:pStyle w:val="Tekstpodstawowy"/>
        <w:spacing w:before="2"/>
        <w:ind w:right="873"/>
      </w:pPr>
      <w:r w:rsidRPr="00FF42A7">
        <w:rPr>
          <w:w w:val="120"/>
        </w:rPr>
        <w:t>Sprawa dotyczyła wieku emerytalnego dla kobiet zatrudnionych w służbie cywilnej w Rumunii, który wcześniej był niższy niż dla mężczyzn, oraz zarzutu dyskryminacji. Obie skarżące były emerytowanymi urzędniczkami służby cywilnej.</w:t>
      </w:r>
    </w:p>
    <w:p w14:paraId="3B02082E" w14:textId="43CE0663" w:rsidR="009F1A47" w:rsidRPr="00FF42A7" w:rsidRDefault="00000000">
      <w:pPr>
        <w:pStyle w:val="Tekstpodstawowy"/>
        <w:ind w:left="873" w:right="870"/>
      </w:pPr>
      <w:r w:rsidRPr="00FF42A7">
        <w:rPr>
          <w:color w:val="0071BB"/>
          <w:w w:val="120"/>
        </w:rPr>
        <w:t xml:space="preserve">Trybunał uznał, że doszło </w:t>
      </w:r>
      <w:r w:rsidRPr="00FF42A7">
        <w:rPr>
          <w:b/>
          <w:color w:val="0071BB"/>
          <w:w w:val="120"/>
        </w:rPr>
        <w:t xml:space="preserve">do naruszenia art. 1 </w:t>
      </w:r>
      <w:r w:rsidR="00F3080F" w:rsidRPr="00FF42A7">
        <w:rPr>
          <w:b/>
          <w:color w:val="0071BB"/>
          <w:w w:val="120"/>
        </w:rPr>
        <w:t xml:space="preserve">Protokołu </w:t>
      </w:r>
      <w:r w:rsidRPr="00FF42A7">
        <w:rPr>
          <w:b/>
          <w:color w:val="0071BB"/>
          <w:w w:val="120"/>
        </w:rPr>
        <w:t xml:space="preserve">nr 12 </w:t>
      </w:r>
      <w:r w:rsidRPr="00FF42A7">
        <w:rPr>
          <w:color w:val="0071BB"/>
          <w:w w:val="120"/>
        </w:rPr>
        <w:t>(ogólny zakaz dyskryminacji) do Konwencji, stwierdzając, że nieudzielenie skarżącym możliwości kontynuowania pracy po osiągnięciu wieku emerytalnego dla kobiet i do momentu osiągnięcia wieku emerytalnego ustalonego dla mężczyzn stanowiło dyskryminację ze względu na płeć, która nie była obiektywnie uzasadniona ani konieczna.</w:t>
      </w:r>
    </w:p>
    <w:p w14:paraId="5800B04B" w14:textId="77777777" w:rsidR="009F1A47" w:rsidRPr="00FF42A7" w:rsidRDefault="00000000">
      <w:pPr>
        <w:pStyle w:val="Nagwek1"/>
        <w:spacing w:before="236"/>
      </w:pPr>
      <w:r w:rsidRPr="00FF42A7">
        <w:rPr>
          <w:noProof/>
        </w:rPr>
        <mc:AlternateContent>
          <mc:Choice Requires="wps">
            <w:drawing>
              <wp:anchor distT="0" distB="0" distL="0" distR="0" simplePos="0" relativeHeight="251682816" behindDoc="1" locked="0" layoutInCell="1" allowOverlap="1" wp14:anchorId="67411027" wp14:editId="461597E3">
                <wp:simplePos x="0" y="0"/>
                <wp:positionH relativeFrom="page">
                  <wp:posOffset>896111</wp:posOffset>
                </wp:positionH>
                <wp:positionV relativeFrom="paragraph">
                  <wp:posOffset>406090</wp:posOffset>
                </wp:positionV>
                <wp:extent cx="5768340" cy="18415"/>
                <wp:effectExtent l="0" t="0" r="0" b="0"/>
                <wp:wrapTopAndBottom/>
                <wp:docPr id="36" name="Graphic 36"/>
                <wp:cNvGraphicFramePr/>
                <a:graphic xmlns:a="http://schemas.openxmlformats.org/drawingml/2006/main">
                  <a:graphicData uri="http://schemas.microsoft.com/office/word/2010/wordprocessingShape">
                    <wps:wsp>
                      <wps:cNvSpPr/>
                      <wps:spPr>
                        <a:xfrm>
                          <a:off x="0" y="0"/>
                          <a:ext cx="5768340" cy="18415"/>
                        </a:xfrm>
                        <a:custGeom>
                          <a:avLst/>
                          <a:gdLst/>
                          <a:ahLst/>
                          <a:cxnLst/>
                          <a:rect l="l" t="t" r="r" b="b"/>
                          <a:pathLst>
                            <a:path w="5768340" h="18415">
                              <a:moveTo>
                                <a:pt x="5768340" y="0"/>
                              </a:moveTo>
                              <a:lnTo>
                                <a:pt x="0" y="0"/>
                              </a:lnTo>
                              <a:lnTo>
                                <a:pt x="0" y="18287"/>
                              </a:lnTo>
                              <a:lnTo>
                                <a:pt x="5768340" y="18287"/>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286C62A3" id="Graphic 36" o:spid="_x0000_s1026" style="position:absolute;margin-left:70.55pt;margin-top:32pt;width:454.2pt;height:1.45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" path="m5768340,l,,,18287r5768340,l5768340,xe" fillcolor="#999" stroked="f">
                <v:path arrowok="t"/>
                <w10:wrap type="topAndBottom" anchorx="page"/>
              </v:shape>
            </w:pict>
          </mc:Fallback>
        </mc:AlternateContent>
      </w:r>
      <w:r w:rsidRPr="00FF42A7">
        <w:rPr>
          <w:color w:val="0071BB"/>
          <w:w w:val="125"/>
          <w:sz w:val="29"/>
        </w:rPr>
        <w:t xml:space="preserve">Teksty i </w:t>
      </w:r>
      <w:r w:rsidRPr="00FF42A7">
        <w:rPr>
          <w:color w:val="0071BB"/>
          <w:spacing w:val="-2"/>
          <w:w w:val="125"/>
          <w:sz w:val="29"/>
        </w:rPr>
        <w:t>dokumenty</w:t>
      </w:r>
    </w:p>
    <w:p w14:paraId="2D780716" w14:textId="77777777" w:rsidR="009F1A47" w:rsidRPr="00FF42A7" w:rsidRDefault="009F1A47">
      <w:pPr>
        <w:pStyle w:val="Tekstpodstawowy"/>
        <w:spacing w:before="9"/>
        <w:ind w:left="0"/>
        <w:jc w:val="left"/>
      </w:pPr>
    </w:p>
    <w:p w14:paraId="70B4A8A9" w14:textId="77777777" w:rsidR="009F1A47" w:rsidRPr="00FF42A7" w:rsidRDefault="00000000">
      <w:pPr>
        <w:pStyle w:val="Tekstpodstawowy"/>
        <w:jc w:val="left"/>
      </w:pPr>
      <w:r w:rsidRPr="00FF42A7">
        <w:rPr>
          <w:w w:val="125"/>
        </w:rPr>
        <w:t xml:space="preserve">Zobacz w </w:t>
      </w:r>
      <w:r w:rsidRPr="00FF42A7">
        <w:rPr>
          <w:spacing w:val="-2"/>
          <w:w w:val="125"/>
        </w:rPr>
        <w:t>szczególności:</w:t>
      </w:r>
    </w:p>
    <w:p w14:paraId="5DB75B25" w14:textId="77777777" w:rsidR="009F1A47" w:rsidRPr="00FF42A7" w:rsidRDefault="009F1A47">
      <w:pPr>
        <w:pStyle w:val="Akapitzlist"/>
        <w:numPr>
          <w:ilvl w:val="0"/>
          <w:numId w:val="1"/>
        </w:numPr>
        <w:tabs>
          <w:tab w:val="left" w:pos="1300"/>
        </w:tabs>
        <w:spacing w:before="118"/>
        <w:ind w:left="1300" w:hanging="285"/>
        <w:rPr>
          <w:sz w:val="20"/>
        </w:rPr>
      </w:pPr>
      <w:hyperlink r:id="rId129">
        <w:r w:rsidRPr="00FF42A7">
          <w:rPr>
            <w:b/>
            <w:color w:val="0071BB"/>
            <w:w w:val="120"/>
            <w:sz w:val="20"/>
            <w:u w:val="single" w:color="0071BB"/>
          </w:rPr>
          <w:t>stronę internetową</w:t>
        </w:r>
      </w:hyperlink>
      <w:r w:rsidRPr="00FF42A7">
        <w:rPr>
          <w:w w:val="120"/>
          <w:sz w:val="20"/>
        </w:rPr>
        <w:t xml:space="preserve"> Rady Europy poświęconą </w:t>
      </w:r>
      <w:r w:rsidRPr="00FF42A7">
        <w:rPr>
          <w:spacing w:val="-2"/>
          <w:w w:val="120"/>
          <w:sz w:val="20"/>
        </w:rPr>
        <w:t xml:space="preserve">równości </w:t>
      </w:r>
      <w:r w:rsidRPr="00FF42A7">
        <w:rPr>
          <w:w w:val="120"/>
          <w:sz w:val="20"/>
        </w:rPr>
        <w:t>płci</w:t>
      </w:r>
    </w:p>
    <w:p w14:paraId="5E308F1A" w14:textId="77777777" w:rsidR="009F1A47" w:rsidRPr="00FF42A7" w:rsidRDefault="009F1A47">
      <w:pPr>
        <w:pStyle w:val="Akapitzlist"/>
        <w:numPr>
          <w:ilvl w:val="0"/>
          <w:numId w:val="1"/>
        </w:numPr>
        <w:tabs>
          <w:tab w:val="left" w:pos="1301"/>
        </w:tabs>
        <w:spacing w:before="59"/>
        <w:ind w:right="875"/>
        <w:rPr>
          <w:sz w:val="20"/>
        </w:rPr>
      </w:pPr>
      <w:hyperlink r:id="rId130">
        <w:r w:rsidRPr="00FF42A7">
          <w:rPr>
            <w:b/>
            <w:color w:val="0071BB"/>
            <w:w w:val="130"/>
            <w:sz w:val="20"/>
            <w:u w:val="single" w:color="0071BB"/>
          </w:rPr>
          <w:t>Podręcznik europejskiego prawa antydyskryminacyjnego – wydanie z 2018 r.</w:t>
        </w:r>
      </w:hyperlink>
      <w:r w:rsidRPr="00FF42A7">
        <w:rPr>
          <w:w w:val="130"/>
          <w:sz w:val="20"/>
        </w:rPr>
        <w:t>, Agencja Praw Podstawowych Unii Europejskiej / Rada Europy, 2018 r.</w:t>
      </w:r>
    </w:p>
    <w:p w14:paraId="07EED188" w14:textId="77777777" w:rsidR="009F1A47" w:rsidRPr="00FF42A7" w:rsidRDefault="00000000">
      <w:pPr>
        <w:pStyle w:val="Tekstpodstawowy"/>
        <w:spacing w:before="5"/>
        <w:ind w:left="0"/>
        <w:jc w:val="left"/>
        <w:rPr>
          <w:sz w:val="18"/>
        </w:rPr>
      </w:pPr>
      <w:r w:rsidRPr="00FF42A7">
        <w:rPr>
          <w:noProof/>
          <w:sz w:val="18"/>
        </w:rPr>
        <mc:AlternateContent>
          <mc:Choice Requires="wps">
            <w:drawing>
              <wp:anchor distT="0" distB="0" distL="0" distR="0" simplePos="0" relativeHeight="251684864" behindDoc="1" locked="0" layoutInCell="1" allowOverlap="1" wp14:anchorId="4570B2A3" wp14:editId="0F81E285">
                <wp:simplePos x="0" y="0"/>
                <wp:positionH relativeFrom="page">
                  <wp:posOffset>896111</wp:posOffset>
                </wp:positionH>
                <wp:positionV relativeFrom="paragraph">
                  <wp:posOffset>158303</wp:posOffset>
                </wp:positionV>
                <wp:extent cx="5768340" cy="12700"/>
                <wp:effectExtent l="0" t="0" r="0" b="0"/>
                <wp:wrapTopAndBottom/>
                <wp:docPr id="37" name="Graphic 37"/>
                <wp:cNvGraphicFramePr/>
                <a:graphic xmlns:a="http://schemas.openxmlformats.org/drawingml/2006/main">
                  <a:graphicData uri="http://schemas.microsoft.com/office/word/2010/wordprocessingShape">
                    <wps:wsp>
                      <wps:cNvSpPr/>
                      <wps:spPr>
                        <a:xfrm>
                          <a:off x="0" y="0"/>
                          <a:ext cx="5768340" cy="12700"/>
                        </a:xfrm>
                        <a:custGeom>
                          <a:avLst/>
                          <a:gdLst/>
                          <a:ahLst/>
                          <a:cxnLst/>
                          <a:rect l="l" t="t" r="r" b="b"/>
                          <a:pathLst>
                            <a:path w="5768340" h="12700">
                              <a:moveTo>
                                <a:pt x="5768340" y="0"/>
                              </a:moveTo>
                              <a:lnTo>
                                <a:pt x="0" y="0"/>
                              </a:lnTo>
                              <a:lnTo>
                                <a:pt x="0" y="12191"/>
                              </a:lnTo>
                              <a:lnTo>
                                <a:pt x="5768340" y="12191"/>
                              </a:lnTo>
                              <a:lnTo>
                                <a:pt x="5768340" y="0"/>
                              </a:lnTo>
                              <a:close/>
                            </a:path>
                          </a:pathLst>
                        </a:custGeom>
                        <a:solidFill>
                          <a:srgbClr val="999999"/>
                        </a:solidFill>
                      </wps:spPr>
                      <wps:bodyPr wrap="square" lIns="0" tIns="0" rIns="0" bIns="0" rtlCol="0">
                        <a:prstTxWarp prst="textNoShape">
                          <a:avLst/>
                        </a:prstTxWarp>
                      </wps:bodyPr>
                    </wps:wsp>
                  </a:graphicData>
                </a:graphic>
              </wp:anchor>
            </w:drawing>
          </mc:Choice>
          <mc:Fallback>
            <w:pict>
              <v:shape w14:anchorId="07D5DDBE" id="Graphic 37" o:spid="_x0000_s1026" style="position:absolute;margin-left:70.55pt;margin-top:12.45pt;width:454.2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5768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" path="m5768340,l,,,12191r5768340,l5768340,xe" fillcolor="#999" stroked="f">
                <v:path arrowok="t"/>
                <w10:wrap type="topAndBottom" anchorx="page"/>
              </v:shape>
            </w:pict>
          </mc:Fallback>
        </mc:AlternateContent>
      </w:r>
    </w:p>
    <w:p w14:paraId="6FE91643" w14:textId="77777777" w:rsidR="009F1A47" w:rsidRPr="00FF42A7" w:rsidRDefault="009F1A47">
      <w:pPr>
        <w:pStyle w:val="Tekstpodstawowy"/>
        <w:spacing w:before="129"/>
        <w:ind w:left="0"/>
        <w:jc w:val="left"/>
      </w:pPr>
    </w:p>
    <w:p w14:paraId="5C07E998" w14:textId="77777777" w:rsidR="009F1A47" w:rsidRPr="00FF42A7" w:rsidRDefault="00000000">
      <w:pPr>
        <w:spacing w:line="243" w:lineRule="exact"/>
        <w:ind w:right="1"/>
        <w:jc w:val="center"/>
        <w:rPr>
          <w:b/>
          <w:sz w:val="20"/>
        </w:rPr>
      </w:pPr>
      <w:r w:rsidRPr="00FF42A7">
        <w:rPr>
          <w:b/>
          <w:color w:val="808080"/>
          <w:spacing w:val="-2"/>
          <w:w w:val="130"/>
          <w:sz w:val="20"/>
        </w:rPr>
        <w:t xml:space="preserve">Kontakt </w:t>
      </w:r>
      <w:r w:rsidRPr="00FF42A7">
        <w:rPr>
          <w:b/>
          <w:color w:val="808080"/>
          <w:w w:val="125"/>
          <w:sz w:val="20"/>
        </w:rPr>
        <w:t>dla mediów</w:t>
      </w:r>
      <w:r w:rsidRPr="00FF42A7">
        <w:rPr>
          <w:b/>
          <w:color w:val="808080"/>
          <w:spacing w:val="-2"/>
          <w:w w:val="130"/>
          <w:sz w:val="20"/>
        </w:rPr>
        <w:t>:</w:t>
      </w:r>
    </w:p>
    <w:p w14:paraId="369963BB" w14:textId="77777777" w:rsidR="009F1A47" w:rsidRDefault="00000000">
      <w:pPr>
        <w:pStyle w:val="Tekstpodstawowy"/>
        <w:spacing w:line="243" w:lineRule="exact"/>
        <w:ind w:left="1" w:right="1"/>
        <w:jc w:val="center"/>
      </w:pPr>
      <w:r w:rsidRPr="00FF42A7">
        <w:rPr>
          <w:color w:val="808080"/>
          <w:w w:val="130"/>
        </w:rPr>
        <w:t>Tel.: +33 (0)3 90 21 42</w:t>
      </w:r>
      <w:r w:rsidRPr="00FF42A7">
        <w:rPr>
          <w:color w:val="808080"/>
          <w:spacing w:val="-5"/>
          <w:w w:val="130"/>
        </w:rPr>
        <w:t xml:space="preserve"> 08</w:t>
      </w:r>
    </w:p>
    <w:sectPr w:rsidR="009F1A47">
      <w:pgSz w:w="11910" w:h="16840"/>
      <w:pgMar w:top="1400" w:right="566" w:bottom="680" w:left="566" w:header="720"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C9DC" w14:textId="77777777" w:rsidR="00E82656" w:rsidRPr="00FF42A7" w:rsidRDefault="00E82656">
      <w:r w:rsidRPr="00FF42A7">
        <w:separator/>
      </w:r>
    </w:p>
  </w:endnote>
  <w:endnote w:type="continuationSeparator" w:id="0">
    <w:p w14:paraId="717B5994" w14:textId="77777777" w:rsidR="00E82656" w:rsidRPr="00FF42A7" w:rsidRDefault="00E82656">
      <w:r w:rsidRPr="00FF4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BD41" w14:textId="77777777" w:rsidR="009F1A47" w:rsidRPr="00FF42A7" w:rsidRDefault="00000000">
    <w:pPr>
      <w:pStyle w:val="Tekstpodstawowy"/>
      <w:spacing w:line="14" w:lineRule="auto"/>
      <w:ind w:left="0"/>
      <w:jc w:val="left"/>
    </w:pPr>
    <w:r w:rsidRPr="00FF42A7">
      <w:rPr>
        <w:noProof/>
      </w:rPr>
      <mc:AlternateContent>
        <mc:Choice Requires="wps">
          <w:drawing>
            <wp:anchor distT="0" distB="0" distL="0" distR="0" simplePos="0" relativeHeight="251659264" behindDoc="1" locked="0" layoutInCell="1" allowOverlap="1" wp14:anchorId="5A2F4C96" wp14:editId="6399EF21">
              <wp:simplePos x="0" y="0"/>
              <wp:positionH relativeFrom="page">
                <wp:posOffset>3686047</wp:posOffset>
              </wp:positionH>
              <wp:positionV relativeFrom="page">
                <wp:posOffset>10237044</wp:posOffset>
              </wp:positionV>
              <wp:extent cx="186690" cy="179705"/>
              <wp:effectExtent l="0" t="0" r="0" b="0"/>
              <wp:wrapNone/>
              <wp:docPr id="14" name="Textbox 14"/>
              <wp:cNvGraphicFramePr/>
              <a:graphic xmlns:a="http://schemas.openxmlformats.org/drawingml/2006/main">
                <a:graphicData uri="http://schemas.microsoft.com/office/word/2010/wordprocessingShape">
                  <wps:wsp>
                    <wps:cNvSpPr txBox="1"/>
                    <wps:spPr>
                      <a:xfrm>
                        <a:off x="0" y="0"/>
                        <a:ext cx="186690" cy="179705"/>
                      </a:xfrm>
                      <a:prstGeom prst="rect">
                        <a:avLst/>
                      </a:prstGeom>
                    </wps:spPr>
                    <wps:txbx>
                      <w:txbxContent>
                        <w:p w14:paraId="1E4036AD" w14:textId="77777777" w:rsidR="009F1A47" w:rsidRPr="00FF42A7" w:rsidRDefault="00000000">
                          <w:pPr>
                            <w:pStyle w:val="Tekstpodstawowy"/>
                            <w:spacing w:before="30"/>
                            <w:ind w:left="20"/>
                            <w:jc w:val="left"/>
                          </w:pPr>
                          <w:r w:rsidRPr="00FF42A7">
                            <w:rPr>
                              <w:spacing w:val="-5"/>
                              <w:w w:val="125"/>
                            </w:rPr>
                            <w:fldChar w:fldCharType="begin"/>
                          </w:r>
                          <w:r w:rsidRPr="00FF42A7">
                            <w:rPr>
                              <w:spacing w:val="-5"/>
                              <w:w w:val="125"/>
                            </w:rPr>
                            <w:instrText xml:space="preserve"> PAGE </w:instrText>
                          </w:r>
                          <w:r w:rsidRPr="00FF42A7">
                            <w:rPr>
                              <w:spacing w:val="-5"/>
                              <w:w w:val="125"/>
                            </w:rPr>
                            <w:fldChar w:fldCharType="separate"/>
                          </w:r>
                          <w:r w:rsidRPr="00FF42A7">
                            <w:rPr>
                              <w:spacing w:val="-5"/>
                              <w:w w:val="125"/>
                              <w:sz w:val="21"/>
                            </w:rPr>
                            <w:t>40</w:t>
                          </w:r>
                          <w:r w:rsidRPr="00FF42A7">
                            <w:rPr>
                              <w:spacing w:val="-5"/>
                              <w:w w:val="125"/>
                            </w:rPr>
                            <w:fldChar w:fldCharType="end"/>
                          </w:r>
                        </w:p>
                      </w:txbxContent>
                    </wps:txbx>
                    <wps:bodyPr wrap="square" lIns="0" tIns="0" rIns="0" bIns="0" rtlCol="0"/>
                  </wps:wsp>
                </a:graphicData>
              </a:graphic>
            </wp:anchor>
          </w:drawing>
        </mc:Choice>
        <mc:Fallback>
          <w:pict>
            <v:shapetype w14:anchorId="5A2F4C96" id="_x0000_t202" coordsize="21600,21600" o:spt="202" path="m,l,21600r21600,l21600,xe">
              <v:stroke joinstyle="miter"/>
              <v:path gradientshapeok="t" o:connecttype="rect"/>
            </v:shapetype>
            <v:shape id="Textbox 14" o:spid="_x0000_s1033" type="#_x0000_t202" style="position:absolute;margin-left:290.25pt;margin-top:806.05pt;width:14.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" filled="f" stroked="f">
              <v:textbox inset="0,0,0,0">
                <w:txbxContent>
                  <w:p w14:paraId="1E4036AD" w14:textId="77777777" w:rsidR="009F1A47" w:rsidRPr="00FF42A7" w:rsidRDefault="00000000">
                    <w:pPr>
                      <w:pStyle w:val="Tekstpodstawowy"/>
                      <w:spacing w:before="30"/>
                      <w:ind w:left="20"/>
                      <w:jc w:val="left"/>
                    </w:pPr>
                    <w:r w:rsidRPr="00FF42A7">
                      <w:rPr>
                        <w:spacing w:val="-5"/>
                        <w:w w:val="125"/>
                      </w:rPr>
                      <w:fldChar w:fldCharType="begin"/>
                    </w:r>
                    <w:r w:rsidRPr="00FF42A7">
                      <w:rPr>
                        <w:spacing w:val="-5"/>
                        <w:w w:val="125"/>
                      </w:rPr>
                      <w:instrText xml:space="preserve"> PAGE </w:instrText>
                    </w:r>
                    <w:r w:rsidRPr="00FF42A7">
                      <w:rPr>
                        <w:spacing w:val="-5"/>
                        <w:w w:val="125"/>
                      </w:rPr>
                      <w:fldChar w:fldCharType="separate"/>
                    </w:r>
                    <w:r w:rsidRPr="00FF42A7">
                      <w:rPr>
                        <w:spacing w:val="-5"/>
                        <w:w w:val="125"/>
                        <w:sz w:val="21"/>
                      </w:rPr>
                      <w:t>40</w:t>
                    </w:r>
                    <w:r w:rsidRPr="00FF42A7">
                      <w:rPr>
                        <w:spacing w:val="-5"/>
                        <w:w w:val="12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4582" w14:textId="77777777" w:rsidR="00E82656" w:rsidRPr="00FF42A7" w:rsidRDefault="00E82656">
      <w:r w:rsidRPr="00FF42A7">
        <w:separator/>
      </w:r>
    </w:p>
  </w:footnote>
  <w:footnote w:type="continuationSeparator" w:id="0">
    <w:p w14:paraId="10D2BDD0" w14:textId="77777777" w:rsidR="00E82656" w:rsidRPr="00FF42A7" w:rsidRDefault="00E82656">
      <w:r w:rsidRPr="00FF4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C3AE" w14:textId="70513406" w:rsidR="009F1A47" w:rsidRPr="00FF42A7" w:rsidRDefault="00C862C8">
    <w:pPr>
      <w:pStyle w:val="Tekstpodstawowy"/>
      <w:spacing w:line="14" w:lineRule="auto"/>
      <w:ind w:left="0"/>
      <w:jc w:val="left"/>
    </w:pPr>
    <w:r w:rsidRPr="00FF42A7">
      <w:rPr>
        <w:noProof/>
      </w:rPr>
      <mc:AlternateContent>
        <mc:Choice Requires="wps">
          <w:drawing>
            <wp:anchor distT="0" distB="0" distL="0" distR="0" simplePos="0" relativeHeight="251661312" behindDoc="1" locked="0" layoutInCell="1" allowOverlap="1" wp14:anchorId="682A3438" wp14:editId="02DECDEA">
              <wp:simplePos x="0" y="0"/>
              <wp:positionH relativeFrom="page">
                <wp:posOffset>436727</wp:posOffset>
              </wp:positionH>
              <wp:positionV relativeFrom="page">
                <wp:posOffset>716507</wp:posOffset>
              </wp:positionV>
              <wp:extent cx="2163171" cy="16446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163171" cy="164465"/>
                      </a:xfrm>
                      <a:prstGeom prst="rect">
                        <a:avLst/>
                      </a:prstGeom>
                    </wps:spPr>
                    <wps:txbx>
                      <w:txbxContent>
                        <w:p w14:paraId="1F5B76E3" w14:textId="77777777" w:rsidR="009F1A47" w:rsidRPr="00FF42A7" w:rsidRDefault="00000000">
                          <w:pPr>
                            <w:spacing w:before="29"/>
                            <w:ind w:left="20"/>
                            <w:rPr>
                              <w:sz w:val="18"/>
                            </w:rPr>
                          </w:pPr>
                          <w:r w:rsidRPr="00FF42A7">
                            <w:rPr>
                              <w:w w:val="120"/>
                              <w:sz w:val="18"/>
                            </w:rPr>
                            <w:t xml:space="preserve">Arkusz informacyjny – </w:t>
                          </w:r>
                          <w:r w:rsidRPr="00FF42A7">
                            <w:rPr>
                              <w:spacing w:val="-2"/>
                              <w:w w:val="120"/>
                              <w:sz w:val="18"/>
                            </w:rPr>
                            <w:t xml:space="preserve">Równość </w:t>
                          </w:r>
                          <w:r w:rsidRPr="00FF42A7">
                            <w:rPr>
                              <w:w w:val="120"/>
                              <w:sz w:val="18"/>
                            </w:rPr>
                            <w:t>płci</w:t>
                          </w:r>
                        </w:p>
                      </w:txbxContent>
                    </wps:txbx>
                    <wps:bodyPr wrap="square" lIns="0" tIns="0" rIns="0" bIns="0" rtlCol="0"/>
                  </wps:wsp>
                </a:graphicData>
              </a:graphic>
              <wp14:sizeRelH relativeFrom="margin">
                <wp14:pctWidth>0</wp14:pctWidth>
              </wp14:sizeRelH>
            </wp:anchor>
          </w:drawing>
        </mc:Choice>
        <mc:Fallback>
          <w:pict>
            <v:shapetype w14:anchorId="682A3438" id="_x0000_t202" coordsize="21600,21600" o:spt="202" path="m,l,21600r21600,l21600,xe">
              <v:stroke joinstyle="miter"/>
              <v:path gradientshapeok="t" o:connecttype="rect"/>
            </v:shapetype>
            <v:shape id="Textbox 13" o:spid="_x0000_s1032" type="#_x0000_t202" style="position:absolute;margin-left:34.4pt;margin-top:56.4pt;width:170.35pt;height:12.95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" filled="f" stroked="f">
              <v:textbox inset="0,0,0,0">
                <w:txbxContent>
                  <w:p w14:paraId="1F5B76E3" w14:textId="77777777" w:rsidR="009F1A47" w:rsidRPr="00FF42A7" w:rsidRDefault="00000000">
                    <w:pPr>
                      <w:spacing w:before="29"/>
                      <w:ind w:left="20"/>
                      <w:rPr>
                        <w:sz w:val="18"/>
                      </w:rPr>
                    </w:pPr>
                    <w:r w:rsidRPr="00FF42A7">
                      <w:rPr>
                        <w:w w:val="120"/>
                        <w:sz w:val="18"/>
                      </w:rPr>
                      <w:t xml:space="preserve">Arkusz informacyjny – </w:t>
                    </w:r>
                    <w:r w:rsidRPr="00FF42A7">
                      <w:rPr>
                        <w:spacing w:val="-2"/>
                        <w:w w:val="120"/>
                        <w:sz w:val="18"/>
                      </w:rPr>
                      <w:t xml:space="preserve">Równość </w:t>
                    </w:r>
                    <w:r w:rsidRPr="00FF42A7">
                      <w:rPr>
                        <w:w w:val="120"/>
                        <w:sz w:val="18"/>
                      </w:rPr>
                      <w:t>płci</w:t>
                    </w:r>
                  </w:p>
                </w:txbxContent>
              </v:textbox>
              <w10:wrap anchorx="page" anchory="page"/>
            </v:shape>
          </w:pict>
        </mc:Fallback>
      </mc:AlternateContent>
    </w:r>
    <w:r w:rsidRPr="00FF42A7">
      <w:rPr>
        <w:noProof/>
      </w:rPr>
      <w:drawing>
        <wp:anchor distT="0" distB="0" distL="0" distR="0" simplePos="0" relativeHeight="251655168" behindDoc="1" locked="0" layoutInCell="1" allowOverlap="1" wp14:anchorId="2D05D426" wp14:editId="47365E2C">
          <wp:simplePos x="0" y="0"/>
          <wp:positionH relativeFrom="page">
            <wp:posOffset>5808979</wp:posOffset>
          </wp:positionH>
          <wp:positionV relativeFrom="page">
            <wp:posOffset>457200</wp:posOffset>
          </wp:positionV>
          <wp:extent cx="1409698" cy="371474"/>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409698" cy="371474"/>
                  </a:xfrm>
                  <a:prstGeom prst="rect">
                    <a:avLst/>
                  </a:prstGeom>
                </pic:spPr>
              </pic:pic>
            </a:graphicData>
          </a:graphic>
        </wp:anchor>
      </w:drawing>
    </w:r>
    <w:r w:rsidRPr="00FF42A7">
      <w:rPr>
        <w:noProof/>
      </w:rPr>
      <mc:AlternateContent>
        <mc:Choice Requires="wps">
          <w:drawing>
            <wp:anchor distT="0" distB="0" distL="0" distR="0" simplePos="0" relativeHeight="251656192" behindDoc="1" locked="0" layoutInCell="1" allowOverlap="1" wp14:anchorId="02F7D180" wp14:editId="0BC79654">
              <wp:simplePos x="0" y="0"/>
              <wp:positionH relativeFrom="page">
                <wp:posOffset>437388</wp:posOffset>
              </wp:positionH>
              <wp:positionV relativeFrom="page">
                <wp:posOffset>886967</wp:posOffset>
              </wp:positionV>
              <wp:extent cx="6794500" cy="12700"/>
              <wp:effectExtent l="0" t="0" r="0" b="0"/>
              <wp:wrapNone/>
              <wp:docPr id="12" name="Graphic 12"/>
              <wp:cNvGraphicFramePr/>
              <a:graphic xmlns:a="http://schemas.openxmlformats.org/drawingml/2006/main">
                <a:graphicData uri="http://schemas.microsoft.com/office/word/2010/wordprocessingShape">
                  <wps:wsp>
                    <wps:cNvSpPr/>
                    <wps:spPr>
                      <a:xfrm>
                        <a:off x="0" y="0"/>
                        <a:ext cx="6794500" cy="12700"/>
                      </a:xfrm>
                      <a:custGeom>
                        <a:avLst/>
                        <a:gdLst/>
                        <a:ahLst/>
                        <a:cxnLst/>
                        <a:rect l="l" t="t" r="r" b="b"/>
                        <a:pathLst>
                          <a:path w="6794500" h="12700">
                            <a:moveTo>
                              <a:pt x="12179" y="0"/>
                            </a:moveTo>
                            <a:lnTo>
                              <a:pt x="0" y="0"/>
                            </a:lnTo>
                            <a:lnTo>
                              <a:pt x="0" y="12192"/>
                            </a:lnTo>
                            <a:lnTo>
                              <a:pt x="12179" y="12192"/>
                            </a:lnTo>
                            <a:lnTo>
                              <a:pt x="12179" y="0"/>
                            </a:lnTo>
                            <a:close/>
                          </a:path>
                          <a:path w="6794500" h="12700">
                            <a:moveTo>
                              <a:pt x="6781787" y="0"/>
                            </a:moveTo>
                            <a:lnTo>
                              <a:pt x="3860292" y="0"/>
                            </a:lnTo>
                            <a:lnTo>
                              <a:pt x="3848100" y="0"/>
                            </a:lnTo>
                            <a:lnTo>
                              <a:pt x="12192" y="0"/>
                            </a:lnTo>
                            <a:lnTo>
                              <a:pt x="12192" y="12192"/>
                            </a:lnTo>
                            <a:lnTo>
                              <a:pt x="3848100" y="12192"/>
                            </a:lnTo>
                            <a:lnTo>
                              <a:pt x="3860292" y="12192"/>
                            </a:lnTo>
                            <a:lnTo>
                              <a:pt x="6781787" y="12192"/>
                            </a:lnTo>
                            <a:lnTo>
                              <a:pt x="6781787" y="0"/>
                            </a:lnTo>
                            <a:close/>
                          </a:path>
                          <a:path w="6794500" h="12700">
                            <a:moveTo>
                              <a:pt x="6793992" y="0"/>
                            </a:moveTo>
                            <a:lnTo>
                              <a:pt x="6781800" y="0"/>
                            </a:lnTo>
                            <a:lnTo>
                              <a:pt x="6781800" y="12192"/>
                            </a:lnTo>
                            <a:lnTo>
                              <a:pt x="6793992" y="12192"/>
                            </a:lnTo>
                            <a:lnTo>
                              <a:pt x="6793992"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w14:anchorId="137FC58B" id="Graphic 12" o:spid="_x0000_s1026" style="position:absolute;margin-left:34.45pt;margin-top:69.85pt;width:53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794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" path="m12179,l,,,12192r12179,l12179,xem6781787,l3860292,r-12192,l12192,r,12192l3848100,12192r12192,l6781787,12192r,-12192xem6793992,r-12192,l6781800,12192r12192,l6793992,xe" fillcolor="gray"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C915"/>
    <w:multiLevelType w:val="hybridMultilevel"/>
    <w:tmpl w:val="00000000"/>
    <w:lvl w:ilvl="0" w:tplc="BDC01C04">
      <w:numFmt w:val="bullet"/>
      <w:lvlText w:val="-"/>
      <w:lvlJc w:val="left"/>
      <w:pPr>
        <w:ind w:left="1301" w:hanging="286"/>
      </w:pPr>
      <w:rPr>
        <w:rFonts w:ascii="Calibri" w:eastAsia="Calibri" w:hAnsi="Calibri" w:cs="Calibri" w:hint="default"/>
        <w:b w:val="0"/>
        <w:bCs w:val="0"/>
        <w:i w:val="0"/>
        <w:iCs w:val="0"/>
        <w:spacing w:val="0"/>
        <w:w w:val="147"/>
        <w:sz w:val="20"/>
        <w:szCs w:val="20"/>
        <w:lang w:val="en-US" w:eastAsia="en-US" w:bidi="ar-SA"/>
      </w:rPr>
    </w:lvl>
    <w:lvl w:ilvl="1" w:tplc="2CBEE68E">
      <w:numFmt w:val="bullet"/>
      <w:lvlText w:val="•"/>
      <w:lvlJc w:val="left"/>
      <w:pPr>
        <w:ind w:left="2247" w:hanging="286"/>
      </w:pPr>
      <w:rPr>
        <w:rFonts w:hint="default"/>
        <w:lang w:val="en-US" w:eastAsia="en-US" w:bidi="ar-SA"/>
      </w:rPr>
    </w:lvl>
    <w:lvl w:ilvl="2" w:tplc="77CEA8DE">
      <w:numFmt w:val="bullet"/>
      <w:lvlText w:val="•"/>
      <w:lvlJc w:val="left"/>
      <w:pPr>
        <w:ind w:left="3194" w:hanging="286"/>
      </w:pPr>
      <w:rPr>
        <w:rFonts w:hint="default"/>
        <w:lang w:val="en-US" w:eastAsia="en-US" w:bidi="ar-SA"/>
      </w:rPr>
    </w:lvl>
    <w:lvl w:ilvl="3" w:tplc="E780C9B4">
      <w:numFmt w:val="bullet"/>
      <w:lvlText w:val="•"/>
      <w:lvlJc w:val="left"/>
      <w:pPr>
        <w:ind w:left="4142" w:hanging="286"/>
      </w:pPr>
      <w:rPr>
        <w:rFonts w:hint="default"/>
        <w:lang w:val="en-US" w:eastAsia="en-US" w:bidi="ar-SA"/>
      </w:rPr>
    </w:lvl>
    <w:lvl w:ilvl="4" w:tplc="98A43D78">
      <w:numFmt w:val="bullet"/>
      <w:lvlText w:val="•"/>
      <w:lvlJc w:val="left"/>
      <w:pPr>
        <w:ind w:left="5089" w:hanging="286"/>
      </w:pPr>
      <w:rPr>
        <w:rFonts w:hint="default"/>
        <w:lang w:val="en-US" w:eastAsia="en-US" w:bidi="ar-SA"/>
      </w:rPr>
    </w:lvl>
    <w:lvl w:ilvl="5" w:tplc="B958133E">
      <w:numFmt w:val="bullet"/>
      <w:lvlText w:val="•"/>
      <w:lvlJc w:val="left"/>
      <w:pPr>
        <w:ind w:left="6037" w:hanging="286"/>
      </w:pPr>
      <w:rPr>
        <w:rFonts w:hint="default"/>
        <w:lang w:val="en-US" w:eastAsia="en-US" w:bidi="ar-SA"/>
      </w:rPr>
    </w:lvl>
    <w:lvl w:ilvl="6" w:tplc="9F56271C">
      <w:numFmt w:val="bullet"/>
      <w:lvlText w:val="•"/>
      <w:lvlJc w:val="left"/>
      <w:pPr>
        <w:ind w:left="6984" w:hanging="286"/>
      </w:pPr>
      <w:rPr>
        <w:rFonts w:hint="default"/>
        <w:lang w:val="en-US" w:eastAsia="en-US" w:bidi="ar-SA"/>
      </w:rPr>
    </w:lvl>
    <w:lvl w:ilvl="7" w:tplc="D51E614A">
      <w:numFmt w:val="bullet"/>
      <w:lvlText w:val="•"/>
      <w:lvlJc w:val="left"/>
      <w:pPr>
        <w:ind w:left="7932" w:hanging="286"/>
      </w:pPr>
      <w:rPr>
        <w:rFonts w:hint="default"/>
        <w:lang w:val="en-US" w:eastAsia="en-US" w:bidi="ar-SA"/>
      </w:rPr>
    </w:lvl>
    <w:lvl w:ilvl="8" w:tplc="D536F220">
      <w:numFmt w:val="bullet"/>
      <w:lvlText w:val="•"/>
      <w:lvlJc w:val="left"/>
      <w:pPr>
        <w:ind w:left="8879" w:hanging="286"/>
      </w:pPr>
      <w:rPr>
        <w:rFonts w:hint="default"/>
        <w:lang w:val="en-US" w:eastAsia="en-US" w:bidi="ar-SA"/>
      </w:rPr>
    </w:lvl>
  </w:abstractNum>
  <w:abstractNum w:abstractNumId="1" w15:restartNumberingAfterBreak="0">
    <w:nsid w:val="5122E44C"/>
    <w:multiLevelType w:val="hybridMultilevel"/>
    <w:tmpl w:val="00000000"/>
    <w:lvl w:ilvl="0" w:tplc="21D2DC34">
      <w:start w:val="1"/>
      <w:numFmt w:val="decimal"/>
      <w:lvlText w:val="%1."/>
      <w:lvlJc w:val="left"/>
      <w:pPr>
        <w:ind w:left="873" w:hanging="255"/>
        <w:jc w:val="left"/>
      </w:pPr>
      <w:rPr>
        <w:rFonts w:ascii="Calibri" w:eastAsia="Calibri" w:hAnsi="Calibri" w:cs="Calibri" w:hint="default"/>
        <w:b w:val="0"/>
        <w:bCs w:val="0"/>
        <w:i w:val="0"/>
        <w:iCs w:val="0"/>
        <w:spacing w:val="-1"/>
        <w:w w:val="125"/>
        <w:position w:val="7"/>
        <w:sz w:val="13"/>
        <w:szCs w:val="13"/>
        <w:lang w:val="en-US" w:eastAsia="en-US" w:bidi="ar-SA"/>
      </w:rPr>
    </w:lvl>
    <w:lvl w:ilvl="1" w:tplc="47643B9C">
      <w:numFmt w:val="bullet"/>
      <w:lvlText w:val="•"/>
      <w:lvlJc w:val="left"/>
      <w:pPr>
        <w:ind w:left="1869" w:hanging="255"/>
      </w:pPr>
      <w:rPr>
        <w:rFonts w:hint="default"/>
        <w:lang w:val="en-US" w:eastAsia="en-US" w:bidi="ar-SA"/>
      </w:rPr>
    </w:lvl>
    <w:lvl w:ilvl="2" w:tplc="3398A1E0">
      <w:numFmt w:val="bullet"/>
      <w:lvlText w:val="•"/>
      <w:lvlJc w:val="left"/>
      <w:pPr>
        <w:ind w:left="2858" w:hanging="255"/>
      </w:pPr>
      <w:rPr>
        <w:rFonts w:hint="default"/>
        <w:lang w:val="en-US" w:eastAsia="en-US" w:bidi="ar-SA"/>
      </w:rPr>
    </w:lvl>
    <w:lvl w:ilvl="3" w:tplc="C004E744">
      <w:numFmt w:val="bullet"/>
      <w:lvlText w:val="•"/>
      <w:lvlJc w:val="left"/>
      <w:pPr>
        <w:ind w:left="3848" w:hanging="255"/>
      </w:pPr>
      <w:rPr>
        <w:rFonts w:hint="default"/>
        <w:lang w:val="en-US" w:eastAsia="en-US" w:bidi="ar-SA"/>
      </w:rPr>
    </w:lvl>
    <w:lvl w:ilvl="4" w:tplc="DFC88B7A">
      <w:numFmt w:val="bullet"/>
      <w:lvlText w:val="•"/>
      <w:lvlJc w:val="left"/>
      <w:pPr>
        <w:ind w:left="4837" w:hanging="255"/>
      </w:pPr>
      <w:rPr>
        <w:rFonts w:hint="default"/>
        <w:lang w:val="en-US" w:eastAsia="en-US" w:bidi="ar-SA"/>
      </w:rPr>
    </w:lvl>
    <w:lvl w:ilvl="5" w:tplc="5A087708">
      <w:numFmt w:val="bullet"/>
      <w:lvlText w:val="•"/>
      <w:lvlJc w:val="left"/>
      <w:pPr>
        <w:ind w:left="5827" w:hanging="255"/>
      </w:pPr>
      <w:rPr>
        <w:rFonts w:hint="default"/>
        <w:lang w:val="en-US" w:eastAsia="en-US" w:bidi="ar-SA"/>
      </w:rPr>
    </w:lvl>
    <w:lvl w:ilvl="6" w:tplc="F7F29CA2">
      <w:numFmt w:val="bullet"/>
      <w:lvlText w:val="•"/>
      <w:lvlJc w:val="left"/>
      <w:pPr>
        <w:ind w:left="6816" w:hanging="255"/>
      </w:pPr>
      <w:rPr>
        <w:rFonts w:hint="default"/>
        <w:lang w:val="en-US" w:eastAsia="en-US" w:bidi="ar-SA"/>
      </w:rPr>
    </w:lvl>
    <w:lvl w:ilvl="7" w:tplc="974831F2">
      <w:numFmt w:val="bullet"/>
      <w:lvlText w:val="•"/>
      <w:lvlJc w:val="left"/>
      <w:pPr>
        <w:ind w:left="7806" w:hanging="255"/>
      </w:pPr>
      <w:rPr>
        <w:rFonts w:hint="default"/>
        <w:lang w:val="en-US" w:eastAsia="en-US" w:bidi="ar-SA"/>
      </w:rPr>
    </w:lvl>
    <w:lvl w:ilvl="8" w:tplc="9FC28620">
      <w:numFmt w:val="bullet"/>
      <w:lvlText w:val="•"/>
      <w:lvlJc w:val="left"/>
      <w:pPr>
        <w:ind w:left="8795" w:hanging="255"/>
      </w:pPr>
      <w:rPr>
        <w:rFonts w:hint="default"/>
        <w:lang w:val="en-US" w:eastAsia="en-US" w:bidi="ar-SA"/>
      </w:rPr>
    </w:lvl>
  </w:abstractNum>
  <w:num w:numId="1" w16cid:durableId="194778589">
    <w:abstractNumId w:val="0"/>
  </w:num>
  <w:num w:numId="2" w16cid:durableId="105103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A47"/>
    <w:rsid w:val="000235F6"/>
    <w:rsid w:val="00041B77"/>
    <w:rsid w:val="00041C08"/>
    <w:rsid w:val="00046622"/>
    <w:rsid w:val="00047F0D"/>
    <w:rsid w:val="00057000"/>
    <w:rsid w:val="0006245B"/>
    <w:rsid w:val="0008408E"/>
    <w:rsid w:val="00085609"/>
    <w:rsid w:val="000A1B69"/>
    <w:rsid w:val="000F1FAC"/>
    <w:rsid w:val="00105B70"/>
    <w:rsid w:val="001120EF"/>
    <w:rsid w:val="0013006E"/>
    <w:rsid w:val="00146A0A"/>
    <w:rsid w:val="001963B0"/>
    <w:rsid w:val="001B11D4"/>
    <w:rsid w:val="001C303F"/>
    <w:rsid w:val="001D00B4"/>
    <w:rsid w:val="001E4A63"/>
    <w:rsid w:val="001E56EE"/>
    <w:rsid w:val="001F289B"/>
    <w:rsid w:val="001F6C05"/>
    <w:rsid w:val="00202B7E"/>
    <w:rsid w:val="00213D8C"/>
    <w:rsid w:val="002267D5"/>
    <w:rsid w:val="002271FA"/>
    <w:rsid w:val="002320DA"/>
    <w:rsid w:val="00241B2B"/>
    <w:rsid w:val="00245934"/>
    <w:rsid w:val="00255CC3"/>
    <w:rsid w:val="00290E5A"/>
    <w:rsid w:val="00293D76"/>
    <w:rsid w:val="00293EF7"/>
    <w:rsid w:val="002B1826"/>
    <w:rsid w:val="002C2A64"/>
    <w:rsid w:val="002C480D"/>
    <w:rsid w:val="002D59C6"/>
    <w:rsid w:val="002D7CFE"/>
    <w:rsid w:val="002E4B59"/>
    <w:rsid w:val="00317244"/>
    <w:rsid w:val="003279EE"/>
    <w:rsid w:val="00342FB8"/>
    <w:rsid w:val="00360C65"/>
    <w:rsid w:val="00364237"/>
    <w:rsid w:val="00367387"/>
    <w:rsid w:val="00376535"/>
    <w:rsid w:val="003B3EF2"/>
    <w:rsid w:val="003C198D"/>
    <w:rsid w:val="003C4E40"/>
    <w:rsid w:val="003E50ED"/>
    <w:rsid w:val="003E5202"/>
    <w:rsid w:val="003F5F3A"/>
    <w:rsid w:val="00413F23"/>
    <w:rsid w:val="00460BF2"/>
    <w:rsid w:val="004779FA"/>
    <w:rsid w:val="00491203"/>
    <w:rsid w:val="00494495"/>
    <w:rsid w:val="00497C8D"/>
    <w:rsid w:val="004B6597"/>
    <w:rsid w:val="004D0C93"/>
    <w:rsid w:val="004D58D3"/>
    <w:rsid w:val="004E2663"/>
    <w:rsid w:val="004F5492"/>
    <w:rsid w:val="004F7487"/>
    <w:rsid w:val="00517FAE"/>
    <w:rsid w:val="005210B6"/>
    <w:rsid w:val="005310DE"/>
    <w:rsid w:val="005312EB"/>
    <w:rsid w:val="00537537"/>
    <w:rsid w:val="00540677"/>
    <w:rsid w:val="00540F60"/>
    <w:rsid w:val="00555363"/>
    <w:rsid w:val="00566540"/>
    <w:rsid w:val="00577BF0"/>
    <w:rsid w:val="005A106D"/>
    <w:rsid w:val="005E58C7"/>
    <w:rsid w:val="00602144"/>
    <w:rsid w:val="00621557"/>
    <w:rsid w:val="00642742"/>
    <w:rsid w:val="0066471D"/>
    <w:rsid w:val="00672BD1"/>
    <w:rsid w:val="0067662E"/>
    <w:rsid w:val="00685542"/>
    <w:rsid w:val="006A5721"/>
    <w:rsid w:val="006B21D8"/>
    <w:rsid w:val="006C253F"/>
    <w:rsid w:val="006E2703"/>
    <w:rsid w:val="006E4FF6"/>
    <w:rsid w:val="006F1F01"/>
    <w:rsid w:val="0070030D"/>
    <w:rsid w:val="00701796"/>
    <w:rsid w:val="00714F8A"/>
    <w:rsid w:val="0071685E"/>
    <w:rsid w:val="00735614"/>
    <w:rsid w:val="00745658"/>
    <w:rsid w:val="00754234"/>
    <w:rsid w:val="00764920"/>
    <w:rsid w:val="00764ADB"/>
    <w:rsid w:val="00775D1A"/>
    <w:rsid w:val="0078159C"/>
    <w:rsid w:val="0078287F"/>
    <w:rsid w:val="00785318"/>
    <w:rsid w:val="00794748"/>
    <w:rsid w:val="007954F9"/>
    <w:rsid w:val="007A5EA4"/>
    <w:rsid w:val="007B1E41"/>
    <w:rsid w:val="007B5C18"/>
    <w:rsid w:val="007B7CC3"/>
    <w:rsid w:val="0084773C"/>
    <w:rsid w:val="008653B9"/>
    <w:rsid w:val="0087342C"/>
    <w:rsid w:val="00874790"/>
    <w:rsid w:val="00876016"/>
    <w:rsid w:val="008769FB"/>
    <w:rsid w:val="008A089D"/>
    <w:rsid w:val="008A4569"/>
    <w:rsid w:val="008B132C"/>
    <w:rsid w:val="008C1CA7"/>
    <w:rsid w:val="008D0C52"/>
    <w:rsid w:val="008D1ED9"/>
    <w:rsid w:val="008E2D9D"/>
    <w:rsid w:val="008E7CFC"/>
    <w:rsid w:val="00905A78"/>
    <w:rsid w:val="00905DCC"/>
    <w:rsid w:val="00925943"/>
    <w:rsid w:val="00937243"/>
    <w:rsid w:val="00954CF5"/>
    <w:rsid w:val="00954FD4"/>
    <w:rsid w:val="009F1A47"/>
    <w:rsid w:val="00A35B7D"/>
    <w:rsid w:val="00A47C9A"/>
    <w:rsid w:val="00A75CBE"/>
    <w:rsid w:val="00AA5183"/>
    <w:rsid w:val="00AB0873"/>
    <w:rsid w:val="00AB46AB"/>
    <w:rsid w:val="00AB69A0"/>
    <w:rsid w:val="00AB7905"/>
    <w:rsid w:val="00B07B2A"/>
    <w:rsid w:val="00B07F48"/>
    <w:rsid w:val="00B24F25"/>
    <w:rsid w:val="00B37505"/>
    <w:rsid w:val="00B37E68"/>
    <w:rsid w:val="00B476EB"/>
    <w:rsid w:val="00B731CD"/>
    <w:rsid w:val="00BA791F"/>
    <w:rsid w:val="00BB2F0A"/>
    <w:rsid w:val="00BE7375"/>
    <w:rsid w:val="00C248AD"/>
    <w:rsid w:val="00C30418"/>
    <w:rsid w:val="00C4572B"/>
    <w:rsid w:val="00C46F4D"/>
    <w:rsid w:val="00C862C8"/>
    <w:rsid w:val="00CA0A77"/>
    <w:rsid w:val="00CC3121"/>
    <w:rsid w:val="00CC5150"/>
    <w:rsid w:val="00CC5EBA"/>
    <w:rsid w:val="00CD738F"/>
    <w:rsid w:val="00CF5176"/>
    <w:rsid w:val="00CF6BF2"/>
    <w:rsid w:val="00D17361"/>
    <w:rsid w:val="00D37FA3"/>
    <w:rsid w:val="00D4259C"/>
    <w:rsid w:val="00D52411"/>
    <w:rsid w:val="00D53D3A"/>
    <w:rsid w:val="00D5650D"/>
    <w:rsid w:val="00D616CB"/>
    <w:rsid w:val="00DA6049"/>
    <w:rsid w:val="00DD5630"/>
    <w:rsid w:val="00DF1A06"/>
    <w:rsid w:val="00E32DF0"/>
    <w:rsid w:val="00E34E88"/>
    <w:rsid w:val="00E35791"/>
    <w:rsid w:val="00E427CF"/>
    <w:rsid w:val="00E502CB"/>
    <w:rsid w:val="00E50549"/>
    <w:rsid w:val="00E6028C"/>
    <w:rsid w:val="00E731F1"/>
    <w:rsid w:val="00E82656"/>
    <w:rsid w:val="00E839B8"/>
    <w:rsid w:val="00E90D73"/>
    <w:rsid w:val="00E94195"/>
    <w:rsid w:val="00EA4FB7"/>
    <w:rsid w:val="00ED0525"/>
    <w:rsid w:val="00ED6585"/>
    <w:rsid w:val="00ED7723"/>
    <w:rsid w:val="00F3080F"/>
    <w:rsid w:val="00F40769"/>
    <w:rsid w:val="00F92156"/>
    <w:rsid w:val="00F943F2"/>
    <w:rsid w:val="00FB6769"/>
    <w:rsid w:val="00FE399C"/>
    <w:rsid w:val="00FF2A1F"/>
    <w:rsid w:val="00FF42A7"/>
    <w:rsid w:val="00FF6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0E7D"/>
  <w15:docId w15:val="{C4AC7E03-BB18-4C48-B50D-1A567421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spacing w:before="259"/>
      <w:ind w:left="874"/>
      <w:jc w:val="both"/>
      <w:outlineLvl w:val="0"/>
    </w:pPr>
    <w:rPr>
      <w:sz w:val="28"/>
      <w:szCs w:val="28"/>
    </w:rPr>
  </w:style>
  <w:style w:type="paragraph" w:styleId="Nagwek2">
    <w:name w:val="heading 2"/>
    <w:basedOn w:val="Normalny"/>
    <w:uiPriority w:val="1"/>
    <w:qFormat/>
    <w:pPr>
      <w:spacing w:before="114"/>
      <w:ind w:left="874"/>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74"/>
      <w:jc w:val="both"/>
    </w:pPr>
    <w:rPr>
      <w:sz w:val="20"/>
      <w:szCs w:val="20"/>
    </w:rPr>
  </w:style>
  <w:style w:type="paragraph" w:styleId="Tytu">
    <w:name w:val="Title"/>
    <w:basedOn w:val="Normalny"/>
    <w:uiPriority w:val="1"/>
    <w:qFormat/>
    <w:pPr>
      <w:spacing w:before="1"/>
      <w:ind w:left="874"/>
    </w:pPr>
    <w:rPr>
      <w:sz w:val="44"/>
      <w:szCs w:val="44"/>
    </w:rPr>
  </w:style>
  <w:style w:type="paragraph" w:styleId="Akapitzlist">
    <w:name w:val="List Paragraph"/>
    <w:basedOn w:val="Normalny"/>
    <w:uiPriority w:val="1"/>
    <w:qFormat/>
    <w:pPr>
      <w:spacing w:before="106"/>
      <w:ind w:left="1127" w:hanging="253"/>
    </w:pPr>
  </w:style>
  <w:style w:type="paragraph" w:customStyle="1" w:styleId="TableParagraph">
    <w:name w:val="Table Paragraph"/>
    <w:basedOn w:val="Normalny"/>
    <w:uiPriority w:val="1"/>
    <w:qFormat/>
  </w:style>
  <w:style w:type="paragraph" w:styleId="Poprawka">
    <w:name w:val="Revision"/>
    <w:hidden/>
    <w:uiPriority w:val="99"/>
    <w:semiHidden/>
    <w:rsid w:val="008E7CFC"/>
    <w:pPr>
      <w:widowControl/>
      <w:autoSpaceDE/>
      <w:autoSpaceDN/>
    </w:pPr>
    <w:rPr>
      <w:rFonts w:ascii="Calibri" w:eastAsia="Calibri" w:hAnsi="Calibri" w:cs="Calibri"/>
    </w:rPr>
  </w:style>
  <w:style w:type="paragraph" w:styleId="Nagwek">
    <w:name w:val="header"/>
    <w:basedOn w:val="Normalny"/>
    <w:link w:val="NagwekZnak"/>
    <w:uiPriority w:val="99"/>
    <w:unhideWhenUsed/>
    <w:rsid w:val="008E7CFC"/>
    <w:pPr>
      <w:tabs>
        <w:tab w:val="center" w:pos="4536"/>
        <w:tab w:val="right" w:pos="9072"/>
      </w:tabs>
    </w:pPr>
  </w:style>
  <w:style w:type="character" w:customStyle="1" w:styleId="NagwekZnak">
    <w:name w:val="Nagłówek Znak"/>
    <w:basedOn w:val="Domylnaczcionkaakapitu"/>
    <w:link w:val="Nagwek"/>
    <w:uiPriority w:val="99"/>
    <w:rsid w:val="008E7CFC"/>
    <w:rPr>
      <w:rFonts w:ascii="Calibri" w:eastAsia="Calibri" w:hAnsi="Calibri" w:cs="Calibri"/>
    </w:rPr>
  </w:style>
  <w:style w:type="paragraph" w:styleId="Stopka">
    <w:name w:val="footer"/>
    <w:basedOn w:val="Normalny"/>
    <w:link w:val="StopkaZnak"/>
    <w:uiPriority w:val="99"/>
    <w:unhideWhenUsed/>
    <w:rsid w:val="008E7CFC"/>
    <w:pPr>
      <w:tabs>
        <w:tab w:val="center" w:pos="4536"/>
        <w:tab w:val="right" w:pos="9072"/>
      </w:tabs>
    </w:pPr>
  </w:style>
  <w:style w:type="character" w:customStyle="1" w:styleId="StopkaZnak">
    <w:name w:val="Stopka Znak"/>
    <w:basedOn w:val="Domylnaczcionkaakapitu"/>
    <w:link w:val="Stopka"/>
    <w:uiPriority w:val="99"/>
    <w:rsid w:val="008E7CFC"/>
    <w:rPr>
      <w:rFonts w:ascii="Calibri" w:eastAsia="Calibri" w:hAnsi="Calibri" w:cs="Calibri"/>
    </w:rPr>
  </w:style>
  <w:style w:type="paragraph" w:styleId="Tekstprzypisukocowego">
    <w:name w:val="endnote text"/>
    <w:basedOn w:val="Normalny"/>
    <w:link w:val="TekstprzypisukocowegoZnak"/>
    <w:uiPriority w:val="99"/>
    <w:semiHidden/>
    <w:unhideWhenUsed/>
    <w:rsid w:val="00775D1A"/>
    <w:rPr>
      <w:sz w:val="20"/>
      <w:szCs w:val="20"/>
    </w:rPr>
  </w:style>
  <w:style w:type="character" w:customStyle="1" w:styleId="TekstprzypisukocowegoZnak">
    <w:name w:val="Tekst przypisu końcowego Znak"/>
    <w:basedOn w:val="Domylnaczcionkaakapitu"/>
    <w:link w:val="Tekstprzypisukocowego"/>
    <w:uiPriority w:val="99"/>
    <w:semiHidden/>
    <w:rsid w:val="00775D1A"/>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775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press?i=001-80478" TargetMode="External"/><Relationship Id="rId21" Type="http://schemas.openxmlformats.org/officeDocument/2006/relationships/hyperlink" Target="http://www.ohchr.org/EN/issues/Women/SRWomen/Pages/SRWomenindex.aspx" TargetMode="External"/><Relationship Id="rId42" Type="http://schemas.openxmlformats.org/officeDocument/2006/relationships/hyperlink" Target="https://hudoc.echr.coe.int/eng-press?i=003-7654573-10548603" TargetMode="External"/><Relationship Id="rId47" Type="http://schemas.openxmlformats.org/officeDocument/2006/relationships/hyperlink" Target="http://hudoc.echr.coe.int/eng-press?i=003-5607491-7086661" TargetMode="External"/><Relationship Id="rId63" Type="http://schemas.openxmlformats.org/officeDocument/2006/relationships/hyperlink" Target="https://hudoc.echr.coe.int/eng-press?i=003-7701636-10631196" TargetMode="External"/><Relationship Id="rId68" Type="http://schemas.openxmlformats.org/officeDocument/2006/relationships/hyperlink" Target="http://hudoc.echr.coe.int/eng?i=002-13254" TargetMode="External"/><Relationship Id="rId84" Type="http://schemas.openxmlformats.org/officeDocument/2006/relationships/hyperlink" Target="http://hudoc.echr.coe.int/eng?i=001-158090" TargetMode="External"/><Relationship Id="rId89" Type="http://schemas.openxmlformats.org/officeDocument/2006/relationships/hyperlink" Target="http://hudoc.echr.coe.int/eng?i=001-76766" TargetMode="External"/><Relationship Id="rId112" Type="http://schemas.openxmlformats.org/officeDocument/2006/relationships/hyperlink" Target="http://hudoc.echr.coe.int/eng?i=001-84582" TargetMode="External"/><Relationship Id="rId16" Type="http://schemas.openxmlformats.org/officeDocument/2006/relationships/hyperlink" Target="http://www.echr.coe.int/Documents/Convention_ENG.pdf" TargetMode="External"/><Relationship Id="rId107" Type="http://schemas.openxmlformats.org/officeDocument/2006/relationships/hyperlink" Target="http://hudoc.echr.coe.int/eng?i=001-77981" TargetMode="External"/><Relationship Id="rId11" Type="http://schemas.openxmlformats.org/officeDocument/2006/relationships/hyperlink" Target="http://www.echr.coe.int/Documents/Convention_ENG.pdf" TargetMode="External"/><Relationship Id="rId32" Type="http://schemas.openxmlformats.org/officeDocument/2006/relationships/hyperlink" Target="http://hudoc.echr.coe.int/eng-press?i=003-5332256-6646783" TargetMode="External"/><Relationship Id="rId37" Type="http://schemas.openxmlformats.org/officeDocument/2006/relationships/hyperlink" Target="http://hudoc.echr.coe.int/eng-press?i=003-5727357-7273069" TargetMode="External"/><Relationship Id="rId53" Type="http://schemas.openxmlformats.org/officeDocument/2006/relationships/hyperlink" Target="http://hudoc.echr.coe.int/eng-press?i=003-5798695-7377627" TargetMode="External"/><Relationship Id="rId58" Type="http://schemas.openxmlformats.org/officeDocument/2006/relationships/hyperlink" Target="http://hudoc.echr.coe.int/eng-press?i=003-4624361-5596419" TargetMode="External"/><Relationship Id="rId74" Type="http://schemas.openxmlformats.org/officeDocument/2006/relationships/hyperlink" Target="http://hudoc.echr.coe.int/eng-press?i=003-7071789-9557308" TargetMode="External"/><Relationship Id="rId79" Type="http://schemas.openxmlformats.org/officeDocument/2006/relationships/hyperlink" Target="http://cmiskp.echr.coe.int/tkp197/view.asp?action=html&amp;documentId=670930&amp;portal=hbkm&amp;source=externalbydocnumber&amp;table=F69A27FD8FB86142BF01C1166DEA398649" TargetMode="External"/><Relationship Id="rId102" Type="http://schemas.openxmlformats.org/officeDocument/2006/relationships/hyperlink" Target="http://hudoc.echr.coe.int/eng-press?i=003-513814-515211" TargetMode="External"/><Relationship Id="rId123" Type="http://schemas.openxmlformats.org/officeDocument/2006/relationships/hyperlink" Target="http://hudoc.echr.coe.int/eng?i=001-85661" TargetMode="External"/><Relationship Id="rId128" Type="http://schemas.openxmlformats.org/officeDocument/2006/relationships/hyperlink" Target="https://hudoc.echr.coe.int/eng-press?i=003-7527069-10333981" TargetMode="External"/><Relationship Id="rId5" Type="http://schemas.openxmlformats.org/officeDocument/2006/relationships/footnotes" Target="footnotes.xml"/><Relationship Id="rId90" Type="http://schemas.openxmlformats.org/officeDocument/2006/relationships/hyperlink" Target="http://hudoc.echr.coe.int/eng-press?i=003-6927609-9310232" TargetMode="External"/><Relationship Id="rId95" Type="http://schemas.openxmlformats.org/officeDocument/2006/relationships/hyperlink" Target="http://hudoc.echr.coe.int/eng-press?i=003-3441044-3867922" TargetMode="External"/><Relationship Id="rId22" Type="http://schemas.openxmlformats.org/officeDocument/2006/relationships/hyperlink" Target="http://www.ohchr.org/EN/issues/Women/SRWomen/Pages/SRWomenindex.aspx" TargetMode="External"/><Relationship Id="rId27" Type="http://schemas.openxmlformats.org/officeDocument/2006/relationships/hyperlink" Target="http://hudoc.echr.coe.int/sites/eng/pages/search.aspx?i=001-126788" TargetMode="External"/><Relationship Id="rId43" Type="http://schemas.openxmlformats.org/officeDocument/2006/relationships/hyperlink" Target="http://hudoc.echr.coe.int/eng-press?i=003-1709512-1792101" TargetMode="External"/><Relationship Id="rId48" Type="http://schemas.openxmlformats.org/officeDocument/2006/relationships/hyperlink" Target="http://hudoc.echr.coe.int/eng?i=001-57840" TargetMode="External"/><Relationship Id="rId64" Type="http://schemas.openxmlformats.org/officeDocument/2006/relationships/hyperlink" Target="https://hudoc.echr.coe.int/eng-press?i=003-7791665-10803581" TargetMode="External"/><Relationship Id="rId69" Type="http://schemas.openxmlformats.org/officeDocument/2006/relationships/hyperlink" Target="http://hudoc.echr.coe.int/eng?i=001-57416" TargetMode="External"/><Relationship Id="rId113" Type="http://schemas.openxmlformats.org/officeDocument/2006/relationships/hyperlink" Target="http://hudoc.echr.coe.int/eng?i=001-84580" TargetMode="External"/><Relationship Id="rId118" Type="http://schemas.openxmlformats.org/officeDocument/2006/relationships/hyperlink" Target="http://hudoc.echr.coe.int/eng?i=001-83337" TargetMode="External"/><Relationship Id="rId80" Type="http://schemas.openxmlformats.org/officeDocument/2006/relationships/hyperlink" Target="http://hudoc.echr.coe.int/sites/eng-press/pages/search.aspx?i=003-1503367-1572572" TargetMode="External"/><Relationship Id="rId85" Type="http://schemas.openxmlformats.org/officeDocument/2006/relationships/hyperlink" Target="http://hudoc.echr.coe.int/eng?i=003-1643428-1721853" TargetMode="External"/><Relationship Id="rId12" Type="http://schemas.openxmlformats.org/officeDocument/2006/relationships/hyperlink" Target="http://www.echr.coe.int/Documents/Convention_ENG.pdf" TargetMode="External"/><Relationship Id="rId17" Type="http://schemas.openxmlformats.org/officeDocument/2006/relationships/hyperlink" Target="http://hudoc.echr.coe.int/sites/eng-press/pages/search.aspx?i=003-2759276-3020932" TargetMode="External"/><Relationship Id="rId33" Type="http://schemas.openxmlformats.org/officeDocument/2006/relationships/hyperlink" Target="http://hudoc.echr.coe.int/eng-press?i=003-5420099-6785234" TargetMode="External"/><Relationship Id="rId38" Type="http://schemas.openxmlformats.org/officeDocument/2006/relationships/hyperlink" Target="http://hudoc.echr.coe.int/eng-press?i=003-6454727-8498144" TargetMode="External"/><Relationship Id="rId59" Type="http://schemas.openxmlformats.org/officeDocument/2006/relationships/hyperlink" Target="https://hudoc.echr.coe.int/eng-press?i=003-7163424-9717430" TargetMode="External"/><Relationship Id="rId103" Type="http://schemas.openxmlformats.org/officeDocument/2006/relationships/hyperlink" Target="http://hudoc.echr.coe.int/eng?i=001-60331" TargetMode="External"/><Relationship Id="rId108" Type="http://schemas.openxmlformats.org/officeDocument/2006/relationships/hyperlink" Target="http://hudoc.echr.coe.int/eng?i=001-82601" TargetMode="External"/><Relationship Id="rId124" Type="http://schemas.openxmlformats.org/officeDocument/2006/relationships/hyperlink" Target="http://hudoc.echr.coe.int/eng?i=001-85728" TargetMode="External"/><Relationship Id="rId129" Type="http://schemas.openxmlformats.org/officeDocument/2006/relationships/hyperlink" Target="http://www.coe.int/en/web/genderequality" TargetMode="External"/><Relationship Id="rId54" Type="http://schemas.openxmlformats.org/officeDocument/2006/relationships/hyperlink" Target="http://hudoc.echr.coe.int/eng?i=001-57865" TargetMode="External"/><Relationship Id="rId70" Type="http://schemas.openxmlformats.org/officeDocument/2006/relationships/hyperlink" Target="http://hudoc.echr.coe.int/eng-press?i=003-5860481-7471622" TargetMode="External"/><Relationship Id="rId75" Type="http://schemas.openxmlformats.org/officeDocument/2006/relationships/hyperlink" Target="http://hudoc.echr.coe.int/eng?i=001-205309" TargetMode="External"/><Relationship Id="rId91" Type="http://schemas.openxmlformats.org/officeDocument/2006/relationships/hyperlink" Target="https://hudoc.echr.coe.int/fre-press?i=003-7377983-10085111" TargetMode="External"/><Relationship Id="rId96" Type="http://schemas.openxmlformats.org/officeDocument/2006/relationships/hyperlink" Target="http://hudoc.echr.coe.int/eng?i=001-7613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ohchr.org/EN/issues/Women/SRWomen/Pages/SRWomenindex.aspx" TargetMode="External"/><Relationship Id="rId28" Type="http://schemas.openxmlformats.org/officeDocument/2006/relationships/hyperlink" Target="http://hudoc.echr.coe.int/sites/eng/pages/search.aspx?i=001-126788" TargetMode="External"/><Relationship Id="rId49" Type="http://schemas.openxmlformats.org/officeDocument/2006/relationships/hyperlink" Target="http://hudoc.echr.coe.int/sites/fra-press/pages/search.aspx?i=003-4264379-5082962" TargetMode="External"/><Relationship Id="rId114" Type="http://schemas.openxmlformats.org/officeDocument/2006/relationships/hyperlink" Target="http://hudoc.echr.coe.int/eng?i=001-85728" TargetMode="External"/><Relationship Id="rId119" Type="http://schemas.openxmlformats.org/officeDocument/2006/relationships/hyperlink" Target="http://hudoc.echr.coe.int/eng?i=001-83329" TargetMode="External"/><Relationship Id="rId44" Type="http://schemas.openxmlformats.org/officeDocument/2006/relationships/hyperlink" Target="http://hudoc.echr.coe.int/eng?i=001-183733" TargetMode="External"/><Relationship Id="rId60" Type="http://schemas.openxmlformats.org/officeDocument/2006/relationships/hyperlink" Target="http://hudoc.echr.coe.int/eng-press?i=003-5288196-6577219" TargetMode="External"/><Relationship Id="rId65" Type="http://schemas.openxmlformats.org/officeDocument/2006/relationships/hyperlink" Target="https://hudoc.echr.coe.int/eng-press?i=003-7791665-10803581" TargetMode="External"/><Relationship Id="rId81" Type="http://schemas.openxmlformats.org/officeDocument/2006/relationships/hyperlink" Target="http://hudoc.echr.coe.int/sites/eng-press/pages/search.aspx?i=003-4809142-5861661" TargetMode="External"/><Relationship Id="rId86" Type="http://schemas.openxmlformats.org/officeDocument/2006/relationships/hyperlink" Target="http://hudoc.echr.coe.int/eng-press?i=001-76746" TargetMode="External"/><Relationship Id="rId130" Type="http://schemas.openxmlformats.org/officeDocument/2006/relationships/hyperlink" Target="https://www.echr.coe.int/Documents/Handbook_non_discri_law_ENG.pdf" TargetMode="External"/><Relationship Id="rId13" Type="http://schemas.openxmlformats.org/officeDocument/2006/relationships/hyperlink" Target="http://www.echr.coe.int/Documents/Convention_ENG.pdf" TargetMode="External"/><Relationship Id="rId18" Type="http://schemas.openxmlformats.org/officeDocument/2006/relationships/image" Target="media/image3.png"/><Relationship Id="rId39" Type="http://schemas.openxmlformats.org/officeDocument/2006/relationships/hyperlink" Target="http://hudoc.echr.coe.int/fre?i=003-7074558-9563069" TargetMode="External"/><Relationship Id="rId109" Type="http://schemas.openxmlformats.org/officeDocument/2006/relationships/hyperlink" Target="http://hudoc.echr.coe.int/eng?i=001-83327" TargetMode="External"/><Relationship Id="rId34" Type="http://schemas.openxmlformats.org/officeDocument/2006/relationships/hyperlink" Target="http://hudoc.echr.coe.int/eng-press?i=003-5644174-7145931" TargetMode="External"/><Relationship Id="rId50" Type="http://schemas.openxmlformats.org/officeDocument/2006/relationships/hyperlink" Target="http://hudoc.echr.coe.int/sites/eng/pages/search.aspx?i=001-57563" TargetMode="External"/><Relationship Id="rId55" Type="http://schemas.openxmlformats.org/officeDocument/2006/relationships/hyperlink" Target="http://hudoc.echr.coe.int/eng-press?i=003-3330618-3724477" TargetMode="External"/><Relationship Id="rId76" Type="http://schemas.openxmlformats.org/officeDocument/2006/relationships/hyperlink" Target="http://hudoc.echr.coe.int/eng?i=001-205309" TargetMode="External"/><Relationship Id="rId97" Type="http://schemas.openxmlformats.org/officeDocument/2006/relationships/hyperlink" Target="http://hudoc.echr.coe.int/eng?i=001-58567" TargetMode="External"/><Relationship Id="rId104" Type="http://schemas.openxmlformats.org/officeDocument/2006/relationships/hyperlink" Target="http://hudoc.echr.coe.int/eng-press?i=001-60465" TargetMode="External"/><Relationship Id="rId120" Type="http://schemas.openxmlformats.org/officeDocument/2006/relationships/hyperlink" Target="http://hudoc.echr.coe.int/eng?i=001-83329" TargetMode="External"/><Relationship Id="rId125" Type="http://schemas.openxmlformats.org/officeDocument/2006/relationships/hyperlink" Target="http://hudoc.echr.coe.int/eng?i=001-85728" TargetMode="External"/><Relationship Id="rId7" Type="http://schemas.openxmlformats.org/officeDocument/2006/relationships/image" Target="media/image1.png"/><Relationship Id="rId71" Type="http://schemas.openxmlformats.org/officeDocument/2006/relationships/hyperlink" Target="http://hudoc.echr.coe.int/eng?i=001-58146" TargetMode="External"/><Relationship Id="rId92" Type="http://schemas.openxmlformats.org/officeDocument/2006/relationships/hyperlink" Target="http://hudoc.echr.coe.int/fre-press?i=003-6545619-8654164" TargetMode="External"/><Relationship Id="rId2" Type="http://schemas.openxmlformats.org/officeDocument/2006/relationships/styles" Target="styles.xml"/><Relationship Id="rId29" Type="http://schemas.openxmlformats.org/officeDocument/2006/relationships/hyperlink" Target="http://hudoc.echr.coe.int/sites/eng/pages/search.aspx?i=001-140240" TargetMode="External"/><Relationship Id="rId24" Type="http://schemas.openxmlformats.org/officeDocument/2006/relationships/hyperlink" Target="http://hudoc.echr.coe.int/sites/eng/pages/search.aspx?i=001-122372" TargetMode="External"/><Relationship Id="rId40" Type="http://schemas.openxmlformats.org/officeDocument/2006/relationships/hyperlink" Target="https://hudoc.echr.coe.int/fre-press?i=003-7209599-9797837" TargetMode="External"/><Relationship Id="rId45" Type="http://schemas.openxmlformats.org/officeDocument/2006/relationships/hyperlink" Target="http://hudoc.echr.coe.int/eng?i=001-183733" TargetMode="External"/><Relationship Id="rId66" Type="http://schemas.openxmlformats.org/officeDocument/2006/relationships/hyperlink" Target="http://hudoc.echr.coe.int/sites/eng-press/pages/search.aspx?i=003-4951617-6065162" TargetMode="External"/><Relationship Id="rId87" Type="http://schemas.openxmlformats.org/officeDocument/2006/relationships/hyperlink" Target="http://hudoc.echr.coe.int/eng?i=001-76762" TargetMode="External"/><Relationship Id="rId110" Type="http://schemas.openxmlformats.org/officeDocument/2006/relationships/hyperlink" Target="http://hudoc.echr.coe.int/eng?i=001-83404" TargetMode="External"/><Relationship Id="rId115" Type="http://schemas.openxmlformats.org/officeDocument/2006/relationships/hyperlink" Target="http://hudoc.echr.coe.int/eng?i=001-86341" TargetMode="External"/><Relationship Id="rId131" Type="http://schemas.openxmlformats.org/officeDocument/2006/relationships/fontTable" Target="fontTable.xml"/><Relationship Id="rId61" Type="http://schemas.openxmlformats.org/officeDocument/2006/relationships/hyperlink" Target="https://hudoc.echr.coe.int/eng?i=002-13488" TargetMode="External"/><Relationship Id="rId82" Type="http://schemas.openxmlformats.org/officeDocument/2006/relationships/hyperlink" Target="https://hudoc.echr.coe.int/eng?i=003-7686670-10605429" TargetMode="External"/><Relationship Id="rId19" Type="http://schemas.openxmlformats.org/officeDocument/2006/relationships/hyperlink" Target="http://hudoc.echr.coe.int/sites/eng-press/pages/search.aspx?i=003-3303244-3689438" TargetMode="External"/><Relationship Id="rId14" Type="http://schemas.openxmlformats.org/officeDocument/2006/relationships/hyperlink" Target="http://www.echr.coe.int/Documents/Convention_ENG.pdf" TargetMode="External"/><Relationship Id="rId30" Type="http://schemas.openxmlformats.org/officeDocument/2006/relationships/hyperlink" Target="http://hudoc.echr.coe.int/sites/eng/pages/search.aspx?i=001-140240" TargetMode="External"/><Relationship Id="rId35" Type="http://schemas.openxmlformats.org/officeDocument/2006/relationships/header" Target="header1.xml"/><Relationship Id="rId56" Type="http://schemas.openxmlformats.org/officeDocument/2006/relationships/hyperlink" Target="http://hudoc.echr.coe.int/eng?i=003-1190332-1236514" TargetMode="External"/><Relationship Id="rId77" Type="http://schemas.openxmlformats.org/officeDocument/2006/relationships/hyperlink" Target="http://hudoc.echr.coe.int/eng-press?i=003-6293507-8211154" TargetMode="External"/><Relationship Id="rId100" Type="http://schemas.openxmlformats.org/officeDocument/2006/relationships/hyperlink" Target="http://hudoc.echr.coe.int/eng-press?i=001-61006" TargetMode="External"/><Relationship Id="rId105" Type="http://schemas.openxmlformats.org/officeDocument/2006/relationships/hyperlink" Target="http://hudoc.echr.coe.int/eng-press?i=001-60656" TargetMode="External"/><Relationship Id="rId126" Type="http://schemas.openxmlformats.org/officeDocument/2006/relationships/hyperlink" Target="http://hudoc.echr.coe.int/eng?i=002-5581" TargetMode="External"/><Relationship Id="rId8" Type="http://schemas.openxmlformats.org/officeDocument/2006/relationships/image" Target="media/image2.png"/><Relationship Id="rId51" Type="http://schemas.openxmlformats.org/officeDocument/2006/relationships/hyperlink" Target="http://hudoc.echr.coe.int/sites/eng-press/pages/search.aspx?i=003-1551378-1623734" TargetMode="External"/><Relationship Id="rId72" Type="http://schemas.openxmlformats.org/officeDocument/2006/relationships/hyperlink" Target="http://hudoc.echr.coe.int/sites/eng-press/pages/search.aspx?i=003-3886575-4478195" TargetMode="External"/><Relationship Id="rId93" Type="http://schemas.openxmlformats.org/officeDocument/2006/relationships/hyperlink" Target="http://hudoc.echr.coe.int/eng?i=001-58031" TargetMode="External"/><Relationship Id="rId98" Type="http://schemas.openxmlformats.org/officeDocument/2006/relationships/hyperlink" Target="http://hudoc.echr.coe.int/eng?i=001-58568" TargetMode="External"/><Relationship Id="rId121" Type="http://schemas.openxmlformats.org/officeDocument/2006/relationships/hyperlink" Target="http://hudoc.echr.coe.int/eng?i=001-84283" TargetMode="External"/><Relationship Id="rId3" Type="http://schemas.openxmlformats.org/officeDocument/2006/relationships/settings" Target="settings.xml"/><Relationship Id="rId25" Type="http://schemas.openxmlformats.org/officeDocument/2006/relationships/hyperlink" Target="http://hudoc.echr.coe.int/sites/eng/pages/search.aspx?i=001-122375" TargetMode="External"/><Relationship Id="rId46" Type="http://schemas.openxmlformats.org/officeDocument/2006/relationships/hyperlink" Target="http://hudoc.echr.coe.int/eng?i=001-62436" TargetMode="External"/><Relationship Id="rId67" Type="http://schemas.openxmlformats.org/officeDocument/2006/relationships/hyperlink" Target="http://hudoc.echr.coe.int/eng-press?i=003-6120028-7901754" TargetMode="External"/><Relationship Id="rId116" Type="http://schemas.openxmlformats.org/officeDocument/2006/relationships/hyperlink" Target="http://hudoc.echr.coe.int/eng?i=001-86341" TargetMode="External"/><Relationship Id="rId20" Type="http://schemas.openxmlformats.org/officeDocument/2006/relationships/hyperlink" Target="http://hudoc.echr.coe.int/sites/eng-press/pages/search.aspx?i=003-4371757-5247345" TargetMode="External"/><Relationship Id="rId41" Type="http://schemas.openxmlformats.org/officeDocument/2006/relationships/hyperlink" Target="https://hudoc.echr.coe.int/fre?i=002-13569" TargetMode="External"/><Relationship Id="rId62" Type="http://schemas.openxmlformats.org/officeDocument/2006/relationships/hyperlink" Target="https://hudoc.echr.coe.int/eng-press?i=003-7701636-10631196" TargetMode="External"/><Relationship Id="rId83" Type="http://schemas.openxmlformats.org/officeDocument/2006/relationships/hyperlink" Target="http://hudoc.echr.coe.int/eng-press?i=001-60607" TargetMode="External"/><Relationship Id="rId88" Type="http://schemas.openxmlformats.org/officeDocument/2006/relationships/hyperlink" Target="http://hudoc.echr.coe.int/eng?i=001-76766" TargetMode="External"/><Relationship Id="rId111" Type="http://schemas.openxmlformats.org/officeDocument/2006/relationships/hyperlink" Target="http://hudoc.echr.coe.int/eng?i=001-83745" TargetMode="External"/><Relationship Id="rId132" Type="http://schemas.openxmlformats.org/officeDocument/2006/relationships/theme" Target="theme/theme1.xml"/><Relationship Id="rId15" Type="http://schemas.openxmlformats.org/officeDocument/2006/relationships/hyperlink" Target="http://www.echr.coe.int/Documents/Convention_ENG.pdf" TargetMode="External"/><Relationship Id="rId36" Type="http://schemas.openxmlformats.org/officeDocument/2006/relationships/footer" Target="footer1.xml"/><Relationship Id="rId57" Type="http://schemas.openxmlformats.org/officeDocument/2006/relationships/hyperlink" Target="http://hudoc.echr.coe.int/eng?i=001-126133" TargetMode="External"/><Relationship Id="rId106" Type="http://schemas.openxmlformats.org/officeDocument/2006/relationships/hyperlink" Target="http://hudoc.echr.coe.int/eng-press?i=003-567602-569911" TargetMode="External"/><Relationship Id="rId127" Type="http://schemas.openxmlformats.org/officeDocument/2006/relationships/hyperlink" Target="https://hudoc.echr.coe.int/eng-press?i=003-6829817-9142243" TargetMode="External"/><Relationship Id="rId10" Type="http://schemas.openxmlformats.org/officeDocument/2006/relationships/hyperlink" Target="http://hudoc.echr.coe.int/eng?i=001-109868" TargetMode="External"/><Relationship Id="rId31" Type="http://schemas.openxmlformats.org/officeDocument/2006/relationships/hyperlink" Target="http://hudoc.echr.coe.int/sites/eng/pages/search.aspx?i=001-144137" TargetMode="External"/><Relationship Id="rId52" Type="http://schemas.openxmlformats.org/officeDocument/2006/relationships/hyperlink" Target="https://hudoc.echr.coe.int/eng-press?i=003-7783060-10787290" TargetMode="External"/><Relationship Id="rId73" Type="http://schemas.openxmlformats.org/officeDocument/2006/relationships/hyperlink" Target="http://hudoc.echr.coe.int/sites/eng/pages/search.aspx?i=002-7260" TargetMode="External"/><Relationship Id="rId78" Type="http://schemas.openxmlformats.org/officeDocument/2006/relationships/hyperlink" Target="https://hudoc.echr.coe.int/eng-press?i=003-7459735-10223766" TargetMode="External"/><Relationship Id="rId94" Type="http://schemas.openxmlformats.org/officeDocument/2006/relationships/hyperlink" Target="http://hudoc.echr.coe.int/sites/eng/pages/search.aspx?i=001-60734" TargetMode="External"/><Relationship Id="rId99" Type="http://schemas.openxmlformats.org/officeDocument/2006/relationships/hyperlink" Target="http://hudoc.echr.coe.int/eng?i=001-58357" TargetMode="External"/><Relationship Id="rId101" Type="http://schemas.openxmlformats.org/officeDocument/2006/relationships/hyperlink" Target="http://hudoc.echr.coe.int/eng-press?i=001-61570" TargetMode="External"/><Relationship Id="rId122" Type="http://schemas.openxmlformats.org/officeDocument/2006/relationships/hyperlink" Target="http://hudoc.echr.coe.int/eng?i=001-85555" TargetMode="External"/><Relationship Id="rId4" Type="http://schemas.openxmlformats.org/officeDocument/2006/relationships/webSettings" Target="webSettings.xml"/><Relationship Id="rId9" Type="http://schemas.openxmlformats.org/officeDocument/2006/relationships/hyperlink" Target="http://hudoc.echr.coe.int/eng?i=001-109868" TargetMode="External"/><Relationship Id="rId26" Type="http://schemas.openxmlformats.org/officeDocument/2006/relationships/hyperlink" Target="http://hudoc.echr.coe.int/sites/eng/pages/search.aspx?i=001-1223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1</Pages>
  <Words>15826</Words>
  <Characters>94960</Characters>
  <Application>Microsoft Office Word</Application>
  <DocSecurity>0</DocSecurity>
  <Lines>791</Lines>
  <Paragraphs>221</Paragraphs>
  <ScaleCrop>false</ScaleCrop>
  <HeadingPairs>
    <vt:vector size="2" baseType="variant">
      <vt:variant>
        <vt:lpstr>Tytuł</vt:lpstr>
      </vt:variant>
      <vt:variant>
        <vt:i4>1</vt:i4>
      </vt:variant>
    </vt:vector>
  </HeadingPairs>
  <TitlesOfParts>
    <vt:vector size="1" baseType="lpstr">
      <vt:lpstr>FS_Gender_Equality_ENG</vt:lpstr>
    </vt:vector>
  </TitlesOfParts>
  <Company>European Court of Human Right</Company>
  <LinksUpToDate>false</LinksUpToDate>
  <CharactersWithSpaces>110565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FS_Gender_Equality_ENG</dc:title>
  <dc:subject>FS_Gender_Equality_ENG</dc:subject>
  <dc:creator>ECHR/CEDH</dc:creator>
  <cp:keywords>, docId:527D5B19C4812C7255C8EE1C90FD1F16</cp:keywords>
  <cp:lastModifiedBy>Szponar Paweł  (DWMPC)</cp:lastModifiedBy>
  <cp:revision>63</cp:revision>
  <dcterms:created xsi:type="dcterms:W3CDTF">2025-08-19T11:48:00Z</dcterms:created>
  <dcterms:modified xsi:type="dcterms:W3CDTF">2026-06-22T09:39:00Z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Acrobat PDFMaker 23 for Word</vt:lpwstr>
  </property>
  <property fmtid="{D5CDD505-2E9C-101B-9397-08002B2CF9AE}" pid="4" name="eDOCS AutoSave">
    <vt:lpwstr/>
  </property>
  <property fmtid="{D5CDD505-2E9C-101B-9397-08002B2CF9AE}" pid="5" name="LastSaved">
    <vt:filetime>2025-08-19T00:00:00Z</vt:filetime>
  </property>
  <property fmtid="{D5CDD505-2E9C-101B-9397-08002B2CF9AE}" pid="6" name="LaunchFolder">
    <vt:lpwstr>O:\Templates\</vt:lpwstr>
  </property>
  <property fmtid="{D5CDD505-2E9C-101B-9397-08002B2CF9AE}" pid="7" name="OrigTemp">
    <vt:lpwstr>NEW_ Press_Country_Files.dot</vt:lpwstr>
  </property>
  <property fmtid="{D5CDD505-2E9C-101B-9397-08002B2CF9AE}" pid="8" name="Producer">
    <vt:lpwstr>Adobe PDF Library 23.8.75</vt:lpwstr>
  </property>
  <property fmtid="{D5CDD505-2E9C-101B-9397-08002B2CF9AE}" pid="9" name="SourceModified">
    <vt:lpwstr>D:20240306172918</vt:lpwstr>
  </property>
</Properties>
</file>