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1" w:rightFromText="141" w:vertAnchor="page" w:horzAnchor="margin" w:tblpXSpec="center" w:tblpY="1321"/>
        <w:tblW w:w="140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25"/>
        <w:gridCol w:w="2363"/>
        <w:gridCol w:w="5387"/>
        <w:gridCol w:w="4859"/>
      </w:tblGrid>
      <w:tr w:rsidR="004F425A" w:rsidRPr="004F425A" w14:paraId="0D650CAC" w14:textId="77777777" w:rsidTr="004A0BF5">
        <w:tc>
          <w:tcPr>
            <w:tcW w:w="14034" w:type="dxa"/>
            <w:gridSpan w:val="4"/>
            <w:tcBorders>
              <w:top w:val="single" w:sz="4" w:space="0" w:color="auto"/>
              <w:left w:val="single" w:sz="4" w:space="0" w:color="auto"/>
              <w:bottom w:val="single" w:sz="4" w:space="0" w:color="auto"/>
              <w:right w:val="single" w:sz="4" w:space="0" w:color="auto"/>
            </w:tcBorders>
          </w:tcPr>
          <w:p w14:paraId="0890447B" w14:textId="268F449F" w:rsidR="004F425A" w:rsidRPr="004F425A" w:rsidRDefault="004F425A" w:rsidP="004F425A">
            <w:pPr>
              <w:spacing w:after="0" w:line="240" w:lineRule="auto"/>
              <w:jc w:val="center"/>
              <w:rPr>
                <w:rFonts w:ascii="Lato" w:eastAsia="Lato" w:hAnsi="Lato" w:cs="Lato"/>
                <w:b/>
                <w:bCs/>
                <w:sz w:val="20"/>
                <w:szCs w:val="20"/>
              </w:rPr>
            </w:pPr>
            <w:r w:rsidRPr="004F425A">
              <w:rPr>
                <w:rFonts w:ascii="Lato" w:eastAsia="Lato" w:hAnsi="Lato" w:cs="Lato"/>
                <w:b/>
                <w:bCs/>
                <w:sz w:val="20"/>
                <w:szCs w:val="20"/>
              </w:rPr>
              <w:t>Tabela uwag w ramach konsultacji publicznych</w:t>
            </w:r>
          </w:p>
          <w:p w14:paraId="52EDF1E0" w14:textId="008AAEE0" w:rsidR="004F425A" w:rsidRPr="004F425A" w:rsidRDefault="004F425A" w:rsidP="004F425A">
            <w:pPr>
              <w:spacing w:after="120" w:line="240" w:lineRule="auto"/>
              <w:jc w:val="center"/>
              <w:rPr>
                <w:rFonts w:ascii="Lato" w:eastAsia="Lato" w:hAnsi="Lato" w:cs="Lato"/>
                <w:sz w:val="20"/>
                <w:szCs w:val="20"/>
              </w:rPr>
            </w:pPr>
            <w:r w:rsidRPr="004F425A">
              <w:rPr>
                <w:rFonts w:ascii="Lato" w:eastAsia="Lato" w:hAnsi="Lato" w:cs="Lato"/>
                <w:b/>
                <w:bCs/>
                <w:sz w:val="20"/>
                <w:szCs w:val="20"/>
              </w:rPr>
              <w:t>zgłoszonych do dokumentu</w:t>
            </w:r>
            <w:r w:rsidRPr="004F425A">
              <w:rPr>
                <w:rFonts w:ascii="Lato" w:eastAsia="Lato" w:hAnsi="Lato" w:cs="Lato"/>
                <w:sz w:val="20"/>
                <w:szCs w:val="20"/>
              </w:rPr>
              <w:t xml:space="preserve"> </w:t>
            </w:r>
            <w:r w:rsidRPr="004F425A">
              <w:rPr>
                <w:rFonts w:ascii="Lato" w:eastAsia="Lato" w:hAnsi="Lato" w:cs="Lato"/>
                <w:b/>
                <w:bCs/>
                <w:sz w:val="20"/>
                <w:szCs w:val="20"/>
              </w:rPr>
              <w:t>„Polska w grze o przyszłość - polityka dla sektora półprzewodników 2026+”</w:t>
            </w:r>
          </w:p>
        </w:tc>
      </w:tr>
      <w:tr w:rsidR="004471C5" w:rsidRPr="004F425A" w14:paraId="3325438A" w14:textId="77777777" w:rsidTr="79FF9703">
        <w:tc>
          <w:tcPr>
            <w:tcW w:w="1425" w:type="dxa"/>
            <w:tcBorders>
              <w:top w:val="single" w:sz="4" w:space="0" w:color="auto"/>
              <w:left w:val="single" w:sz="4" w:space="0" w:color="auto"/>
              <w:bottom w:val="single" w:sz="4" w:space="0" w:color="auto"/>
              <w:right w:val="single" w:sz="4" w:space="0" w:color="auto"/>
            </w:tcBorders>
          </w:tcPr>
          <w:p w14:paraId="0872001A" w14:textId="0113A32E" w:rsidR="005F5792" w:rsidRPr="004F425A" w:rsidRDefault="005F5792" w:rsidP="004F425A">
            <w:pPr>
              <w:spacing w:after="120" w:line="240" w:lineRule="auto"/>
              <w:jc w:val="center"/>
              <w:rPr>
                <w:rFonts w:ascii="Lato" w:eastAsia="Lato" w:hAnsi="Lato" w:cs="Lato"/>
                <w:b/>
                <w:bCs/>
                <w:sz w:val="20"/>
                <w:szCs w:val="20"/>
              </w:rPr>
            </w:pPr>
            <w:r w:rsidRPr="004F425A">
              <w:rPr>
                <w:rFonts w:ascii="Lato" w:eastAsia="Lato" w:hAnsi="Lato" w:cs="Lato"/>
                <w:b/>
                <w:bCs/>
                <w:sz w:val="20"/>
                <w:szCs w:val="20"/>
              </w:rPr>
              <w:t>Lp.</w:t>
            </w:r>
          </w:p>
        </w:tc>
        <w:tc>
          <w:tcPr>
            <w:tcW w:w="2363" w:type="dxa"/>
            <w:tcBorders>
              <w:top w:val="single" w:sz="4" w:space="0" w:color="auto"/>
              <w:left w:val="single" w:sz="4" w:space="0" w:color="auto"/>
              <w:bottom w:val="single" w:sz="4" w:space="0" w:color="auto"/>
              <w:right w:val="single" w:sz="4" w:space="0" w:color="auto"/>
            </w:tcBorders>
          </w:tcPr>
          <w:p w14:paraId="3D4161A6" w14:textId="729CF9FC" w:rsidR="005F5792" w:rsidRPr="004F425A" w:rsidRDefault="005F5792" w:rsidP="004F425A">
            <w:pPr>
              <w:spacing w:after="120" w:line="240" w:lineRule="auto"/>
              <w:jc w:val="center"/>
              <w:rPr>
                <w:rFonts w:ascii="Lato" w:eastAsia="Lato" w:hAnsi="Lato" w:cs="Lato"/>
                <w:b/>
                <w:bCs/>
                <w:sz w:val="20"/>
                <w:szCs w:val="20"/>
              </w:rPr>
            </w:pPr>
            <w:r w:rsidRPr="004F425A">
              <w:rPr>
                <w:rFonts w:ascii="Lato" w:eastAsia="Lato" w:hAnsi="Lato" w:cs="Lato"/>
                <w:b/>
                <w:bCs/>
                <w:sz w:val="20"/>
                <w:szCs w:val="20"/>
              </w:rPr>
              <w:t>Podmiot zgłaszający uwagę</w:t>
            </w:r>
          </w:p>
        </w:tc>
        <w:tc>
          <w:tcPr>
            <w:tcW w:w="5387" w:type="dxa"/>
            <w:tcBorders>
              <w:top w:val="single" w:sz="4" w:space="0" w:color="auto"/>
              <w:left w:val="single" w:sz="4" w:space="0" w:color="auto"/>
              <w:bottom w:val="single" w:sz="4" w:space="0" w:color="auto"/>
              <w:right w:val="single" w:sz="4" w:space="0" w:color="auto"/>
            </w:tcBorders>
          </w:tcPr>
          <w:p w14:paraId="3C564042" w14:textId="629D07CE" w:rsidR="005F5792" w:rsidRPr="004F425A" w:rsidRDefault="005F5792" w:rsidP="004F425A">
            <w:pPr>
              <w:spacing w:after="120" w:line="240" w:lineRule="auto"/>
              <w:jc w:val="center"/>
              <w:rPr>
                <w:rFonts w:ascii="Lato" w:eastAsia="Lato" w:hAnsi="Lato" w:cs="Lato"/>
                <w:b/>
                <w:bCs/>
                <w:sz w:val="20"/>
                <w:szCs w:val="20"/>
              </w:rPr>
            </w:pPr>
            <w:r w:rsidRPr="004F425A">
              <w:rPr>
                <w:rFonts w:ascii="Lato" w:eastAsia="Lato" w:hAnsi="Lato" w:cs="Lato"/>
                <w:b/>
                <w:bCs/>
                <w:sz w:val="20"/>
                <w:szCs w:val="20"/>
              </w:rPr>
              <w:t>Treść uwagi</w:t>
            </w:r>
          </w:p>
        </w:tc>
        <w:tc>
          <w:tcPr>
            <w:tcW w:w="4859" w:type="dxa"/>
            <w:tcBorders>
              <w:top w:val="single" w:sz="4" w:space="0" w:color="auto"/>
              <w:left w:val="single" w:sz="4" w:space="0" w:color="auto"/>
              <w:bottom w:val="single" w:sz="4" w:space="0" w:color="auto"/>
              <w:right w:val="single" w:sz="4" w:space="0" w:color="auto"/>
            </w:tcBorders>
          </w:tcPr>
          <w:p w14:paraId="203883CE" w14:textId="3A55D65D" w:rsidR="005F5792" w:rsidRPr="004F425A" w:rsidRDefault="005F5792" w:rsidP="004F425A">
            <w:pPr>
              <w:spacing w:after="120" w:line="240" w:lineRule="auto"/>
              <w:jc w:val="center"/>
              <w:rPr>
                <w:rFonts w:ascii="Lato" w:eastAsia="Lato" w:hAnsi="Lato" w:cs="Lato"/>
                <w:b/>
                <w:bCs/>
                <w:sz w:val="20"/>
                <w:szCs w:val="20"/>
              </w:rPr>
            </w:pPr>
            <w:r w:rsidRPr="004F425A">
              <w:rPr>
                <w:rFonts w:ascii="Lato" w:eastAsia="Lato" w:hAnsi="Lato" w:cs="Lato"/>
                <w:b/>
                <w:bCs/>
                <w:sz w:val="20"/>
                <w:szCs w:val="20"/>
              </w:rPr>
              <w:t>Stanowisko MC</w:t>
            </w:r>
          </w:p>
        </w:tc>
      </w:tr>
      <w:tr w:rsidR="004471C5" w:rsidRPr="004F425A" w14:paraId="7884B0A7" w14:textId="77777777" w:rsidTr="79FF9703">
        <w:tc>
          <w:tcPr>
            <w:tcW w:w="1425" w:type="dxa"/>
            <w:tcBorders>
              <w:top w:val="single" w:sz="4" w:space="0" w:color="auto"/>
              <w:left w:val="single" w:sz="4" w:space="0" w:color="auto"/>
              <w:bottom w:val="single" w:sz="4" w:space="0" w:color="auto"/>
              <w:right w:val="single" w:sz="4" w:space="0" w:color="auto"/>
            </w:tcBorders>
          </w:tcPr>
          <w:p w14:paraId="228D5FDA" w14:textId="77777777" w:rsidR="005F5792" w:rsidRPr="004F425A" w:rsidRDefault="005F5792" w:rsidP="004F425A">
            <w:pPr>
              <w:pStyle w:val="Akapitzlist"/>
              <w:numPr>
                <w:ilvl w:val="0"/>
                <w:numId w:val="3"/>
              </w:numPr>
              <w:spacing w:after="120" w:line="240" w:lineRule="auto"/>
              <w:ind w:right="-534"/>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0AA7450" w14:textId="5507E218"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Goodram</w:t>
            </w:r>
            <w:r w:rsidRPr="004F425A">
              <w:rPr>
                <w:rFonts w:ascii="Lato" w:hAnsi="Lato"/>
                <w:sz w:val="20"/>
                <w:szCs w:val="20"/>
              </w:rPr>
              <w:br/>
            </w:r>
            <w:r w:rsidRPr="004F425A">
              <w:rPr>
                <w:rFonts w:ascii="Lato" w:eastAsia="Lato" w:hAnsi="Lato" w:cs="Lato"/>
                <w:sz w:val="20"/>
                <w:szCs w:val="20"/>
              </w:rPr>
              <w:t>WILK ELEKTRONIK SA</w:t>
            </w:r>
          </w:p>
          <w:p w14:paraId="19FCFB09" w14:textId="03E21D85"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4A2487B" w14:textId="1CF7FB2D"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Ocena ogólna projektu Pozytywnie oceniamy: • uznanie półprzewodników za sektor strategiczny dla gospodarki i bezpieczeństwa państwa, • dążenie do zwiększenia udziału Polski w globalnych łańcuchach wartości, • próbę uporządkowania działań państwa w ramach spójnej polityki sektorowej. Jednocześnie wskazujemy, że obecny kształt dokumentu nie prowadzi do osiągnięcia deklarowanego celu suwerenności technologicznej, a w obecnej formie może utrwalić zależność Polski od zewnętrznych dostawców technologii.</w:t>
            </w:r>
            <w:r w:rsidRPr="004F425A">
              <w:rPr>
                <w:rFonts w:ascii="Lato" w:hAnsi="Lato"/>
                <w:sz w:val="20"/>
                <w:szCs w:val="20"/>
              </w:rPr>
              <w:br/>
            </w:r>
            <w:r w:rsidRPr="004F425A">
              <w:rPr>
                <w:rFonts w:ascii="Lato" w:eastAsia="Lato" w:hAnsi="Lato" w:cs="Lato"/>
                <w:sz w:val="20"/>
                <w:szCs w:val="20"/>
              </w:rPr>
              <w:t>Kluczowe zastrzeżenie: brak orientacji na skalę rynku Projekt polityki nie odzwierciedla rzeczywistej struktury globalnego rynku półprzewodników. Segmenty: • logiki (procesory) oraz • pamięci stanowią łącznie ponad 70% globalnego rynku, a jednocześnie determinują zdolność do przetwarzania i przechowywania danych. Tymczasem dokument: • marginalnie odnosi się do pamięci i procesorów, • koncentruje się na fotonice i obszarach niszowych. W naszej ocenie oznacza to nieadekwatne ukierunkowanie polityki względem realiów rynkowych i strategicznych.</w:t>
            </w:r>
          </w:p>
          <w:p w14:paraId="115C6484" w14:textId="626B2CCB"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Fundamentalny problem: odwrócona logika budowy sektora Strategia zakłada: • wspieranie innowacji i projektów badawczo-rozwojowych, • przyciąganie inwestycji zagranicznych. Jednocześnie pomija: • budowę popytu na krajowe produkty, • rozwój istniejących przedsiębiorstw produkcyjnych, • tworzenie skali produkcji w Polsce. W efekcie powstaje model, w którym: • wysokie ryzyko ponosi kapitał krajowy (startupy), • stabilne segmenty rynku rozwijane są przez podmioty zagraniczne, • wartość intelektualna i technologiczna pozostaje poza Polską.</w:t>
            </w:r>
          </w:p>
          <w:p w14:paraId="58C44BB2" w14:textId="252D61B0"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Suwerenność technologiczna wymaga skali i produkcji Doświadczenia międzynarodowe jednoznacznie wskazują, że: • suwerenność technologiczna nie powstaje w oparciu o deklaracje ani wyłącznie o R&amp;D, • kluczowe znaczenie ma skala produkcji oraz zdolność obsługi własnego rynku. Bez: • lokalnej produkcji pamięci i układów logicznych, • oraz bez kontroli nad ich dystrybucją, nie jest możliwe zapewnienie bezpieczeństwa technologicznego państwa.</w:t>
            </w:r>
          </w:p>
          <w:p w14:paraId="4D14AC0C" w14:textId="6491C85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Brak polityki popytowej – główna luka strategii Najpoważniejszym brakiem projektu jest nieobecność instrumentów kreujących popyt na krajowe półprzewodniki. Doświadczenia państw takich jak Chiny pokazują, że kluczowe znaczenie mają: • preferencje w zamówieniach publicznych, • długoterminowe kontrakty, • standardy techniczne premiujące lokalnych producentów. Bez tych narzędzi: • nie powstanie skala, • nie powstanie produkcja, • nie powstanie suwerenność.</w:t>
            </w:r>
          </w:p>
          <w:p w14:paraId="68E8D6B2"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Niewykorzystany potencjał istniejących podmiotów Projekt polityki identyfikuje istnienie w Polsce producenta pamięci półprzewodnikowych, jednak: • nie przypisuje mu istotnej roli w rozwoju sektora, • nie buduje wokół niego instrumentów wsparcia, • nie traktuje segmentu pamięci jako fundamentu suwerenności technologicznej. W naszej ocenie jest to istotne niedopatrzenie. W warunkach: • zerowego udziału Europy w globalnej produkcji pamięci, • pełnej zależności od importu, istniejący w Polsce podmiot stanowi unikalny punkt wyjścia do budowy europejskiego segmentu pamięci.</w:t>
            </w:r>
          </w:p>
          <w:p w14:paraId="7BAC8534" w14:textId="190827B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Ryzyka geopolityczne i bezpieczeństwo Projekt słusznie identyfikuje ryzyka związane z globalnymi łańcuchami dostaw, jednak: • nie przekłada tej diagnozy na konkretne instrumenty przemysłowe, • nie przewiduje budowy zdolności produkcyjnych w kluczowych segmentach. W sytuacji kryzysowej: • dostawy półprzewodników są priorytetyzowane na rynkach krajowych producentów, • Europa – w tym Polska – pozostaje odbiorcą końcowym bez gwarancji dostaw.</w:t>
            </w:r>
          </w:p>
          <w:p w14:paraId="294BCC3E" w14:textId="49F24433"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Rekomendowane kierunki zmian Wnosimy o uwzględnienie następujących zmian w projekcie polityki:</w:t>
            </w:r>
          </w:p>
          <w:p w14:paraId="0FC1D2FF" w14:textId="43E397A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Priorytetyzacja segmentów o największym znaczeniu rynkowym • uznanie pamięci i układów logicznych za obszary strategiczne, • odpowiednie zbalansowanie wsparcia względem ich udziału w rynku. </w:t>
            </w:r>
            <w:r w:rsidRPr="004F425A">
              <w:rPr>
                <w:rFonts w:ascii="Lato" w:hAnsi="Lato"/>
                <w:sz w:val="20"/>
                <w:szCs w:val="20"/>
              </w:rPr>
              <w:br/>
            </w:r>
            <w:r w:rsidRPr="004F425A">
              <w:rPr>
                <w:rFonts w:ascii="Lato" w:eastAsia="Lato" w:hAnsi="Lato" w:cs="Lato"/>
                <w:sz w:val="20"/>
                <w:szCs w:val="20"/>
              </w:rPr>
              <w:t xml:space="preserve">Wprowadzenie polityki popytowej • preferencje dla krajowych i europejskich producentów w zamówieniach publicznych, • wdrożenia pilotażowe w sektorach: obronnym, energetycznym i administracyjnym, • mechanizmy długoterminowego kontraktowania. </w:t>
            </w:r>
            <w:r w:rsidRPr="004F425A">
              <w:rPr>
                <w:rFonts w:ascii="Lato" w:hAnsi="Lato"/>
                <w:sz w:val="20"/>
                <w:szCs w:val="20"/>
              </w:rPr>
              <w:br/>
            </w:r>
            <w:r w:rsidRPr="004F425A">
              <w:rPr>
                <w:rFonts w:ascii="Lato" w:eastAsia="Lato" w:hAnsi="Lato" w:cs="Lato"/>
                <w:sz w:val="20"/>
                <w:szCs w:val="20"/>
              </w:rPr>
              <w:t xml:space="preserve">Wsparcie skalowania istniejących przedsiębiorstw • instrumenty finansowe ukierunkowane na wzrost wolumenu produkcji, • ulgi inwestycyjne i podatkowe dla firm rozwijających produkcję w Polsce, • wsparcie ekspansji międzynarodowej. </w:t>
            </w:r>
          </w:p>
          <w:p w14:paraId="193746D6" w14:textId="10A07E29"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Budowa krajowego łańcucha wartości • rozwój kompetencji back-end (testowanie, pakowanie), • integracja z sektorem elektroniki i przemysłu, • tworzenie powiązań z odbiorcami końcowymi. </w:t>
            </w:r>
            <w:r w:rsidRPr="004F425A">
              <w:rPr>
                <w:rFonts w:ascii="Lato" w:hAnsi="Lato"/>
                <w:sz w:val="20"/>
                <w:szCs w:val="20"/>
              </w:rPr>
              <w:br/>
            </w:r>
            <w:r w:rsidRPr="004F425A">
              <w:rPr>
                <w:rFonts w:ascii="Lato" w:eastAsia="Lato" w:hAnsi="Lato" w:cs="Lato"/>
                <w:sz w:val="20"/>
                <w:szCs w:val="20"/>
              </w:rPr>
              <w:t xml:space="preserve">Ochrona rynku wewnętrznego • analiza wpływu subsydiowanego importu na krajowych producentów, • rozważenie instrumentów ochronnych zgodnych z prawem UE. </w:t>
            </w:r>
            <w:r w:rsidRPr="004F425A">
              <w:rPr>
                <w:rFonts w:ascii="Lato" w:hAnsi="Lato"/>
                <w:sz w:val="20"/>
                <w:szCs w:val="20"/>
              </w:rPr>
              <w:br/>
            </w:r>
            <w:r w:rsidRPr="004F425A">
              <w:rPr>
                <w:rFonts w:ascii="Lato" w:eastAsia="Lato" w:hAnsi="Lato" w:cs="Lato"/>
                <w:sz w:val="20"/>
                <w:szCs w:val="20"/>
              </w:rPr>
              <w:t xml:space="preserve">Korekta celu strategicznego Zamiast wyłącznie „włączania się w globalne łańcuchy wartości” proponujemy: • budowę własnych segmentów łańcucha wartości o znaczeniu krytycznym dla gospodarki i bezpieczeństwa państwa. </w:t>
            </w:r>
            <w:r w:rsidRPr="004F425A">
              <w:rPr>
                <w:rFonts w:ascii="Lato" w:hAnsi="Lato"/>
                <w:sz w:val="20"/>
                <w:szCs w:val="20"/>
              </w:rPr>
              <w:br/>
            </w:r>
            <w:r w:rsidRPr="004F425A">
              <w:rPr>
                <w:rFonts w:ascii="Lato" w:eastAsia="Lato" w:hAnsi="Lato" w:cs="Lato"/>
                <w:sz w:val="20"/>
                <w:szCs w:val="20"/>
              </w:rPr>
              <w:t>Podsumowanie Obecny projekt stanowi ważny krok w kierunku budowy polityki przemysłowej w sektorze półprzewodników, jednak wymaga istotnych korekt. Bez przesunięcia akcentów: • z innowacji na skalę, • z podaży na popyt, • z zagranicznych inwestycji na rozwój krajowych producentów, nie będzie możliwe osiągnięcie realnej suwerenności technologicznej</w:t>
            </w:r>
          </w:p>
        </w:tc>
        <w:tc>
          <w:tcPr>
            <w:tcW w:w="4859" w:type="dxa"/>
            <w:tcBorders>
              <w:top w:val="single" w:sz="4" w:space="0" w:color="auto"/>
              <w:left w:val="single" w:sz="4" w:space="0" w:color="auto"/>
              <w:bottom w:val="single" w:sz="4" w:space="0" w:color="auto"/>
              <w:right w:val="single" w:sz="4" w:space="0" w:color="auto"/>
            </w:tcBorders>
          </w:tcPr>
          <w:p w14:paraId="146AEE2E" w14:textId="2E9EB001" w:rsidR="005F5792" w:rsidRPr="004F425A"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3545A649" w14:textId="7CCB5394"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Uwaga o charakterze ogólnym ogólna. MC podziela troskę o realne osiągnięcie suwerenności technologicznej; mechanizmy przewidziane w</w:t>
            </w:r>
            <w:r w:rsidR="00B666CE">
              <w:rPr>
                <w:rFonts w:ascii="Lato" w:eastAsia="Lato" w:hAnsi="Lato" w:cs="Lato"/>
                <w:sz w:val="20"/>
                <w:szCs w:val="20"/>
              </w:rPr>
              <w:t> </w:t>
            </w:r>
            <w:r w:rsidRPr="004F425A">
              <w:rPr>
                <w:rFonts w:ascii="Lato" w:eastAsia="Lato" w:hAnsi="Lato" w:cs="Lato"/>
                <w:sz w:val="20"/>
                <w:szCs w:val="20"/>
              </w:rPr>
              <w:t>dokumencie (linie pilotażowe, park technologiczny, Zespół zadaniowy) mają adresować ryzyko zależności od zewnętrznych dostawców. Ocena skali wystarczalności działań będzie możliwa po pierwszym roku monitoringu.</w:t>
            </w:r>
          </w:p>
          <w:p w14:paraId="78A54CEA" w14:textId="7002969F"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Należy również podkreślić, że celem polityki nie jest osiągnięcie przez PL suwerenności technologicznej – raczej wpisanie się w globalne łańcuchy wartości poprzez budowę zdolności w wybranych niszach i ograniczenie uzależnienia od dostawców spoza UE.</w:t>
            </w:r>
          </w:p>
        </w:tc>
      </w:tr>
      <w:tr w:rsidR="004471C5" w:rsidRPr="004F425A" w14:paraId="063D0815" w14:textId="77777777" w:rsidTr="79FF9703">
        <w:tc>
          <w:tcPr>
            <w:tcW w:w="1425" w:type="dxa"/>
            <w:tcBorders>
              <w:top w:val="single" w:sz="4" w:space="0" w:color="auto"/>
              <w:left w:val="single" w:sz="4" w:space="0" w:color="auto"/>
              <w:bottom w:val="single" w:sz="4" w:space="0" w:color="auto"/>
              <w:right w:val="single" w:sz="4" w:space="0" w:color="auto"/>
            </w:tcBorders>
          </w:tcPr>
          <w:p w14:paraId="2A4BE08C" w14:textId="77777777" w:rsidR="005F5792" w:rsidRPr="004F425A" w:rsidRDefault="005F5792" w:rsidP="004F425A">
            <w:pPr>
              <w:pStyle w:val="Akapitzlist"/>
              <w:numPr>
                <w:ilvl w:val="0"/>
                <w:numId w:val="3"/>
              </w:numPr>
              <w:spacing w:after="120" w:line="240" w:lineRule="auto"/>
              <w:ind w:right="-534"/>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47818BC" w14:textId="1AD907D0"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Akademia Górniczo-Hutnicza w Krakowie</w:t>
            </w:r>
          </w:p>
        </w:tc>
        <w:tc>
          <w:tcPr>
            <w:tcW w:w="5387" w:type="dxa"/>
            <w:tcBorders>
              <w:top w:val="single" w:sz="4" w:space="0" w:color="auto"/>
              <w:left w:val="single" w:sz="4" w:space="0" w:color="auto"/>
              <w:bottom w:val="single" w:sz="4" w:space="0" w:color="auto"/>
              <w:right w:val="single" w:sz="4" w:space="0" w:color="auto"/>
            </w:tcBorders>
          </w:tcPr>
          <w:p w14:paraId="1E59C9FA" w14:textId="096B5114"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części “Podstawowe komponenty łańcucha wartości” w punkcie projektowanie należy usunąć ostatnie zdanie zaczynające się od słów “Szczegółowym aspektem...” </w:t>
            </w:r>
            <w:r w:rsidRPr="004F425A">
              <w:rPr>
                <w:rFonts w:ascii="Lato" w:eastAsia="Lato" w:hAnsi="Lato" w:cs="Lato"/>
                <w:sz w:val="20"/>
                <w:szCs w:val="20"/>
              </w:rPr>
              <w:lastRenderedPageBreak/>
              <w:t xml:space="preserve">Inżynieria materiałowa nie jest elementem projektowania układów scalonych, ale elementem rozwoju technologii. </w:t>
            </w:r>
          </w:p>
        </w:tc>
        <w:tc>
          <w:tcPr>
            <w:tcW w:w="4859" w:type="dxa"/>
            <w:tcBorders>
              <w:top w:val="single" w:sz="4" w:space="0" w:color="auto"/>
              <w:left w:val="single" w:sz="4" w:space="0" w:color="auto"/>
              <w:bottom w:val="single" w:sz="4" w:space="0" w:color="auto"/>
              <w:right w:val="single" w:sz="4" w:space="0" w:color="auto"/>
            </w:tcBorders>
          </w:tcPr>
          <w:p w14:paraId="40711E1B" w14:textId="6C9E2BDB" w:rsidR="0019723D" w:rsidRPr="004F425A" w:rsidRDefault="005F5792" w:rsidP="004F425A">
            <w:pPr>
              <w:pStyle w:val="ARTartustawynprozporzdzenia"/>
              <w:spacing w:before="0" w:after="120" w:line="240" w:lineRule="auto"/>
              <w:ind w:firstLine="0"/>
              <w:rPr>
                <w:rStyle w:val="Ppogrubienie"/>
                <w:rFonts w:ascii="Lato" w:eastAsiaTheme="minorHAnsi" w:hAnsi="Lato" w:cstheme="minorBidi"/>
                <w:sz w:val="20"/>
                <w:lang w:eastAsia="en-US"/>
              </w:rPr>
            </w:pPr>
            <w:r w:rsidRPr="004F425A">
              <w:rPr>
                <w:rStyle w:val="Ppogrubienie"/>
                <w:rFonts w:ascii="Lato" w:eastAsiaTheme="minorHAnsi" w:hAnsi="Lato" w:cstheme="minorBidi"/>
                <w:sz w:val="20"/>
                <w:lang w:eastAsia="en-US"/>
              </w:rPr>
              <w:lastRenderedPageBreak/>
              <w:t>Uwaga uwzględniona</w:t>
            </w:r>
          </w:p>
          <w:p w14:paraId="75A641F3" w14:textId="71D4400C" w:rsidR="005F5792" w:rsidRPr="004F425A" w:rsidRDefault="005F5792" w:rsidP="004F425A">
            <w:pPr>
              <w:pStyle w:val="ARTartustawynprozporzdzenia"/>
              <w:spacing w:before="0" w:after="120" w:line="240" w:lineRule="auto"/>
              <w:ind w:firstLine="0"/>
              <w:rPr>
                <w:rFonts w:ascii="Lato" w:eastAsia="Lato" w:hAnsi="Lato" w:cs="Lato"/>
                <w:sz w:val="20"/>
              </w:rPr>
            </w:pPr>
            <w:r w:rsidRPr="004F425A">
              <w:rPr>
                <w:rFonts w:ascii="Lato" w:eastAsia="Lato" w:hAnsi="Lato" w:cs="Lato"/>
                <w:sz w:val="20"/>
              </w:rPr>
              <w:t xml:space="preserve">Zapisy wstępu zostały doprecyzowane. </w:t>
            </w:r>
          </w:p>
        </w:tc>
      </w:tr>
      <w:tr w:rsidR="004471C5" w:rsidRPr="004F425A" w14:paraId="75A940AF" w14:textId="77777777" w:rsidTr="79FF9703">
        <w:tc>
          <w:tcPr>
            <w:tcW w:w="1425" w:type="dxa"/>
            <w:tcBorders>
              <w:top w:val="single" w:sz="4" w:space="0" w:color="auto"/>
              <w:left w:val="single" w:sz="4" w:space="0" w:color="auto"/>
              <w:bottom w:val="single" w:sz="4" w:space="0" w:color="auto"/>
              <w:right w:val="single" w:sz="4" w:space="0" w:color="auto"/>
            </w:tcBorders>
          </w:tcPr>
          <w:p w14:paraId="4E66FCB8" w14:textId="77777777" w:rsidR="005F5792" w:rsidRPr="004F425A" w:rsidRDefault="005F5792" w:rsidP="004F425A">
            <w:pPr>
              <w:pStyle w:val="Akapitzlist"/>
              <w:numPr>
                <w:ilvl w:val="0"/>
                <w:numId w:val="3"/>
              </w:numPr>
              <w:spacing w:after="120" w:line="240" w:lineRule="auto"/>
              <w:ind w:right="-534"/>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4056067" w14:textId="0F3D2E11"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Akademia Górniczo-Hutnicza w Krakowie</w:t>
            </w:r>
          </w:p>
        </w:tc>
        <w:tc>
          <w:tcPr>
            <w:tcW w:w="5387" w:type="dxa"/>
            <w:tcBorders>
              <w:top w:val="single" w:sz="4" w:space="0" w:color="auto"/>
              <w:left w:val="single" w:sz="4" w:space="0" w:color="auto"/>
              <w:bottom w:val="single" w:sz="4" w:space="0" w:color="auto"/>
              <w:right w:val="single" w:sz="4" w:space="0" w:color="auto"/>
            </w:tcBorders>
          </w:tcPr>
          <w:p w14:paraId="2D501ADF" w14:textId="36EC7F5C"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części “Podstawowe komponenty łańcucha wartości” należy usunąć punkt dotyczący fotonicznych układów scalonych. Nie ma żadnego merytorycznego powodu wyróżniania fotonicznych układów scalonych.</w:t>
            </w:r>
          </w:p>
        </w:tc>
        <w:tc>
          <w:tcPr>
            <w:tcW w:w="4859" w:type="dxa"/>
            <w:tcBorders>
              <w:top w:val="single" w:sz="4" w:space="0" w:color="auto"/>
              <w:left w:val="single" w:sz="4" w:space="0" w:color="auto"/>
              <w:bottom w:val="single" w:sz="4" w:space="0" w:color="auto"/>
              <w:right w:val="single" w:sz="4" w:space="0" w:color="auto"/>
            </w:tcBorders>
          </w:tcPr>
          <w:p w14:paraId="726ADFB0" w14:textId="6AACBB9E" w:rsidR="00524A50" w:rsidRPr="004F425A" w:rsidRDefault="005F5792" w:rsidP="004F425A">
            <w:pPr>
              <w:spacing w:after="120" w:line="240" w:lineRule="auto"/>
              <w:rPr>
                <w:rFonts w:ascii="Lato" w:eastAsia="Lato" w:hAnsi="Lato" w:cs="Lato"/>
                <w:sz w:val="20"/>
                <w:szCs w:val="20"/>
              </w:rPr>
            </w:pPr>
            <w:r w:rsidRPr="004F425A">
              <w:rPr>
                <w:rStyle w:val="Ppogrubienie"/>
                <w:rFonts w:ascii="Lato" w:hAnsi="Lato"/>
                <w:sz w:val="20"/>
                <w:szCs w:val="20"/>
              </w:rPr>
              <w:t>Uwaga nieuwzględniona</w:t>
            </w:r>
          </w:p>
          <w:p w14:paraId="7523B37A" w14:textId="7760E939"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Sekcja „Fotoniczne układy scalone” pozostała w</w:t>
            </w:r>
            <w:r w:rsidR="00B666CE">
              <w:rPr>
                <w:rFonts w:ascii="Lato" w:eastAsia="Lato" w:hAnsi="Lato" w:cs="Lato"/>
                <w:sz w:val="20"/>
                <w:szCs w:val="20"/>
              </w:rPr>
              <w:t> </w:t>
            </w:r>
            <w:r w:rsidRPr="004F425A">
              <w:rPr>
                <w:rFonts w:ascii="Lato" w:eastAsia="Lato" w:hAnsi="Lato" w:cs="Lato"/>
                <w:sz w:val="20"/>
                <w:szCs w:val="20"/>
              </w:rPr>
              <w:t xml:space="preserve">dokumencie bez zmian z uwagi na </w:t>
            </w:r>
            <w:r w:rsidR="00B666CE" w:rsidRPr="004F425A">
              <w:rPr>
                <w:rFonts w:ascii="Lato" w:eastAsia="Lato" w:hAnsi="Lato" w:cs="Lato"/>
                <w:sz w:val="20"/>
                <w:szCs w:val="20"/>
              </w:rPr>
              <w:t>konieczność</w:t>
            </w:r>
            <w:r w:rsidRPr="004F425A">
              <w:rPr>
                <w:rFonts w:ascii="Lato" w:eastAsia="Lato" w:hAnsi="Lato" w:cs="Lato"/>
                <w:sz w:val="20"/>
                <w:szCs w:val="20"/>
              </w:rPr>
              <w:t xml:space="preserve"> pokazania całego łańcucha. </w:t>
            </w:r>
          </w:p>
        </w:tc>
      </w:tr>
      <w:tr w:rsidR="004471C5" w:rsidRPr="004F425A" w14:paraId="1EF541D9" w14:textId="77777777" w:rsidTr="79FF9703">
        <w:tc>
          <w:tcPr>
            <w:tcW w:w="1425" w:type="dxa"/>
            <w:tcBorders>
              <w:top w:val="single" w:sz="4" w:space="0" w:color="auto"/>
              <w:left w:val="single" w:sz="4" w:space="0" w:color="auto"/>
              <w:bottom w:val="single" w:sz="4" w:space="0" w:color="auto"/>
              <w:right w:val="single" w:sz="4" w:space="0" w:color="auto"/>
            </w:tcBorders>
          </w:tcPr>
          <w:p w14:paraId="189E3C03" w14:textId="77777777" w:rsidR="005F5792" w:rsidRPr="004F425A" w:rsidRDefault="005F5792" w:rsidP="004F425A">
            <w:pPr>
              <w:pStyle w:val="Akapitzlist"/>
              <w:numPr>
                <w:ilvl w:val="0"/>
                <w:numId w:val="3"/>
              </w:numPr>
              <w:spacing w:after="120" w:line="240" w:lineRule="auto"/>
              <w:ind w:right="-534"/>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64D2C88" w14:textId="1AD907D0"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Akademia Górniczo-Hutnicza w Krakowie</w:t>
            </w:r>
          </w:p>
          <w:p w14:paraId="4E91F0C7" w14:textId="4EE75FA8"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C793591" w14:textId="7E7B055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Uwaga dla sektora półprzewodników ...</w:t>
            </w:r>
          </w:p>
          <w:p w14:paraId="318D806B" w14:textId="31D2A93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Polski przemysł półprzewodnikowy rozwija się w trzech komplementarnych ścieżkach kompetencyjnych: </w:t>
            </w:r>
          </w:p>
          <w:p w14:paraId="254FB51A" w14:textId="2D3622BE"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Przełomowe innowacje – przykładem mogą być: fotonika scalona, materiały szerokoprzerwowe i mikrosystemy, półprzewodnikowe technologie termoelektryczne i inne</w:t>
            </w:r>
          </w:p>
          <w:p w14:paraId="4FCEE370" w14:textId="77FE4BF2"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Integracja z globalnymi łańcuchami wartości – projektowanie układów scalonych, wyspecjalizowane komponenty, narzędzia i systemy” </w:t>
            </w:r>
            <w:r w:rsidRPr="004F425A">
              <w:rPr>
                <w:rFonts w:ascii="Lato" w:hAnsi="Lato"/>
                <w:sz w:val="20"/>
                <w:szCs w:val="20"/>
              </w:rPr>
              <w:br/>
            </w:r>
            <w:r w:rsidRPr="004F425A">
              <w:rPr>
                <w:rFonts w:ascii="Lato" w:eastAsia="Lato" w:hAnsi="Lato" w:cs="Lato"/>
                <w:sz w:val="20"/>
                <w:szCs w:val="20"/>
              </w:rPr>
              <w:t xml:space="preserve">Uwaga ma charakter doprecyzowujący </w:t>
            </w:r>
          </w:p>
        </w:tc>
        <w:tc>
          <w:tcPr>
            <w:tcW w:w="4859" w:type="dxa"/>
            <w:tcBorders>
              <w:top w:val="single" w:sz="4" w:space="0" w:color="auto"/>
              <w:left w:val="single" w:sz="4" w:space="0" w:color="auto"/>
              <w:bottom w:val="single" w:sz="4" w:space="0" w:color="auto"/>
              <w:right w:val="single" w:sz="4" w:space="0" w:color="auto"/>
            </w:tcBorders>
          </w:tcPr>
          <w:p w14:paraId="41815103" w14:textId="7FA69DB9" w:rsidR="00524A50" w:rsidRPr="004F425A"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169F61E2" w14:textId="4CCE9588"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W dokumencie naniesiono zapis</w:t>
            </w:r>
            <w:r w:rsidR="00B666CE">
              <w:rPr>
                <w:rFonts w:ascii="Lato" w:eastAsia="Lato" w:hAnsi="Lato" w:cs="Lato"/>
                <w:sz w:val="20"/>
                <w:szCs w:val="20"/>
              </w:rPr>
              <w:t>y</w:t>
            </w:r>
            <w:r w:rsidRPr="004F425A">
              <w:rPr>
                <w:rFonts w:ascii="Lato" w:eastAsia="Lato" w:hAnsi="Lato" w:cs="Lato"/>
                <w:sz w:val="20"/>
                <w:szCs w:val="20"/>
              </w:rPr>
              <w:t xml:space="preserve"> zaproponowane przez AGH. </w:t>
            </w:r>
          </w:p>
        </w:tc>
      </w:tr>
      <w:tr w:rsidR="004471C5" w:rsidRPr="004F425A" w14:paraId="2A797B89" w14:textId="77777777" w:rsidTr="79FF9703">
        <w:tc>
          <w:tcPr>
            <w:tcW w:w="1425" w:type="dxa"/>
            <w:tcBorders>
              <w:top w:val="single" w:sz="4" w:space="0" w:color="auto"/>
              <w:left w:val="single" w:sz="4" w:space="0" w:color="auto"/>
              <w:bottom w:val="single" w:sz="4" w:space="0" w:color="auto"/>
              <w:right w:val="single" w:sz="4" w:space="0" w:color="auto"/>
            </w:tcBorders>
          </w:tcPr>
          <w:p w14:paraId="220B3E0E" w14:textId="5E2BB093"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EDF3B40"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Akademia Górniczo-Hutnicza w Krakowie</w:t>
            </w:r>
          </w:p>
          <w:p w14:paraId="6672ED0C" w14:textId="314F3AA9"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A576ADC" w14:textId="2568C0CE"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Propozycja zapisu w części “Instytucje naukowe i zaplecze badawcze”</w:t>
            </w:r>
          </w:p>
          <w:p w14:paraId="2D1CD724" w14:textId="4C8AC7B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Trzon wiedzy i kompetencji technologicznych tworzą instytuty badawcze oraz uczelnie wyższe w Warszawie, Krakowie, Wrocławiu, Gdańsku, Łodzi, Poznaniu. </w:t>
            </w:r>
          </w:p>
          <w:p w14:paraId="23A0C365" w14:textId="046C0B0B"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Ta kolejność bardziej oddaje zaangażowanie ośrodków w obszar którego dotyczy ten dokument. </w:t>
            </w:r>
          </w:p>
        </w:tc>
        <w:tc>
          <w:tcPr>
            <w:tcW w:w="4859" w:type="dxa"/>
            <w:tcBorders>
              <w:top w:val="single" w:sz="4" w:space="0" w:color="auto"/>
              <w:left w:val="single" w:sz="4" w:space="0" w:color="auto"/>
              <w:bottom w:val="single" w:sz="4" w:space="0" w:color="auto"/>
              <w:right w:val="single" w:sz="4" w:space="0" w:color="auto"/>
            </w:tcBorders>
          </w:tcPr>
          <w:p w14:paraId="4140927F" w14:textId="60496839" w:rsidR="00524A50" w:rsidRPr="004F425A" w:rsidRDefault="005F5792" w:rsidP="004F425A">
            <w:pPr>
              <w:spacing w:after="120" w:line="240" w:lineRule="auto"/>
              <w:rPr>
                <w:rFonts w:ascii="Lato" w:eastAsia="Lato" w:hAnsi="Lato" w:cs="Lato"/>
                <w:sz w:val="20"/>
                <w:szCs w:val="20"/>
              </w:rPr>
            </w:pPr>
            <w:r w:rsidRPr="004F425A">
              <w:rPr>
                <w:rStyle w:val="Ppogrubienie"/>
                <w:rFonts w:ascii="Lato" w:hAnsi="Lato"/>
                <w:sz w:val="20"/>
                <w:szCs w:val="20"/>
              </w:rPr>
              <w:t>Uwaga nieuwzględniona</w:t>
            </w:r>
          </w:p>
          <w:p w14:paraId="56DAEDCE" w14:textId="2C4B5A73"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dokumencie zachowano wymienianie uczelni alfabetyczn</w:t>
            </w:r>
            <w:r w:rsidR="00B666CE">
              <w:rPr>
                <w:rFonts w:ascii="Lato" w:eastAsia="Lato" w:hAnsi="Lato" w:cs="Lato"/>
                <w:sz w:val="20"/>
                <w:szCs w:val="20"/>
              </w:rPr>
              <w:t>i</w:t>
            </w:r>
            <w:r w:rsidRPr="004F425A">
              <w:rPr>
                <w:rFonts w:ascii="Lato" w:eastAsia="Lato" w:hAnsi="Lato" w:cs="Lato"/>
                <w:sz w:val="20"/>
                <w:szCs w:val="20"/>
              </w:rPr>
              <w:t>e.</w:t>
            </w:r>
          </w:p>
        </w:tc>
      </w:tr>
      <w:tr w:rsidR="004471C5" w:rsidRPr="004F425A" w14:paraId="0D29AC04" w14:textId="77777777" w:rsidTr="79FF9703">
        <w:tc>
          <w:tcPr>
            <w:tcW w:w="1425" w:type="dxa"/>
            <w:tcBorders>
              <w:top w:val="single" w:sz="4" w:space="0" w:color="auto"/>
              <w:left w:val="single" w:sz="4" w:space="0" w:color="auto"/>
              <w:bottom w:val="single" w:sz="4" w:space="0" w:color="auto"/>
              <w:right w:val="single" w:sz="4" w:space="0" w:color="auto"/>
            </w:tcBorders>
          </w:tcPr>
          <w:p w14:paraId="610B4308" w14:textId="5529C2F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B957539" w14:textId="1AD907D0"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Akademia Górniczo-Hutnicza w Krakowie</w:t>
            </w:r>
          </w:p>
          <w:p w14:paraId="30691262" w14:textId="3BCE3CE0"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BBB25E0" w14:textId="47D392B2"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Cel 1: Rozwój krajowej bazy technologicznej i badawczej</w:t>
            </w:r>
          </w:p>
          <w:p w14:paraId="2F9EC768" w14:textId="6CF8CD49"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Cel ten realizowany będzie poprzez działania w ramach Filaru I (Infrastruktura) oraz Filaru V (Kadry i edukacja). Obejmuje budowę infrastruktury pilotażowej, wzmocnienie centrów kompetencji oraz rozwój specjalistycznych programów kształcenia dopisać “na uczelniach wyższych”. </w:t>
            </w:r>
          </w:p>
          <w:p w14:paraId="7125F9C4" w14:textId="33E6F63F"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Na całym świecie to uczelnie wyższe odpowiadają są głównym ośrodkiem kształcącym projektantów układów scalonych</w:t>
            </w:r>
          </w:p>
        </w:tc>
        <w:tc>
          <w:tcPr>
            <w:tcW w:w="4859" w:type="dxa"/>
            <w:tcBorders>
              <w:top w:val="single" w:sz="4" w:space="0" w:color="auto"/>
              <w:left w:val="single" w:sz="4" w:space="0" w:color="auto"/>
              <w:bottom w:val="single" w:sz="4" w:space="0" w:color="auto"/>
              <w:right w:val="single" w:sz="4" w:space="0" w:color="auto"/>
            </w:tcBorders>
          </w:tcPr>
          <w:p w14:paraId="53326CD8" w14:textId="77777777" w:rsidR="004F425A"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2D3A70F7" w14:textId="508671AF"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Usunięcie/uproszczenie wskazanego fragmentu obniżyłoby czytelność i informacyjność dokumentu dla odbiorców spoza środowiska naukowego (m.in. parlamentu, inwestorów, opinii publicznej). MC pozostawia opis, uznając przyjęty poziom szczegółowości za adekwatny do rangi i funkcji dokumentu.</w:t>
            </w:r>
          </w:p>
        </w:tc>
      </w:tr>
      <w:tr w:rsidR="004471C5" w:rsidRPr="004F425A" w14:paraId="1267EBC3" w14:textId="77777777" w:rsidTr="79FF9703">
        <w:tc>
          <w:tcPr>
            <w:tcW w:w="1425" w:type="dxa"/>
            <w:tcBorders>
              <w:top w:val="single" w:sz="4" w:space="0" w:color="auto"/>
              <w:left w:val="single" w:sz="4" w:space="0" w:color="auto"/>
              <w:bottom w:val="single" w:sz="4" w:space="0" w:color="auto"/>
              <w:right w:val="single" w:sz="4" w:space="0" w:color="auto"/>
            </w:tcBorders>
          </w:tcPr>
          <w:p w14:paraId="7EA8728D" w14:textId="77777777" w:rsidR="005F5792" w:rsidRPr="004F425A" w:rsidRDefault="005F5792" w:rsidP="004F425A">
            <w:pPr>
              <w:pStyle w:val="Akapitzlist"/>
              <w:numPr>
                <w:ilvl w:val="0"/>
                <w:numId w:val="3"/>
              </w:numPr>
              <w:spacing w:after="120" w:line="240" w:lineRule="auto"/>
              <w:ind w:right="-534"/>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A451EC2" w14:textId="1AD907D0"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Akademia Górniczo-Hutnicza w Krakowie</w:t>
            </w:r>
          </w:p>
          <w:p w14:paraId="61E07CD8" w14:textId="23C66593"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BC687F7" w14:textId="31EE7D00"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zakresie Filar V:</w:t>
            </w:r>
          </w:p>
          <w:p w14:paraId="7D996AFA" w14:textId="500E234C"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Absolwenci i specjaliści - 1. liczba absolwentów kierunków elektronicznych/ półprzewodnikowych (cel: podwojenie roczne do 2030 roku) oraz 2. liczba specjalistów zatrudnionych w branży w Polsce (cel: wzrost z ~1,5 tys. projektantów czipów do 3 tys. w perspektywie 5 lat). </w:t>
            </w:r>
          </w:p>
          <w:p w14:paraId="1E494564" w14:textId="65197775"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Wartość docelowa pkt. 2. = 3 tys. projektantów czipów do 2030 roku.</w:t>
            </w:r>
          </w:p>
          <w:p w14:paraId="7C226559" w14:textId="34C87B2D"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Podane liczby są nieprawdziwe. Biorąc pod uwagę wykfalifikowanych projektantów układów scalonych to ich liczba w Polsce nie przekracza 500 osób, zatem osiągnięcie 3000 tys wykfalifikowanych projektantów jest nierealne, chyba, że znacząco obniżymy kwalifikacje projektantów.</w:t>
            </w:r>
          </w:p>
        </w:tc>
        <w:tc>
          <w:tcPr>
            <w:tcW w:w="4859" w:type="dxa"/>
            <w:tcBorders>
              <w:top w:val="single" w:sz="4" w:space="0" w:color="auto"/>
              <w:left w:val="single" w:sz="4" w:space="0" w:color="auto"/>
              <w:bottom w:val="single" w:sz="4" w:space="0" w:color="auto"/>
              <w:right w:val="single" w:sz="4" w:space="0" w:color="auto"/>
            </w:tcBorders>
          </w:tcPr>
          <w:p w14:paraId="407CBBF7" w14:textId="0C43C64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częściowo uwzględnion</w:t>
            </w:r>
            <w:r w:rsidR="00B666CE">
              <w:rPr>
                <w:rStyle w:val="Ppogrubienie"/>
                <w:rFonts w:ascii="Lato" w:hAnsi="Lato"/>
                <w:sz w:val="20"/>
                <w:szCs w:val="20"/>
              </w:rPr>
              <w:t>a</w:t>
            </w:r>
          </w:p>
          <w:p w14:paraId="4E970356" w14:textId="1F1A5994"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 xml:space="preserve">Wartości w zakresie absolwentów zostały pomniejszone. </w:t>
            </w:r>
          </w:p>
        </w:tc>
      </w:tr>
      <w:tr w:rsidR="004471C5" w:rsidRPr="004F425A" w14:paraId="074E6A01" w14:textId="77777777" w:rsidTr="79FF9703">
        <w:tc>
          <w:tcPr>
            <w:tcW w:w="1425" w:type="dxa"/>
            <w:tcBorders>
              <w:top w:val="single" w:sz="4" w:space="0" w:color="auto"/>
              <w:left w:val="single" w:sz="4" w:space="0" w:color="auto"/>
              <w:bottom w:val="single" w:sz="4" w:space="0" w:color="auto"/>
              <w:right w:val="single" w:sz="4" w:space="0" w:color="auto"/>
            </w:tcBorders>
          </w:tcPr>
          <w:p w14:paraId="12A44F32" w14:textId="77777777" w:rsidR="005F5792" w:rsidRPr="004F425A" w:rsidRDefault="005F5792" w:rsidP="004F425A">
            <w:pPr>
              <w:pStyle w:val="Akapitzlist"/>
              <w:numPr>
                <w:ilvl w:val="0"/>
                <w:numId w:val="3"/>
              </w:numPr>
              <w:spacing w:after="120" w:line="240" w:lineRule="auto"/>
              <w:ind w:right="-534"/>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352948E" w14:textId="05705608"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Akademia Górniczo-Hutnicza w Krakowie</w:t>
            </w:r>
          </w:p>
          <w:p w14:paraId="51DA077A" w14:textId="0327268E"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2A2F8A1" w14:textId="274464F1"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części infrastruktura:</w:t>
            </w:r>
            <w:r w:rsidRPr="004F425A">
              <w:rPr>
                <w:rFonts w:ascii="Lato" w:hAnsi="Lato"/>
                <w:sz w:val="20"/>
                <w:szCs w:val="20"/>
              </w:rPr>
              <w:br/>
            </w:r>
            <w:r w:rsidRPr="004F425A">
              <w:rPr>
                <w:rFonts w:ascii="Lato" w:eastAsia="Lato" w:hAnsi="Lato" w:cs="Lato"/>
                <w:sz w:val="20"/>
                <w:szCs w:val="20"/>
              </w:rPr>
              <w:t>Umożliwienie przełomowych innowacji - np. fotonika scalona na zakres średniej podczerwieni, materiały szerokoprzerwowe i mikrosystemy, dodać technologie termoelektryczne, wielofunkcyjne nieorganiczne materiały półprzewodnikowe o zróżnicowanych właściwościach transportowych i aplikacyjnych i innych.</w:t>
            </w:r>
          </w:p>
          <w:p w14:paraId="345DA5AB" w14:textId="02C15830"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Technologia ciągle się rozwija i należy uwzględnić inne możliwości.</w:t>
            </w:r>
          </w:p>
        </w:tc>
        <w:tc>
          <w:tcPr>
            <w:tcW w:w="4859" w:type="dxa"/>
            <w:tcBorders>
              <w:top w:val="single" w:sz="4" w:space="0" w:color="auto"/>
              <w:left w:val="single" w:sz="4" w:space="0" w:color="auto"/>
              <w:bottom w:val="single" w:sz="4" w:space="0" w:color="auto"/>
              <w:right w:val="single" w:sz="4" w:space="0" w:color="auto"/>
            </w:tcBorders>
          </w:tcPr>
          <w:p w14:paraId="3B5B50E8" w14:textId="50EB36B1" w:rsidR="0019723D" w:rsidRPr="004F425A" w:rsidRDefault="005F5792" w:rsidP="004F425A">
            <w:pPr>
              <w:spacing w:after="120" w:line="240" w:lineRule="auto"/>
              <w:rPr>
                <w:rFonts w:ascii="Lato" w:eastAsia="Lato" w:hAnsi="Lato" w:cs="Lato"/>
                <w:sz w:val="20"/>
                <w:szCs w:val="20"/>
              </w:rPr>
            </w:pPr>
            <w:r w:rsidRPr="004F425A">
              <w:rPr>
                <w:rStyle w:val="Ppogrubienie"/>
                <w:rFonts w:ascii="Lato" w:hAnsi="Lato"/>
                <w:sz w:val="20"/>
                <w:szCs w:val="20"/>
              </w:rPr>
              <w:t>Uwaga uwzględniona</w:t>
            </w:r>
          </w:p>
          <w:p w14:paraId="07A95C81" w14:textId="62F00C75"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dokumencie naniesiono zaproponowaną przez AGH treść. </w:t>
            </w:r>
          </w:p>
        </w:tc>
      </w:tr>
      <w:tr w:rsidR="004471C5" w:rsidRPr="004F425A" w14:paraId="68DA1D56" w14:textId="77777777" w:rsidTr="79FF9703">
        <w:tc>
          <w:tcPr>
            <w:tcW w:w="1425" w:type="dxa"/>
            <w:tcBorders>
              <w:top w:val="single" w:sz="4" w:space="0" w:color="auto"/>
              <w:left w:val="single" w:sz="4" w:space="0" w:color="auto"/>
              <w:bottom w:val="single" w:sz="4" w:space="0" w:color="auto"/>
              <w:right w:val="single" w:sz="4" w:space="0" w:color="auto"/>
            </w:tcBorders>
          </w:tcPr>
          <w:p w14:paraId="6A49AFA8" w14:textId="5617F2A5"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37051EE" w14:textId="05705608"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Akademia Górniczo-Hutnicza w Krakowie</w:t>
            </w:r>
          </w:p>
          <w:p w14:paraId="16FADF54" w14:textId="167B07AB"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8552CDD" w14:textId="5A367542"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Propozycja zapisów:</w:t>
            </w:r>
            <w:r w:rsidRPr="004F425A">
              <w:rPr>
                <w:rFonts w:ascii="Lato" w:hAnsi="Lato"/>
                <w:sz w:val="20"/>
                <w:szCs w:val="20"/>
              </w:rPr>
              <w:br/>
            </w:r>
            <w:r w:rsidRPr="004F425A">
              <w:rPr>
                <w:rFonts w:ascii="Lato" w:eastAsia="Lato" w:hAnsi="Lato" w:cs="Lato"/>
                <w:sz w:val="20"/>
                <w:szCs w:val="20"/>
              </w:rPr>
              <w:t xml:space="preserve">Rozbudowa infrastruktury badawczej w instytucjach badawczych i na wyższych uczelniach. </w:t>
            </w:r>
          </w:p>
          <w:p w14:paraId="61FF0526" w14:textId="2C8389F4"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Infrastruktura badawcza stanowi fundament ekosystemu technologicznego wspierającego rozwój sektora półprzewodników. technologii. </w:t>
            </w:r>
          </w:p>
          <w:p w14:paraId="40C43359" w14:textId="3A081C8E"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Istniejące w Polsce ośrodki badawcze i uczelnie wyższe dysponują kompetencjami i zasobami, które wymagają dalszego rozwoju, konsolidacji oraz udostępnienia szerszemu gronu użytkowników. W tym kontekście rozwój </w:t>
            </w:r>
            <w:r w:rsidRPr="004F425A">
              <w:rPr>
                <w:rFonts w:ascii="Lato" w:eastAsia="Lato" w:hAnsi="Lato" w:cs="Lato"/>
                <w:sz w:val="20"/>
                <w:szCs w:val="20"/>
              </w:rPr>
              <w:lastRenderedPageBreak/>
              <w:t>lokalnej infrastruktury badawczo-rozwojowej jest niezbędny, aby umożliwić realizację projektów na średnim i wysokim poziomie gotowości technologicznej (TRL, z ang. Technology Readiness Level) w zakresie TRL 5-8, czyli w fazie, w której technologia wymaga jeszcze testów i dostosowania przed wdrożeniem przemysłowym.</w:t>
            </w:r>
          </w:p>
        </w:tc>
        <w:tc>
          <w:tcPr>
            <w:tcW w:w="4859" w:type="dxa"/>
            <w:tcBorders>
              <w:top w:val="single" w:sz="4" w:space="0" w:color="auto"/>
              <w:left w:val="single" w:sz="4" w:space="0" w:color="auto"/>
              <w:bottom w:val="single" w:sz="4" w:space="0" w:color="auto"/>
              <w:right w:val="single" w:sz="4" w:space="0" w:color="auto"/>
            </w:tcBorders>
          </w:tcPr>
          <w:p w14:paraId="31B39588"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0856965C" w14:textId="5E099C07"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Usunięcie/uproszczenie wskazanego fragmentu obniżyłoby czytelność i informacyjność dokumentu dla odbiorców spoza środowiska naukowego (m.in. parlamentu, inwestorów, opinii publicznej). MC pozostawia opis, uznając przyjęty poziom szczegółowości za adekwatny do rangi i funkcji dokumentu.</w:t>
            </w:r>
          </w:p>
        </w:tc>
      </w:tr>
      <w:tr w:rsidR="004471C5" w:rsidRPr="004F425A" w14:paraId="0685B23E" w14:textId="77777777" w:rsidTr="79FF9703">
        <w:tc>
          <w:tcPr>
            <w:tcW w:w="1425" w:type="dxa"/>
            <w:tcBorders>
              <w:top w:val="single" w:sz="4" w:space="0" w:color="auto"/>
              <w:left w:val="single" w:sz="4" w:space="0" w:color="auto"/>
              <w:bottom w:val="single" w:sz="4" w:space="0" w:color="auto"/>
              <w:right w:val="single" w:sz="4" w:space="0" w:color="auto"/>
            </w:tcBorders>
          </w:tcPr>
          <w:p w14:paraId="7A4A746F" w14:textId="6E68C1F1"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B7A9ABE" w14:textId="05705608"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Akademia Górniczo-Hutnicza w Krakowie</w:t>
            </w:r>
          </w:p>
          <w:p w14:paraId="50506F24" w14:textId="6E33ADE8"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AB584E7" w14:textId="4AFEA6FE"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części infrastruktura w pkt. “W ramach tej analizy, rozważone zostaną następujące elementy” proponuje się usunąć pierwsze 3 punkty. </w:t>
            </w:r>
            <w:r w:rsidRPr="004F425A">
              <w:rPr>
                <w:rFonts w:ascii="Lato" w:hAnsi="Lato"/>
                <w:sz w:val="20"/>
                <w:szCs w:val="20"/>
              </w:rPr>
              <w:br/>
            </w:r>
            <w:r w:rsidRPr="004F425A">
              <w:rPr>
                <w:rFonts w:ascii="Lato" w:eastAsia="Lato" w:hAnsi="Lato" w:cs="Lato"/>
                <w:sz w:val="20"/>
                <w:szCs w:val="20"/>
              </w:rPr>
              <w:t>Uczelnie i instytuty badawcze posiadają dostęp do licencji, PDK, MPW, należy je tyko wesprzeć finansowo i to rozwiąże problem.</w:t>
            </w:r>
          </w:p>
          <w:p w14:paraId="2CB02ABF" w14:textId="6A3165BD"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Z tego punktu proponuje się usunąć “Osadzenie tej funkcji w ramach centrów kompetencji lub parków technologicznych umożliwiłoby płynną integrację z krajowymi instrumentami wsparcia i infrastrukturą badawczo-produkcyjną”. </w:t>
            </w:r>
          </w:p>
          <w:p w14:paraId="1DEB722D" w14:textId="176424E2"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Zarówno uczelnie wyższe, instytuty badawcze czy firmy mają bezpośredni dostąp do instutuci takich jak Europractice, CMP France czy imec.IC-link, zatem tworzenie tu dodatkowych instytucji pośredniczących jest niecelowe z punktu widzenia merytorycznego i finansowego.</w:t>
            </w:r>
          </w:p>
        </w:tc>
        <w:tc>
          <w:tcPr>
            <w:tcW w:w="4859" w:type="dxa"/>
            <w:tcBorders>
              <w:top w:val="single" w:sz="4" w:space="0" w:color="auto"/>
              <w:left w:val="single" w:sz="4" w:space="0" w:color="auto"/>
              <w:bottom w:val="single" w:sz="4" w:space="0" w:color="auto"/>
              <w:right w:val="single" w:sz="4" w:space="0" w:color="auto"/>
            </w:tcBorders>
          </w:tcPr>
          <w:p w14:paraId="017D6BCE" w14:textId="439D7A4E"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5D6F452F" w14:textId="37779434"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Usunięcie wskazanego fragmentu obniżyłoby czytelność i informacyjność dokumentu dla odbiorców spoza środowiska naukowego (m.in. parlamentu, inwestorów, opinii publicznej). MC pozostawia opis, uznając przyjęty poziom szczegółowości za adekwatny do rangi i funkcji dokumentu.</w:t>
            </w:r>
          </w:p>
        </w:tc>
      </w:tr>
      <w:tr w:rsidR="004471C5" w:rsidRPr="004F425A" w14:paraId="5F7561EF" w14:textId="77777777" w:rsidTr="79FF9703">
        <w:tc>
          <w:tcPr>
            <w:tcW w:w="1425" w:type="dxa"/>
            <w:tcBorders>
              <w:top w:val="single" w:sz="4" w:space="0" w:color="auto"/>
              <w:left w:val="single" w:sz="4" w:space="0" w:color="auto"/>
              <w:bottom w:val="single" w:sz="4" w:space="0" w:color="auto"/>
              <w:right w:val="single" w:sz="4" w:space="0" w:color="auto"/>
            </w:tcBorders>
          </w:tcPr>
          <w:p w14:paraId="67BA006D" w14:textId="197C785B"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5BC0F7B" w14:textId="37F4D59C"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Akademia Górniczo-Hutnicza w Krakowie</w:t>
            </w:r>
          </w:p>
        </w:tc>
        <w:tc>
          <w:tcPr>
            <w:tcW w:w="5387" w:type="dxa"/>
            <w:tcBorders>
              <w:top w:val="single" w:sz="4" w:space="0" w:color="auto"/>
              <w:left w:val="single" w:sz="4" w:space="0" w:color="auto"/>
              <w:bottom w:val="single" w:sz="4" w:space="0" w:color="auto"/>
              <w:right w:val="single" w:sz="4" w:space="0" w:color="auto"/>
            </w:tcBorders>
          </w:tcPr>
          <w:p w14:paraId="22063269" w14:textId="6EDEAC68"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części Współpraca regionalna i międzynarodowa proponuje się usunąć cały podrozdział dotyczący fotoniki jako specjalizacji globalnej.</w:t>
            </w:r>
          </w:p>
        </w:tc>
        <w:tc>
          <w:tcPr>
            <w:tcW w:w="4859" w:type="dxa"/>
            <w:tcBorders>
              <w:top w:val="single" w:sz="4" w:space="0" w:color="auto"/>
              <w:left w:val="single" w:sz="4" w:space="0" w:color="auto"/>
              <w:bottom w:val="single" w:sz="4" w:space="0" w:color="auto"/>
              <w:right w:val="single" w:sz="4" w:space="0" w:color="auto"/>
            </w:tcBorders>
          </w:tcPr>
          <w:p w14:paraId="01EF3EA4"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001D278B" w14:textId="5B3456B5"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Usunięcie wskazanego fragmentu obniżyłoby czytelność i informacyjność dokumentu dla odbiorców spoza środowiska naukowego (m.in. parlamentu, inwestorów, opinii publicznej). MC pozostawia opis, uznając przyjęty poziom szczegółowości za adekwatny do rangi i funkcji dokumentu.</w:t>
            </w:r>
          </w:p>
        </w:tc>
      </w:tr>
      <w:tr w:rsidR="004471C5" w:rsidRPr="004F425A" w14:paraId="7CEAFBD4" w14:textId="77777777" w:rsidTr="79FF9703">
        <w:tc>
          <w:tcPr>
            <w:tcW w:w="1425" w:type="dxa"/>
            <w:tcBorders>
              <w:top w:val="single" w:sz="4" w:space="0" w:color="auto"/>
              <w:left w:val="single" w:sz="4" w:space="0" w:color="auto"/>
              <w:bottom w:val="single" w:sz="4" w:space="0" w:color="auto"/>
              <w:right w:val="single" w:sz="4" w:space="0" w:color="auto"/>
            </w:tcBorders>
          </w:tcPr>
          <w:p w14:paraId="571B69DB" w14:textId="2409994C"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9DCC060" w14:textId="05705608"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Akademia Górniczo-Hutnicza w Krakowie</w:t>
            </w:r>
          </w:p>
          <w:p w14:paraId="4653FFE0" w14:textId="1DCAA2AF"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D18D269" w14:textId="7EBEB406"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zakresie Krajowe Ramy Wspierania Strategicznych Inwestycji Półprzewodnikowych - należy usunąć “oraz zwiększenie elastyczności zasad przyznawania pomocy, w tym potencjalne wykorzystanie części tych środków na sektorowy park technologiczny. Jako możliwy kierunek </w:t>
            </w:r>
            <w:r w:rsidRPr="004F425A">
              <w:rPr>
                <w:rFonts w:ascii="Lato" w:eastAsia="Lato" w:hAnsi="Lato" w:cs="Lato"/>
                <w:sz w:val="20"/>
                <w:szCs w:val="20"/>
              </w:rPr>
              <w:lastRenderedPageBreak/>
              <w:t>reformy warto rozpatrzyć obniżenie progu wejścia (obecnie 750 mln zł) dla projektów, aby umożliwić udział firm z polskim kapitałem - nawet przy inwestycjach rzędu 10-20 mln zł rozłożonych w czasie. Wsparcie takie mogłoby dotyczyć projektów o wysokim znaczeniu strategicznym, także w formule pilotażowej.”</w:t>
            </w:r>
          </w:p>
          <w:p w14:paraId="19FA8BE6" w14:textId="71948839"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Należy jedynie przedłużyć ten program, zachowujące ten program dla dużego inwestora strategicznego.</w:t>
            </w:r>
          </w:p>
        </w:tc>
        <w:tc>
          <w:tcPr>
            <w:tcW w:w="4859" w:type="dxa"/>
            <w:tcBorders>
              <w:top w:val="single" w:sz="4" w:space="0" w:color="auto"/>
              <w:left w:val="single" w:sz="4" w:space="0" w:color="auto"/>
              <w:bottom w:val="single" w:sz="4" w:space="0" w:color="auto"/>
              <w:right w:val="single" w:sz="4" w:space="0" w:color="auto"/>
            </w:tcBorders>
          </w:tcPr>
          <w:p w14:paraId="658066C6"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70DE47C3" w14:textId="09F39A5E"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 xml:space="preserve">Projekt Polityki ma charakter strategiczny i wskazuje potencjalne kierunki rozwoju instrumentów wsparcia, pozostawiając szczegółowe rozwiązania do rozstrzygnięcia na etapie projektowania programów </w:t>
            </w:r>
            <w:r w:rsidRPr="004F425A">
              <w:rPr>
                <w:rFonts w:ascii="Lato" w:eastAsia="Lato" w:hAnsi="Lato" w:cs="Lato"/>
                <w:sz w:val="20"/>
                <w:szCs w:val="20"/>
              </w:rPr>
              <w:lastRenderedPageBreak/>
              <w:t>wykonawczych. Z tego względu niezasadne jest ograniczanie dokumentu wyłącznie do postulatu przedłużenia funkcjonowania obecnego programu.</w:t>
            </w:r>
          </w:p>
        </w:tc>
      </w:tr>
      <w:tr w:rsidR="004471C5" w:rsidRPr="004F425A" w14:paraId="0E8B0070" w14:textId="77777777" w:rsidTr="79FF9703">
        <w:tc>
          <w:tcPr>
            <w:tcW w:w="1425" w:type="dxa"/>
            <w:tcBorders>
              <w:top w:val="single" w:sz="4" w:space="0" w:color="auto"/>
              <w:left w:val="single" w:sz="4" w:space="0" w:color="auto"/>
              <w:bottom w:val="single" w:sz="4" w:space="0" w:color="auto"/>
              <w:right w:val="single" w:sz="4" w:space="0" w:color="auto"/>
            </w:tcBorders>
          </w:tcPr>
          <w:p w14:paraId="0BB77B69" w14:textId="0FCA3C2C"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4318789" w14:textId="05705608"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Akademia Górniczo-Hutnicza w Krakowie</w:t>
            </w:r>
          </w:p>
          <w:p w14:paraId="6FEDC39E" w14:textId="7A557B18"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EF8D775" w14:textId="467666D2"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części Kadry i edukacja - Szkolnictwo wyższe i infrastruktura akademicka należy usnąć Centra kompetencji powinny w pierwszej kolejności wykorzystywać istniejące struktury instytucjonalne, w tym powstałe w 2024 roku Centrum Kompetencji Półprzewodnikowych InnoSemi. Ewentualne tworzenie nowych jednostek organizacyjnych będzie poprzedzone szczegółową analizą możliwości realizacji zakładanych zadań w ramach istniejących struktur oraz oceną zasadności i kosztów powołania dodatkowych podmiotów.”</w:t>
            </w:r>
          </w:p>
          <w:p w14:paraId="18BCCFAF" w14:textId="2D3CEF4C"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Kompetencje w obszarze kształcenia projektantów układów scalonych są skupione na uczelniach wyższych i w firmach. Zatem należy wspierać uczelnie wyższe i ich współpracę z firmami w tym obszarze.</w:t>
            </w:r>
          </w:p>
          <w:p w14:paraId="39985D08" w14:textId="25A0D4B8"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Oraz propozycja modyfikacji w kolejnym akapicie. Propozycja zapisu: “Program ten może być oparty na doświadczeniach Politechniki Warszawskiej oraz Akademii-Górniczo Hutniczej w Krakowie. Wdrażanie programu powinno rozpocząć się od I kwartału 2027 roku.”</w:t>
            </w:r>
          </w:p>
          <w:p w14:paraId="4348C506" w14:textId="74ECC0F9"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Zarówno PW i AGH posiadają doświadczenie w tym zakresie.</w:t>
            </w:r>
          </w:p>
        </w:tc>
        <w:tc>
          <w:tcPr>
            <w:tcW w:w="4859" w:type="dxa"/>
            <w:tcBorders>
              <w:top w:val="single" w:sz="4" w:space="0" w:color="auto"/>
              <w:left w:val="single" w:sz="4" w:space="0" w:color="auto"/>
              <w:bottom w:val="single" w:sz="4" w:space="0" w:color="auto"/>
              <w:right w:val="single" w:sz="4" w:space="0" w:color="auto"/>
            </w:tcBorders>
          </w:tcPr>
          <w:p w14:paraId="5B0E3E00"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7D63BEF3" w14:textId="7CFB984A"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Usunięcie wskazanego fragmentu obniżyłoby czytelność i informacyjność dokumentu dla odbiorców spoza środowiska naukowego (m.in. parlamentu, inwestorów, opinii publicznej). MC pozostawia opis, uznając przyjęty poziom szczegółowości za adekwatny do rangi i funkcji dokumentu.</w:t>
            </w:r>
          </w:p>
        </w:tc>
      </w:tr>
      <w:tr w:rsidR="004471C5" w:rsidRPr="004F425A" w14:paraId="307ECE2C" w14:textId="77777777" w:rsidTr="79FF9703">
        <w:tc>
          <w:tcPr>
            <w:tcW w:w="1425" w:type="dxa"/>
            <w:tcBorders>
              <w:top w:val="single" w:sz="4" w:space="0" w:color="auto"/>
              <w:left w:val="single" w:sz="4" w:space="0" w:color="auto"/>
              <w:bottom w:val="single" w:sz="4" w:space="0" w:color="auto"/>
              <w:right w:val="single" w:sz="4" w:space="0" w:color="auto"/>
            </w:tcBorders>
          </w:tcPr>
          <w:p w14:paraId="4A6FF419" w14:textId="77777777" w:rsidR="005F5792" w:rsidRPr="004F425A" w:rsidRDefault="005F5792" w:rsidP="004F425A">
            <w:pPr>
              <w:pStyle w:val="Akapitzlist"/>
              <w:numPr>
                <w:ilvl w:val="0"/>
                <w:numId w:val="3"/>
              </w:numPr>
              <w:spacing w:after="120" w:line="240" w:lineRule="auto"/>
              <w:ind w:right="-534"/>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A22CECF" w14:textId="799956D0"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THINKTANK</w:t>
            </w:r>
          </w:p>
        </w:tc>
        <w:tc>
          <w:tcPr>
            <w:tcW w:w="5387" w:type="dxa"/>
            <w:tcBorders>
              <w:top w:val="single" w:sz="4" w:space="0" w:color="auto"/>
              <w:left w:val="single" w:sz="4" w:space="0" w:color="auto"/>
              <w:bottom w:val="single" w:sz="4" w:space="0" w:color="auto"/>
              <w:right w:val="single" w:sz="4" w:space="0" w:color="auto"/>
            </w:tcBorders>
          </w:tcPr>
          <w:p w14:paraId="2E818C05"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1. Konkretyzacja polskiej specjalizacji narodowej</w:t>
            </w:r>
          </w:p>
          <w:p w14:paraId="3AE57AC0" w14:textId="78D3CC8C"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Dokument słusznie wskazuje na potrzebę integracji z globalnym łańcuchem wartości. </w:t>
            </w:r>
            <w:r w:rsidR="00B666CE">
              <w:rPr>
                <w:rFonts w:ascii="Lato" w:eastAsia="Lato" w:hAnsi="Lato" w:cs="Lato"/>
                <w:sz w:val="20"/>
                <w:szCs w:val="20"/>
              </w:rPr>
              <w:t>R</w:t>
            </w:r>
            <w:r w:rsidRPr="004F425A">
              <w:rPr>
                <w:rFonts w:ascii="Lato" w:eastAsia="Lato" w:hAnsi="Lato" w:cs="Lato"/>
                <w:sz w:val="20"/>
                <w:szCs w:val="20"/>
              </w:rPr>
              <w:t xml:space="preserve">ekomendujemy wprost </w:t>
            </w:r>
            <w:r w:rsidRPr="004F425A">
              <w:rPr>
                <w:rFonts w:ascii="Lato" w:eastAsia="Lato" w:hAnsi="Lato" w:cs="Lato"/>
                <w:sz w:val="20"/>
                <w:szCs w:val="20"/>
              </w:rPr>
              <w:lastRenderedPageBreak/>
              <w:t>wskazać advanced packaging i testowanie jako polską specjalizację narodową w latach 2026–2030.</w:t>
            </w:r>
          </w:p>
          <w:p w14:paraId="10A2F6EA"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Uzasadnienie:</w:t>
            </w:r>
          </w:p>
          <w:p w14:paraId="56E71658"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Polska ma udowodnioną zdolność wykonawczą w tym segmencie, co pokazuje wybór inwestycja Intel we Wrocławiu.</w:t>
            </w:r>
          </w:p>
          <w:p w14:paraId="7A5115AB"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Obecnie 70–80% globalnych mocy backendowych zlokalizowanych jest w Chinach i Malezji, co niesie ryzyka geopolityczne i wydłużone łańcuchy dostaw.</w:t>
            </w:r>
          </w:p>
          <w:p w14:paraId="74649291" w14:textId="13B929F3"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Budowa minimalnych europejskich mocy backendowych w Polsce służy zabezpieczeniu na wypadek kryzysów i wzmacnia strategiczną autonomię UE – cel priorytetowy Europejskiego Chips Act.</w:t>
            </w:r>
          </w:p>
        </w:tc>
        <w:tc>
          <w:tcPr>
            <w:tcW w:w="4859" w:type="dxa"/>
            <w:tcBorders>
              <w:top w:val="single" w:sz="4" w:space="0" w:color="auto"/>
              <w:left w:val="single" w:sz="4" w:space="0" w:color="auto"/>
              <w:bottom w:val="single" w:sz="4" w:space="0" w:color="auto"/>
              <w:right w:val="single" w:sz="4" w:space="0" w:color="auto"/>
            </w:tcBorders>
          </w:tcPr>
          <w:p w14:paraId="52A139BB"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2BBF9C9D" w14:textId="00AEF2B2"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 xml:space="preserve">Polityka celowo nie różnicuje wsparcia wg wąskich segmentów technologicznych (np. rad-hard, pamięci półprzewodnikowe, technologie termoelektryczne), by uniknąć nadmiernej granulacji i zarzutu </w:t>
            </w:r>
            <w:r w:rsidRPr="004F425A">
              <w:rPr>
                <w:rFonts w:ascii="Lato" w:eastAsia="Lato" w:hAnsi="Lato" w:cs="Lato"/>
                <w:sz w:val="20"/>
                <w:szCs w:val="20"/>
              </w:rPr>
              <w:lastRenderedPageBreak/>
              <w:t xml:space="preserve">wybiórczego premiowania pojedynczych nisz. Doprecyzowanie priorytetów technologicznych nastąpi na etapie Mapy drogowej rozwoju technologii półprzewodnikowych. </w:t>
            </w:r>
          </w:p>
        </w:tc>
      </w:tr>
      <w:tr w:rsidR="004471C5" w:rsidRPr="004F425A" w14:paraId="2DF355A2" w14:textId="77777777" w:rsidTr="79FF9703">
        <w:tc>
          <w:tcPr>
            <w:tcW w:w="1425" w:type="dxa"/>
            <w:tcBorders>
              <w:top w:val="single" w:sz="4" w:space="0" w:color="auto"/>
              <w:left w:val="single" w:sz="4" w:space="0" w:color="auto"/>
              <w:bottom w:val="single" w:sz="4" w:space="0" w:color="auto"/>
              <w:right w:val="single" w:sz="4" w:space="0" w:color="auto"/>
            </w:tcBorders>
          </w:tcPr>
          <w:p w14:paraId="0505B933" w14:textId="77777777" w:rsidR="005F5792" w:rsidRPr="004F425A" w:rsidRDefault="005F5792" w:rsidP="004F425A">
            <w:pPr>
              <w:pStyle w:val="Akapitzlist"/>
              <w:numPr>
                <w:ilvl w:val="0"/>
                <w:numId w:val="3"/>
              </w:numPr>
              <w:spacing w:after="120" w:line="240" w:lineRule="auto"/>
              <w:ind w:right="-534"/>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8D36E31" w14:textId="65F72625"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THINKTANK</w:t>
            </w:r>
          </w:p>
        </w:tc>
        <w:tc>
          <w:tcPr>
            <w:tcW w:w="5387" w:type="dxa"/>
            <w:tcBorders>
              <w:top w:val="single" w:sz="4" w:space="0" w:color="auto"/>
              <w:left w:val="single" w:sz="4" w:space="0" w:color="auto"/>
              <w:bottom w:val="single" w:sz="4" w:space="0" w:color="auto"/>
              <w:right w:val="single" w:sz="4" w:space="0" w:color="auto"/>
            </w:tcBorders>
          </w:tcPr>
          <w:p w14:paraId="0AF3AD80"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2. Mechanizm Przyspieszenia dla inwestycji strategicznych</w:t>
            </w:r>
          </w:p>
          <w:p w14:paraId="4153BF79"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Rekomendujemy ustawowy mechanizm "jednego okna" z 6-miesięcznym SLA dla inwestycji strategicznych powyżej 500 mln PLN, koordynowany przez pełnomocnika rządu ds. półprzewodników.</w:t>
            </w:r>
          </w:p>
          <w:p w14:paraId="44E552BC"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Uzasadnienie konkurencyjności:</w:t>
            </w:r>
          </w:p>
          <w:p w14:paraId="44799979"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Stały i szybszy harmonogram jest warunkiem koniecznym do utrzymania konkurencyjności wobec sąsiadów i przyciągnięcia kolejnych inwestycji po Intelu.</w:t>
            </w:r>
          </w:p>
          <w:p w14:paraId="52371941" w14:textId="71A2D050"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Bez tego mechanizmu Polska ryzykuje utratę pozycji wiarygodnego partnera dla inwestorów z USA, Azji i Europy Zachodniej.</w:t>
            </w:r>
          </w:p>
        </w:tc>
        <w:tc>
          <w:tcPr>
            <w:tcW w:w="4859" w:type="dxa"/>
            <w:tcBorders>
              <w:top w:val="single" w:sz="4" w:space="0" w:color="auto"/>
              <w:left w:val="single" w:sz="4" w:space="0" w:color="auto"/>
              <w:bottom w:val="single" w:sz="4" w:space="0" w:color="auto"/>
              <w:right w:val="single" w:sz="4" w:space="0" w:color="auto"/>
            </w:tcBorders>
          </w:tcPr>
          <w:p w14:paraId="06748F1F"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26D0A915" w14:textId="60BE7AA9" w:rsidR="005F5792" w:rsidRPr="004F425A" w:rsidRDefault="005F5792" w:rsidP="004F425A">
            <w:pPr>
              <w:spacing w:after="120" w:line="240" w:lineRule="auto"/>
              <w:rPr>
                <w:rStyle w:val="Ppogrubienie"/>
                <w:rFonts w:ascii="Lato" w:eastAsia="Lato" w:hAnsi="Lato" w:cs="Lato"/>
                <w:b w:val="0"/>
                <w:sz w:val="20"/>
                <w:szCs w:val="20"/>
              </w:rPr>
            </w:pPr>
            <w:r w:rsidRPr="004F425A">
              <w:rPr>
                <w:rStyle w:val="Ppogrubienie"/>
                <w:rFonts w:ascii="Lato" w:eastAsia="Lato" w:hAnsi="Lato" w:cs="Lato"/>
                <w:b w:val="0"/>
                <w:sz w:val="20"/>
                <w:szCs w:val="20"/>
              </w:rPr>
              <w:t>W nowej wersji dokumentu zaproponowano powołanie Zespołu odpowiedzialnego za koordynowanie i wdrażanie Polityki i odstąpiono od koncepcji Pełnomocnika.</w:t>
            </w:r>
          </w:p>
        </w:tc>
      </w:tr>
      <w:tr w:rsidR="004471C5" w:rsidRPr="004F425A" w14:paraId="51E2FE60" w14:textId="77777777" w:rsidTr="79FF9703">
        <w:tc>
          <w:tcPr>
            <w:tcW w:w="1425" w:type="dxa"/>
            <w:tcBorders>
              <w:top w:val="single" w:sz="4" w:space="0" w:color="auto"/>
              <w:left w:val="single" w:sz="4" w:space="0" w:color="auto"/>
              <w:bottom w:val="single" w:sz="4" w:space="0" w:color="auto"/>
              <w:right w:val="single" w:sz="4" w:space="0" w:color="auto"/>
            </w:tcBorders>
          </w:tcPr>
          <w:p w14:paraId="435EB306" w14:textId="77777777" w:rsidR="005F5792" w:rsidRPr="004F425A" w:rsidRDefault="005F5792" w:rsidP="004F425A">
            <w:pPr>
              <w:pStyle w:val="Akapitzlist"/>
              <w:numPr>
                <w:ilvl w:val="0"/>
                <w:numId w:val="3"/>
              </w:numPr>
              <w:spacing w:after="120" w:line="240" w:lineRule="auto"/>
              <w:ind w:right="-534"/>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87220F1" w14:textId="557F5931"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THINKTANK</w:t>
            </w:r>
          </w:p>
        </w:tc>
        <w:tc>
          <w:tcPr>
            <w:tcW w:w="5387" w:type="dxa"/>
            <w:tcBorders>
              <w:top w:val="single" w:sz="4" w:space="0" w:color="auto"/>
              <w:left w:val="single" w:sz="4" w:space="0" w:color="auto"/>
              <w:bottom w:val="single" w:sz="4" w:space="0" w:color="auto"/>
              <w:right w:val="single" w:sz="4" w:space="0" w:color="auto"/>
            </w:tcBorders>
          </w:tcPr>
          <w:p w14:paraId="43120DDA"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3. Regularne konsultacje branżowe dwa razy w roku – Rada ds. Półprzewodników </w:t>
            </w:r>
          </w:p>
          <w:p w14:paraId="26AA442E"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Sektor półprzewodnikowy jest wyjątkowo dynamiczny – rynek wzrośnie z 600 mld EUR w 2024 r. do 1 bln EUR w 2030 r., a trendy takie jak AI chips, nearshoring łańcuchów dostaw i nowe regulacje UE zmieniają się z kwartału na kwartał. </w:t>
            </w:r>
          </w:p>
          <w:p w14:paraId="6D066656"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lastRenderedPageBreak/>
              <w:t xml:space="preserve">Rekomendujemy regularne konsultacje z branżą dwa razy w roku (wiosna/jesień), organizowane przez Ministerstwo Cyfryzacji z udziałem SEMI Europe, przedsiębiorców, think tanków i nauki. </w:t>
            </w:r>
          </w:p>
          <w:p w14:paraId="2990D1FA"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Uzasadnienie: </w:t>
            </w:r>
          </w:p>
          <w:p w14:paraId="33D42A7B"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 Celem jest zapewnienie reaktywnej implementacji polityki, adaptującej się do najnowszej wiedzy o trendach i szybkie dostosowanie do zmian globalnych. </w:t>
            </w:r>
          </w:p>
          <w:p w14:paraId="6D6E6F2C"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 Taki mechanizm pozwoli na skuteczne sterowanie polityką i uniknie sytuacji, w której dokument staje się nieaktualny przed wejściem w życie. </w:t>
            </w:r>
          </w:p>
          <w:p w14:paraId="40ABD78E"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 THINKTANK, jako neutralny broker dialogu między sektorem publicznym a prywatnym, deklaruje gotowość do współorganizacji tych konsultacji. </w:t>
            </w:r>
          </w:p>
          <w:p w14:paraId="45802223" w14:textId="5103D5A5"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Polska stoi przed historyczną szansą stania się europejskim hubem backendu półprzewodnikowego. Mamy inwestycję, która to udowadnia, mamy talenty (50 tys. inżynierów rocznie), mamy lokalizację w sercu Europy i mamy poparcie UE dla strategicznej autonomii. </w:t>
            </w:r>
          </w:p>
          <w:p w14:paraId="1002A84F"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Brakuje trzech rzeczy: </w:t>
            </w:r>
          </w:p>
          <w:p w14:paraId="50FF8669"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1. jasnej specjalizacji narodowej </w:t>
            </w:r>
          </w:p>
          <w:p w14:paraId="75D44E52"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2. szybkich ścieżek administracyjnych </w:t>
            </w:r>
          </w:p>
          <w:p w14:paraId="6CCD9A5F"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3. mechanizmu regularnych konsultacji z branżą </w:t>
            </w:r>
          </w:p>
          <w:p w14:paraId="1846AB95"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Wierzymy, że uwzględnienie powyższych rekomendacji w finalnej wersji dokumentu pozwoli Polsce nie tylko uczestniczyć w grze o przyszłość, ale stać się jednym z jej architektów – filarem europejskiej suwerenności technologicznej w dekadzie AI. </w:t>
            </w:r>
          </w:p>
          <w:p w14:paraId="2D669B83" w14:textId="79A81C11"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THINKTANK deklaruje gotowość do neutralnego wsparcia merytorycznego tego dialogu między sektorem publicznym, prywatnym i nauką.</w:t>
            </w:r>
          </w:p>
        </w:tc>
        <w:tc>
          <w:tcPr>
            <w:tcW w:w="4859" w:type="dxa"/>
            <w:tcBorders>
              <w:top w:val="single" w:sz="4" w:space="0" w:color="auto"/>
              <w:left w:val="single" w:sz="4" w:space="0" w:color="auto"/>
              <w:bottom w:val="single" w:sz="4" w:space="0" w:color="auto"/>
              <w:right w:val="single" w:sz="4" w:space="0" w:color="auto"/>
            </w:tcBorders>
          </w:tcPr>
          <w:p w14:paraId="101D37B8"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uwzględniona częściowo</w:t>
            </w:r>
          </w:p>
          <w:p w14:paraId="5468C1E3" w14:textId="7573B64C" w:rsidR="005F5792" w:rsidRPr="004F425A" w:rsidRDefault="005F5792" w:rsidP="004F425A">
            <w:pPr>
              <w:spacing w:after="120" w:line="240" w:lineRule="auto"/>
              <w:rPr>
                <w:rStyle w:val="Ppogrubienie"/>
                <w:rFonts w:ascii="Lato" w:eastAsia="Lato" w:hAnsi="Lato" w:cs="Lato"/>
                <w:b w:val="0"/>
                <w:sz w:val="20"/>
                <w:szCs w:val="20"/>
              </w:rPr>
            </w:pPr>
            <w:r w:rsidRPr="004F425A">
              <w:rPr>
                <w:rFonts w:ascii="Lato" w:eastAsia="Lato" w:hAnsi="Lato" w:cs="Lato"/>
                <w:sz w:val="20"/>
                <w:szCs w:val="20"/>
              </w:rPr>
              <w:t>Cykliczne konsultacje branżowe mieszczą się w</w:t>
            </w:r>
            <w:r w:rsidR="00B666CE">
              <w:rPr>
                <w:rFonts w:ascii="Lato" w:eastAsia="Lato" w:hAnsi="Lato" w:cs="Lato"/>
                <w:sz w:val="20"/>
                <w:szCs w:val="20"/>
              </w:rPr>
              <w:t> </w:t>
            </w:r>
            <w:r w:rsidRPr="004F425A">
              <w:rPr>
                <w:rFonts w:ascii="Lato" w:eastAsia="Lato" w:hAnsi="Lato" w:cs="Lato"/>
                <w:sz w:val="20"/>
                <w:szCs w:val="20"/>
              </w:rPr>
              <w:t xml:space="preserve">formule już przyjętego Zespołu zadaniowego, który ma dysponować „skutecznymi narzędziami umożliwiającymi regularne konsultacje wszystkich zainteresowanych stron”. </w:t>
            </w:r>
          </w:p>
        </w:tc>
      </w:tr>
      <w:tr w:rsidR="004471C5" w:rsidRPr="004F425A" w14:paraId="0E74A986" w14:textId="77777777" w:rsidTr="79FF9703">
        <w:tc>
          <w:tcPr>
            <w:tcW w:w="1425" w:type="dxa"/>
            <w:tcBorders>
              <w:top w:val="single" w:sz="4" w:space="0" w:color="auto"/>
              <w:left w:val="single" w:sz="4" w:space="0" w:color="auto"/>
              <w:bottom w:val="single" w:sz="4" w:space="0" w:color="auto"/>
              <w:right w:val="single" w:sz="4" w:space="0" w:color="auto"/>
            </w:tcBorders>
          </w:tcPr>
          <w:p w14:paraId="6BE3E21A" w14:textId="77777777" w:rsidR="005F5792" w:rsidRPr="004F425A" w:rsidRDefault="005F5792" w:rsidP="004F425A">
            <w:pPr>
              <w:pStyle w:val="Akapitzlist"/>
              <w:numPr>
                <w:ilvl w:val="0"/>
                <w:numId w:val="3"/>
              </w:numPr>
              <w:spacing w:after="120" w:line="240" w:lineRule="auto"/>
              <w:ind w:right="-534"/>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3DF5720" w14:textId="28B2F90D"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4DAB655A" w14:textId="72ADBA81"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Łódzka pozytywnie ocenia kierunek zaproponowanej polityki dla sektora półprzewodników. </w:t>
            </w:r>
            <w:r w:rsidRPr="004F425A">
              <w:rPr>
                <w:rFonts w:ascii="Lato" w:eastAsia="Lato" w:hAnsi="Lato" w:cs="Lato"/>
                <w:sz w:val="20"/>
                <w:szCs w:val="20"/>
              </w:rPr>
              <w:lastRenderedPageBreak/>
              <w:t>Dokument trafnie identyfikuje najważniejsze uwarunkowania rozwoju tego obszaru, w szczególności konieczność budowy specjalizacji, integracji z europejskim ekosystemem technologicznym oraz wzmacniania krajowych kompetencji. Jednocześnie dostrzegalna jest wyraźna dysproporcja pomiędzy poziomem diagnozy a poziomem operacyjności proponowanych rozwiązań. Dokument wskazuje właściwe kierunki, jednak w wielu miejscach nie przekłada ich na konkretne mechanizmy wdrożeniowe ani na jednoznaczne przypisanie ról istniejącym ośrodkom.</w:t>
            </w:r>
          </w:p>
          <w:p w14:paraId="3FBA584E" w14:textId="5FAE13F1"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Z perspektywy uczelni technicznej, która od wielu lat prowadzi badania oraz współpracę z przemysłem w obszarze mikro- i nanoelektroniki, szczególnie istotne jest przejście od ogólnego wskazania potencjału do jego operacyjnego wykorzystania. Dotyczy to zarówno roli uczelni, jak i znaczenia regionów, które już dziś dysponują realnym zapleczem kompetencyjnym.</w:t>
            </w:r>
          </w:p>
          <w:p w14:paraId="3C1679C7" w14:textId="0D215015"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obecnym kształcie dokument tworzy solidną podstawę strategiczną, jednak istnieje realne ryzyko, że bez uzupełnienia go o komponent wykonawczy pozostanie on dokumentem deklaratywnym. W sektorze półprzewodników brak decyzji operacyjnych oznacza w praktyce utratę czasu, a w konsekwencji utratę pozycji konkurencyjnej.</w:t>
            </w:r>
          </w:p>
          <w:p w14:paraId="42EF1676" w14:textId="750FB239"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Szczegółowa, rozszerzona analiza wraz z przykładami kompetencji, projektów oraz propozycjami korekt redakcyjnych została przedstawiona w załączonym opracowaniu eksperckim.</w:t>
            </w:r>
          </w:p>
          <w:p w14:paraId="0C4C1167" w14:textId="7876403F"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Kluczowa luka systemowa</w:t>
            </w:r>
          </w:p>
          <w:p w14:paraId="47B2AB9B" w14:textId="0B0B67E4"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Najważniejszym problemem, który wyłania się zarówno z analizowanego dokumentu, jak i z doświadczeń praktycznych, jest </w:t>
            </w:r>
            <w:r w:rsidRPr="004F425A">
              <w:rPr>
                <w:rStyle w:val="Ppogrubienie"/>
                <w:rFonts w:ascii="Lato" w:eastAsia="Lato" w:hAnsi="Lato" w:cs="Lato"/>
                <w:b w:val="0"/>
                <w:sz w:val="20"/>
                <w:szCs w:val="20"/>
              </w:rPr>
              <w:t>brak zdolności w obszarze przejścia od badań do wdrożeń technologicznych</w:t>
            </w:r>
            <w:r w:rsidRPr="004F425A">
              <w:rPr>
                <w:rFonts w:ascii="Lato" w:eastAsia="Lato" w:hAnsi="Lato" w:cs="Lato"/>
                <w:sz w:val="20"/>
                <w:szCs w:val="20"/>
              </w:rPr>
              <w:t xml:space="preserve">. W polskim ekosystemie półprzewodników stosunkowo dobrze rozwinięte są kompetencje projektowe oraz badania podstawowe, natomiast zdecydowanie słabszy pozostaje </w:t>
            </w:r>
            <w:r w:rsidRPr="004F425A">
              <w:rPr>
                <w:rFonts w:ascii="Lato" w:eastAsia="Lato" w:hAnsi="Lato" w:cs="Lato"/>
                <w:sz w:val="20"/>
                <w:szCs w:val="20"/>
              </w:rPr>
              <w:lastRenderedPageBreak/>
              <w:t>etap pośredni, obejmujący walidację technologii, budowę demonstratorów oraz przygotowanie rozwiązań do skalowania przemysłowego.</w:t>
            </w:r>
          </w:p>
          <w:p w14:paraId="48783BAC" w14:textId="6E1AA3A0"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To właśnie ten etap – odpowiadający poziomom TRL 3-6 – stanowi obecnie najsłabsze ogniwo całego systemu. Bez jego wzmocnienia rozwój sektora będzie w naturalny sposób</w:t>
            </w:r>
          </w:p>
          <w:p w14:paraId="217CC280" w14:textId="67DBFD43"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ograniczał się do projektowania oraz wykorzystania technologii opracowanych poza granicami kraju. Oznacza to, że Polska pozostanie uczestnikiem łańcucha wartości o ograniczonym znaczeniu, bez realnej zdolności do budowy własnych rozwiązań technologicznych.</w:t>
            </w:r>
          </w:p>
          <w:p w14:paraId="13C8F38A" w14:textId="0A6774F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Rola Politechniki Łódzkiej</w:t>
            </w:r>
          </w:p>
          <w:p w14:paraId="41B562CD" w14:textId="5C8205C5"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Na tym tle szczególnego znaczenia nabiera rola ośrodków, które już dziś dysponują kompetencjami umożliwiającymi funkcjonowanie w obszarze przedwdrożeniowym. Politechnika Łódzka należy do nielicznych uczelni w Polsce, w których kompetencje w zakresie technologii półprzewodnikowych mają charakter ciągły i zintegrowany. Obejmują one zarówno badania materiałowe i cienkowarstwowe, jak i projektowanie układów scalonych, mikrostruktur oraz systemów elektronicznych, a także wytwarzanie i charakteryzację struktur półprzewodnikowych.</w:t>
            </w:r>
          </w:p>
          <w:p w14:paraId="016D9992" w14:textId="309AA5B5"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Istotną cechą tego potencjału jest jego spójność. W uczelni możliwe jest prowadzenie prac obejmujących cały proces – od modelowania i projektowania, przez wykonanie demonstratora, aż po jego walidację. Kompetencje te są dodatkowo wzmacniane przez rozwiniętą infrastrukturę laboratoryjną oraz wieloletnią współpracę z przemysłem, zarówno krajowym, jak i międzynarodowym.</w:t>
            </w:r>
          </w:p>
          <w:p w14:paraId="166A52A8" w14:textId="42D38825"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praktyce oznacza to, że Politechnika Łódzka posiada zdolność do realizacji tego elementu łańcucha wartości, który obecnie pozostaje w Polsce najsłabiej rozwinięty. Z tego względu jej rola w polityce państwa nie powinna być ograniczana wyłącznie do funkcji dydaktycznych, lecz </w:t>
            </w:r>
            <w:r w:rsidRPr="004F425A">
              <w:rPr>
                <w:rFonts w:ascii="Lato" w:eastAsia="Lato" w:hAnsi="Lato" w:cs="Lato"/>
                <w:sz w:val="20"/>
                <w:szCs w:val="20"/>
              </w:rPr>
              <w:lastRenderedPageBreak/>
              <w:t>obejmować również udział w procesach technologicznych i wdrożeniowych.</w:t>
            </w:r>
          </w:p>
          <w:p w14:paraId="21D9F939" w14:textId="71A37B4C"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Znaczenie regionu łódzkiego</w:t>
            </w:r>
          </w:p>
          <w:p w14:paraId="373F729E" w14:textId="7772F8F4"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Potencjał Politechniki Łódzkiej jest ściśle powiązany z charakterem regionu łódzkiego. Region ten, choć nie jest tradycyjnie kojarzony z mikroelektroniką, posiada zestaw cech, które predestynują go do pełnienia roli systemowej w krajowym ekosystemie półprzewodników.</w:t>
            </w:r>
          </w:p>
          <w:p w14:paraId="2F09D729" w14:textId="07BC39EB"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Kluczowe znaczenie ma centralne położenie oraz rozwinięta infrastruktura transportowa, umożliwiające integrację działań prowadzonych w różnych częściach kraju. Równie istotne jest zaplecze przemysłowe obejmujące elektronikę, energetykę, automatykę i produkcję przemysłową, które tworzy naturalne środowisko dla testowania i wdrażania nowych rozwiązań. Uzupełnieniem tych elementów są instrumenty instytucjonalne, w tym Łódzka Specjalna Strefa Ekonomiczna, wspierające rozwój inwestycji.</w:t>
            </w:r>
          </w:p>
          <w:p w14:paraId="6107AB70" w14:textId="46A54C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efekcie region łódzki nie powinien być postrzegany wyłącznie jako jedna z wielu możliwych lokalizacji inwestycji, lecz jako węzeł integrujący różne elementy łańcucha wartości – od badań i projektowania po wdrożenia przemysłowe.</w:t>
            </w:r>
          </w:p>
          <w:p w14:paraId="5E401517" w14:textId="4DC6F60C" w:rsidR="005F5792" w:rsidRPr="004F425A" w:rsidRDefault="005F5792" w:rsidP="004F425A">
            <w:pPr>
              <w:spacing w:after="120" w:line="240" w:lineRule="auto"/>
              <w:rPr>
                <w:rStyle w:val="Ppogrubienie"/>
                <w:rFonts w:ascii="Lato" w:eastAsia="Lato" w:hAnsi="Lato" w:cs="Lato"/>
                <w:b w:val="0"/>
                <w:sz w:val="20"/>
                <w:szCs w:val="20"/>
              </w:rPr>
            </w:pPr>
            <w:r w:rsidRPr="004F425A">
              <w:rPr>
                <w:rStyle w:val="Ppogrubienie"/>
                <w:rFonts w:ascii="Lato" w:eastAsia="Lato" w:hAnsi="Lato" w:cs="Lato"/>
                <w:b w:val="0"/>
                <w:sz w:val="20"/>
                <w:szCs w:val="20"/>
              </w:rPr>
              <w:t>Wnioski i rekomendacje</w:t>
            </w:r>
          </w:p>
          <w:p w14:paraId="0FDAF92F" w14:textId="713C74BE"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Z przedstawionej analizy wynika, że kluczowym wyzwaniem nie jest określenie kierunku rozwoju sektora, lecz stworzenie mechanizmów umożliwiających jego realizację. W szczególności konieczne jest wzmocnienie obszaru przejścia od badań do wdrożeń poprzez rozwój infrastruktury prototypowania, włączenie uczelni technicznych w zarządzanie systemem oraz budowę trwałych mechanizmów współpracy z przemysłem.</w:t>
            </w:r>
          </w:p>
          <w:p w14:paraId="6428E9DA" w14:textId="325AB4A6"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tym kontekście zasadne jest rozważenie utworzenia w Łodzi centrum prototypowania technologii półprzewodnikowych, które mogłoby pełnić funkcję ogniwa łączącego badania z zastosowaniami </w:t>
            </w:r>
            <w:r w:rsidRPr="004F425A">
              <w:rPr>
                <w:rFonts w:ascii="Lato" w:eastAsia="Lato" w:hAnsi="Lato" w:cs="Lato"/>
                <w:sz w:val="20"/>
                <w:szCs w:val="20"/>
              </w:rPr>
              <w:lastRenderedPageBreak/>
              <w:t>przemysłowymi. Równolegle konieczne jest włączenie uczelni do systemu zarządzania infrastrukturą oraz rozwój programów obejmujących pełny cykl życia technologii – od koncepcji po wdrożenie.</w:t>
            </w:r>
          </w:p>
          <w:p w14:paraId="4F3233CE" w14:textId="6385DFE9"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Istotnym elementem powinno być również rozwijanie kompetencji w obszarze procesów back-end, które obecnie pozostają w Polsce słabo rozwinięte, a mają kluczowe znaczenie dla funkcjonowania całego sektora.</w:t>
            </w:r>
          </w:p>
          <w:p w14:paraId="1FD1FC7A" w14:textId="58C14C99" w:rsidR="005F5792" w:rsidRPr="004F425A" w:rsidRDefault="005F5792" w:rsidP="004F425A">
            <w:pPr>
              <w:spacing w:after="120" w:line="240" w:lineRule="auto"/>
              <w:rPr>
                <w:rStyle w:val="Ppogrubienie"/>
                <w:rFonts w:ascii="Lato" w:eastAsia="Lato" w:hAnsi="Lato" w:cs="Lato"/>
                <w:b w:val="0"/>
                <w:sz w:val="20"/>
                <w:szCs w:val="20"/>
              </w:rPr>
            </w:pPr>
            <w:r w:rsidRPr="004F425A">
              <w:rPr>
                <w:rStyle w:val="Ppogrubienie"/>
                <w:rFonts w:ascii="Lato" w:eastAsia="Lato" w:hAnsi="Lato" w:cs="Lato"/>
                <w:b w:val="0"/>
                <w:sz w:val="20"/>
                <w:szCs w:val="20"/>
              </w:rPr>
              <w:t>Wniosek końcowy</w:t>
            </w:r>
          </w:p>
          <w:p w14:paraId="644454E1" w14:textId="09EDBFBE"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 oraz region łódzki dysponują realnym, istniejącym potencjałem, który odpowiada na najważniejsze luki zidentyfikowane w polityce państwa. Ich rola powinna zostać jasno określona i włączona w strukturę wdrażania dokumentu.</w:t>
            </w:r>
          </w:p>
          <w:p w14:paraId="1014D46A" w14:textId="67444DE8"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Bez takiego podejścia istnieje ryzyko, że rozwój sektora półprzewodników w Polsce będzie miał charakter ograniczony – z koncentracją na wybranych elementach łańcucha wartości, bez budowy trwałych zdolności technologicznych.</w:t>
            </w:r>
          </w:p>
          <w:p w14:paraId="2A1E15D5" w14:textId="5C2A1655"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Należy jednoznacznie podkreślić, że brak wykorzystania istniejących krajowych kompetencji – w szczególności w obszarze badań aplikacyjnych i prototypowania – nie będzie neutralny. Oznaczać będzie trwałe uzależnienie od technologii zewnętrznych oraz ograniczenie roli Polski do podwykonawcy w globalnym łańcuchu wartości. Z drugiej strony, właściwe przypisanie ról istniejącym ośrodkom i włączenie ich w sposób systemowy do realizacji polityki daje możliwość stosunkowo szybkiego zbudowania brakujących zdolności. W tym sensie kluczowe decyzje mają charakter nie tyle inwestycyjny, ile organizacyjny.</w:t>
            </w:r>
          </w:p>
        </w:tc>
        <w:tc>
          <w:tcPr>
            <w:tcW w:w="4859" w:type="dxa"/>
            <w:tcBorders>
              <w:top w:val="single" w:sz="4" w:space="0" w:color="auto"/>
              <w:left w:val="single" w:sz="4" w:space="0" w:color="auto"/>
              <w:bottom w:val="single" w:sz="4" w:space="0" w:color="auto"/>
              <w:right w:val="single" w:sz="4" w:space="0" w:color="auto"/>
            </w:tcBorders>
          </w:tcPr>
          <w:p w14:paraId="5BA2674D"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uwzględniona</w:t>
            </w:r>
          </w:p>
          <w:p w14:paraId="29775A31" w14:textId="4464666E" w:rsidR="005F5792" w:rsidRPr="004F425A" w:rsidRDefault="005F5792" w:rsidP="004F425A">
            <w:pPr>
              <w:spacing w:after="120" w:line="240" w:lineRule="auto"/>
              <w:rPr>
                <w:rStyle w:val="Ppogrubienie"/>
                <w:rFonts w:ascii="Lato" w:eastAsia="Lato" w:hAnsi="Lato" w:cs="Lato"/>
                <w:b w:val="0"/>
                <w:sz w:val="20"/>
                <w:szCs w:val="20"/>
              </w:rPr>
            </w:pPr>
            <w:r w:rsidRPr="004F425A">
              <w:rPr>
                <w:rFonts w:ascii="Lato" w:eastAsia="Lato" w:hAnsi="Lato" w:cs="Lato"/>
                <w:sz w:val="20"/>
                <w:szCs w:val="20"/>
              </w:rPr>
              <w:lastRenderedPageBreak/>
              <w:t>Dokument ma charakter strategiczny (poziom celów i kierunków), a nie operacyjny instrukcji wdrożeniowej; szczegółowe mechanizmy zostaną doprecyzowane w dokumentach wykonawczych i</w:t>
            </w:r>
            <w:r w:rsidR="00B666CE">
              <w:rPr>
                <w:rFonts w:ascii="Lato" w:eastAsia="Lato" w:hAnsi="Lato" w:cs="Lato"/>
                <w:sz w:val="20"/>
                <w:szCs w:val="20"/>
              </w:rPr>
              <w:t> </w:t>
            </w:r>
            <w:r w:rsidRPr="004F425A">
              <w:rPr>
                <w:rFonts w:ascii="Lato" w:eastAsia="Lato" w:hAnsi="Lato" w:cs="Lato"/>
                <w:sz w:val="20"/>
                <w:szCs w:val="20"/>
              </w:rPr>
              <w:t>kartach wskaźników.</w:t>
            </w:r>
          </w:p>
          <w:p w14:paraId="5F38507D" w14:textId="71F9FFA4" w:rsidR="005F5792" w:rsidRPr="004F425A" w:rsidRDefault="005F5792" w:rsidP="004F425A">
            <w:pPr>
              <w:spacing w:after="120" w:line="240" w:lineRule="auto"/>
              <w:rPr>
                <w:rStyle w:val="Ppogrubienie"/>
                <w:rFonts w:ascii="Lato" w:eastAsia="Lato" w:hAnsi="Lato" w:cs="Lato"/>
                <w:b w:val="0"/>
                <w:sz w:val="20"/>
                <w:szCs w:val="20"/>
              </w:rPr>
            </w:pPr>
          </w:p>
        </w:tc>
      </w:tr>
      <w:tr w:rsidR="004471C5" w:rsidRPr="004F425A" w14:paraId="02561830" w14:textId="77777777" w:rsidTr="79FF9703">
        <w:tc>
          <w:tcPr>
            <w:tcW w:w="1425" w:type="dxa"/>
            <w:tcBorders>
              <w:top w:val="single" w:sz="4" w:space="0" w:color="auto"/>
              <w:left w:val="single" w:sz="4" w:space="0" w:color="auto"/>
              <w:bottom w:val="single" w:sz="4" w:space="0" w:color="auto"/>
              <w:right w:val="single" w:sz="4" w:space="0" w:color="auto"/>
            </w:tcBorders>
          </w:tcPr>
          <w:p w14:paraId="16500582" w14:textId="77777777" w:rsidR="005F5792" w:rsidRPr="004F425A" w:rsidRDefault="005F5792" w:rsidP="004F425A">
            <w:pPr>
              <w:pStyle w:val="Akapitzlist"/>
              <w:numPr>
                <w:ilvl w:val="0"/>
                <w:numId w:val="3"/>
              </w:numPr>
              <w:spacing w:after="120" w:line="240" w:lineRule="auto"/>
              <w:ind w:right="-534"/>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3678914" w14:textId="2A15D43C"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35DAFFF6" w14:textId="07A238F9"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Analizowany dokument obejmuje szeroki zakres zagadnień – od infrastruktury, przez finansowanie i edukację, po kwestie energii, surowców i współpracy międzynarodowej. W każdym z tych obszarów przedstawiono trafne diagnozy, jednak wymagają one doprecyzowania na poziomie operacyjnym.</w:t>
            </w:r>
          </w:p>
          <w:p w14:paraId="060281EF" w14:textId="7B0954F8"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W odniesieniu do infrastruktury zasadnie wskazano problem jej rozproszenia oraz ograniczonej dostępności dla przemysłu. Jednocześnie dokument nie rozstrzyga, czy rozwój powinien opierać się na budowie nowych ośrodków, czy na integracji istniejących zasobów. Z punktu widzenia efektywności systemowej bardziej uzasadnione wydaje się podejście integracyjne, wykorzystujące potencjał już funkcjonujących jednostek akademickich.</w:t>
            </w:r>
          </w:p>
        </w:tc>
        <w:tc>
          <w:tcPr>
            <w:tcW w:w="4859" w:type="dxa"/>
            <w:tcBorders>
              <w:top w:val="single" w:sz="4" w:space="0" w:color="auto"/>
              <w:left w:val="single" w:sz="4" w:space="0" w:color="auto"/>
              <w:bottom w:val="single" w:sz="4" w:space="0" w:color="auto"/>
              <w:right w:val="single" w:sz="4" w:space="0" w:color="auto"/>
            </w:tcBorders>
          </w:tcPr>
          <w:p w14:paraId="21847650"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 xml:space="preserve">Uwaga </w:t>
            </w:r>
            <w:r w:rsidR="00736929" w:rsidRPr="004F425A">
              <w:rPr>
                <w:rStyle w:val="Ppogrubienie"/>
                <w:rFonts w:ascii="Lato" w:hAnsi="Lato"/>
                <w:sz w:val="20"/>
                <w:szCs w:val="20"/>
              </w:rPr>
              <w:t>nieuwzględniona</w:t>
            </w:r>
          </w:p>
          <w:p w14:paraId="293F741C" w14:textId="1EBF0736"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 xml:space="preserve">Poziom operacyjny (np. wybór między budową nowych ośrodków a konsolidacją istniejących) zostanie doprecyzowany w toku analiz </w:t>
            </w:r>
            <w:r w:rsidRPr="004F425A">
              <w:rPr>
                <w:rFonts w:ascii="Lato" w:eastAsia="Lato" w:hAnsi="Lato" w:cs="Lato"/>
                <w:sz w:val="20"/>
                <w:szCs w:val="20"/>
              </w:rPr>
              <w:lastRenderedPageBreak/>
              <w:t>przewidzianych w rozdz. Infrastruktura (analiza zasobów do końca I kw. 2027 r.).</w:t>
            </w:r>
          </w:p>
        </w:tc>
      </w:tr>
      <w:tr w:rsidR="004471C5" w:rsidRPr="004F425A" w14:paraId="6007622C" w14:textId="77777777" w:rsidTr="79FF9703">
        <w:tc>
          <w:tcPr>
            <w:tcW w:w="1425" w:type="dxa"/>
            <w:tcBorders>
              <w:top w:val="single" w:sz="4" w:space="0" w:color="auto"/>
              <w:left w:val="single" w:sz="4" w:space="0" w:color="auto"/>
              <w:bottom w:val="single" w:sz="4" w:space="0" w:color="auto"/>
              <w:right w:val="single" w:sz="4" w:space="0" w:color="auto"/>
            </w:tcBorders>
          </w:tcPr>
          <w:p w14:paraId="37227817" w14:textId="02DDAFD9"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DCDA32E" w14:textId="2A15D43C"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p w14:paraId="3C917A7F" w14:textId="70FD4AAE"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EBC121C" w14:textId="307E67F8"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części dotyczącej impulsu państwa trafnie podkreślono znaczenie mechanizmów popytowych, jednak zbyt mało miejsca poświęcono etapowi rozwoju technologii. Skuteczna polityka powinna obejmować nie tylko wdrożenia, lecz również fazę demonstracji i walidacji, która warunkuje możliwość późniejszego skalowania rozwiązań.</w:t>
            </w:r>
          </w:p>
        </w:tc>
        <w:tc>
          <w:tcPr>
            <w:tcW w:w="4859" w:type="dxa"/>
            <w:tcBorders>
              <w:top w:val="single" w:sz="4" w:space="0" w:color="auto"/>
              <w:left w:val="single" w:sz="4" w:space="0" w:color="auto"/>
              <w:bottom w:val="single" w:sz="4" w:space="0" w:color="auto"/>
              <w:right w:val="single" w:sz="4" w:space="0" w:color="auto"/>
            </w:tcBorders>
          </w:tcPr>
          <w:p w14:paraId="6D2EE0D4"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częściowo uwzględniona</w:t>
            </w:r>
          </w:p>
          <w:p w14:paraId="439F55D5" w14:textId="00FC6156"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Demonstracja i walidacja nie został wyodrębniony jako osobny punkt Filaru II, choć jest częściowo pokryty przez linie pilotażowe (Filar I) i mechanizm PCP.</w:t>
            </w:r>
          </w:p>
        </w:tc>
      </w:tr>
      <w:tr w:rsidR="004471C5" w:rsidRPr="004F425A" w14:paraId="7B861D4B" w14:textId="77777777" w:rsidTr="79FF9703">
        <w:tc>
          <w:tcPr>
            <w:tcW w:w="1425" w:type="dxa"/>
            <w:tcBorders>
              <w:top w:val="single" w:sz="4" w:space="0" w:color="auto"/>
              <w:left w:val="single" w:sz="4" w:space="0" w:color="auto"/>
              <w:bottom w:val="single" w:sz="4" w:space="0" w:color="auto"/>
              <w:right w:val="single" w:sz="4" w:space="0" w:color="auto"/>
            </w:tcBorders>
          </w:tcPr>
          <w:p w14:paraId="5FAF66D1" w14:textId="7C12954F"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974DCDC" w14:textId="2A15D43C"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p w14:paraId="381AEF74" w14:textId="6BCBDC2C"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B1160EA" w14:textId="356C02A0"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zakresie współpracy międzynarodowej dokument słusznie akcentuje konieczność integracji z europejskim ekosystemem, natomiast niewystarczająco rozwija wymiar regionalny. To właśnie na poziomie regionów powstają realne powiązania między nauką a przemysłem, które mogą być następnie włączane w struktury międzynarodowe.</w:t>
            </w:r>
          </w:p>
        </w:tc>
        <w:tc>
          <w:tcPr>
            <w:tcW w:w="4859" w:type="dxa"/>
            <w:tcBorders>
              <w:top w:val="single" w:sz="4" w:space="0" w:color="auto"/>
              <w:left w:val="single" w:sz="4" w:space="0" w:color="auto"/>
              <w:bottom w:val="single" w:sz="4" w:space="0" w:color="auto"/>
              <w:right w:val="single" w:sz="4" w:space="0" w:color="auto"/>
            </w:tcBorders>
          </w:tcPr>
          <w:p w14:paraId="7A53868A"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częściowo uwzględniona</w:t>
            </w:r>
          </w:p>
          <w:p w14:paraId="6E56A626" w14:textId="710F7DA1"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Doprecyzowano zapisy dotyczące współpracy regionalnej.</w:t>
            </w:r>
          </w:p>
        </w:tc>
      </w:tr>
      <w:tr w:rsidR="004471C5" w:rsidRPr="004F425A" w14:paraId="52578C10" w14:textId="77777777" w:rsidTr="79FF9703">
        <w:tc>
          <w:tcPr>
            <w:tcW w:w="1425" w:type="dxa"/>
            <w:tcBorders>
              <w:top w:val="single" w:sz="4" w:space="0" w:color="auto"/>
              <w:left w:val="single" w:sz="4" w:space="0" w:color="auto"/>
              <w:bottom w:val="single" w:sz="4" w:space="0" w:color="auto"/>
              <w:right w:val="single" w:sz="4" w:space="0" w:color="auto"/>
            </w:tcBorders>
          </w:tcPr>
          <w:p w14:paraId="7A425655" w14:textId="18EA5126"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DD948E3" w14:textId="2A15D43C"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p w14:paraId="1A8FAE10" w14:textId="5335F5BE"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78828A65" w14:textId="53943E63"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obszarze inwestycji i finansowania trafnie wskazano wysokie ryzyko technologiczne, jednak podejście koncentruje się głównie na inwestycjach przemysłowych. Brakuje wyraźnego uwzględnienia finansowania etapu badań aplikacyjnych i demonstracyjnych, który jest kluczowy dla budowy własnych kompetencji.</w:t>
            </w:r>
          </w:p>
        </w:tc>
        <w:tc>
          <w:tcPr>
            <w:tcW w:w="4859" w:type="dxa"/>
            <w:tcBorders>
              <w:top w:val="single" w:sz="4" w:space="0" w:color="auto"/>
              <w:left w:val="single" w:sz="4" w:space="0" w:color="auto"/>
              <w:bottom w:val="single" w:sz="4" w:space="0" w:color="auto"/>
              <w:right w:val="single" w:sz="4" w:space="0" w:color="auto"/>
            </w:tcBorders>
          </w:tcPr>
          <w:p w14:paraId="1CC033AC"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częściowo uwzględniona</w:t>
            </w:r>
          </w:p>
          <w:p w14:paraId="0C201FCA" w14:textId="2A085561"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Finansowanie</w:t>
            </w:r>
            <w:r w:rsidR="003411AD" w:rsidRPr="004F425A">
              <w:rPr>
                <w:rFonts w:ascii="Lato" w:eastAsia="Lato" w:hAnsi="Lato" w:cs="Lato"/>
                <w:sz w:val="20"/>
                <w:szCs w:val="20"/>
              </w:rPr>
              <w:t xml:space="preserve"> </w:t>
            </w:r>
            <w:r w:rsidRPr="004F425A">
              <w:rPr>
                <w:rFonts w:ascii="Lato" w:eastAsia="Lato" w:hAnsi="Lato" w:cs="Lato"/>
                <w:sz w:val="20"/>
                <w:szCs w:val="20"/>
              </w:rPr>
              <w:t>badań</w:t>
            </w:r>
            <w:r w:rsidR="00A80DAA" w:rsidRPr="004F425A">
              <w:rPr>
                <w:rFonts w:ascii="Lato" w:eastAsia="Lato" w:hAnsi="Lato" w:cs="Lato"/>
                <w:sz w:val="20"/>
                <w:szCs w:val="20"/>
              </w:rPr>
              <w:t xml:space="preserve"> </w:t>
            </w:r>
            <w:r w:rsidRPr="004F425A">
              <w:rPr>
                <w:rFonts w:ascii="Lato" w:eastAsia="Lato" w:hAnsi="Lato" w:cs="Lato"/>
                <w:sz w:val="20"/>
                <w:szCs w:val="20"/>
              </w:rPr>
              <w:t>aplikacyjnych</w:t>
            </w:r>
            <w:r w:rsidR="003411AD" w:rsidRPr="004F425A">
              <w:rPr>
                <w:rFonts w:ascii="Lato" w:eastAsia="Lato" w:hAnsi="Lato" w:cs="Lato"/>
                <w:sz w:val="20"/>
                <w:szCs w:val="20"/>
              </w:rPr>
              <w:t xml:space="preserve"> </w:t>
            </w:r>
            <w:r w:rsidRPr="004F425A">
              <w:rPr>
                <w:rFonts w:ascii="Lato" w:eastAsia="Lato" w:hAnsi="Lato" w:cs="Lato"/>
                <w:sz w:val="20"/>
                <w:szCs w:val="20"/>
              </w:rPr>
              <w:t>/demonstracyjnych nie zostało wyodrębnione jako osobna kategoria w rozdz. Inwestycje i finansowanie, poza ogólnym odniesieniem do IPCEI i funduszy europejskich, typu STEP, SMART ścieżka.</w:t>
            </w:r>
          </w:p>
        </w:tc>
      </w:tr>
      <w:tr w:rsidR="004471C5" w:rsidRPr="004F425A" w14:paraId="62C0EBC0" w14:textId="77777777" w:rsidTr="79FF9703">
        <w:tc>
          <w:tcPr>
            <w:tcW w:w="1425" w:type="dxa"/>
            <w:tcBorders>
              <w:top w:val="single" w:sz="4" w:space="0" w:color="auto"/>
              <w:left w:val="single" w:sz="4" w:space="0" w:color="auto"/>
              <w:bottom w:val="single" w:sz="4" w:space="0" w:color="auto"/>
              <w:right w:val="single" w:sz="4" w:space="0" w:color="auto"/>
            </w:tcBorders>
          </w:tcPr>
          <w:p w14:paraId="361BB179" w14:textId="6F8925B8"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EF862B4" w14:textId="2A15D43C"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p w14:paraId="07833661" w14:textId="277A1C73"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12661B6" w14:textId="1480E784"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odniesieniu do kadr i edukacji dokument identyfikuje problem niedoboru specjalistów, jednak ujmuje go głównie w kategoriach liczbowych. W praktyce równie istotna jest jakość kształcenia oraz jego powiązanie z przemysłem, a także rozwój wyspecjalizowanych kompetencji, nie zaś jedynie zwiększenie ogólnej liczby absolwentów.</w:t>
            </w:r>
          </w:p>
        </w:tc>
        <w:tc>
          <w:tcPr>
            <w:tcW w:w="4859" w:type="dxa"/>
            <w:tcBorders>
              <w:top w:val="single" w:sz="4" w:space="0" w:color="auto"/>
              <w:left w:val="single" w:sz="4" w:space="0" w:color="auto"/>
              <w:bottom w:val="single" w:sz="4" w:space="0" w:color="auto"/>
              <w:right w:val="single" w:sz="4" w:space="0" w:color="auto"/>
            </w:tcBorders>
          </w:tcPr>
          <w:p w14:paraId="17766F03" w14:textId="77777777" w:rsidR="00B666CE" w:rsidRDefault="3C73FB64" w:rsidP="004F425A">
            <w:pPr>
              <w:spacing w:after="120" w:line="240" w:lineRule="auto"/>
              <w:rPr>
                <w:rStyle w:val="Ppogrubienie"/>
                <w:rFonts w:ascii="Lato" w:hAnsi="Lato"/>
                <w:sz w:val="20"/>
                <w:szCs w:val="20"/>
              </w:rPr>
            </w:pPr>
            <w:r w:rsidRPr="004F425A">
              <w:rPr>
                <w:rStyle w:val="Ppogrubienie"/>
                <w:rFonts w:ascii="Lato" w:hAnsi="Lato"/>
                <w:sz w:val="20"/>
                <w:szCs w:val="20"/>
              </w:rPr>
              <w:t>Uwaga czę</w:t>
            </w:r>
            <w:r w:rsidR="1411A98E" w:rsidRPr="004F425A">
              <w:rPr>
                <w:rStyle w:val="Ppogrubienie"/>
                <w:rFonts w:ascii="Lato" w:hAnsi="Lato"/>
                <w:sz w:val="20"/>
                <w:szCs w:val="20"/>
              </w:rPr>
              <w:t>ś</w:t>
            </w:r>
            <w:r w:rsidRPr="004F425A">
              <w:rPr>
                <w:rStyle w:val="Ppogrubienie"/>
                <w:rFonts w:ascii="Lato" w:hAnsi="Lato"/>
                <w:sz w:val="20"/>
                <w:szCs w:val="20"/>
              </w:rPr>
              <w:t>ci</w:t>
            </w:r>
            <w:r w:rsidR="3A3EABD4" w:rsidRPr="004F425A">
              <w:rPr>
                <w:rStyle w:val="Ppogrubienie"/>
                <w:rFonts w:ascii="Lato" w:hAnsi="Lato"/>
                <w:sz w:val="20"/>
                <w:szCs w:val="20"/>
              </w:rPr>
              <w:t>o</w:t>
            </w:r>
            <w:r w:rsidRPr="004F425A">
              <w:rPr>
                <w:rStyle w:val="Ppogrubienie"/>
                <w:rFonts w:ascii="Lato" w:hAnsi="Lato"/>
                <w:sz w:val="20"/>
                <w:szCs w:val="20"/>
              </w:rPr>
              <w:t>wo uwzględniona</w:t>
            </w:r>
          </w:p>
          <w:p w14:paraId="1A6306EC" w14:textId="3597B138" w:rsidR="005F5792" w:rsidRPr="004F425A" w:rsidRDefault="3C73FB64" w:rsidP="004F425A">
            <w:pPr>
              <w:spacing w:after="120" w:line="240" w:lineRule="auto"/>
              <w:rPr>
                <w:rFonts w:ascii="Lato" w:eastAsia="Lato" w:hAnsi="Lato" w:cs="Lato"/>
                <w:sz w:val="20"/>
                <w:szCs w:val="20"/>
              </w:rPr>
            </w:pPr>
            <w:r w:rsidRPr="004F425A">
              <w:rPr>
                <w:rFonts w:ascii="Lato" w:eastAsia="Lato" w:hAnsi="Lato" w:cs="Lato"/>
                <w:sz w:val="20"/>
                <w:szCs w:val="20"/>
              </w:rPr>
              <w:t>Jakość kształcenia i powiązanie z przemysłem są wskazane opisowo (centra kompetencji, programy stypendialne), ale nie przełożono ich na osobny wskaźnik jakościowy obok liczbowego celu wzrostu absolwentów.</w:t>
            </w:r>
          </w:p>
        </w:tc>
      </w:tr>
      <w:tr w:rsidR="004471C5" w:rsidRPr="004F425A" w14:paraId="50BFC524" w14:textId="77777777" w:rsidTr="79FF9703">
        <w:tc>
          <w:tcPr>
            <w:tcW w:w="1425" w:type="dxa"/>
            <w:tcBorders>
              <w:top w:val="single" w:sz="4" w:space="0" w:color="auto"/>
              <w:left w:val="single" w:sz="4" w:space="0" w:color="auto"/>
              <w:bottom w:val="single" w:sz="4" w:space="0" w:color="auto"/>
              <w:right w:val="single" w:sz="4" w:space="0" w:color="auto"/>
            </w:tcBorders>
          </w:tcPr>
          <w:p w14:paraId="0206BA05" w14:textId="7E43706D"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FC16EA7" w14:textId="2A15D43C"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p w14:paraId="7B423442" w14:textId="31C47D7E"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4330E8E" w14:textId="063B156D"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części dotyczącej energii i wody prawidłowo wskazano znaczenie stabilnych źródeł energii jako czynnika lokalizacyjnego, jednak zagadnienie to wymaga silniejszego </w:t>
            </w:r>
            <w:r w:rsidRPr="004F425A">
              <w:rPr>
                <w:rFonts w:ascii="Lato" w:eastAsia="Lato" w:hAnsi="Lato" w:cs="Lato"/>
                <w:sz w:val="20"/>
                <w:szCs w:val="20"/>
              </w:rPr>
              <w:lastRenderedPageBreak/>
              <w:t>powiązania z analizą konkretnych regionów. Podobnie w przypadku chemikaliów i surowców – diagnoza jest trafna, lecz pozostaje na poziomie ogólnym, bez wskazania mechanizmów budowy stabilnych łańcuchów dostaw.</w:t>
            </w:r>
          </w:p>
        </w:tc>
        <w:tc>
          <w:tcPr>
            <w:tcW w:w="4859" w:type="dxa"/>
            <w:tcBorders>
              <w:top w:val="single" w:sz="4" w:space="0" w:color="auto"/>
              <w:left w:val="single" w:sz="4" w:space="0" w:color="auto"/>
              <w:bottom w:val="single" w:sz="4" w:space="0" w:color="auto"/>
              <w:right w:val="single" w:sz="4" w:space="0" w:color="auto"/>
            </w:tcBorders>
          </w:tcPr>
          <w:p w14:paraId="233F8654"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częściowo uwzględniona</w:t>
            </w:r>
          </w:p>
          <w:p w14:paraId="71A26CC1" w14:textId="7BE1DF46"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lastRenderedPageBreak/>
              <w:t>M</w:t>
            </w:r>
            <w:r w:rsidR="00A80DAA" w:rsidRPr="004F425A">
              <w:rPr>
                <w:rFonts w:ascii="Lato" w:eastAsia="Lato" w:hAnsi="Lato" w:cs="Lato"/>
                <w:sz w:val="20"/>
                <w:szCs w:val="20"/>
              </w:rPr>
              <w:t>e</w:t>
            </w:r>
            <w:r w:rsidRPr="004F425A">
              <w:rPr>
                <w:rFonts w:ascii="Lato" w:eastAsia="Lato" w:hAnsi="Lato" w:cs="Lato"/>
                <w:sz w:val="20"/>
                <w:szCs w:val="20"/>
              </w:rPr>
              <w:t>chanizmy budowy stabilnych łańcuchów dostaw surowców opisano częściej na poziomie europejskim (ERMA, Zespół ds. Polityki Surowcowej Państwa), ale w dokumencie podkreślono również rolę współpracy regionalnej.</w:t>
            </w:r>
          </w:p>
        </w:tc>
      </w:tr>
      <w:tr w:rsidR="004471C5" w:rsidRPr="004F425A" w14:paraId="1053DF11" w14:textId="77777777" w:rsidTr="79FF9703">
        <w:tc>
          <w:tcPr>
            <w:tcW w:w="1425" w:type="dxa"/>
            <w:tcBorders>
              <w:top w:val="single" w:sz="4" w:space="0" w:color="auto"/>
              <w:left w:val="single" w:sz="4" w:space="0" w:color="auto"/>
              <w:bottom w:val="single" w:sz="4" w:space="0" w:color="auto"/>
              <w:right w:val="single" w:sz="4" w:space="0" w:color="auto"/>
            </w:tcBorders>
          </w:tcPr>
          <w:p w14:paraId="32A8B855"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B35B740"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p w14:paraId="5CD1E87B" w14:textId="77777777"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0245414" w14:textId="77777777" w:rsidR="005F5792" w:rsidRPr="004F425A" w:rsidRDefault="005F5792" w:rsidP="004F425A">
            <w:pPr>
              <w:pStyle w:val="Nagwek1"/>
              <w:spacing w:before="0" w:after="120"/>
              <w:jc w:val="both"/>
              <w:rPr>
                <w:rFonts w:ascii="Lato" w:eastAsia="Lato" w:hAnsi="Lato" w:cs="Lato"/>
                <w:color w:val="auto"/>
                <w:sz w:val="20"/>
                <w:szCs w:val="20"/>
              </w:rPr>
            </w:pPr>
            <w:r w:rsidRPr="004F425A">
              <w:rPr>
                <w:rFonts w:ascii="Lato" w:eastAsia="Lato" w:hAnsi="Lato" w:cs="Lato"/>
                <w:color w:val="auto"/>
                <w:sz w:val="20"/>
                <w:szCs w:val="20"/>
              </w:rPr>
              <w:t>Rola Politechniki Łódzkiej i regionu łódzkiego w polityce rozwoju sektora półprzewodników w Polsce</w:t>
            </w:r>
          </w:p>
          <w:p w14:paraId="0CBA35D8" w14:textId="77777777" w:rsidR="005F5792" w:rsidRPr="004F425A" w:rsidRDefault="005F5792" w:rsidP="004F425A">
            <w:pPr>
              <w:pStyle w:val="Nagwek1"/>
              <w:spacing w:before="0" w:after="120"/>
              <w:jc w:val="both"/>
              <w:rPr>
                <w:rFonts w:ascii="Lato" w:eastAsia="Lato" w:hAnsi="Lato" w:cs="Lato"/>
                <w:color w:val="auto"/>
                <w:sz w:val="20"/>
                <w:szCs w:val="20"/>
              </w:rPr>
            </w:pPr>
            <w:r w:rsidRPr="004F425A">
              <w:rPr>
                <w:rFonts w:ascii="Lato" w:eastAsia="Lato" w:hAnsi="Lato" w:cs="Lato"/>
                <w:color w:val="auto"/>
                <w:sz w:val="20"/>
                <w:szCs w:val="20"/>
              </w:rPr>
              <w:t>Dokument „Polska w grze o przyszłość – polityka dla sektora półprzewodników 2026+” trafnie identyfikuje kluczowe wyzwania i kierunki rozwoju sektora w Polsce, w szczególności potrzebę specjalizacji, integracji z europejskim ekosystemem oraz wzmocnienia kompetencji technologicznych. Jednocześnie jego skuteczność będzie w praktyce zależała od sposobu operacyjnego wdrożenia przyjętych założeń.</w:t>
            </w:r>
          </w:p>
          <w:p w14:paraId="5EB06A3F"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obecnym kształcie najsłabszym elementem dokumentu pozostaje brak przełożenia diagnozy na model operacyjny, w tym brak jednoznacznego przypisania ról istniejącym ośrodkom kompetencyjnym. Ośrodki takie funkcjonują już dziś w Polsce i stanowią naturalną podstawę budowy systemu wdrożeniowego. Politechnika Łódzka stanowi przykład ośrodka dysponującego takimi kompetencjami.</w:t>
            </w:r>
          </w:p>
          <w:p w14:paraId="30E8E5BE" w14:textId="77777777" w:rsidR="005F5792" w:rsidRPr="004F425A" w:rsidRDefault="005F5792" w:rsidP="004F425A">
            <w:pPr>
              <w:pStyle w:val="Nagwek1"/>
              <w:spacing w:before="0" w:after="120"/>
              <w:jc w:val="both"/>
              <w:rPr>
                <w:rFonts w:ascii="Lato" w:eastAsia="Lato" w:hAnsi="Lato" w:cs="Lato"/>
                <w:color w:val="auto"/>
                <w:sz w:val="20"/>
                <w:szCs w:val="20"/>
              </w:rPr>
            </w:pPr>
            <w:r w:rsidRPr="004F425A">
              <w:rPr>
                <w:rFonts w:ascii="Lato" w:eastAsia="Lato" w:hAnsi="Lato" w:cs="Lato"/>
                <w:color w:val="auto"/>
                <w:sz w:val="20"/>
                <w:szCs w:val="20"/>
              </w:rPr>
              <w:t>Kluczowe kompetencje Politechniki Łódzkiej obejmują:</w:t>
            </w:r>
          </w:p>
          <w:p w14:paraId="71C28608" w14:textId="77777777" w:rsidR="005F5792" w:rsidRPr="004F425A" w:rsidRDefault="005F5792" w:rsidP="004F425A">
            <w:pPr>
              <w:pStyle w:val="Akapitzlist"/>
              <w:numPr>
                <w:ilvl w:val="0"/>
                <w:numId w:val="44"/>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przyrządy półprzewodnikowe mocy (krzem, materiały szerokopasmowe),</w:t>
            </w:r>
          </w:p>
          <w:p w14:paraId="4E9CE335" w14:textId="77777777" w:rsidR="005F5792" w:rsidRPr="004F425A" w:rsidRDefault="005F5792" w:rsidP="004F425A">
            <w:pPr>
              <w:pStyle w:val="Akapitzlist"/>
              <w:numPr>
                <w:ilvl w:val="0"/>
                <w:numId w:val="44"/>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technologie materiałowe i cienkowarstwowe,</w:t>
            </w:r>
          </w:p>
          <w:p w14:paraId="73C53D4B" w14:textId="77777777" w:rsidR="005F5792" w:rsidRPr="004F425A" w:rsidRDefault="005F5792" w:rsidP="004F425A">
            <w:pPr>
              <w:pStyle w:val="Akapitzlist"/>
              <w:numPr>
                <w:ilvl w:val="0"/>
                <w:numId w:val="44"/>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integrację systemów elektronicznych i fotonicznych,</w:t>
            </w:r>
          </w:p>
          <w:p w14:paraId="70CD6CAA" w14:textId="77777777" w:rsidR="005F5792" w:rsidRPr="004F425A" w:rsidRDefault="005F5792" w:rsidP="004F425A">
            <w:pPr>
              <w:pStyle w:val="Akapitzlist"/>
              <w:numPr>
                <w:ilvl w:val="0"/>
                <w:numId w:val="44"/>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 xml:space="preserve">projektowanie układów ASIC, MEMS oraz systemów elektronicznych opartych o układy reprogramowalne, </w:t>
            </w:r>
          </w:p>
          <w:p w14:paraId="13CEB0DE" w14:textId="77777777" w:rsidR="005F5792" w:rsidRPr="004F425A" w:rsidRDefault="005F5792" w:rsidP="004F425A">
            <w:pPr>
              <w:pStyle w:val="Akapitzlist"/>
              <w:numPr>
                <w:ilvl w:val="0"/>
                <w:numId w:val="44"/>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rozwój technologii na poziomie TRL 3-6 (od demonstratora do prototypu).</w:t>
            </w:r>
          </w:p>
          <w:p w14:paraId="7B63F8E8"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lastRenderedPageBreak/>
              <w:t>W odróżnieniu od wielu ośrodków akademickich w Polsce w przypadku Politechniki Łódzkiej kompetencje te mają charakter ciągły i zintegrowany od badań materiałowych, przez projektowanie, aż po wytwarzanie i testowanie struktur. Oznacza to zdolność do realizacji kluczowego, obecnie brakującego w Polsce etapu łańcucha wartości: przejścia od badań do prototypów i wdrożeń technologicznych.</w:t>
            </w:r>
          </w:p>
          <w:p w14:paraId="4550C854" w14:textId="77777777" w:rsidR="005F5792" w:rsidRPr="004F425A" w:rsidRDefault="005F5792" w:rsidP="004F425A">
            <w:pPr>
              <w:pStyle w:val="Nagwek1"/>
              <w:spacing w:before="0" w:after="120"/>
              <w:jc w:val="both"/>
              <w:rPr>
                <w:rFonts w:ascii="Lato" w:eastAsia="Lato" w:hAnsi="Lato" w:cs="Lato"/>
                <w:color w:val="auto"/>
                <w:sz w:val="20"/>
                <w:szCs w:val="20"/>
              </w:rPr>
            </w:pPr>
            <w:r w:rsidRPr="004F425A">
              <w:rPr>
                <w:rFonts w:ascii="Lato" w:eastAsia="Lato" w:hAnsi="Lato" w:cs="Lato"/>
                <w:color w:val="auto"/>
                <w:sz w:val="20"/>
                <w:szCs w:val="20"/>
              </w:rPr>
              <w:t>Region łódzki posiada unikalne warunki do pełnienia funkcji systemowej w krajowym ekosystemie półprzewodników:</w:t>
            </w:r>
          </w:p>
          <w:p w14:paraId="472215A8" w14:textId="77777777" w:rsidR="005F5792" w:rsidRPr="004F425A" w:rsidRDefault="005F5792" w:rsidP="004F425A">
            <w:pPr>
              <w:pStyle w:val="Akapitzlist"/>
              <w:numPr>
                <w:ilvl w:val="0"/>
                <w:numId w:val="45"/>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centralne położenie i rozwiniętą infrastrukturę logistyczną,</w:t>
            </w:r>
          </w:p>
          <w:p w14:paraId="01A5B164" w14:textId="77777777" w:rsidR="005F5792" w:rsidRPr="004F425A" w:rsidRDefault="005F5792" w:rsidP="004F425A">
            <w:pPr>
              <w:pStyle w:val="Akapitzlist"/>
              <w:numPr>
                <w:ilvl w:val="0"/>
                <w:numId w:val="45"/>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silne zaplecze przemysłowe (elektronika, AGD, automatyka, energetyka),</w:t>
            </w:r>
          </w:p>
          <w:p w14:paraId="4C92F742" w14:textId="77777777" w:rsidR="005F5792" w:rsidRPr="004F425A" w:rsidRDefault="005F5792" w:rsidP="004F425A">
            <w:pPr>
              <w:pStyle w:val="Akapitzlist"/>
              <w:numPr>
                <w:ilvl w:val="0"/>
                <w:numId w:val="45"/>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rozwinięte otoczenie inwestycyjne (w tym ŁSSE),</w:t>
            </w:r>
          </w:p>
          <w:p w14:paraId="3D248614" w14:textId="77777777" w:rsidR="005F5792" w:rsidRPr="004F425A" w:rsidRDefault="005F5792" w:rsidP="004F425A">
            <w:pPr>
              <w:pStyle w:val="Akapitzlist"/>
              <w:numPr>
                <w:ilvl w:val="0"/>
                <w:numId w:val="45"/>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bezpośrednie powiązanie z uczelnią techniczną o istotnych kompetencjach technologicznych.</w:t>
            </w:r>
          </w:p>
          <w:p w14:paraId="3D38902C"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konsekwencji Łódź nie powinna być traktowana jedynie jako potencjalna lokalizacja inwestycji, lecz jako węzeł integrujący łańcuch wartości łączący badania, przemysł i wdrożenia.</w:t>
            </w:r>
          </w:p>
          <w:p w14:paraId="3DFFB8D5"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Kluczowa luka systemowa zidentyfikowana w polityce państwa dotyczy braku zdolności w obszarze:</w:t>
            </w:r>
          </w:p>
          <w:p w14:paraId="16629CD9" w14:textId="77777777" w:rsidR="005F5792" w:rsidRPr="004F425A" w:rsidRDefault="005F5792" w:rsidP="004F425A">
            <w:pPr>
              <w:pStyle w:val="Akapitzlist"/>
              <w:numPr>
                <w:ilvl w:val="0"/>
                <w:numId w:val="46"/>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walidacji technologii,</w:t>
            </w:r>
          </w:p>
          <w:p w14:paraId="6027DFA9" w14:textId="77777777" w:rsidR="005F5792" w:rsidRPr="004F425A" w:rsidRDefault="005F5792" w:rsidP="004F425A">
            <w:pPr>
              <w:pStyle w:val="Akapitzlist"/>
              <w:numPr>
                <w:ilvl w:val="0"/>
                <w:numId w:val="46"/>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budowy demonstratorów,</w:t>
            </w:r>
          </w:p>
          <w:p w14:paraId="74BC4463" w14:textId="77777777" w:rsidR="005F5792" w:rsidRPr="004F425A" w:rsidRDefault="005F5792" w:rsidP="004F425A">
            <w:pPr>
              <w:pStyle w:val="Akapitzlist"/>
              <w:numPr>
                <w:ilvl w:val="0"/>
                <w:numId w:val="46"/>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przygotowania rozwiązań do skalowania przemysłowego.</w:t>
            </w:r>
          </w:p>
          <w:p w14:paraId="75987CAD"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To właśnie ten obszar może zostać wypełniony przez Politechnikę Łódzką i region łódzki.</w:t>
            </w:r>
            <w:r w:rsidRPr="004F425A">
              <w:rPr>
                <w:rFonts w:ascii="Lato" w:eastAsia="Lato" w:hAnsi="Lato" w:cs="Lato"/>
                <w:sz w:val="20"/>
                <w:szCs w:val="20"/>
              </w:rPr>
              <w:br w:type="page"/>
            </w:r>
          </w:p>
          <w:p w14:paraId="75F3FCA5" w14:textId="77777777" w:rsidR="005F5792" w:rsidRPr="004F425A" w:rsidRDefault="005F5792" w:rsidP="004F425A">
            <w:pPr>
              <w:pStyle w:val="Nagwek1"/>
              <w:spacing w:before="0" w:after="120"/>
              <w:jc w:val="both"/>
              <w:rPr>
                <w:rFonts w:ascii="Lato" w:eastAsia="Lato" w:hAnsi="Lato" w:cs="Lato"/>
                <w:color w:val="auto"/>
                <w:sz w:val="20"/>
                <w:szCs w:val="20"/>
              </w:rPr>
            </w:pPr>
            <w:r w:rsidRPr="004F425A">
              <w:rPr>
                <w:rFonts w:ascii="Lato" w:eastAsia="Lato" w:hAnsi="Lato" w:cs="Lato"/>
                <w:color w:val="auto"/>
                <w:sz w:val="20"/>
                <w:szCs w:val="20"/>
              </w:rPr>
              <w:t>REKOMENDACJE OPERACYJNE</w:t>
            </w:r>
          </w:p>
          <w:p w14:paraId="2C303343"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celu skutecznego wdrożenia polityki półprzewodnikowej rekomenduje się:</w:t>
            </w:r>
          </w:p>
          <w:p w14:paraId="502B6BC7" w14:textId="77777777" w:rsidR="005F5792" w:rsidRPr="004F425A" w:rsidRDefault="005F5792" w:rsidP="004F425A">
            <w:pPr>
              <w:pStyle w:val="Akapitzlist"/>
              <w:numPr>
                <w:ilvl w:val="0"/>
                <w:numId w:val="47"/>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lastRenderedPageBreak/>
              <w:t>Utworzenie w Łodzi centrum prototypowania technologii półprzewodnikowych (pilot line oraz pre-production).</w:t>
            </w:r>
          </w:p>
          <w:p w14:paraId="2CD2945A" w14:textId="77777777" w:rsidR="005F5792" w:rsidRPr="004F425A" w:rsidRDefault="005F5792" w:rsidP="004F425A">
            <w:pPr>
              <w:pStyle w:val="Akapitzlist"/>
              <w:numPr>
                <w:ilvl w:val="0"/>
                <w:numId w:val="47"/>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Włączenie uczelni technicznych, w tym Politechniki Łódzkiej, do systemu zarządzania krajową infrastrukturą półprzewodnikową.</w:t>
            </w:r>
          </w:p>
          <w:p w14:paraId="2591F91E" w14:textId="77777777" w:rsidR="005F5792" w:rsidRPr="004F425A" w:rsidRDefault="005F5792" w:rsidP="004F425A">
            <w:pPr>
              <w:pStyle w:val="Akapitzlist"/>
              <w:numPr>
                <w:ilvl w:val="0"/>
                <w:numId w:val="47"/>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Uruchomienie programów wspólnych nauka–przemysł (proof-of-concept przez prototyp aż do wdrożenia).</w:t>
            </w:r>
          </w:p>
          <w:p w14:paraId="6C0EC51E" w14:textId="77777777" w:rsidR="005F5792" w:rsidRPr="004F425A" w:rsidRDefault="005F5792" w:rsidP="004F425A">
            <w:pPr>
              <w:pStyle w:val="Akapitzlist"/>
              <w:numPr>
                <w:ilvl w:val="0"/>
                <w:numId w:val="47"/>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Przypisanie regionowi łódzkiemu roli integratora pomiędzy:</w:t>
            </w:r>
          </w:p>
          <w:p w14:paraId="0DAD0C35" w14:textId="77777777" w:rsidR="005F5792" w:rsidRPr="004F425A" w:rsidRDefault="005F5792" w:rsidP="004F425A">
            <w:pPr>
              <w:pStyle w:val="Akapitzlist"/>
              <w:numPr>
                <w:ilvl w:val="0"/>
                <w:numId w:val="48"/>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projektowaniem (fabless),</w:t>
            </w:r>
          </w:p>
          <w:p w14:paraId="42BA0DEB" w14:textId="77777777" w:rsidR="005F5792" w:rsidRPr="004F425A" w:rsidRDefault="005F5792" w:rsidP="004F425A">
            <w:pPr>
              <w:pStyle w:val="Akapitzlist"/>
              <w:numPr>
                <w:ilvl w:val="0"/>
                <w:numId w:val="48"/>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badaniami materiałowymi,</w:t>
            </w:r>
          </w:p>
          <w:p w14:paraId="76B4C0D7" w14:textId="77777777" w:rsidR="005F5792" w:rsidRPr="004F425A" w:rsidRDefault="005F5792" w:rsidP="004F425A">
            <w:pPr>
              <w:pStyle w:val="Akapitzlist"/>
              <w:numPr>
                <w:ilvl w:val="0"/>
                <w:numId w:val="48"/>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przemysłem aplikacyjnym.</w:t>
            </w:r>
          </w:p>
          <w:p w14:paraId="0F56FB75" w14:textId="77777777" w:rsidR="005F5792" w:rsidRPr="004F425A" w:rsidRDefault="005F5792" w:rsidP="004F425A">
            <w:pPr>
              <w:pStyle w:val="Nagwek1"/>
              <w:spacing w:before="0" w:after="120"/>
              <w:jc w:val="both"/>
              <w:rPr>
                <w:rFonts w:ascii="Lato" w:eastAsia="Lato" w:hAnsi="Lato" w:cs="Lato"/>
                <w:color w:val="auto"/>
                <w:sz w:val="20"/>
                <w:szCs w:val="20"/>
              </w:rPr>
            </w:pPr>
            <w:r w:rsidRPr="004F425A">
              <w:rPr>
                <w:rFonts w:ascii="Lato" w:eastAsia="Lato" w:hAnsi="Lato" w:cs="Lato"/>
                <w:color w:val="auto"/>
                <w:sz w:val="20"/>
                <w:szCs w:val="20"/>
              </w:rPr>
              <w:t>Wniosek</w:t>
            </w:r>
          </w:p>
          <w:p w14:paraId="7BD0A726" w14:textId="738B976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Politechnika Łódzka i region łódzki dysponują realnymi, już istniejącymi kompetencjami odpowiadającymi na kluczowe luki w krajowym ekosystemie półprzewodników. Ich rola w polityce państwa powinna mieć charakter systemowy, a nie fakultatywny. Pominięcie tego potencjału oznacza ryzyko ograniczenia rozwoju sektora do obszaru projektowania i importu technologii, bez budowy krajowych zdolności wdrożeniowych.</w:t>
            </w:r>
          </w:p>
        </w:tc>
        <w:tc>
          <w:tcPr>
            <w:tcW w:w="4859" w:type="dxa"/>
            <w:tcBorders>
              <w:top w:val="single" w:sz="4" w:space="0" w:color="auto"/>
              <w:left w:val="single" w:sz="4" w:space="0" w:color="auto"/>
              <w:bottom w:val="single" w:sz="4" w:space="0" w:color="auto"/>
              <w:right w:val="single" w:sz="4" w:space="0" w:color="auto"/>
            </w:tcBorders>
          </w:tcPr>
          <w:p w14:paraId="2D685664" w14:textId="38300D08" w:rsidR="00661EB1" w:rsidRPr="004F425A" w:rsidRDefault="00661EB1"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w:t>
            </w:r>
            <w:r w:rsidR="00B666CE">
              <w:rPr>
                <w:rStyle w:val="Ppogrubienie"/>
                <w:rFonts w:ascii="Lato" w:hAnsi="Lato"/>
                <w:sz w:val="20"/>
                <w:szCs w:val="20"/>
              </w:rPr>
              <w:t>niona</w:t>
            </w:r>
          </w:p>
          <w:p w14:paraId="0EA94F4C" w14:textId="0861DD02"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Uwaga o charakterze promocyjnym dot. roli regionu łódzkiego - nieuwzględniona wprost jako dodatkowe wyróżnienie. Dokument stosuje jednolitą zasadę niewskazywania preferencyjnie pojedynczych regionów ponad te już wymienione przy lokalizacji parku technologicznego i uczelni (Filar I, V).</w:t>
            </w:r>
          </w:p>
        </w:tc>
      </w:tr>
      <w:tr w:rsidR="004471C5" w:rsidRPr="004F425A" w14:paraId="65683EFF" w14:textId="77777777" w:rsidTr="79FF9703">
        <w:tc>
          <w:tcPr>
            <w:tcW w:w="1425" w:type="dxa"/>
            <w:tcBorders>
              <w:top w:val="single" w:sz="4" w:space="0" w:color="auto"/>
              <w:left w:val="single" w:sz="4" w:space="0" w:color="auto"/>
              <w:bottom w:val="single" w:sz="4" w:space="0" w:color="auto"/>
              <w:right w:val="single" w:sz="4" w:space="0" w:color="auto"/>
            </w:tcBorders>
          </w:tcPr>
          <w:p w14:paraId="6FF32553"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934BFA4" w14:textId="0592F439"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0603DD82"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Dokument „Polska w grze o przyszłość – polityka dla sektora półprzewodników 2026+” stanowi jedną z najważniejszych prób systemowego ujęcia roli Polski w obszarze technologii, które w ostatnich latach stały się jednym z głównych wyznaczników siły gospodarczej i pozycji geopolitycznej państw. Półprzewodniki nie są już wyłącznie komponentem technologicznym – stanowią infrastrukturę krytyczną współczesnej cywilizacji, determinując rozwój takich obszarów jak systemy bezpieczeństwa, energetyka, telekomunikacja, sztuczna inteligencja czy mobilność. Tym samym polityka wobec tego sektora musi być rozpatrywana w </w:t>
            </w:r>
            <w:r w:rsidRPr="004F425A">
              <w:rPr>
                <w:rFonts w:ascii="Lato" w:eastAsia="Lato" w:hAnsi="Lato" w:cs="Lato"/>
                <w:sz w:val="20"/>
                <w:szCs w:val="20"/>
              </w:rPr>
              <w:lastRenderedPageBreak/>
              <w:t>perspektywie długofalowej jako element szeroko rozumianej strategii rozwoju państwa, a nie jedynie jako inicjatywa sektorowa.</w:t>
            </w:r>
          </w:p>
          <w:p w14:paraId="5D556B43"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Opracowanie trafnie osadza sytuację Polski w globalnym układzie sił, wskazując zarówno na dynamikę wzrostu rynku półprzewodników, jak i na jego silne uzależnienie od czynników geopolitycznych oraz koncentrację produkcji w regionie Azji. Jednocześnie podkreśla, że Europa – mimo istotnych kompetencji badawczych i technologicznych – pozostaje w dużej mierze zależna od zewnętrznych dostawców, co w ostatnich latach stało się impulsem do budowy bardziej autonomicznego ekosystemu technologicznego. W tym kontekście Polska z jednej strony posiada ograniczony udział w globalnym łańcuchu wartości, z drugiej jednak dysponuje rozproszonym, lecz realnym potencjałem kompetencyjnym, który może zostać wykorzystany przy odpowiednio zaprojektowanej polityce publicznej.</w:t>
            </w:r>
          </w:p>
          <w:p w14:paraId="3100DB88"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Na szczególne uznanie zasługuje przyjęte w dokumencie podejście strategiczne, które odchodzi od nierealistycznej wizji pełnej samowystarczalności na rzecz modelu opartego na specjalizacji, współpracy i integracji z europejskimi oraz globalnymi strukturami przemysłowymi. Wskazanie takich obszarów jak projektowanie układów scalonych, materiały półprzewodnikowe czy fotonika jako potencjalnych domen przewagi konkurencyjnej jest spójne z aktualnym stanem krajowych kompetencji. Jednocześnie autorzy polityki zauważają kluczowe bariery rozwojowe, do których należą w szczególności brak infrastruktury produkcyjnej, niedostateczny rozwój procesów back</w:t>
            </w:r>
            <w:r w:rsidRPr="004F425A">
              <w:rPr>
                <w:rFonts w:ascii="Lato" w:hAnsi="Lato"/>
                <w:sz w:val="20"/>
                <w:szCs w:val="20"/>
              </w:rPr>
              <w:noBreakHyphen/>
            </w:r>
            <w:r w:rsidRPr="004F425A">
              <w:rPr>
                <w:rFonts w:ascii="Lato" w:eastAsia="Lato" w:hAnsi="Lato" w:cs="Lato"/>
                <w:sz w:val="20"/>
                <w:szCs w:val="20"/>
              </w:rPr>
              <w:t>endowych, rozproszenie zasobów badawczych oraz ograniczona integracja pomiędzy środowiskiem naukowym a przemysłem.</w:t>
            </w:r>
          </w:p>
          <w:p w14:paraId="08F2C35B"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Z perspektywy środowiska akademickiego – w tym Politechniki Łódzkiej – szczególnie istotne w dokumencie jest jednoznaczne wskazanie uczelni i instytutów badawczych jako fundamentu istniejących kompetencji technologicznych w Polsce. Jednocześnie jednak ich rola w </w:t>
            </w:r>
            <w:r w:rsidRPr="004F425A">
              <w:rPr>
                <w:rFonts w:ascii="Lato" w:eastAsia="Lato" w:hAnsi="Lato" w:cs="Lato"/>
                <w:sz w:val="20"/>
                <w:szCs w:val="20"/>
              </w:rPr>
              <w:lastRenderedPageBreak/>
              <w:t>proponowanym modelu rozwoju sektora pozostaje w dużej mierze niedookreślona. Brakuje wyraźnego przypisania funkcji, mechanizmów włączenia w procesy inwestycyjne oraz określenia miejsca uczelni w strukturze zarządzania infrastrukturą i transferem technologii. Podobna uwaga dotyczy wymiaru regionalnego – choć projekt polityki dostrzega znaczenie ośrodków takich jak Łódź i wskazuje ich potencjał w zakresie integracji procesów, zaplecza usługowego oraz współpracy międzynarodowej, to nie precyzuje, w jaki sposób potencjał ten miałby zostać operacyjnie wykorzystany.</w:t>
            </w:r>
          </w:p>
          <w:p w14:paraId="643D3074"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konsekwencji powstaje rozdźwięk pomiędzy trafną diagnozą a poziomem operacyjności proponowanych rozwiązań. Dokument wyznacza kierunki i identyfikuje kluczowe obszary interwencji, jednak w wielu miejscach pozostaje na poziomie ogólnym i wymaga dalszego doprecyzowania – zwłaszcza w odniesieniu do roli konkretnych instytucji, w tym uczelni technicznych, które w praktyce będą jednym z głównych nośników kompetencji.</w:t>
            </w:r>
          </w:p>
          <w:p w14:paraId="1A78CD66"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Celem niniejszego opracowania jest wskazanie konkretnych mechanizmów operacyjnych, które umożliwią skuteczne wdrożenie polityki półprzewodnikowej w Polsce, ze szczególnym uwzględnieniem roli uczelni technicznych. W tym ekosystemie Politechnika Łódzka, ze względu na swoje centralne położenie oraz powiązania z otoczeniem gospodarczym, może pełnić rolę ośrodka zdolnego do koncentracji wybranych funkcji planowanego parku technologicznego dla sektora półprzewodników, w szczególności w obszarze badań aplikacyjnych, współpracy z przemysłem oraz wsparcia procesów wdrożeniowych.</w:t>
            </w:r>
          </w:p>
          <w:p w14:paraId="37A8D523" w14:textId="77777777" w:rsidR="005F5792" w:rsidRPr="004F425A" w:rsidRDefault="005F5792" w:rsidP="004F425A">
            <w:pPr>
              <w:pStyle w:val="Nagwek1"/>
              <w:spacing w:before="0" w:after="120"/>
              <w:jc w:val="both"/>
              <w:rPr>
                <w:rFonts w:ascii="Lato" w:eastAsia="Lato" w:hAnsi="Lato" w:cs="Lato"/>
                <w:color w:val="au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6BB2CB6B" w14:textId="4D9BB65D" w:rsidR="00FA4DF8" w:rsidRPr="004F425A"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 xml:space="preserve">Uwaga </w:t>
            </w:r>
            <w:r w:rsidR="00FA4DF8" w:rsidRPr="004F425A">
              <w:rPr>
                <w:rStyle w:val="Ppogrubienie"/>
                <w:rFonts w:ascii="Lato" w:hAnsi="Lato"/>
                <w:sz w:val="20"/>
                <w:szCs w:val="20"/>
              </w:rPr>
              <w:t>nieuwzględniona</w:t>
            </w:r>
          </w:p>
          <w:p w14:paraId="63058265" w14:textId="591B03E8" w:rsidR="005F5792" w:rsidRPr="004F425A" w:rsidRDefault="005755A8"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w:t>
            </w:r>
            <w:r w:rsidR="00D43043" w:rsidRPr="004F425A">
              <w:rPr>
                <w:rFonts w:ascii="Lato" w:eastAsia="Lato" w:hAnsi="Lato" w:cs="Lato"/>
                <w:sz w:val="20"/>
                <w:szCs w:val="20"/>
              </w:rPr>
              <w:t xml:space="preserve">ze względu na </w:t>
            </w:r>
            <w:r w:rsidR="00400893" w:rsidRPr="004F425A">
              <w:rPr>
                <w:rFonts w:ascii="Lato" w:eastAsia="Lato" w:hAnsi="Lato" w:cs="Lato"/>
                <w:sz w:val="20"/>
                <w:szCs w:val="20"/>
              </w:rPr>
              <w:t xml:space="preserve">charakter </w:t>
            </w:r>
            <w:r w:rsidR="00F179C2" w:rsidRPr="004F425A">
              <w:rPr>
                <w:rFonts w:ascii="Lato" w:eastAsia="Lato" w:hAnsi="Lato" w:cs="Lato"/>
                <w:sz w:val="20"/>
                <w:szCs w:val="20"/>
              </w:rPr>
              <w:t>uwaga</w:t>
            </w:r>
            <w:r w:rsidR="005F5792" w:rsidRPr="004F425A">
              <w:rPr>
                <w:rFonts w:ascii="Lato" w:eastAsia="Lato" w:hAnsi="Lato" w:cs="Lato"/>
                <w:sz w:val="20"/>
                <w:szCs w:val="20"/>
              </w:rPr>
              <w:t xml:space="preserve"> nie wymaga zmiany treści</w:t>
            </w:r>
            <w:r w:rsidR="00400893" w:rsidRPr="004F425A">
              <w:rPr>
                <w:rFonts w:ascii="Lato" w:eastAsia="Lato" w:hAnsi="Lato" w:cs="Lato"/>
                <w:sz w:val="20"/>
                <w:szCs w:val="20"/>
              </w:rPr>
              <w:t xml:space="preserve"> dokumentu</w:t>
            </w:r>
            <w:r w:rsidR="00F179C2" w:rsidRPr="004F425A">
              <w:rPr>
                <w:rFonts w:ascii="Lato" w:eastAsia="Lato" w:hAnsi="Lato" w:cs="Lato"/>
                <w:sz w:val="20"/>
                <w:szCs w:val="20"/>
              </w:rPr>
              <w:t xml:space="preserve"> </w:t>
            </w:r>
            <w:r w:rsidR="005F5792" w:rsidRPr="004F425A">
              <w:rPr>
                <w:rFonts w:ascii="Lato" w:eastAsia="Lato" w:hAnsi="Lato" w:cs="Lato"/>
                <w:sz w:val="20"/>
                <w:szCs w:val="20"/>
              </w:rPr>
              <w:t>.</w:t>
            </w:r>
          </w:p>
        </w:tc>
      </w:tr>
      <w:tr w:rsidR="004471C5" w:rsidRPr="004F425A" w14:paraId="0CA7C2F0" w14:textId="77777777" w:rsidTr="79FF9703">
        <w:tc>
          <w:tcPr>
            <w:tcW w:w="1425" w:type="dxa"/>
            <w:tcBorders>
              <w:top w:val="single" w:sz="4" w:space="0" w:color="auto"/>
              <w:left w:val="single" w:sz="4" w:space="0" w:color="auto"/>
              <w:bottom w:val="single" w:sz="4" w:space="0" w:color="auto"/>
              <w:right w:val="single" w:sz="4" w:space="0" w:color="auto"/>
            </w:tcBorders>
          </w:tcPr>
          <w:p w14:paraId="0840E3EA"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21AD5B8" w14:textId="71AFD9A3"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70A99307" w14:textId="1803D936" w:rsidR="005F5792" w:rsidRPr="004F425A" w:rsidRDefault="005F5792" w:rsidP="004F425A">
            <w:pPr>
              <w:pStyle w:val="Nagwek1"/>
              <w:spacing w:before="0" w:after="120"/>
              <w:jc w:val="both"/>
              <w:rPr>
                <w:rFonts w:ascii="Lato" w:eastAsia="Lato" w:hAnsi="Lato" w:cs="Lato"/>
                <w:color w:val="auto"/>
                <w:sz w:val="20"/>
                <w:szCs w:val="20"/>
              </w:rPr>
            </w:pPr>
            <w:r w:rsidRPr="004F425A">
              <w:rPr>
                <w:rFonts w:ascii="Lato" w:eastAsia="Lato" w:hAnsi="Lato" w:cs="Lato"/>
                <w:color w:val="auto"/>
                <w:sz w:val="20"/>
                <w:szCs w:val="20"/>
              </w:rPr>
              <w:t>1. Miejsce Politechniki Łódzkiej w regionie – silne strony i potencjał</w:t>
            </w:r>
          </w:p>
          <w:p w14:paraId="347A64FC"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Politechnika Łódzka funkcjonuje w specyficznym i jednocześnie strategicznie istotnym kontekście regionalnym, który – w świetle przedstawionego </w:t>
            </w:r>
            <w:r w:rsidRPr="004F425A">
              <w:rPr>
                <w:rFonts w:ascii="Lato" w:eastAsia="Lato" w:hAnsi="Lato" w:cs="Lato"/>
                <w:sz w:val="20"/>
                <w:szCs w:val="20"/>
              </w:rPr>
              <w:lastRenderedPageBreak/>
              <w:t>dokumentu – może stanowić jeden z fundamentów budowy krajowego ekosystemu półprzewodników. Region łódzki, choć nie jest obecnie postrzegany jako główny ośrodek zaawansowanych technologii mikroelektronicznych w Polsce, posiada zestaw cech strukturalnych, które w sposób naturalny predestynują go do pełnienia roli integracyjnej i wspierającej wobec innych, bardziej wyspecjalizowanych ośrodków.</w:t>
            </w:r>
          </w:p>
          <w:p w14:paraId="5680F1AF"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Polityka dla sektora półprzewodników 2026+ trafnie wskazuje Łódź jako jedną z potencjalnych lokalizacji dla rozwoju infrastruktury sektora półprzewodników, podkreślając jej znaczenie w zakresie integracji procesów, zaplecza badawczo</w:t>
            </w:r>
            <w:r w:rsidRPr="004F425A">
              <w:rPr>
                <w:rFonts w:ascii="Lato" w:hAnsi="Lato"/>
                <w:sz w:val="20"/>
                <w:szCs w:val="20"/>
              </w:rPr>
              <w:noBreakHyphen/>
            </w:r>
            <w:r w:rsidRPr="004F425A">
              <w:rPr>
                <w:rFonts w:ascii="Lato" w:eastAsia="Lato" w:hAnsi="Lato" w:cs="Lato"/>
                <w:sz w:val="20"/>
                <w:szCs w:val="20"/>
              </w:rPr>
              <w:t>rozwojowego oraz funkcji usługowych komplementarnych wobec innych regionów. To ujęcie jest zgodne z rzeczywistym profilem gospodarczym i przestrzennym regionu, którego przewagą nie jest koncentracja jednej, wąskiej specjalizacji technologicznej, lecz zdolność do łączenia różnych elementów łańcucha wartości – od zaplecza przemysłowego, przez logistykę, aż po kompetencje inżynierskie i akademickie.</w:t>
            </w:r>
          </w:p>
          <w:p w14:paraId="2BC4B41F"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Centralne położenie Łodzi oraz rozwinięta infrastruktura transportowa – zarówno drogowa, jak i kolejowa – tworzą naturalne warunki do pełnienia funkcji węzła koordynacyjnego dla przedsięwzięć o charakterze ponadregionalnym. W kontekście sektora półprzewodników, który opiera się na złożonych i rozproszonych łańcuchach dostaw, czynnik ten ma szczególne znaczenie. Możliwość sprawnej integracji działań prowadzonych w różnych częściach kraju – od projektowania, przez badania materiałowe, po testowanie i wdrożenia – stanowi istotną przewagę, która nie została dotychczas w pełni wykorzystana.</w:t>
            </w:r>
          </w:p>
          <w:p w14:paraId="343ED22B"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Istotnym atutem regionu jest również jego profil przemysłowy. Obecność rozwiniętego sektora produkcyjnego, w szczególności w obszarach takich jak elektronika użytkowa, AGD czy komponenty dla motoryzacji, wpisuje się we wskazaną w polityce potrzebę budowy powiązań pomiędzy sektorem półprzewodników a </w:t>
            </w:r>
            <w:r w:rsidRPr="004F425A">
              <w:rPr>
                <w:rFonts w:ascii="Lato" w:eastAsia="Lato" w:hAnsi="Lato" w:cs="Lato"/>
                <w:sz w:val="20"/>
                <w:szCs w:val="20"/>
              </w:rPr>
              <w:lastRenderedPageBreak/>
              <w:t>odbiorcami przemysłowymi. Jednym z kluczowych problemów zidentyfikowanych w analizowanym dokumencie jest bowiem ograniczona integracja pomiędzy krajowymi kompetencjami projektowymi a przemysłem, który w dużej mierze korzysta z rozwiązań importowanych. Region łódzki, ze względu na skalę i charakter działalności przemysłowej, stwarza naturalne środowisko do testowania i wdrażania takich powiązań.</w:t>
            </w:r>
          </w:p>
          <w:p w14:paraId="69118B58"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tym układzie Politechnika Łódzka jest naturalnie predestynowana do pełnienia roli instytucji centralnej – nie tylko jako ośrodek kształcenia kadr, lecz również jako potencjalny integrator działań na styku nauki i przemysłu. Uczelnia dysponuje zapleczem dydaktycznym i badawczym, które może być rozwijane w kierunku wsparcia technologii półprzewodnikowych, szczególnie w obszarach wymagających współpracy interdyscyplinarnej. Co istotne, polityka wskazuje na ogólnokrajowy problem rozproszenia infrastruktury badawczej oraz ograniczonej dostępności jej zasobów dla podmiotów zewnętrznych. W tym kontekście Politechnika Łódzka może odegrać istotną rolę jako jeden z węzłów opisanego w dokumencie systemu federacyjnego umożliwiającego bardziej efektywne wykorzystanie istniejącej infrastruktury.</w:t>
            </w:r>
          </w:p>
          <w:p w14:paraId="611B92FF"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Jednocześnie należy podkreślić, że potencjał regionu łódzkiego – w tym Politechniki Łódzkiej – nie został w pełni operacyjnie uchwycony w analizowanym dokumencie. Wskazanie Łodzi jako jednej z możliwych lokalizacji dla rozwoju sektora ma charakter ogólny, pomija obecny potencjał ośrodka i nie przekłada się na konkretne przypisanie funkcji, ról ani instrumentów wsparcia. Brakuje w szczególności określenia, czy region miałby pełnić rolę ośrodka infrastrukturalnego, edukacyjnego, integracyjnego czy też zaplecza dla określonych segmentów łańcucha wartości. </w:t>
            </w:r>
          </w:p>
          <w:p w14:paraId="79E32D48"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Warto również zauważyć, że model rozwoju sektora półprzewodników przyjęty w dokumencie – oparty na specjalizacji regionalnej i współpracy między ośrodkami – </w:t>
            </w:r>
            <w:r w:rsidRPr="004F425A">
              <w:rPr>
                <w:rFonts w:ascii="Lato" w:eastAsia="Lato" w:hAnsi="Lato" w:cs="Lato"/>
                <w:sz w:val="20"/>
                <w:szCs w:val="20"/>
              </w:rPr>
              <w:lastRenderedPageBreak/>
              <w:t>wymaga wyraźnego wskazania kompetencji poszczególnych regionów oraz ich wzajemnych relacji. W tym kontekście region łódzki mógłby zostać jednoznacznie określony jako ośrodek integrujący, wspierający transfer technologii oraz łączący środowisko naukowe z przemysłem, co odpowiada jego rzeczywistym uwarunkowaniom.</w:t>
            </w:r>
          </w:p>
          <w:p w14:paraId="1B4D0B89"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Podsumowując, miejsce Politechniki Łódzkiej w regionie oraz rola samego regionu łódzkiego w polityce półprzewodnikowej Polski powinny zostać wzmocnione poprzez bardziej precyzyjne określenie funkcji, jakie mają pełnić w krajowym ekosystemie. Niewątpliwe atuty – centralne położenie, zaplecze przemysłowe, potencjał akademicki oraz zdolność do integracji działań – tworzą solidną podstawę do budowy trwałej pozycji w tym sektorze. Warunkiem ich wykorzystania jest jednak przejście od ogólnego wskazania potencjału do jego operacyjnego zakotwiczenia w polityce publicznej.</w:t>
            </w:r>
          </w:p>
          <w:p w14:paraId="75C03B4B"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Wyznacznikiem silnej pozycji Politechniki Łódzkiej w regionie jest rozwinięta i wielowymiarowa współpraca z podmiotami przemysłowymi oraz instytucjami badawczymi funkcjonującymi w obszarach bezpośrednio związanych z elektroniką, fotoniką oraz technologiami półprzewodnikowymi. Uczelnia współpracuje zarówno z globalnymi koncernami obecnymi w regionie – takimi jak Corning czy Dell Technologies – jak i z wyspecjalizowanymi firmami technologicznymi oraz podmiotami badawczo</w:t>
            </w:r>
            <w:r w:rsidRPr="004F425A">
              <w:rPr>
                <w:rFonts w:ascii="Lato" w:eastAsia="Lato" w:hAnsi="Lato" w:cs="Lato"/>
                <w:sz w:val="20"/>
                <w:szCs w:val="20"/>
                <w:vertAlign w:val="subscript"/>
              </w:rPr>
              <w:t>-</w:t>
            </w:r>
            <w:r w:rsidRPr="004F425A">
              <w:rPr>
                <w:rFonts w:ascii="Lato" w:eastAsia="Lato" w:hAnsi="Lato" w:cs="Lato"/>
                <w:sz w:val="20"/>
                <w:szCs w:val="20"/>
              </w:rPr>
              <w:t xml:space="preserve">rozwojowymi. W tym obszarze należy podkreślić współpracę z Vigo Photonics, rozwijającym zaawansowane detektory podczerwieni i technologie fotoniczne, a także z firmami takimi jak Dacpol, dostarczającymi komponenty i rozwiązania dla energoelektroniki i automatyki przemysłowej, czy Qwerty, producenta rozwiązań z obszaru elektroniki elastycznej. Uczelnia od wielu lat jest uznanym na arenie międzynarodowej podmiotem specjalizującym się w unikatowych rozwiązaniach elektronicznych dla </w:t>
            </w:r>
            <w:r w:rsidRPr="004F425A">
              <w:rPr>
                <w:rFonts w:ascii="Lato" w:eastAsia="Lato" w:hAnsi="Lato" w:cs="Lato"/>
                <w:sz w:val="20"/>
                <w:szCs w:val="20"/>
              </w:rPr>
              <w:lastRenderedPageBreak/>
              <w:t>eksperymentów fizyki wysokiej energii (m.in. dla konsorcjum ITER, ośrodków Fermilab, DESY, ESS).</w:t>
            </w:r>
          </w:p>
          <w:p w14:paraId="6AAF92BF"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Ekosystem współpracy obejmuje podmioty działające w obszarze materiałów półprzewodnikowych, fotoniki oraz mikroelektroniki, z którymi Politechnika Łódzka prowadzi wieloletnie i udokumentowane działania badawczo-rozwojowe. Dla przykładu, Instytut Fizyki PŁ realizuje projekty we współpracy z firmami TopGaN oraz VIGO System (VIGO Photonics), obejmujące projektowanie, modelowanie oraz eksperymentalną weryfikację struktur laserów półprzewodnikowych. Opracowane w Politechnice Łódzkiej rozwiązania są wykorzystywane w rozwijanych produktach tych przedsiębiorstw, a uczelnia uczestniczy w pomiarach parametrów wytwarzanych urządzeń oraz optymalizacji ich konstrukcji. </w:t>
            </w:r>
          </w:p>
          <w:p w14:paraId="6C9D95CE"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W obszarze elektroniki elastycznej osiągnięcia Katedry Fizyki Molekularnej PŁ związanej z badaniami struktury elektronowej i właściwości optoelektronicznych materiałów molekularnych, a także technik wytwarzania organicznych struktur półprzewodnikowych zaowocowały szeroką współpracą z partnerami przemysłowymi takimi jak Qwerty, Corning czy ABB oraz instytutami badawczymi – Instytutem Fraunhofera oraz Instytutem Maxa Planca z Niemiec czy Central South University z Chin. Z kolei  w ramach działalności Katedry Przyrządów Półprzewodnikowych i Optoelektronicznych PŁ rozwijana jest współpraca z szerokim gronem krajowych i międzynarodowych partnerów przemysłowych w zakresie modelowania, projektowania oraz technologii wytwarzania struktur półprzewodnikowych, w tym elektroniki mocy oraz ogniw fotowoltaicznych, a także rozwiązań dla sieci światłowodowych i struktur fotonicznych. Do najważniejszych partnerów należą Corning, OSRAM, STMicroelectronics, Infineon, a także podmioty z sektora zaawansowanych technologii, m.in. Apple Inc. Współpraca ta obejmuje zarówno projekty badawcze, jak i działania dydaktyczne, w tym wsparcie infrastrukturalne </w:t>
            </w:r>
            <w:r w:rsidRPr="004F425A">
              <w:rPr>
                <w:rFonts w:ascii="Lato" w:eastAsia="Lato" w:hAnsi="Lato" w:cs="Lato"/>
                <w:sz w:val="20"/>
                <w:szCs w:val="20"/>
              </w:rPr>
              <w:lastRenderedPageBreak/>
              <w:t>laboratoriów oraz udział partnerów przemysłowych w procesie kształcenia.</w:t>
            </w:r>
          </w:p>
          <w:p w14:paraId="7488F9AB"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Istotnym elementem ekosystemu są działania prowadzone w Katedrze Mikroelektroniki i Technik Informatycznych PŁ, która uczestniczy w najważniejszych międzynarodowych eksperymentach fizyki wysokiej energii, projektując i dostarczając elektroniczne systemy nadzoru, zabezpieczeń, sterowania i przetwarzania danych dla tokamaków i stellaratorów (ITER, W7-X) oraz akceleratorów liniowych (Fermilab, DESY, ESS). Rozwiązania te są oparte o układy FPGA, stanowiące realną alternatywę dla rozwiązań półprzewodnikowych opartych o podejście ASIC, a wypracowane rozwiązania stają się często podstawą światowych oficjalnych standardów w dziedzinie elektroniki. Katedra jest również aktywna w ramach projektowania układów scalonych, realizując zlecenia m.in. dla Astri Polska (na potrzeby ESA) czy Tritem Technologies.</w:t>
            </w:r>
          </w:p>
          <w:p w14:paraId="45DEFC72"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Z kolei Instytut Inżynierii Materiałowej PŁ rozwija współpracę z partnerami przemysłowymi w zakresie materiałów funkcjonalnych, nanostruktur oraz technologii cienkowarstwowych, które znajdują zastosowanie w układach półprzewodnikowych i optoelektronicznych. Badania te obejmują m.in. opracowanie unikatowych i opatentowanych technologii dotyczących syntezy materiałów grafenowych HSMG, syntezy grafenowych kropek kwantowych jako elementów nowoczesnych ogniw PV, warstwy funkcjonalne oraz inżynierię powierzchni, często realizowane w warunkach zbliżonych do półprzemysłowych i zorientowane na wdrożenia. Badania te doprowadziły do założenia spółki spin-off Advanced Grpahene Products, która w listopadzie 2021 zadebiutowała na rynku NewConnect, a obecnie trwają prace dotyczące wdrożenia przemysłowego produkcji grafenowych kropek kwantowych.</w:t>
            </w:r>
          </w:p>
          <w:p w14:paraId="16878DD7"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 W efekcie współpraca Politechniki Łódzkiej z otoczeniem gospodarczym ma charakter rzeczywiście systemowy i wielopoziomowy. Obejmuje ona zarówno bezpośrednie </w:t>
            </w:r>
            <w:r w:rsidRPr="004F425A">
              <w:rPr>
                <w:rFonts w:ascii="Lato" w:eastAsia="Lato" w:hAnsi="Lato" w:cs="Lato"/>
                <w:sz w:val="20"/>
                <w:szCs w:val="20"/>
              </w:rPr>
              <w:lastRenderedPageBreak/>
              <w:t>projekty badawczo-rozwojowe, których rezultaty znajdują zastosowanie w produktach rynkowych, jak i działania dydaktyczne – w tym staże, prace projektowe, dyplomowe oraz udział przemysłu w kształtowaniu programów kształcenia. Tego typu model współpracy wykracza poza relację uczelnia–przemysł w sensie formalnym i stanowi element budowy rzeczywistego ekosystemu technologicznego.</w:t>
            </w:r>
          </w:p>
          <w:p w14:paraId="69591E36"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Tak szerokie spektrum partnerów – od firm komponentowych, przez integratorów systemów, po globalne koncerny technologiczne – tworzy środowisko sprzyjające transferowi wiedzy i technologii oraz budowie kompetencji odpowiadających realnym potrzebom rynku. W praktyce oznacza to, że Politechnika Łódzka funkcjonuje jako aktywny uczestnik regionalnego ekosystemu przemysłowego, co bezpośrednio odpowiada na wskazaną w polityce potrzebę silniejszej integracji nauki i przemysłu.</w:t>
            </w:r>
          </w:p>
          <w:p w14:paraId="739E1E27" w14:textId="1B7E2080" w:rsidR="005F5792" w:rsidRPr="004F425A" w:rsidRDefault="005F5792" w:rsidP="00B666CE">
            <w:pPr>
              <w:spacing w:after="120" w:line="240" w:lineRule="auto"/>
              <w:jc w:val="both"/>
              <w:rPr>
                <w:rFonts w:ascii="Lato" w:eastAsia="Lato" w:hAnsi="Lato" w:cs="Lato"/>
                <w:sz w:val="20"/>
                <w:szCs w:val="20"/>
              </w:rPr>
            </w:pPr>
            <w:r w:rsidRPr="004F425A">
              <w:rPr>
                <w:rFonts w:ascii="Lato" w:eastAsia="Lato" w:hAnsi="Lato" w:cs="Lato"/>
                <w:sz w:val="20"/>
                <w:szCs w:val="20"/>
              </w:rPr>
              <w:br w:type="page"/>
              <w:t>2. Kompetencje naukowe, dydaktyczne i branżowe – silne strony i potencjał w kontekście półprzewodników</w:t>
            </w:r>
          </w:p>
          <w:p w14:paraId="13F7B947"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Politechnika Łódzka należy do nielicznych ośrodków akademickich w Polsce, w których kompetencje w obszarze technologii półprzewodnikowych mają charakter ciągły, systemowo rozwijany i osadzony zarówno w tradycji badawczej, jak i w praktyce współpracy z przemysłem. W uczelni działa Edukacyjne Centrum Mikrotechnologii, w ramach którego funkcjonują laboratoria: technologii cienkowarstwowych, technologii hybrydowych, podstawowe laboratorium mikroelektroniki oraz zaawansowane laboratorium mikroelektroniki. Centrum posiada m.in. linię technologiczną dla struktur krzemowych, stanowiska do osadzania warstw technologiami PVD i CVD, trawienia plazmowego oraz unikatowe w skali kraju stanowiska jak stepper czy piec Degussa do procesów wysokotemperowych powyżej 2 000°C. Ponadto infrastrukturę uzupełnia wyposażenie Laboratorium Elektroniki Organicznej i Laboratorium Fotowoltaiki obejmujące komory rękawicowe w szeregu z napylarkami próżniowymi do metali i materiałów organicznych, układ do </w:t>
            </w:r>
            <w:r w:rsidRPr="004F425A">
              <w:rPr>
                <w:rFonts w:ascii="Lato" w:eastAsia="Lato" w:hAnsi="Lato" w:cs="Lato"/>
                <w:sz w:val="20"/>
                <w:szCs w:val="20"/>
              </w:rPr>
              <w:lastRenderedPageBreak/>
              <w:t xml:space="preserve">wytwarzania organicznych warstw półprzewodnikowych metodą wylewania strefowego, superinkjet printer, spin-coater, suszarkę próżniową, a także techniki wielkoformatowe: sitodruk, zol-żel, osadzanie natryskowe oraz aparaturę do charakteryzacji strukturalnej, optycznej i elektrycznej wytwarzanych cienko- i grubo-warstwowych elastycznych struktur półprzewodnikowych, w tym ogniw słonecznych, organicznych diod elektroluminescencyjnych (OLEDów), sensorów, warstw optycznych i układów elektroniki elastycznej. Aparatura ta jest elementem infrastruktury Narodowego Laboratorium Fotowoltaiki (NLF) i została wpisana na Polską Mapę Infrastruktury Badawczej (DIR/PMIB/2020/116). Rozwój opisanej infrastruktury doprowadził do sytuacji, w której Politechnika Łódzka znalazła się w wąskim gronie krajowych uczelni posiadających zdolność prowadzenia badań w obszarze mikro- i nanoelektroniki w warunkach laboratoryjnych zbliżonych do przemysłowych. </w:t>
            </w:r>
          </w:p>
          <w:p w14:paraId="218B9D0E"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Na tle innych ośrodków akademickich w Polsce Politechnika Łódzka wyróżnia się: ciągłością badań od poziomu syntezy materiałów o właściwościach półprzewodnikowych do opracowywania prototypów przyrządów oraz na ich bazie systemów elektronicznych, posiadaniem infrastruktury umożliwiającej prowadzenie procesów technologicznych, doświadczeniem w realizacji projektów wdrożeniowych z przemysłem, silnym powiązaniem z przemysłem aplikacyjnym (AGD, energoelektronika, fotonika), kompetencjami w zakresie przejścia od modelowania przez walidację demonstratora do prototypu. W praktyce oznacza to zdolność do realizacji brakującego w Polsce ogniwa łańcucha wartości, etapu walidacji technologii i budowy demonstratorów funkcjonalnych.</w:t>
            </w:r>
          </w:p>
          <w:p w14:paraId="0414E7C6"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Jako przykład można wskazać badania nad przyrządami półprzewodnikowymi mocy obejmującymi pełne spektrum procesów – od modelowania zjawisk fizycznych, przez projektowanie struktur, aż po ich wytwarzanie i charakteryzację. W tym obszarze Politechnika Łódzka nie </w:t>
            </w:r>
            <w:r w:rsidRPr="004F425A">
              <w:rPr>
                <w:rFonts w:ascii="Lato" w:eastAsia="Lato" w:hAnsi="Lato" w:cs="Lato"/>
                <w:sz w:val="20"/>
                <w:szCs w:val="20"/>
              </w:rPr>
              <w:lastRenderedPageBreak/>
              <w:t xml:space="preserve">ograniczała się do badań o charakterze poznawczym, lecz prowadziła również prace ukierunkowane na zastosowania praktyczne i wdrożenia, obejmujące m.in. wieloletnią współpracę z zakładami Lamina, której efektem były nowe typy tyrystorów wprowadzone do oferty firmy. </w:t>
            </w:r>
          </w:p>
          <w:p w14:paraId="310C478F"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Istotnym kierunkiem rozwoju kompetencji badawczych Politechniki Łódzkiej są materiały półprzewodnikowe szerokopasmowe, w szczególności węglik krzemu i azotek galu. W obszarze węglika krzemu uczelnia należy do pionierów badań w Polsce, a prowadzone prace obejmują zarówno aspekty technologiczne, jak i modelowanie zjawisk fizycznych zachodzących w tym materiale. Szczególną rolę odegrały tu badania nad procesami wysokotemperaturowymi, w których wykorzystano unikatową aparaturę umożliwiającą prowadzenie procesów w temperaturach przekraczających 2 000°C. Opracowane rozwiązania technologiczne pozwoliły m.in. na ograniczenie zjawiska sublimacji w trakcie obróbki materiału, co stanowi jeden z kluczowych problemów technologii SiC. Wyniki tych prac znalazły odzwierciedlenie w postaci demonstratorów przyrządów półprzewodnikowych, w tym diody mocy p-i-n wykonanej w podłożu z węglika krzemu. Równolegle rozwijane są kompetencje w obszarze azotku galu, w szczególności związane z modelowaniem procesów epitaksjalnych i projektowaniem struktur diod LED (projekt międzynarodowy GECCO, współpraca z TopGaN).</w:t>
            </w:r>
          </w:p>
          <w:p w14:paraId="3F220E5E"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Zaawansowane metody modelowania i symulacji są istotnym elementem kompetencji naukowych Politechniki Łódzkiej. Obejmują one zarówno opracowane nowe narzędzia, takie jak pakiet ELTER-SiC umożliwiający analizę zjawisk anizotropowych charakterystycznych dla materiałów szerokopasmowych, jak i wykorzystanie programów komercyjnych, w tym bazujących na modelach makroskopowych, metodach Monte Carlo aż po modelowanie w skali atomowej. W tym obszarze podkreślić należy także prace związane z modelowaniem termicznym i elektrotermicznym przyrządów i układów elektronicznych </w:t>
            </w:r>
            <w:r w:rsidRPr="004F425A">
              <w:rPr>
                <w:rFonts w:ascii="Lato" w:eastAsia="Lato" w:hAnsi="Lato" w:cs="Lato"/>
                <w:sz w:val="20"/>
                <w:szCs w:val="20"/>
              </w:rPr>
              <w:lastRenderedPageBreak/>
              <w:t>oraz projektowaniem systemów chłodzenia mikrokanałowego i obudów zintegrowanych.</w:t>
            </w:r>
          </w:p>
          <w:p w14:paraId="188E08B0"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Kolejnym ważnym obszarem kompetencji Politechniki Łódzkiej obejmującym zagadnienia od modelowania zjawisk, poprzez projektowanie, wytwarzanie i charakteryzację jest fotonika oraz technologie światłowodowe. Prowadzone badania obejmują w szczególności fizykę oddziaływania lasera z materią, projektowanie i modelowanie laserów półprzewodnikowych (VCSEL, diody laserowe), rozwój nowych technologii laserowych (laserów supersymetrycznych, azotkowych), zaawansowane zastosowania laserów w mikroelektronice i materiałoznawstwie, a także zagadnienia dotyczące inżynierii światłowodów, ich zastosowań w systemach sensorycznych (światłowody zwykłe i przewężane, siatki Bragga) oraz połączeń i sprzęgaczy, w tym także w rozwiązaniach do struktur fotonicznych. </w:t>
            </w:r>
          </w:p>
          <w:p w14:paraId="1BF007EE" w14:textId="0C79568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Politechnika Łódzka prowadzi także prace badawcze i rozwojowe związane z mikroelektroniką, a w szczególności projektowaniem i modelowaniem układów scalonych, syntezą HDL nowoczesnych układów scalonych ASIC wysokiej skali integracji, projektowaniem i modelowaniem układów Smart Power oraz układów reprogramowalnych FPGA i CPLD, projektowaniem systemów mikro-elektro-mechanicznych (MEMS) z wykorzystaniem języka VHDL-AMS, a także termografią. Wśród przykładów opracowanych rozwiązań w Katedrze Mikroelektroniki i Technik Informatycznych PŁ wymienić można system struktur MEMS i układów scalonych ASIC zaprojektowany i wykonany dla potrzeb diagnostyki zaburzeń ruchu i równowagi, projekt scalonego kontrolera przetwornicy DC-DC do zastosowań kosmicznych czy opracowanie komercyjnych układów scalonych w nowoczesnej wysokonapięciowej technologii SOI na potrzeby europejskiego przemysłu samochodowego. Ważnym elementem rozwoju kompetencji w obszarze elektroniki jest udział Politechniki Łódzkiej w opracowaniu kluczowej </w:t>
            </w:r>
            <w:r w:rsidRPr="004F425A">
              <w:rPr>
                <w:rFonts w:ascii="Lato" w:eastAsia="Lato" w:hAnsi="Lato" w:cs="Lato"/>
                <w:sz w:val="20"/>
                <w:szCs w:val="20"/>
              </w:rPr>
              <w:lastRenderedPageBreak/>
              <w:t>infrastruktury, takiej jak E-XFEL – Laser na Swobodnych Elektronach, PolFEL – Polski Laser na Swobodnych Elektronach oraz ESS – Europejskie Źródło Spalacyjne, wpisanych na Polską Mapę Infrastruktury Badawczej w 2020 r.</w:t>
            </w:r>
          </w:p>
          <w:p w14:paraId="626CED95"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Kompetencje Politechniki Łódzkiej nie ograniczają się głównie do klasycznej mikroelektroniki. Istotnym obszarem działalności są również badania w zakresie fotowoltaiki i technologii pokrewnych, obejmujące zarówno klasyczne ogniwa półprzewodnikowe, jak i rozwiązania hybrydowe oraz organiczne, elastyczne ogniwa fotowoltaiczne trzeciej generacji, a także organiczne diody elektroluminescencyjne do zastosowań w wyświetlaczach  Wyświetlacze nowej generacji oparte na drukowanych OLEDach są w stanie, dzięki niskiej cenie i wysokiej jakości, osiągnąć znaczący udział w ogromnym rynku wyświetlaczy oraz systemów oświetleniowych. Ponadto unikatowe cechy tych urządzeń: niski pobór mocy, zużycie małej ilości komponentów do nadruku bardzo cienkich warstw (co nie tylko obniży cenę, ale również ograniczy zanieczyszczenie środowiska przy utylizacji zużytych produktów), a także możliwości projektowania ciekawych i często zmienianych wzorów, czynią te produkty bardziej atrakcyjnymi w stosunku do podobnych, wytwarzanych tradycyjnymi technologiami. Prace te prowadzone są we współpracy z ośrodkami zagranicznymi i przemysłem, a ich efektem są nie tylko publikacje ale także rozwiązania objęte ochroną patentową. Doskonałym przykładem wykorzystania kompetencji półprzewodnikowych w obszarach aplikacyjnych jest rozwój hybrydowych systemów konwersji energii.</w:t>
            </w:r>
          </w:p>
          <w:p w14:paraId="07E348D8"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Na tym tle, uwzględniając zakres prowadzonych badań, doświadczenie kadry oraz dostępność zaawansowanej infrastruktury badawczej, szczególnie istotny jest system kształcenia, który stanowi integralny element potencjału uczelni. Politechnika Łódzka jest dużym ośrodkiem akademickim, kształcącym ponad 10 tysięcy studentów, z czego ponad 9 tysięcy w trybie stacjonarnym. W roku akademickim 2024/2025 uczelnię ukończyło około 2 300 </w:t>
            </w:r>
            <w:r w:rsidRPr="004F425A">
              <w:rPr>
                <w:rFonts w:ascii="Lato" w:eastAsia="Lato" w:hAnsi="Lato" w:cs="Lato"/>
                <w:sz w:val="20"/>
                <w:szCs w:val="20"/>
              </w:rPr>
              <w:lastRenderedPageBreak/>
              <w:t>absolwentów, co pokazuje skalę jej oddziaływania na rynek pracy. Struktura kształcenia obejmuje szerokie spektrum kierunków technicznych, w tym takie, które bezpośrednio wpisują się w potrzeby sektora półprzewodników, jak elektronika i telekomunikacja, fizyka techniczna, nanotechnologia czy materiały i technologie przyszłości, a także automatyka i robotyka oraz mechatronika. Uzupełnieniem tych kierunków są studia z zakresu informatyki oraz sztucznej inteligencji, które to obszary odgrywają coraz większą rolę w projektowaniu układów scalonych, modelowaniu procesów technologicznych oraz analizie danych. Taka struktura kształcenia odpowiada współczesnemu charakterowi sektora półprzewodników, który wymaga kompetencji interdyscyplinarnych, łączących wiedzę z zakresu fizyki, elektroniki, materiałoznawstwa oraz informatyki.</w:t>
            </w:r>
          </w:p>
          <w:p w14:paraId="356E4689"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Znaczącym elementem procesu dydaktycznego jest podejście projektowe, wprowadzenie modułów sumatywnych do wszystkich programów studiów pierwszego stopnia oraz powiązanie z działalnością badawczą i współpracą z przemysłem. Studenci uczestniczą w projektach badawczych, pracy w zaawansowanych laboratoriach oraz realizacji projektów i prac dyplomowych we współpracy z przedsiębiorstwami. Przyjęty model kształcenia sprzyja zdobywaniu kompetencji praktycznych i miękkich oraz odpowiada na zidentyfikowaną w dokumencie potrzebę zwiększenia liczby specjalistów zdolnych do pracy w sektorze półprzewodników. Ponadto w uczelni działa system wsparcia indywidualizacji ścieżek kształcenia oraz dodatkowych zachęt w postaci programów stypendialnych, w tym E2TOP czy Uczelnie Przyszłości.</w:t>
            </w:r>
          </w:p>
          <w:p w14:paraId="6294B4DB"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Biorąc pod uwagę przedstawione kompetencje, należy podkreślić, że Politechnika Łódzka w pełni wpisuje się w obszary wskazane w analizowanej polityce jako potencjalne specjalizacje Polski, w szczególności w zakresie projektowania, materiałów oraz działalności badawczo</w:t>
            </w:r>
            <w:r w:rsidRPr="004F425A">
              <w:rPr>
                <w:rFonts w:ascii="Lato" w:hAnsi="Lato"/>
                <w:sz w:val="20"/>
                <w:szCs w:val="20"/>
              </w:rPr>
              <w:noBreakHyphen/>
            </w:r>
            <w:r w:rsidRPr="004F425A">
              <w:rPr>
                <w:rFonts w:ascii="Lato" w:eastAsia="Lato" w:hAnsi="Lato" w:cs="Lato"/>
                <w:sz w:val="20"/>
                <w:szCs w:val="20"/>
              </w:rPr>
              <w:t xml:space="preserve">rozwojowej. Jednocześnie skala i dojrzałość opisanych kompetencji wskazują, że uczelnia ta może pełnić </w:t>
            </w:r>
            <w:r w:rsidRPr="004F425A">
              <w:rPr>
                <w:rFonts w:ascii="Lato" w:eastAsia="Lato" w:hAnsi="Lato" w:cs="Lato"/>
                <w:sz w:val="20"/>
                <w:szCs w:val="20"/>
              </w:rPr>
              <w:lastRenderedPageBreak/>
              <w:t>rolę znacznie bardziej aktywną, niż wynika to z obecnego ujęcia w dokumencie.</w:t>
            </w:r>
          </w:p>
          <w:p w14:paraId="7DEB3382"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Dokument ministerialny trafnie identyfikuje znaczenie uczelni jako zaplecza kompetencyjnego, jednak nie uwzględnia pełnego jej potencjału i nie przekłada tej diagnozy na konkretne rozwiązania systemowe. W szczególności brakuje wyraźnego wskazania uczelni jako operatorów infrastruktury badawczej, partnerów w projektach inwestycyjnych oraz uczestników procesów wdrożeniowych. W praktyce to właśnie uczelnie takie jak Politechnika Łódzka dysponują kompetencjami pozwalającymi na realizację projektów technologicznych na poziomie przedwdrożeniowym, co czyni je kluczowym elementem budowy krajowego ekosystemu półprzewodników.</w:t>
            </w:r>
          </w:p>
          <w:p w14:paraId="6A85CD3B" w14:textId="1C5EC694" w:rsidR="005F5792" w:rsidRPr="004F425A" w:rsidRDefault="005F5792" w:rsidP="004F425A">
            <w:pPr>
              <w:spacing w:after="120" w:line="240" w:lineRule="auto"/>
              <w:jc w:val="both"/>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0C74885C" w14:textId="69AFE201" w:rsidR="00126CED" w:rsidRPr="004F425A" w:rsidRDefault="00126CED"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 xml:space="preserve">Uwaga nieuwzględniona </w:t>
            </w:r>
          </w:p>
          <w:p w14:paraId="2A1F4506" w14:textId="4C985EA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Uwaga o charakterze promocyjnym (potencjał regionu łódzkiego) - nieuwzględniona jako rozszerzenie treści.</w:t>
            </w:r>
          </w:p>
        </w:tc>
      </w:tr>
      <w:tr w:rsidR="004471C5" w:rsidRPr="004F425A" w14:paraId="1EEEA328" w14:textId="77777777" w:rsidTr="79FF9703">
        <w:tc>
          <w:tcPr>
            <w:tcW w:w="1425" w:type="dxa"/>
            <w:tcBorders>
              <w:top w:val="single" w:sz="4" w:space="0" w:color="auto"/>
              <w:left w:val="single" w:sz="4" w:space="0" w:color="auto"/>
              <w:bottom w:val="single" w:sz="4" w:space="0" w:color="auto"/>
              <w:right w:val="single" w:sz="4" w:space="0" w:color="auto"/>
            </w:tcBorders>
          </w:tcPr>
          <w:p w14:paraId="666BCCE4"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B4883D4" w14:textId="023D457E"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28149938"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Dokument trafnie identyfikuje infrastrukturę jako jeden z kluczowych elementów rozwoju sektora półprzewodników. Wskazanie jej rozproszenia oraz ograniczonej dostępności dla przemysłu odpowiada rzeczywistości – w Polsce istnieje potencjał, który nie jest w pełni skoordynowany ani wykorzystywany w sposób systemowy.</w:t>
            </w:r>
          </w:p>
          <w:p w14:paraId="3946C253"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Problemem nie jest jednak wyłącznie brak infrastruktury, lecz przede wszystkim brak modelu jej integracji. Dokument sygnalizuje potrzebę budowy zdolności technologicznych, ale nie rozstrzyga, czy powinny one powstawać w oparciu o nowe inwestycje, czy raczej poprzez rozwój i powiązanie już istniejących zasobów.</w:t>
            </w:r>
          </w:p>
          <w:p w14:paraId="6A99C0D8"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Z punktu widzenia efektywności systemowej bardziej uzasadnione wydaje się podejście oparte na integracji. W Polsce funkcjonują ośrodki akademickie dysponujące infrastrukturą umożliwiającą prowadzenie badań i prac technologicznych na poziomie przedwdrożeniowym. Włączenie ich w spójny system – poprzez model federacyjny, wspólne zarządzanie dostępem oraz stabilne </w:t>
            </w:r>
            <w:r w:rsidRPr="004F425A">
              <w:rPr>
                <w:rFonts w:ascii="Lato" w:eastAsia="Lato" w:hAnsi="Lato" w:cs="Lato"/>
                <w:sz w:val="20"/>
                <w:szCs w:val="20"/>
              </w:rPr>
              <w:lastRenderedPageBreak/>
              <w:t>finansowanie – pozwoliłoby znacząco skrócić czas budowy kompetencji krajowych.</w:t>
            </w:r>
          </w:p>
          <w:p w14:paraId="17F61E54" w14:textId="5C1078BA"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tym kontekście istotne jest również uwzględnienie regionalnego zróżnicowania infrastruktury. Region łódzki, dzięki koncentracji zaplecza akademickiego oraz jego powiązaniu z przemysłem, może pełnić funkcję jednego z węzłów takiego systemu, szczególnie w obszarze badań aplikacyjnych i testowania technologii.</w:t>
            </w:r>
          </w:p>
        </w:tc>
        <w:tc>
          <w:tcPr>
            <w:tcW w:w="4859" w:type="dxa"/>
            <w:tcBorders>
              <w:top w:val="single" w:sz="4" w:space="0" w:color="auto"/>
              <w:left w:val="single" w:sz="4" w:space="0" w:color="auto"/>
              <w:bottom w:val="single" w:sz="4" w:space="0" w:color="auto"/>
              <w:right w:val="single" w:sz="4" w:space="0" w:color="auto"/>
            </w:tcBorders>
          </w:tcPr>
          <w:p w14:paraId="3C194A26"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częściowo uwzględniona</w:t>
            </w:r>
          </w:p>
          <w:p w14:paraId="57F64CD6" w14:textId="0202AFA7"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Projekt Polityki wskazuje potrzebę rozwoju oraz lepszego wykorzystania krajowej infrastruktury badawczej na potrzeby sektora półprzewodników, w tym zwiększenia jej dostępności dla przedsiębiorstw oraz wzmacniania współpracy pomiędzy jednostkami naukowymi i przemysłem. Intencją dokumentu jest rozwój krajowych zdolności technologicznych z wykorzystaniem zarówno istniejącej infrastruktury, jak i tam, gdzie będzie to uzasadnione - nowych inwestycji. Z uwagi na strategiczny charakter dokumentu nie przesądza się jednak docelowego modelu organizacyjnego (np. federacyjnego) ani nie wskazuje konkretnych regionalnych ośrodków jako elementów przyszłego systemu. Szczegółowe rozwiązania będą przedmiotem działań wdrożeniowych.</w:t>
            </w:r>
          </w:p>
        </w:tc>
      </w:tr>
      <w:tr w:rsidR="004471C5" w:rsidRPr="004F425A" w14:paraId="63516263" w14:textId="77777777" w:rsidTr="79FF9703">
        <w:tc>
          <w:tcPr>
            <w:tcW w:w="1425" w:type="dxa"/>
            <w:tcBorders>
              <w:top w:val="single" w:sz="4" w:space="0" w:color="auto"/>
              <w:left w:val="single" w:sz="4" w:space="0" w:color="auto"/>
              <w:bottom w:val="single" w:sz="4" w:space="0" w:color="auto"/>
              <w:right w:val="single" w:sz="4" w:space="0" w:color="auto"/>
            </w:tcBorders>
          </w:tcPr>
          <w:p w14:paraId="18758D7B"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91BA43A" w14:textId="1B2D03B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77993D0C"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części dotyczącej roli państwa dokument wskazuje na konieczność aktywnego wspierania sektora poprzez mechanizmy popytowe. To podejście jest zasadne i zgodne z doświadczeniami krajów, które skutecznie rozwijały swoje kompetencje technologiczne.</w:t>
            </w:r>
          </w:p>
          <w:p w14:paraId="4CC7E1C8"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Jednocześnie przedstawiona koncepcja koncentruje się głównie na końcowych etapach łańcucha wartości, związanych z wdrożeniami i inwestycjami. Znacznie mniej uwagi poświęcono fazie rozwoju technologii, która w przypadku sektora półprzewodników ma kluczowe znaczenie.</w:t>
            </w:r>
          </w:p>
          <w:p w14:paraId="44783264" w14:textId="71544C32"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praktyce impuls państwowy będzie skuteczny tylko wtedy, gdy obejmie również etap badań i demonstracji technologii. To właśnie na tym poziomie powstają rozwiązania, które mogą być później skalowane przemysłowo. Włączenie środowiska akademickiego w sposób systemowy – jako partnera w realizacji projektów badawczo-rozwojowych – stanowi warunek konieczny dla osiągnięcia tego efektu.</w:t>
            </w:r>
          </w:p>
        </w:tc>
        <w:tc>
          <w:tcPr>
            <w:tcW w:w="4859" w:type="dxa"/>
            <w:tcBorders>
              <w:top w:val="single" w:sz="4" w:space="0" w:color="auto"/>
              <w:left w:val="single" w:sz="4" w:space="0" w:color="auto"/>
              <w:bottom w:val="single" w:sz="4" w:space="0" w:color="auto"/>
              <w:right w:val="single" w:sz="4" w:space="0" w:color="auto"/>
            </w:tcBorders>
          </w:tcPr>
          <w:p w14:paraId="43758294"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częściowo uwzględniona</w:t>
            </w:r>
          </w:p>
          <w:p w14:paraId="523200B1" w14:textId="0E1F4641"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Problem zaadresowany został w ramach linii pilotażowych w Filarze I.</w:t>
            </w:r>
          </w:p>
        </w:tc>
      </w:tr>
      <w:tr w:rsidR="004471C5" w:rsidRPr="004F425A" w14:paraId="1B97F2ED" w14:textId="77777777" w:rsidTr="79FF9703">
        <w:tc>
          <w:tcPr>
            <w:tcW w:w="1425" w:type="dxa"/>
            <w:tcBorders>
              <w:top w:val="single" w:sz="4" w:space="0" w:color="auto"/>
              <w:left w:val="single" w:sz="4" w:space="0" w:color="auto"/>
              <w:bottom w:val="single" w:sz="4" w:space="0" w:color="auto"/>
              <w:right w:val="single" w:sz="4" w:space="0" w:color="auto"/>
            </w:tcBorders>
          </w:tcPr>
          <w:p w14:paraId="70F21701"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4CA675A" w14:textId="28F454C8"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1E60F82F" w14:textId="77777777" w:rsidR="005F5792" w:rsidRPr="004F425A" w:rsidRDefault="005F5792" w:rsidP="004F425A">
            <w:pPr>
              <w:pStyle w:val="Nagwek2"/>
              <w:spacing w:before="0" w:after="120" w:line="240" w:lineRule="auto"/>
              <w:jc w:val="both"/>
              <w:rPr>
                <w:rFonts w:ascii="Lato" w:eastAsia="Lato" w:hAnsi="Lato" w:cs="Lato"/>
                <w:b w:val="0"/>
                <w:bCs w:val="0"/>
                <w:color w:val="auto"/>
                <w:sz w:val="20"/>
                <w:szCs w:val="20"/>
              </w:rPr>
            </w:pPr>
            <w:r w:rsidRPr="004F425A">
              <w:rPr>
                <w:rFonts w:ascii="Lato" w:eastAsia="Lato" w:hAnsi="Lato" w:cs="Lato"/>
                <w:b w:val="0"/>
                <w:bCs w:val="0"/>
                <w:color w:val="auto"/>
                <w:sz w:val="20"/>
                <w:szCs w:val="20"/>
              </w:rPr>
              <w:t>IV Inwestycje i finansowanie</w:t>
            </w:r>
          </w:p>
          <w:p w14:paraId="091DDD5F"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Opracowanie wskazuje na konieczność znaczących inwestycji w sektor półprzewodników oraz identyfikuje bariery finansowe związane z wysokim poziomem ryzyka technologicznego. Jest to diagnoza trafna, jednak przedstawione podejście koncentruje się głównie na inwestycjach przemysłowych.</w:t>
            </w:r>
          </w:p>
          <w:p w14:paraId="59C24520"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W rzeczywistości rozwój sektora wymaga bardziej zrównoważonego systemu finansowania, obejmującego </w:t>
            </w:r>
            <w:r w:rsidRPr="004F425A">
              <w:rPr>
                <w:rFonts w:ascii="Lato" w:eastAsia="Lato" w:hAnsi="Lato" w:cs="Lato"/>
                <w:sz w:val="20"/>
                <w:szCs w:val="20"/>
              </w:rPr>
              <w:lastRenderedPageBreak/>
              <w:t>również etap badań i rozwoju. To właśnie ten etap – obejmujący projektowanie, testowanie i demonstrację technologii – decyduje o zdolności do budowy własnych kompetencji.</w:t>
            </w:r>
          </w:p>
          <w:p w14:paraId="13EBD2D9" w14:textId="38F23BC9" w:rsidR="005F5792" w:rsidRPr="004F425A" w:rsidRDefault="005F5792" w:rsidP="007461C5">
            <w:pPr>
              <w:spacing w:after="120" w:line="240" w:lineRule="auto"/>
              <w:jc w:val="both"/>
              <w:rPr>
                <w:rFonts w:ascii="Lato" w:eastAsia="Lato" w:hAnsi="Lato" w:cs="Lato"/>
                <w:sz w:val="20"/>
                <w:szCs w:val="20"/>
              </w:rPr>
            </w:pPr>
            <w:r w:rsidRPr="004F425A">
              <w:rPr>
                <w:rFonts w:ascii="Lato" w:eastAsia="Lato" w:hAnsi="Lato" w:cs="Lato"/>
                <w:sz w:val="20"/>
                <w:szCs w:val="20"/>
              </w:rPr>
              <w:t>Warto również zwrócić uwagę na rolę regionalnych instytucji wspierających inwestycje, takich jak specjalne strefy ekonomiczne, które w praktyce odgrywają istotną rolę w przyciąganiu kapitału i tworzeniu środowiska sprzyjającego rozwojowi przemysłu. Ich potencjał powinien być wyraźniej uwzględniony w projektowaniu instrumentów wsparcia.</w:t>
            </w:r>
          </w:p>
        </w:tc>
        <w:tc>
          <w:tcPr>
            <w:tcW w:w="4859" w:type="dxa"/>
            <w:tcBorders>
              <w:top w:val="single" w:sz="4" w:space="0" w:color="auto"/>
              <w:left w:val="single" w:sz="4" w:space="0" w:color="auto"/>
              <w:bottom w:val="single" w:sz="4" w:space="0" w:color="auto"/>
              <w:right w:val="single" w:sz="4" w:space="0" w:color="auto"/>
            </w:tcBorders>
          </w:tcPr>
          <w:p w14:paraId="5F97B9B3" w14:textId="77777777" w:rsidR="00B666CE"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uwzględniona</w:t>
            </w:r>
          </w:p>
          <w:p w14:paraId="590478B7" w14:textId="5F12641E" w:rsidR="005F5792" w:rsidRPr="004F425A" w:rsidRDefault="00126CED"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dokumencie </w:t>
            </w:r>
            <w:r w:rsidR="00E31764" w:rsidRPr="004F425A">
              <w:rPr>
                <w:rFonts w:ascii="Lato" w:eastAsia="Lato" w:hAnsi="Lato" w:cs="Lato"/>
                <w:sz w:val="20"/>
                <w:szCs w:val="20"/>
              </w:rPr>
              <w:t xml:space="preserve">uwzględniono </w:t>
            </w:r>
            <w:r w:rsidR="005F5792" w:rsidRPr="004F425A">
              <w:rPr>
                <w:rFonts w:ascii="Lato" w:eastAsia="Lato" w:hAnsi="Lato" w:cs="Lato"/>
                <w:sz w:val="20"/>
                <w:szCs w:val="20"/>
              </w:rPr>
              <w:t>treść: „Instrumenty wsparcia powinny obejmować cały cykl rozwoju technologii od badań przemysłowych i prac rozwojowych, poprzez projektowanie, demonstrację, testowanie i walidację technologii, aż po wdrożenia przemysłowe i komercjalizację.”.</w:t>
            </w:r>
          </w:p>
        </w:tc>
      </w:tr>
      <w:tr w:rsidR="004471C5" w:rsidRPr="004F425A" w14:paraId="7E2A9DF6" w14:textId="77777777" w:rsidTr="79FF9703">
        <w:tc>
          <w:tcPr>
            <w:tcW w:w="1425" w:type="dxa"/>
            <w:tcBorders>
              <w:top w:val="single" w:sz="4" w:space="0" w:color="auto"/>
              <w:left w:val="single" w:sz="4" w:space="0" w:color="auto"/>
              <w:bottom w:val="single" w:sz="4" w:space="0" w:color="auto"/>
              <w:right w:val="single" w:sz="4" w:space="0" w:color="auto"/>
            </w:tcBorders>
          </w:tcPr>
          <w:p w14:paraId="4D5B8FDD"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4B77489" w14:textId="40653334"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452A4EF0" w14:textId="77777777" w:rsidR="005F5792" w:rsidRPr="004F425A" w:rsidRDefault="005F5792" w:rsidP="004F425A">
            <w:pPr>
              <w:pStyle w:val="Nagwek2"/>
              <w:spacing w:before="0" w:after="120" w:line="240" w:lineRule="auto"/>
              <w:jc w:val="both"/>
              <w:rPr>
                <w:rFonts w:ascii="Lato" w:eastAsia="Lato" w:hAnsi="Lato" w:cs="Lato"/>
                <w:b w:val="0"/>
                <w:bCs w:val="0"/>
                <w:color w:val="auto"/>
                <w:sz w:val="20"/>
                <w:szCs w:val="20"/>
              </w:rPr>
            </w:pPr>
            <w:r w:rsidRPr="004F425A">
              <w:rPr>
                <w:rFonts w:ascii="Lato" w:eastAsia="Lato" w:hAnsi="Lato" w:cs="Lato"/>
                <w:b w:val="0"/>
                <w:bCs w:val="0"/>
                <w:color w:val="auto"/>
                <w:sz w:val="20"/>
                <w:szCs w:val="20"/>
              </w:rPr>
              <w:t>V Kadry i edukacja</w:t>
            </w:r>
          </w:p>
          <w:p w14:paraId="03231C64"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obszarze kształcenia dokument trafnie identyfikuje problem niedoboru kadr, jednak sposób jego ujęcia pozostaje stosunkowo uproszczony. Zwiększenie liczby absolwentów jest konieczne, ale nie wystarczające.</w:t>
            </w:r>
          </w:p>
          <w:p w14:paraId="7504DB93"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Kluczowe znaczenie ma jakość kształcenia oraz jego powiązanie z praktyką przemysłową. Polska dysponuje rozwiniętym systemem edukacji technicznej, który obejmuje zarówno uczelnie, jak i szkolnictwo zawodowe. W wielu ośrodkach – w tym w Łodzi – funkcjonują już kierunki i programy kształcenia bezpośrednio związane z elektroniką, materiałoznawstwem czy informatyką.</w:t>
            </w:r>
          </w:p>
          <w:p w14:paraId="1CFE9A71" w14:textId="21F95CEC"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tym kontekście wyzwaniem nie jest budowa systemu od podstaw, lecz jego rozwój i lepsze powiązanie z potrzebami sektora. Szczególnie istotne jest tworzenie modeli kształcenia opartych na współpracy z przemysłem, które umożliwiają zdobywanie doświadczenia w rzeczywistych warunkach technologicznych.</w:t>
            </w:r>
          </w:p>
        </w:tc>
        <w:tc>
          <w:tcPr>
            <w:tcW w:w="4859" w:type="dxa"/>
            <w:tcBorders>
              <w:top w:val="single" w:sz="4" w:space="0" w:color="auto"/>
              <w:left w:val="single" w:sz="4" w:space="0" w:color="auto"/>
              <w:bottom w:val="single" w:sz="4" w:space="0" w:color="auto"/>
              <w:right w:val="single" w:sz="4" w:space="0" w:color="auto"/>
            </w:tcBorders>
          </w:tcPr>
          <w:p w14:paraId="32DA040A" w14:textId="77777777" w:rsidR="007461C5"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6E779F63" w14:textId="70D9D0E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dokumencie naniesiono treść „Rozwój systemu kształcenia nie powinien ograniczać się wyłącznie do zwiększania liczby absolwentów kierunków technicznych. Równie istotne jest zapewnienie wysokiej jakości kształcenia oraz jego ścisłego powiązania z potrzebami przemysłu półprzewodników. W tym celu należy rozwijać modele współpracy pomiędzy szkołami, uczelniami i przedsiębiorstwami, obejmujące m.in. praktyki zawodowe, staże, wspólne projekty badawczo-rozwojowe oraz kształcenie w warunkach zbliżonych do rzeczywistych procesów technologicznych.”.</w:t>
            </w:r>
          </w:p>
        </w:tc>
      </w:tr>
      <w:tr w:rsidR="004471C5" w:rsidRPr="004F425A" w14:paraId="1CB41E2B" w14:textId="77777777" w:rsidTr="79FF9703">
        <w:tc>
          <w:tcPr>
            <w:tcW w:w="1425" w:type="dxa"/>
            <w:tcBorders>
              <w:top w:val="single" w:sz="4" w:space="0" w:color="auto"/>
              <w:left w:val="single" w:sz="4" w:space="0" w:color="auto"/>
              <w:bottom w:val="single" w:sz="4" w:space="0" w:color="auto"/>
              <w:right w:val="single" w:sz="4" w:space="0" w:color="auto"/>
            </w:tcBorders>
          </w:tcPr>
          <w:p w14:paraId="2DC8038B"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FAA9A12" w14:textId="5B5BEAE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766E82FA" w14:textId="77777777" w:rsidR="005F5792" w:rsidRPr="004F425A" w:rsidRDefault="005F5792" w:rsidP="004F425A">
            <w:pPr>
              <w:pStyle w:val="Nagwek2"/>
              <w:spacing w:before="0" w:after="120" w:line="240" w:lineRule="auto"/>
              <w:jc w:val="both"/>
              <w:rPr>
                <w:rFonts w:ascii="Lato" w:eastAsia="Lato" w:hAnsi="Lato" w:cs="Lato"/>
                <w:b w:val="0"/>
                <w:bCs w:val="0"/>
                <w:color w:val="auto"/>
                <w:sz w:val="20"/>
                <w:szCs w:val="20"/>
              </w:rPr>
            </w:pPr>
            <w:r w:rsidRPr="004F425A">
              <w:rPr>
                <w:rFonts w:ascii="Lato" w:eastAsia="Lato" w:hAnsi="Lato" w:cs="Lato"/>
                <w:b w:val="0"/>
                <w:bCs w:val="0"/>
                <w:color w:val="auto"/>
                <w:sz w:val="20"/>
                <w:szCs w:val="20"/>
              </w:rPr>
              <w:t>VI Energia i woda</w:t>
            </w:r>
          </w:p>
          <w:p w14:paraId="08A3A856"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Znaczenie energii jako czynnika lokalizacyjnego dla sektora półprzewodników zostało wskazane w dokumencie prawidłowo, choć w sposób stosunkowo ogólny. W praktyce dostęp do stabilnych i konkurencyjnych źródeł energii jest jednym z najważniejszych warunków podejmowania decyzji inwestycyjnych. W tym kontekście </w:t>
            </w:r>
            <w:r w:rsidRPr="004F425A">
              <w:rPr>
                <w:rFonts w:ascii="Lato" w:eastAsia="Lato" w:hAnsi="Lato" w:cs="Lato"/>
                <w:sz w:val="20"/>
                <w:szCs w:val="20"/>
              </w:rPr>
              <w:lastRenderedPageBreak/>
              <w:t>kluczowe znaczenie ma powiązanie polityki technologicznej z planami rozwoju infrastruktury energetycznej, w tym inwestycjami w źródła stabilnej energii. Czynniki te mają charakter silnie regionalny i powinny być analizowane w odniesieniu do konkretnych lokalizacji.</w:t>
            </w:r>
          </w:p>
          <w:p w14:paraId="5EE58D5D" w14:textId="430343C5"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Region łódzki, ze względu na swoje położenie oraz powiązania z krajowym systemem energetycznym, może być w tym kontekście postrzegany jako obszar o relatywnie korzystnych warunkach dla rozwoju inwestycji przemysłowych.</w:t>
            </w:r>
          </w:p>
        </w:tc>
        <w:tc>
          <w:tcPr>
            <w:tcW w:w="4859" w:type="dxa"/>
            <w:tcBorders>
              <w:top w:val="single" w:sz="4" w:space="0" w:color="auto"/>
              <w:left w:val="single" w:sz="4" w:space="0" w:color="auto"/>
              <w:bottom w:val="single" w:sz="4" w:space="0" w:color="auto"/>
              <w:right w:val="single" w:sz="4" w:space="0" w:color="auto"/>
            </w:tcBorders>
          </w:tcPr>
          <w:p w14:paraId="585A5054" w14:textId="77777777" w:rsidR="007461C5"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częściowo uwzględniona</w:t>
            </w:r>
          </w:p>
          <w:p w14:paraId="276D070C" w14:textId="5166305D"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 xml:space="preserve">W dokumencie doprecyzowano zapisy dotyczące recyklingu wody. </w:t>
            </w:r>
          </w:p>
        </w:tc>
      </w:tr>
      <w:tr w:rsidR="004471C5" w:rsidRPr="004F425A" w14:paraId="16762E49" w14:textId="77777777" w:rsidTr="79FF9703">
        <w:tc>
          <w:tcPr>
            <w:tcW w:w="1425" w:type="dxa"/>
            <w:tcBorders>
              <w:top w:val="single" w:sz="4" w:space="0" w:color="auto"/>
              <w:left w:val="single" w:sz="4" w:space="0" w:color="auto"/>
              <w:bottom w:val="single" w:sz="4" w:space="0" w:color="auto"/>
              <w:right w:val="single" w:sz="4" w:space="0" w:color="auto"/>
            </w:tcBorders>
          </w:tcPr>
          <w:p w14:paraId="42DF9281"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AFD4331" w14:textId="704F73D6"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2EA4DB4C" w14:textId="77777777" w:rsidR="005F5792" w:rsidRPr="004F425A" w:rsidRDefault="005F5792" w:rsidP="004F425A">
            <w:pPr>
              <w:pStyle w:val="Nagwek2"/>
              <w:spacing w:before="0" w:after="120" w:line="240" w:lineRule="auto"/>
              <w:jc w:val="both"/>
              <w:rPr>
                <w:rFonts w:ascii="Lato" w:eastAsia="Lato" w:hAnsi="Lato" w:cs="Lato"/>
                <w:b w:val="0"/>
                <w:bCs w:val="0"/>
                <w:color w:val="auto"/>
                <w:sz w:val="20"/>
                <w:szCs w:val="20"/>
              </w:rPr>
            </w:pPr>
            <w:r w:rsidRPr="004F425A">
              <w:rPr>
                <w:rFonts w:ascii="Lato" w:eastAsia="Lato" w:hAnsi="Lato" w:cs="Lato"/>
                <w:b w:val="0"/>
                <w:bCs w:val="0"/>
                <w:color w:val="auto"/>
                <w:sz w:val="20"/>
                <w:szCs w:val="20"/>
              </w:rPr>
              <w:t>VII Chemikalia i surowce</w:t>
            </w:r>
          </w:p>
          <w:p w14:paraId="057DAD6F"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obszarze chemikaliów i surowców polityka wskazuje na znaczenie dostępu do materiałów krytycznych, jednak pozostaje na poziomie ogólnej diagnozy. Tymczasem stabilność łańcuchów dostaw oraz dostępność zaplecza materiałowego mają bezpośredni wpływ na funkcjonowanie sektora.</w:t>
            </w:r>
          </w:p>
          <w:p w14:paraId="21078C50" w14:textId="704455EC"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Polsce istnieje zaplecze przemysłowe oraz kompetencje naukowe w obszarze inżynierii materiałowej i chemii, które mogą stanowić istotny element budowy bardziej zintegrowanego systemu. W szczególności regiony o rozwiniętej infrastrukturze logistycznej i centralnym położeniu – takie jak Łódź – mogą odgrywać rolę w organizacji i optymalizacji łańcuchów dostaw.</w:t>
            </w:r>
          </w:p>
        </w:tc>
        <w:tc>
          <w:tcPr>
            <w:tcW w:w="4859" w:type="dxa"/>
            <w:tcBorders>
              <w:top w:val="single" w:sz="4" w:space="0" w:color="auto"/>
              <w:left w:val="single" w:sz="4" w:space="0" w:color="auto"/>
              <w:bottom w:val="single" w:sz="4" w:space="0" w:color="auto"/>
              <w:right w:val="single" w:sz="4" w:space="0" w:color="auto"/>
            </w:tcBorders>
          </w:tcPr>
          <w:p w14:paraId="6B8BA333" w14:textId="77777777" w:rsidR="007461C5"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częściowo uwzględniona</w:t>
            </w:r>
          </w:p>
          <w:p w14:paraId="399EA6EA" w14:textId="73284929"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 xml:space="preserve">W dokumencie doprecyzowano zapisy dotyczące Chemikaliów i Surowców. </w:t>
            </w:r>
          </w:p>
        </w:tc>
      </w:tr>
      <w:tr w:rsidR="004471C5" w:rsidRPr="004F425A" w14:paraId="7E9A3322" w14:textId="77777777" w:rsidTr="79FF9703">
        <w:tc>
          <w:tcPr>
            <w:tcW w:w="1425" w:type="dxa"/>
            <w:tcBorders>
              <w:top w:val="single" w:sz="4" w:space="0" w:color="auto"/>
              <w:left w:val="single" w:sz="4" w:space="0" w:color="auto"/>
              <w:bottom w:val="single" w:sz="4" w:space="0" w:color="auto"/>
              <w:right w:val="single" w:sz="4" w:space="0" w:color="auto"/>
            </w:tcBorders>
          </w:tcPr>
          <w:p w14:paraId="53F5485D"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6DDDF86" w14:textId="331BC35E"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34639346" w14:textId="77777777" w:rsidR="005F5792" w:rsidRPr="004F425A" w:rsidRDefault="005F5792" w:rsidP="004F425A">
            <w:pPr>
              <w:pStyle w:val="Nagwek1"/>
              <w:spacing w:before="0" w:after="120"/>
              <w:ind w:left="426" w:hanging="426"/>
              <w:jc w:val="both"/>
              <w:rPr>
                <w:rFonts w:ascii="Lato" w:eastAsia="Lato" w:hAnsi="Lato" w:cs="Lato"/>
                <w:color w:val="auto"/>
                <w:sz w:val="20"/>
                <w:szCs w:val="20"/>
              </w:rPr>
            </w:pPr>
            <w:r w:rsidRPr="004F425A">
              <w:rPr>
                <w:rFonts w:ascii="Lato" w:eastAsia="Lato" w:hAnsi="Lato" w:cs="Lato"/>
                <w:color w:val="auto"/>
                <w:sz w:val="20"/>
                <w:szCs w:val="20"/>
              </w:rPr>
              <w:t xml:space="preserve">Miejsce Politechniki Łódzkiej w polityce dla sektora półprzewodników </w:t>
            </w:r>
          </w:p>
          <w:p w14:paraId="6B15BCB1"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Jednym z najsłabszych ogniw analizowanego dokumentu nie jest sam kierunek myślenia o rozwoju sektora półprzewodników w Polsce, lecz sposób osadzenia tej polityki w realnej geografii kompetencji. Trafnie rozpoznano, że rozwój sektora nie będzie oparty na jednym ośrodku ani na jednej specjalizacji, lecz na układzie komplementarnych zdolności rozproszonych pomiędzy różnymi regionami kraju. Jednocześnie jednak to podejście nie zostało przełożone na spójny model operacyjny. W konsekwencji dokument poprawnie wskazuje potrzebę </w:t>
            </w:r>
            <w:r w:rsidRPr="004F425A">
              <w:rPr>
                <w:rFonts w:ascii="Lato" w:eastAsia="Lato" w:hAnsi="Lato" w:cs="Lato"/>
                <w:sz w:val="20"/>
                <w:szCs w:val="20"/>
              </w:rPr>
              <w:lastRenderedPageBreak/>
              <w:t>współpracy, specjalizacji i budowy systemu sieciowego, ale nie nadaje dostatecznie wyraźnej roli konkretnym ośrodkom, które już dziś posiadają odpowiedni potencjał naukowy, przemysłowy, infrastrukturalny i logistyczny, by stać się trwałymi elementami krajowej polityki dla sektora półprzewodników. Dotyczy to w szczególności Łodzi, regionu łódzkiego oraz Politechniki Łódzkiej.</w:t>
            </w:r>
          </w:p>
          <w:p w14:paraId="3BF4D174"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celu operacyjnego włączenia Politechniki Łódzkiej w rozwój sektora półprzewodników rekomenduje się:</w:t>
            </w:r>
          </w:p>
          <w:p w14:paraId="3A14326C" w14:textId="77777777" w:rsidR="005F5792" w:rsidRPr="004F425A" w:rsidRDefault="005F5792" w:rsidP="004F425A">
            <w:pPr>
              <w:pStyle w:val="Akapitzlist"/>
              <w:numPr>
                <w:ilvl w:val="0"/>
                <w:numId w:val="49"/>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utworzenie w Łodzi centrum prototypowania technologii półprzewodnikowych (pilot line),</w:t>
            </w:r>
          </w:p>
          <w:p w14:paraId="33DF2690" w14:textId="77777777" w:rsidR="005F5792" w:rsidRPr="004F425A" w:rsidRDefault="005F5792" w:rsidP="004F425A">
            <w:pPr>
              <w:pStyle w:val="Akapitzlist"/>
              <w:numPr>
                <w:ilvl w:val="0"/>
                <w:numId w:val="49"/>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włączenie uczelni do zarządzania krajową infrastrukturą półprzewodnikową,</w:t>
            </w:r>
          </w:p>
          <w:p w14:paraId="12D7272D" w14:textId="77777777" w:rsidR="005F5792" w:rsidRPr="004F425A" w:rsidRDefault="005F5792" w:rsidP="004F425A">
            <w:pPr>
              <w:pStyle w:val="Akapitzlist"/>
              <w:numPr>
                <w:ilvl w:val="0"/>
                <w:numId w:val="49"/>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uruchomienie programów wspólnych z przemysłem (proof-of-concept przez prototyp aż do wdrożenia),</w:t>
            </w:r>
          </w:p>
          <w:p w14:paraId="63069A0D" w14:textId="77777777" w:rsidR="005F5792" w:rsidRPr="004F425A" w:rsidRDefault="005F5792" w:rsidP="004F425A">
            <w:pPr>
              <w:pStyle w:val="Akapitzlist"/>
              <w:numPr>
                <w:ilvl w:val="0"/>
                <w:numId w:val="49"/>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przypisanie regionowi łódzkiemu roli integratora między:</w:t>
            </w:r>
          </w:p>
          <w:p w14:paraId="0F50C11D" w14:textId="77777777" w:rsidR="005F5792" w:rsidRPr="004F425A" w:rsidRDefault="005F5792" w:rsidP="004F425A">
            <w:pPr>
              <w:pStyle w:val="Akapitzlist"/>
              <w:numPr>
                <w:ilvl w:val="1"/>
                <w:numId w:val="49"/>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projektowaniem (fabless),</w:t>
            </w:r>
          </w:p>
          <w:p w14:paraId="280D2797" w14:textId="77777777" w:rsidR="005F5792" w:rsidRPr="004F425A" w:rsidRDefault="005F5792" w:rsidP="004F425A">
            <w:pPr>
              <w:pStyle w:val="Akapitzlist"/>
              <w:numPr>
                <w:ilvl w:val="1"/>
                <w:numId w:val="49"/>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badaniami materiałowymi,</w:t>
            </w:r>
          </w:p>
          <w:p w14:paraId="1BB48C39" w14:textId="77777777" w:rsidR="005F5792" w:rsidRPr="004F425A" w:rsidRDefault="005F5792" w:rsidP="004F425A">
            <w:pPr>
              <w:pStyle w:val="Akapitzlist"/>
              <w:numPr>
                <w:ilvl w:val="1"/>
                <w:numId w:val="49"/>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przemysłem aplikacyjnym.</w:t>
            </w:r>
          </w:p>
          <w:p w14:paraId="78741B4E"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Bez wdrożenia powyższych mechanizmów istnieje ryzyko, że potencjał uczelni pozostanie niewykorzystany mimo jego jednoznacznego wskazania w polityce państwa.</w:t>
            </w:r>
          </w:p>
          <w:p w14:paraId="19486CCF"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Utworzenie w Łodzi centrum prototypowania technologii półprzewodnikowych (pilot line) wynika bezpośrednio z obecnej luki pomiędzy kompetencjami badawczymi a możliwościami ich wdrożenia. Politechnika Łódzka dysponuje zapleczem w postaci laboratoriów mikro- i nanotechnologicznych, doświadczeniem w projektowaniu i charakteryzacji przyrządów półprzewodnikowych oraz rozwiniętymi metodami modelowania, jednak brak infrastruktury pozwalającej na przejście do etapu półprzemysłowego ogranicza wykorzystanie tych </w:t>
            </w:r>
            <w:r w:rsidRPr="004F425A">
              <w:rPr>
                <w:rFonts w:ascii="Lato" w:eastAsia="Lato" w:hAnsi="Lato" w:cs="Lato"/>
                <w:sz w:val="20"/>
                <w:szCs w:val="20"/>
              </w:rPr>
              <w:lastRenderedPageBreak/>
              <w:t>kompetencji. W praktyce oznacza to, że wiele projektów kończy się na etapie badań lub demonstratorów laboratoryjnych, bez możliwości dalszego rozwoju. Utworzenie pilot line umożliwiłoby integrację istniejących zasobów, ich rozwój oraz udostępnienie przemysłowi w sposób uporządkowany. W kontekście regionu łódzkiego, w którym funkcjonują firmy związane z elektroniką, optoelektroniką i produkcją przemysłową, takie centrum mogłoby pełnić rolę rzeczywistego ogniwa łączącego naukę z praktyką gospodarczą.</w:t>
            </w:r>
          </w:p>
          <w:p w14:paraId="0A830337"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Włączenie uczelni do zarządzania krajową infrastrukturą półprzewodnikową powinno być traktowane jako warunek jej efektywnego funkcjonowania. Znaczna część tej infrastruktury już dziś znajduje się w jednostkach akademickich, które posiadają doświadczenie w jej wykorzystaniu oraz rozwijaniu. Politechnika Łódzka, poprzez działalność wskazywanych w tym opracowaniu jednostek, dysponuje nie tylko aparaturą, ale także zespołami zdolnymi do jej operacyjnego wykorzystania. Pominięcie uczelni w procesach zarządczych prowadzi do rozdzielenia odpowiedzialności od kompetencji, co w praktyce skutkuje ograniczoną dostępnością infrastruktury i jej niedopasowaniem do potrzeb przemysłu. Włączenie PŁ w ten system pozwoliłoby na lepszą koordynację działań, racjonalizację inwestycji oraz stworzenie spójnego modelu dostępu dla partnerów przemysłowych. Jednocześnie umożliwiłoby to powiązanie infrastruktury z procesem kształcenia i badań, co jest kluczowe dla budowy trwałych kompetencji.</w:t>
            </w:r>
          </w:p>
          <w:p w14:paraId="5F1F096E"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Uruchomienie programów wspólnych z przemysłem, obejmujących pełny cykl rozwoju technologii – od proof-of-concept, przez prototypowanie, aż po wdrożenie – stanowi jeden z najważniejszych elementów budowy funkcjonującego ekosystemu. Politechnika Łódzka posiada doświadczenie we współpracy z firmami takimi jak TopGaN, VIGO Photonics, Corning czy podmiotami z sektora elektroniki i automatyki, jednak współpraca ta w wielu przypadkach ma charakter projektowy i ograniczony </w:t>
            </w:r>
            <w:r w:rsidRPr="004F425A">
              <w:rPr>
                <w:rFonts w:ascii="Lato" w:eastAsia="Lato" w:hAnsi="Lato" w:cs="Lato"/>
                <w:sz w:val="20"/>
                <w:szCs w:val="20"/>
              </w:rPr>
              <w:lastRenderedPageBreak/>
              <w:t>czasowo. Brakuje mechanizmów, które umożliwiałyby jej systematyczne rozwijanie i skalowanie. Wprowadzenie dedykowanych programów pozwoliłoby na tworzenie trwałych relacji pomiędzy uczelnią a przemysłem, a także na lepsze dopasowanie badań do realnych potrzeb technologicznych. Istotne jest również to, że region łódzki dysponuje zapleczem firm, które mogą pełnić rolę zarówno partnerów rozwojowych, jak i odbiorców technologii. Wykorzystanie tego potencjału wymaga jednak stworzenia ram organizacyjnych i finansowych, które umożliwią prowadzenie projektów w dłuższym horyzoncie czasowym.</w:t>
            </w:r>
          </w:p>
          <w:p w14:paraId="44B9A07F"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Przypisanie regionowi łódzkiemu roli integratora pomiędzy projektowaniem, badaniami materiałowymi oraz przemysłem aplikacyjnym wynika z jego rzeczywistego układu kompetencji. Region ten nie jest wyspecjalizowany w jednym wąskim obszarze technologii półprzewodnikowych, ale posiada unikalną zdolność do łączenia różnych elementów łańcucha wartości. Obecność Politechniki Łódzkiej zapewnia zaplecze badawcze i edukacyjne, natomiast funkcjonujące w regionie firmy – zarówno globalne, jak i krajowe – tworzą środowisko aplikacyjne dla nowych technologii. Dodatkowym atutem jest centralne położenie oraz rozwinięta infrastruktura logistyczna, które ułatwiają współpracę z innymi ośrodkami w kraju i za granicą. W tym kontekście rola integracyjna nie jest postulatem teoretycznym, lecz wynika z istniejących uwarunkowań. Jej formalne przypisanie w polityce państwa pozwoliłoby na lepsze wykorzystanie potencjału regionu oraz uniknięcie rozproszenia działań pomiędzy konkurującymi ośrodkami.</w:t>
            </w:r>
          </w:p>
          <w:p w14:paraId="204EF251"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Warto podkreślić, że opracowanie ministerialne wielokrotnie podkreśla znaczenie uczelni jako źródła kompetencji i kadr, ale nie przekłada tej diagnozy na przypisanie im konkretnych funkcji systemowych. Jest to poważne ograniczenie. W przypadku Politechniki Łódzkiej nie mamy bowiem do czynienia jedynie z uczelnią kształcącą inżynierów, lecz z ośrodkiem posiadającym wieloletnią ciągłość badań w zakresie przyrządów </w:t>
            </w:r>
            <w:r w:rsidRPr="004F425A">
              <w:rPr>
                <w:rFonts w:ascii="Lato" w:eastAsia="Lato" w:hAnsi="Lato" w:cs="Lato"/>
                <w:sz w:val="20"/>
                <w:szCs w:val="20"/>
              </w:rPr>
              <w:lastRenderedPageBreak/>
              <w:t>półprzewodnikowych, rozwiniętą infrastrukturę technologiczną, konkretne osiągnięcia badawcze i patentowe oraz doświadczenie współpracy z przemysłem. Znaczenie Politechniki Łódzkiej dla tej polityki wynika po pierwsze z ciągłości kompetencji. Badania w obszarze przyrządów półprzewodnikowych mocy prowadzone są na uczelni od lat 70. Nie jest to zatem nowy, doraźnie zbudowany kierunek aktywności, lecz obszar rozwijany od dekad, najpierw w ścisłej relacji z krajowym przemysłem półprzewodnikowym, a następnie także w ramach projektów krajowych i międzynarodowych. Po drugie, znaczenie PŁ wynika z materialnego zaplecza badawczego. Uczelnia dysponuje zespołem laboratoriów mikro- i nanotechnologicznych, w tym zaawansowanym laboratorium mikroelektroniki typu clean room, linią technologiczną dla przyrządów półprzewodnikowych oraz aparaturą umożliwiającą prowadzenie badań nad strukturami krzemowymi i SiC. Po trzecie, znaczenie to wynika z zakresu i poziomu prowadzonych badań, obejmujących projektowanie, modelowanie, wytwarzanie i charakteryzację przyrządów półprzewodnikowych, w tym przyrządów mocy, półprzewodników szerokopasmowych, rozwiązań fotonicznych i fotowoltaicznych. Po czwarte wreszcie, uczelnia posiada konkretne doświadczenie we współpracy z przemysłem i w realizacji projektów o charakterze aplikacyjnym.</w:t>
            </w:r>
          </w:p>
          <w:p w14:paraId="0FB2E086"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Właśnie dlatego miejsce Politechniki Łódzkiej w polityce dla sektora półprzewodników nie powinno być sprowadzane jedynie do roli podmiotu odpowiadającego za rozwój zaplecza talentów w regionach. Takie ujęcie byłoby niepełne. Uczelnia pełni bowiem kilka komplementarnych funkcji, które wzajemnie się wzmacniają i razem tworzą spójny potencjał systemowy. Politechnika Łódzka pozostaje istotnym ośrodkiem kształcenia specjalistów w obszarach kluczowych dla sektora półprzewodników, zapewniając dopływ kadr o zróżnicowanych kompetencjach technicznych i inżynierskich. Równocześnie stanowi zaplecze dla prac badawczo-rozwojowych na poziomie przedwdrożeniowym, gdzie możliwe jest przejście od </w:t>
            </w:r>
            <w:r w:rsidRPr="004F425A">
              <w:rPr>
                <w:rFonts w:ascii="Lato" w:eastAsia="Lato" w:hAnsi="Lato" w:cs="Lato"/>
                <w:sz w:val="20"/>
                <w:szCs w:val="20"/>
              </w:rPr>
              <w:lastRenderedPageBreak/>
              <w:t xml:space="preserve">koncepcji technologicznej do jej weryfikacji oraz przygotowania do zastosowań praktycznych. Kompetencje te uzupełnia zdolność do budowania i utrzymywania współpracy z przemysłem, szczególnie w regionie dysponującym rozwiniętym zapleczem firm technologicznych, produkcyjnych i logistycznych. W efekcie tego Uczelnia funkcjonuje nie jako pojedynczy element systemu, lecz jako ośrodek łączący edukację, badania i współpracę z gospodarką, co nadaje jej szczególne znaczenie w kontekście budowy krajowego ekosystemu półprzewodników. </w:t>
            </w:r>
          </w:p>
          <w:p w14:paraId="5C5C3903"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tym miejscu należy podkreślić szczególnie istotne powiązanie roli PŁ z rzeczywistym otoczeniem gospodarczym regionu. Region łódzki nie jest obszarem pozbawionym zaplecza przemysłowego, który dopiero oczekuje na inwestora kotwiczącego. Wręcz przeciwnie – obecność firm takich jak Corning, Dell, Panasonic Industry Poland, ABB, TME, Harman, Rateart, Scanfil, ZF czy Hitachi Energy pokazuje, że istnieją tu zarówno odbiorcy zaawansowanych komponentów elektronicznych, jak i podmioty zdolne do współtworzenia rozwiązań, testowania ich lub wykorzystywania w swoich produktach i procesach. Dla polityki państwa powinno to mieć bardzo konkretne znaczenie. Rozwój sektora półprzewodników nie może być rozumiany wyłącznie jako przyciągnięcie fabryki front-endowej albo budowa jednej narodowej linii pilotażowej. Równie ważne jest budowanie środowisk, w których powstają relacje pomiędzy badaniami, projektowaniem, integracją systemów i wdrożeniami przemysłowymi. W tym właśnie obszarze Łódź i region łódzki mają potencjał ponadprzeciętny.</w:t>
            </w:r>
          </w:p>
          <w:p w14:paraId="59041B1B"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Dokument ministerialny powinien zatem wyraźniej uznać, iż siła regionu łódzkiego nie polega na kopiowaniu modelu opartego na jednej dużej inwestycji produkcyjnej, lecz na zdolności do pełnienia roli systemowej. Wynika ona z nakładających się na siebie kilku obszarów kompetencji, które dopiero razem tworzą spójny potencjał rozwojowy. Kluczowe znaczenie ma tu zaplecze akademickie, skupione </w:t>
            </w:r>
            <w:r w:rsidRPr="004F425A">
              <w:rPr>
                <w:rFonts w:ascii="Lato" w:eastAsia="Lato" w:hAnsi="Lato" w:cs="Lato"/>
                <w:sz w:val="20"/>
                <w:szCs w:val="20"/>
              </w:rPr>
              <w:lastRenderedPageBreak/>
              <w:t>wokół Politechniki Łódzkiej i jej infrastruktury badawczej, które stanowi fundament dla rozwoju technologii i kształcenia kadr. Uzupełnia je środowisko przemysłowe obejmujące przedsiębiorstwa działające w obszarze elektroniki, energoelektroniki, automatyki i nowoczesnej produkcji, które zapewnia naturalne zaplecze wdrożeniowe. Równie istotną rolę odgrywają uwarunkowania logistyczne i infrastrukturalne, wynikające z centralnego położenia miasta i dostępu do głównych korytarzy transportowych, a także rozwinięte instrumenty instytucjonalne wspierające inwestycje i współpracę z biznesem, z Łódzką Specjalną Strefą Ekonomiczną na czele. Dopiero w takim ujęciu widać, że potencjał regionu ma charakter wielowarstwowy, a jego niedoszacowanie prowadzi do niepełnego odczytania jego roli w polityce półprzewodnikowej państwa.</w:t>
            </w:r>
          </w:p>
          <w:p w14:paraId="0D90ADAF"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Warto przy tym zauważyć, że opracowanie wskazuje potrzebę budowy parku technologicznego dla sektora półprzewodników i wymienia Łódź wśród wstępnie wskazanych lokalizacji. To ważne, ale ponownie niewystarczające. Samo wpisanie miasta na listę potencjalnych lokalizacji nie rozwiązuje problemu, jeśli nie towarzyszy temu określenie funkcji, jaką taki ośrodek miałby pełnić. W przypadku Łodzi bardziej przekonujący byłby model parku lub hubu technologicznego nastawionego nie na odtwarzanie kompetencji już obecnych w innych ośrodkach, lecz na integrację procesu rozwoju technologii, współpracy z przemysłem, testowania rozwiązań, przygotowania kadr i wsparcia operacyjnego dla projektów prowadzonych w skali krajowej lub międzynarodowej. Innymi słowy, to nie konkurencja z najsilniejszymi laboratoriami fotonicznymi czy materiałowymi innych regionów powinna być tu punktem wyjścia, lecz wykorzystanie przewagi komplementarnej.</w:t>
            </w:r>
          </w:p>
          <w:p w14:paraId="0263C202"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W podobny sposób należałoby spojrzeć na kwestię edukacji. Słusznie postuluje się zwiększenie liczby specjalistów i rozwój nowych programów kształcenia, ale nie dość wyraźnie pokazuje, że pewne ośrodki mają już dziś zdolność do prowadzenia takiego kształcenia w sposób </w:t>
            </w:r>
            <w:r w:rsidRPr="004F425A">
              <w:rPr>
                <w:rFonts w:ascii="Lato" w:eastAsia="Lato" w:hAnsi="Lato" w:cs="Lato"/>
                <w:sz w:val="20"/>
                <w:szCs w:val="20"/>
              </w:rPr>
              <w:lastRenderedPageBreak/>
              <w:t>bezpośrednio związany z sektorem półprzewodników. Politechnika Łódzka nie tylko prowadzi odpowiednie kierunki, lecz także kształci znaczącą liczbę studentów w obszarach kluczowych dla elektroniki, materiałów i technologii informatycznych. Obecnie na kierunkach bezpośrednio lub pośrednio powiązanych z sektorem półprzewodników – w tym również informatycznych – kształci się około 3 500 studentów, a liczba absolwentów tych kierunków wynosi rocznie około 650 osób. Oznacza to, że rozwój kadr może być budowany nie od zera, lecz poprzez wzmacnianie i ukierunkowanie już istniejącego systemu kształcenia. Tego aspektu dokument nie wydobywa dostatecznie mocno.</w:t>
            </w:r>
          </w:p>
          <w:p w14:paraId="48167961"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Istotne jest również to, że potencjał PŁ ma charakter nie tylko dydaktyczny, ale także instytucjonalnie uporządkowany. Kompetencje związane z technologiami półprzewodnikowymi są rozwijane w konkretnych jednostkach uczelni, takich jak Katedra Przyrządów Półprzewodnikowych i Optoelektronicznych, Katedra Mikroelektroniki i Technik Informatycznych, Katedra Fizyki Molekularnej Wydziału Chemicznego, Instytut Fizyki oraz Instytut Inżynierii Materiałowej. Oznacza to, że mamy do czynienia nie z pojedynczym zespołem funkcjonującym na marginesie uczelni, lecz ze zintegrowanym środowiskiem, łączącym kompetencje aplikacyjne, materiałowe, fizyczne i projektowe. Takiego zaplecza nie należy w polityce państwa traktować jako „tła”, ale jako aktywny zasób mający wymierny aspekt praktyczny.</w:t>
            </w:r>
          </w:p>
          <w:p w14:paraId="213B4FFD"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W konsekwencji to, co wymaga poprawy w dokumencie, nie sprowadza się do prostego postulatu „mocniej wpisać Łódź”. Problem jest głębszy. Opracowanie to powinno wyraźniej przejść od języka potencjału do języka funkcji. W przypadku Łodzi i regionu łódzkiego oznaczałoby to uznanie ich za obszar szczególnie predestynowany do pełnienia roli integracyjnej w krajowym ekosystemie półprzewodników: łączącej edukację, badania przedwdrożeniowe, współpracę z przemysłem, logistykę technologii, obsługę inwestorów oraz wsparcie dla </w:t>
            </w:r>
            <w:r w:rsidRPr="004F425A">
              <w:rPr>
                <w:rFonts w:ascii="Lato" w:eastAsia="Lato" w:hAnsi="Lato" w:cs="Lato"/>
                <w:sz w:val="20"/>
                <w:szCs w:val="20"/>
              </w:rPr>
              <w:lastRenderedPageBreak/>
              <w:t>projektów realizowanych w układzie międzyregionalnym i międzynarodowym. W przypadku Politechniki Łódzkiej oznaczałoby to uznanie jej za jednego z rzeczywistych partnerów polityki półprzewodnikowej państwa, a nie tylko za uczelnię dostarczającą absolwentów.</w:t>
            </w:r>
          </w:p>
          <w:p w14:paraId="7B786DE8"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To rozróżnienie ma znaczenie zasadnicze. Jeśli polityka państwa ma doprowadzić do trwałego zakorzenienia sektora półprzewodników w Polsce, musi być budowana na realnych ośrodkach kompetencji, przypisując im role tworzące efekt synergii. Politechnika Łódzka, Łódź i region łódzki do takich ośrodków należą. Nie dlatego, że aspirują do tej roli w przyszłości, ale dlatego, że już dziś posiadają szereg elementów niezbędnych do jej pełnienia: zaplecze badawcze, potencjał dydaktyczny, sieć firm technologicznych i przemysłowych, zdolności logistyczne oraz instytucjonalne instrumenty wsparcia inwestycji. Zadaniem polityki publicznej powinno być nie tylko odnotowanie tego faktu, lecz także jego jednoznaczne przełożenie na architekturę wdrażania całego dokumentu.</w:t>
            </w:r>
          </w:p>
          <w:p w14:paraId="561D44AE"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Podsumowując, włączenie Politechniki Łódzkiej do grona podmiotów współtworzących krajowy ekosystem półprzewodników nie powinno mieć charakteru fakultatywnego, lecz systemowy. Kompetencje uczelni odpowiadają bezpośrednio na zidentyfikowane w polityce państwa luki w łańcuchu wartości w szczególności w obszarze przejścia od badań do prototypów i wdrożeń. Pominięcie tego potencjału oznaczałoby utratę jednej z nielicznych krajowych zdolności do budowy rzeczywistych technologii półprzewodnikowych, a nie jedynie ich projektowania.</w:t>
            </w:r>
          </w:p>
          <w:p w14:paraId="3BE0BA87" w14:textId="25F92122"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Z perspektywy tej polityki Łódź i region łódzki nie powinny być postrzegane wyłącznie jako jedna z wielu możliwych lokalizacji dla przyszłych inwestycji. Taki sposób ujęcia, choć formalnie poprawny, jest zbyt zachowawczy i zbyt słabo odzwierciedla rzeczywisty potencjał tego obszaru. Projekt ministerialny wskazuje Łódź jako lokalizację predestynowaną do pełnienia funkcji związanych z </w:t>
            </w:r>
            <w:r w:rsidRPr="004F425A">
              <w:rPr>
                <w:rFonts w:ascii="Lato" w:eastAsia="Lato" w:hAnsi="Lato" w:cs="Lato"/>
                <w:sz w:val="20"/>
                <w:szCs w:val="20"/>
              </w:rPr>
              <w:lastRenderedPageBreak/>
              <w:t>integracją logistyki, procesów wsparcia, działalności badawczo-rozwojowej i funkcji usługowych komplementarnych wobec innych ośrodków, a także jako region posiadający doświadczenie w kontaktach z partnerami zagranicznymi. To rozpoznanie jest trafne, niemniej jednak w dokumencie brakuje wyraźnego przełożenia tej obserwacji na systemową funkcję Łodzi w projektowanej polityce. Tymczasem to właśnie ten profil – integracyjny, organizacyjny, logistyczny i wspierający rozwój technologii – może okazać się jednym z najcenniejszych zasobów regionu łódzkiego. W polskiej debacie o półprzewodnikach stosunkowo często pierwszoplanowo traktowane są te ośrodki, które posiadają najbardziej oczywiste kompetencje laboratoryjne lub badawcze w bardzo wąskich obszarach technologii. Jest to zrozumiałe, ale niepełne. Ekosystem półprzewodnikowy nie funkcjonuje bowiem wyłącznie dzięki laboratoriom i fabom. W równym stopniu wymaga on zaplecza logistycznego, rozwiniętej obsługi procesowej, infrastruktury inwestycyjnej, dostępu do kadr, powiązań z odbiorcami przemysłowymi oraz zdolności do koordynacji projektów rozproszonych pomiędzy różnymi uczestnikami łańcucha wartości. W tym właśnie zakresie Łódź i region łódzki posiadają cechy, które w polityce krajowej powinny zostać wyraźnie wyartykułowane i podkreślone.</w:t>
            </w:r>
          </w:p>
          <w:p w14:paraId="28D4E130" w14:textId="77777777" w:rsidR="005F5792" w:rsidRPr="004F425A" w:rsidRDefault="005F5792" w:rsidP="004F425A">
            <w:pPr>
              <w:pStyle w:val="Nagwek2"/>
              <w:spacing w:before="0" w:after="120" w:line="240" w:lineRule="auto"/>
              <w:jc w:val="both"/>
              <w:rPr>
                <w:rFonts w:ascii="Lato" w:eastAsia="Lato" w:hAnsi="Lato" w:cs="Lato"/>
                <w:b w:val="0"/>
                <w:bCs w:val="0"/>
                <w:color w:val="au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402DA5D3" w14:textId="6700DEBA" w:rsidR="00E31764" w:rsidRPr="004F425A" w:rsidRDefault="00E31764"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 xml:space="preserve">Uwaga nieuwzględniona </w:t>
            </w:r>
          </w:p>
          <w:p w14:paraId="09CFA92F" w14:textId="2A428D32"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Uwaga o charakterze promocyjnym (rola PŁ w</w:t>
            </w:r>
            <w:r w:rsidR="007461C5">
              <w:rPr>
                <w:rFonts w:ascii="Lato" w:eastAsia="Lato" w:hAnsi="Lato" w:cs="Lato"/>
                <w:sz w:val="20"/>
                <w:szCs w:val="20"/>
              </w:rPr>
              <w:t> </w:t>
            </w:r>
            <w:r w:rsidRPr="004F425A">
              <w:rPr>
                <w:rFonts w:ascii="Lato" w:eastAsia="Lato" w:hAnsi="Lato" w:cs="Lato"/>
                <w:sz w:val="20"/>
                <w:szCs w:val="20"/>
              </w:rPr>
              <w:t xml:space="preserve">geografii kompetencji) - nieuwzględniona jako rozszerzenie treści dokumentu. </w:t>
            </w:r>
          </w:p>
        </w:tc>
      </w:tr>
      <w:tr w:rsidR="004471C5" w:rsidRPr="004F425A" w14:paraId="3F2E839E" w14:textId="77777777" w:rsidTr="79FF9703">
        <w:tc>
          <w:tcPr>
            <w:tcW w:w="1425" w:type="dxa"/>
            <w:tcBorders>
              <w:top w:val="single" w:sz="4" w:space="0" w:color="auto"/>
              <w:left w:val="single" w:sz="4" w:space="0" w:color="auto"/>
              <w:bottom w:val="single" w:sz="4" w:space="0" w:color="auto"/>
              <w:right w:val="single" w:sz="4" w:space="0" w:color="auto"/>
            </w:tcBorders>
          </w:tcPr>
          <w:p w14:paraId="1B6129B2"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655D7E7" w14:textId="4B22B2E8"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46431D8D" w14:textId="77777777" w:rsidR="005F5792" w:rsidRPr="004F425A" w:rsidRDefault="005F5792" w:rsidP="004F425A">
            <w:pPr>
              <w:pStyle w:val="Nagwek1"/>
              <w:spacing w:before="0" w:after="120"/>
              <w:jc w:val="both"/>
              <w:rPr>
                <w:rFonts w:ascii="Lato" w:eastAsia="Lato" w:hAnsi="Lato" w:cs="Lato"/>
                <w:color w:val="auto"/>
                <w:sz w:val="20"/>
                <w:szCs w:val="20"/>
              </w:rPr>
            </w:pPr>
            <w:r w:rsidRPr="004F425A">
              <w:rPr>
                <w:rFonts w:ascii="Lato" w:eastAsia="Lato" w:hAnsi="Lato" w:cs="Lato"/>
                <w:color w:val="auto"/>
                <w:sz w:val="20"/>
                <w:szCs w:val="20"/>
              </w:rPr>
              <w:t>Nieścisłości w dokumencie</w:t>
            </w:r>
          </w:p>
          <w:p w14:paraId="17D185CA"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Analizowany dokument stanowi istotny krok w kierunku zdefiniowania polityki państwa wobec sektora półprzewodników, jednak w jego strukturze widoczne są istotne niedoskonałości, które mogą ograniczać jego wartość operacyjną. Nie mają one charakteru fundamentalnego błędu koncepcyjnego, lecz wynikają raczej z niedostatecznego doprecyzowania, niespójności pomiędzy diagnozą a rekomendacjami oraz braku pełnego wykorzystania dostępnych danych i istniejących zasobów.</w:t>
            </w:r>
          </w:p>
          <w:p w14:paraId="5C064882"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lastRenderedPageBreak/>
              <w:t>Pierwszym z takich obszarów jest brak jednoznacznej podstawy analitycznej dla skali i struktury sektora w Polsce. Dokument sam wskazuje, że sektor półprzewodników nie jest jednoznacznie wyodrębniony w statystyce publicznej, a dane dotyczące jego wielkości i struktury są rozproszone. Jednocześnie jednak formułuje wnioski i rekomendacje strategiczne, które w naturalny sposób wymagają stabilniejszego zaplecza analitycznego. W praktyce oznacza to, że część założeń dotyczących potencjału rozwojowego oraz możliwości jego skalowania nie jest wystarczająco ugruntowana w danych ilościowych.</w:t>
            </w:r>
          </w:p>
          <w:p w14:paraId="781890EB"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Drugim problemem jest niespójność pomiędzy trafną diagnozą a poziomem konkretyzacji proponowanych rozwiązań. Bardzo wyraźnie wskazano kluczowe bariery rozwoju sektora – w szczególności brak pełnego łańcucha wartości, rozproszenie infrastruktury, niedostateczną integrację środowiska naukowego i przemysłowego oraz ograniczoną dostępność finansowania dla projektów wysokiego ryzyka – jednocześnie jednak w części rekomendacyjnej obserwacje nie przekładają się na konkretne mechanizmy działania. Brakuje wskazania, kto i w jaki sposób ma odpowiadać za integrację systemu, jakie instytucje mają pełnić funkcje koordynacyjne oraz jakie instrumenty mają być zastosowane w praktyce.</w:t>
            </w:r>
          </w:p>
          <w:p w14:paraId="617C8493"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Kolejną nieścisłością jest sposób ujęcia infrastruktury. Opracowanie ministerialne słusznie identyfikuje jej rozproszenie jako problem, jednak w dalszej części nie rozstrzyga, czy rozwiązaniem ma być budowa nowych ośrodków, czy integracja istniejących zasobów. W efekcie powstaje niejednoznaczność, która w praktyce może prowadzić do dublowania inwestycji lub nieefektywnego wykorzystania środków publicznych. Brakuje również wskazania potencjalnych operatorów infrastruktury oraz modeli jej udostępniania dla przemysłu.</w:t>
            </w:r>
          </w:p>
          <w:p w14:paraId="00F6E954"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W podobny sposób niedookreślona pozostaje rola uczelni technicznych. Dokument wielokrotnie podkreśla znaczenie środowiska akademickiego jako źródła kompetencji i kadr, jednak nie przypisuje mu żadnej funkcji systemowej. </w:t>
            </w:r>
            <w:r w:rsidRPr="004F425A">
              <w:rPr>
                <w:rFonts w:ascii="Lato" w:eastAsia="Lato" w:hAnsi="Lato" w:cs="Lato"/>
                <w:sz w:val="20"/>
                <w:szCs w:val="20"/>
              </w:rPr>
              <w:lastRenderedPageBreak/>
              <w:t xml:space="preserve">Uczelnie nie pojawiają się jako partnerzy w realizacji projektów technologicznych, operatorzy infrastruktury ani uczestnicy procesów inwestycyjnych. Jest to istotna luka, ponieważ w praktyce to właśnie one dysponują znaczącą częścią potencjału badawczo-rozwojowego kraju. Istotnym problemem jest również brak operacyjnego ujęcia specjalizacji regionalnej. </w:t>
            </w:r>
          </w:p>
          <w:p w14:paraId="1B61DA8A"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tym kontekście niedoszacowany pozostaje również potencjał regionów posiadających już rozwinięte zaplecze przemysłowe i akademickie. Dokument koncentruje się w dużej mierze na możliwościach przyszłego rozwoju, nie w pełni uwzględniając istniejące ekosystemy, które mogą stanowić punkt wyjścia dla planowanych do realizacji działań. Dotyczy to szczególnie regionów o silnych powiązaniach przemysłowych, rozwiniętej infrastrukturze logistycznej oraz znaczącym potencjale edukacyjnym.</w:t>
            </w:r>
          </w:p>
          <w:p w14:paraId="14099B41"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Kolejna nieścisłość dotyczy relacji pomiędzy inwestycjami a rozwojem technologii. Polityka wyraźnie akcentuje potrzebę przyciągania inwestycji, jednak w ograniczonym stopniu odnosi się do warunków budowy własnych kompetencji technologicznych. Brakuje spójnego modelu, który łączyłby inwestycje przemysłowe z rozwojem badań, kształceniem kadr oraz transferem technologii. W efekcie istnieje ryzyko, że działania skoncentrują się na krótkoterminowych efektach gospodarczych, bez budowy trwałych podstaw sektora.</w:t>
            </w:r>
          </w:p>
          <w:p w14:paraId="4F95D7A7"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Nie w pełni rozwinięty został również wątek dotyczący współpracy z przemysłem krajowym. Dokument wskazuje na istnienie sektora elektroniki, motoryzacji czy obronności, jednak nie analizuje szczegółowo, w jaki sposób te branże mogą zostać włączone w rozwój sektora półprzewodników. Tymczasem to właśnie powiązania z odbiorcami końcowymi są jednym z kluczowych elementów budowy stabilnego ekosystemu.</w:t>
            </w:r>
          </w:p>
          <w:p w14:paraId="427F0B5B"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Wreszcie, dokument pozostawia niedoprecyzowane kwestie związane z zarządzaniem całością polityki. Nie wskazuje jednoznacznie instytucji odpowiedzialnych </w:t>
            </w:r>
            <w:r w:rsidRPr="004F425A">
              <w:rPr>
                <w:rFonts w:ascii="Lato" w:eastAsia="Lato" w:hAnsi="Lato" w:cs="Lato"/>
                <w:sz w:val="20"/>
                <w:szCs w:val="20"/>
              </w:rPr>
              <w:lastRenderedPageBreak/>
              <w:t>za koordynację działań, nie określa relacji pomiędzy poziomem krajowym a regionalnym oraz nie definiuje mechanizmów monitorowania postępów. W przypadku sektora o tak wysokim stopniu złożoności brak tych elementów może znacząco utrudnić skuteczne wdrożenie strategii.</w:t>
            </w:r>
          </w:p>
          <w:p w14:paraId="1EE37096"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dokumencie „Polska w grze o przyszłość – polityka dla sektora półprzewodników 2026+” wskazać można również pewne szczegółowe fragmenty budzące wątpliwości w zakresie przyjętych założeń, bądź też nieuwzględniające istotnych okoliczności faktycznych. Wskazano je poniżej.</w:t>
            </w:r>
          </w:p>
          <w:p w14:paraId="1662EBC2"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Opracowanie postuluje wzrost liczby studentów kierunków związanych z elektroniką o 30</w:t>
            </w:r>
            <w:r w:rsidRPr="004F425A">
              <w:rPr>
                <w:rFonts w:ascii="Lato" w:hAnsi="Lato"/>
                <w:sz w:val="20"/>
                <w:szCs w:val="20"/>
              </w:rPr>
              <w:noBreakHyphen/>
            </w:r>
            <w:r w:rsidRPr="004F425A">
              <w:rPr>
                <w:rFonts w:ascii="Lato" w:eastAsia="Lato" w:hAnsi="Lato" w:cs="Lato"/>
                <w:sz w:val="20"/>
                <w:szCs w:val="20"/>
              </w:rPr>
              <w:t>50% do 2030 roku. Należy pamiętać, że w ramach tej grupy aktualnie jedynie śladowy odsetek to absolwenci związani z projektowaniem bądź produkcją układów scalonych, ciężar edukacji koncentruje się na układach elektronicznych, przede wszystkim cyfrowych/mikroprocesorowych. Tak więc sam (postulowany) wzrost ogólnej liczby absolwentów o 50% jest niewystarczający, konieczny jest dużo bardziej znaczący wzrost (nawet o rząd wielkości) liczby absolwentów konkretnych specjalizacji.</w:t>
            </w:r>
          </w:p>
          <w:p w14:paraId="6BFB2CF8"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Dokument pomija kwestię mechanizmu zapewniającego nisko- bądź bezkosztowy dostęp do planowanej linii pilotażowej. Na dzień dzisiejszy uczelnie i firmy w Polsce mają dostęp do linii produkcyjnych na całym świecie – jeśli mają środki by za to zapłacić. Z punktu widzenia projektanta lokalizacja geograficzna produkcji jest nieistotna, projekty przesyła się elektronicznie, a transport gotowych układów też nie jest kłopotliwy. Jeśli polska linia nie będzie konkurencyjna cenowo, może pozostać bezużyteczna. A biorąc pod uwagę, że koszty operacyjne takiej linii, z samego faktu ulokowania jej w Polsce, nie będą niższe niż za granicą, oraz fakt, że mała linia nie ma efektu skali dostępnego dla dużych firm światowych, konkurencyjność cenowa jest wątpliwa.</w:t>
            </w:r>
          </w:p>
          <w:p w14:paraId="1DF9087A" w14:textId="6178CFA5"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lastRenderedPageBreak/>
              <w:t>Pewne wątpliwość budzi koncepcja wykorzystania produktów (czyli, jak należy rozumieć, układów scalonych, przyrządów mocy) przez państwo jako odbiorcę. W szczególności w zakresie układów scalonych: mało realistyczne jest wytworzenie konkurencyjnego w stosunku do rozwiązań światowych układu scalonego ogólnego przeznaczenia (np. procesora) w ciągu roku (założenie: 2 wdrożenia rocznie od 2027, s. 13). Pozostawia to w praktyce układy wysokospecjalizowane, czyli application-specific integrated circuit (ASIC). Problemem jest tu niewielka stosowalność tych układów (układy ogólnego przeznaczenia to 60% rynku, ASIC to 2% rynku). Może się okazać, że układów ogólnego przeznaczenia nie będziemy w stanie wytworzyć, a na układy ASIC nie będzie zapotrzebowania w spółkach SP. Być może rozwiązaniem jest uwzględnienie układów rekonfigurowalnych field-programmable gate array (FPGA), ale tę kwestię całkowicie pominięto (zob. również poniżej).</w:t>
            </w:r>
          </w:p>
          <w:p w14:paraId="75C6F6D3"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Aczkolwiek dokument nie mówi tego wprost, wydaje się koncentrować na projektowaniu układów scalonych rozumianym jako uzyskanie (wytworzenie w fabryce) struktur półprzewodnikowych realizujących pożądaną funkcjonalność. Nie jest to jednak jedyny sposób uzyskania układów scalonych o pożądanej funkcjonalności: alternatywą są struktury FPGA, gdzie projektant uzyskuje realizację pożądanej funkcjonalności poprzez programowe łączenie bloków w już istniejącej, komercyjnie dostępnej strukturze półprzewodnikowej. Rozwiązanie to ma pewne wady (wyższy koszt jednostkowy układu przy produkcji masowej, bardzo ograniczone możliwości w przypadku elektroniki analogowej), jednak z punktu widzenia rozwoju szeroko rozumianych „półprzewodników” w Polsce ma ono znaczące zalety: przede wszystkim nie wymaga inwestycji w linie produkcyjne, a sposoby projektowania mają wiele wspólnych elementów z projektowaniem „normalnych” układów scalonych (języki HDL). Koszt jednostkowy tych układów jest również dużo niższy w przypadku małych serii, co czyni je idealnymi do prototypowania, edukacji, a także wysoce specjalistycznych, krótkoseryjnych zastosowań. </w:t>
            </w:r>
            <w:r w:rsidRPr="004F425A">
              <w:rPr>
                <w:rFonts w:ascii="Lato" w:eastAsia="Lato" w:hAnsi="Lato" w:cs="Lato"/>
                <w:sz w:val="20"/>
                <w:szCs w:val="20"/>
              </w:rPr>
              <w:lastRenderedPageBreak/>
              <w:t>Układy FPGA, a dokładnie kwestie ich programowania, testowania i integracji powinny tym samym jawnie zostać włączone w projekt.</w:t>
            </w:r>
          </w:p>
          <w:p w14:paraId="6CF7F9EE"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Politechnika Łódzka ma bardzo duże doświadczenie i szerokie kompetencje w zakresie układów FPGA. Od wielu lat wykorzystuje te układy do realizacji projektów i zleceń dla największych światowych ośrodków fizyki wysokich energii, jak np. ITER, Fermilab, DESY. Kompetencje te powinny zostać wykorzystane przy tworzeniu centrum kompetencji półprzewodników.</w:t>
            </w:r>
          </w:p>
          <w:p w14:paraId="464875AF" w14:textId="79B0C996"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Podsumowując, dokument „Polska w grze o przyszłość – polityka dla sektora półprzewodników 2026+” zawiera trafną diagnozę i właściwie identyfikuje kluczowe kierunki rozwoju, jednak jego główną słabością jest niedostateczny poziom operacyjności. Braki te nie podważają zasadności przyjętej strategii, lecz wskazują na konieczność jej dalszego dopracowania. Uzupełnienie dokumentu o konkretne mechanizmy działania, wyraźne przypisanie ról instytucjom oraz lepsze wykorzystanie istniejących zasobów krajowych stanowi warunek przejścia od poziomu deklaracji do skutecznej realizacji polityki dla sektora półprzewodników.</w:t>
            </w:r>
          </w:p>
        </w:tc>
        <w:tc>
          <w:tcPr>
            <w:tcW w:w="4859" w:type="dxa"/>
            <w:tcBorders>
              <w:top w:val="single" w:sz="4" w:space="0" w:color="auto"/>
              <w:left w:val="single" w:sz="4" w:space="0" w:color="auto"/>
              <w:bottom w:val="single" w:sz="4" w:space="0" w:color="auto"/>
              <w:right w:val="single" w:sz="4" w:space="0" w:color="auto"/>
            </w:tcBorders>
          </w:tcPr>
          <w:p w14:paraId="1D3BB6AB" w14:textId="77777777" w:rsidR="007461C5"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uwzględniona</w:t>
            </w:r>
          </w:p>
          <w:p w14:paraId="64D7A053" w14:textId="124AD001"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Uwaga została uwzględniona zgodnie z</w:t>
            </w:r>
            <w:r w:rsidR="007461C5">
              <w:t> </w:t>
            </w:r>
            <w:r w:rsidRPr="004F425A">
              <w:rPr>
                <w:rFonts w:ascii="Lato" w:eastAsia="Lato" w:hAnsi="Lato" w:cs="Lato"/>
                <w:sz w:val="20"/>
                <w:szCs w:val="20"/>
              </w:rPr>
              <w:t xml:space="preserve">rekomendacją PŁ. </w:t>
            </w:r>
          </w:p>
        </w:tc>
      </w:tr>
      <w:tr w:rsidR="004471C5" w:rsidRPr="004F425A" w14:paraId="0B7958A5" w14:textId="77777777" w:rsidTr="79FF9703">
        <w:tc>
          <w:tcPr>
            <w:tcW w:w="1425" w:type="dxa"/>
            <w:tcBorders>
              <w:top w:val="single" w:sz="4" w:space="0" w:color="auto"/>
              <w:left w:val="single" w:sz="4" w:space="0" w:color="auto"/>
              <w:bottom w:val="single" w:sz="4" w:space="0" w:color="auto"/>
              <w:right w:val="single" w:sz="4" w:space="0" w:color="auto"/>
            </w:tcBorders>
          </w:tcPr>
          <w:p w14:paraId="2810A1C6"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469FFA0" w14:textId="0D364C3F"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02EFF88E" w14:textId="77777777" w:rsidR="005F5792" w:rsidRPr="004F425A" w:rsidRDefault="005F5792" w:rsidP="004F425A">
            <w:pPr>
              <w:pStyle w:val="Akapitzlist"/>
              <w:numPr>
                <w:ilvl w:val="2"/>
                <w:numId w:val="47"/>
              </w:numPr>
              <w:spacing w:after="120" w:line="240" w:lineRule="auto"/>
              <w:ind w:left="426" w:hanging="426"/>
              <w:contextualSpacing w:val="0"/>
              <w:jc w:val="both"/>
              <w:rPr>
                <w:rFonts w:ascii="Lato" w:eastAsia="Lato" w:hAnsi="Lato" w:cs="Lato"/>
                <w:sz w:val="20"/>
                <w:szCs w:val="20"/>
              </w:rPr>
            </w:pPr>
            <w:r w:rsidRPr="004F425A">
              <w:rPr>
                <w:rFonts w:ascii="Lato" w:eastAsia="Lato" w:hAnsi="Lato" w:cs="Lato"/>
                <w:sz w:val="20"/>
                <w:szCs w:val="20"/>
              </w:rPr>
              <w:t>Korekta pozycji Politechniki Łódzkiej zgodnie z treścią akapitu „Instytucje naukowe i zaplecze badawcze”</w:t>
            </w:r>
          </w:p>
          <w:p w14:paraId="4B1F12B0"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Rozdział V. Kadry i edukacja (str. 37)</w:t>
            </w:r>
          </w:p>
          <w:p w14:paraId="021CBF23"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Uczelnie takie jak Politechnika Warszawska, Uniwersytet Warszawski, Akademia Górniczo-Hutnicza w Krakowie, Wojskowa Akademia Techniczna oraz politechniki we Wrocławiu, Gdańsku, Poznaniu i Gliwicach mają potencjał, by stać się liderami w kształceniu kadr dla przemysłu półprzewodnikowego. Dodatkowo, uczelnie takie jak Politechnika Bydgoska, Łódzka oraz Lubelska mogą odegrać istotną rolę w rozwijaniu zaplecza talentów w regionach.</w:t>
            </w:r>
          </w:p>
          <w:p w14:paraId="11805630" w14:textId="0E199D86"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 Uczelnie takie jak Politechnika Warszawska, Uniwersytet Warszawski, Akademia Górniczo-Hutnicza w </w:t>
            </w:r>
            <w:r w:rsidRPr="004F425A">
              <w:rPr>
                <w:rFonts w:ascii="Lato" w:eastAsia="Lato" w:hAnsi="Lato" w:cs="Lato"/>
                <w:sz w:val="20"/>
                <w:szCs w:val="20"/>
              </w:rPr>
              <w:lastRenderedPageBreak/>
              <w:t>Krakowie, Wojskowa Akademia Techniczna oraz politechniki we Wrocławiu, Gdańsku, Łodzi, Poznaniu i Gliwicach mają potencjał, by stać się liderami w kształceniu kadr dla przemysłu półprzewodnikowego. Dodatkowo, uczelnie takie jak Politechnika Bydgoska oraz Lubelska mogą odegrać istotną rolę w rozwijaniu zaplecza talentów w regionach.</w:t>
            </w:r>
          </w:p>
        </w:tc>
        <w:tc>
          <w:tcPr>
            <w:tcW w:w="4859" w:type="dxa"/>
            <w:tcBorders>
              <w:top w:val="single" w:sz="4" w:space="0" w:color="auto"/>
              <w:left w:val="single" w:sz="4" w:space="0" w:color="auto"/>
              <w:bottom w:val="single" w:sz="4" w:space="0" w:color="auto"/>
              <w:right w:val="single" w:sz="4" w:space="0" w:color="auto"/>
            </w:tcBorders>
          </w:tcPr>
          <w:p w14:paraId="6F6FEA1B" w14:textId="77777777" w:rsidR="007461C5"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03771BFD" w14:textId="4ABA7D90"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 xml:space="preserve">Uczelnie zostały ułożone w sposób alfabetyczny. </w:t>
            </w:r>
          </w:p>
        </w:tc>
      </w:tr>
      <w:tr w:rsidR="004471C5" w:rsidRPr="004F425A" w14:paraId="1CD2F11F" w14:textId="77777777" w:rsidTr="79FF9703">
        <w:tc>
          <w:tcPr>
            <w:tcW w:w="1425" w:type="dxa"/>
            <w:tcBorders>
              <w:top w:val="single" w:sz="4" w:space="0" w:color="auto"/>
              <w:left w:val="single" w:sz="4" w:space="0" w:color="auto"/>
              <w:bottom w:val="single" w:sz="4" w:space="0" w:color="auto"/>
              <w:right w:val="single" w:sz="4" w:space="0" w:color="auto"/>
            </w:tcBorders>
          </w:tcPr>
          <w:p w14:paraId="2D0749AD"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B1C1DAB" w14:textId="7717B7D1"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18082733" w14:textId="77777777" w:rsidR="005F5792" w:rsidRPr="004F425A" w:rsidRDefault="005F5792" w:rsidP="004F425A">
            <w:pPr>
              <w:pStyle w:val="Akapitzlist"/>
              <w:numPr>
                <w:ilvl w:val="2"/>
                <w:numId w:val="47"/>
              </w:numPr>
              <w:spacing w:after="120" w:line="240" w:lineRule="auto"/>
              <w:ind w:left="426" w:hanging="426"/>
              <w:contextualSpacing w:val="0"/>
              <w:jc w:val="both"/>
              <w:rPr>
                <w:rFonts w:ascii="Lato" w:eastAsia="Lato" w:hAnsi="Lato" w:cs="Lato"/>
                <w:sz w:val="20"/>
                <w:szCs w:val="20"/>
              </w:rPr>
            </w:pPr>
            <w:r w:rsidRPr="004F425A">
              <w:rPr>
                <w:rFonts w:ascii="Lato" w:eastAsia="Lato" w:hAnsi="Lato" w:cs="Lato"/>
                <w:sz w:val="20"/>
                <w:szCs w:val="20"/>
              </w:rPr>
              <w:t>Uwypuklenie roli obszarów back-end</w:t>
            </w:r>
          </w:p>
          <w:p w14:paraId="0BD48E3F"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Rozdział I. Infrastruktura (str. 16) </w:t>
            </w:r>
          </w:p>
          <w:p w14:paraId="7461BBA2"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W ramach działań priorytetowych planuje się: […]</w:t>
            </w:r>
          </w:p>
          <w:p w14:paraId="64683142"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5. Utworzenie parku […]</w:t>
            </w:r>
          </w:p>
          <w:p w14:paraId="30AB231B" w14:textId="4F2C736A"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6. Zbudowanie krajowych kompetencji w zakresie procesów back-end (pakowanie, testowanie oraz integracja układów)</w:t>
            </w:r>
          </w:p>
        </w:tc>
        <w:tc>
          <w:tcPr>
            <w:tcW w:w="4859" w:type="dxa"/>
            <w:tcBorders>
              <w:top w:val="single" w:sz="4" w:space="0" w:color="auto"/>
              <w:left w:val="single" w:sz="4" w:space="0" w:color="auto"/>
              <w:bottom w:val="single" w:sz="4" w:space="0" w:color="auto"/>
              <w:right w:val="single" w:sz="4" w:space="0" w:color="auto"/>
            </w:tcBorders>
          </w:tcPr>
          <w:p w14:paraId="71F47980" w14:textId="77777777" w:rsidR="007461C5"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306E918F" w14:textId="5DC537A4"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Rola back-end w opinii MC jest zaznaczona w</w:t>
            </w:r>
            <w:r w:rsidR="007461C5">
              <w:rPr>
                <w:rFonts w:ascii="Lato" w:eastAsia="Lato" w:hAnsi="Lato" w:cs="Lato"/>
                <w:sz w:val="20"/>
                <w:szCs w:val="20"/>
              </w:rPr>
              <w:t> </w:t>
            </w:r>
            <w:r w:rsidRPr="004F425A">
              <w:rPr>
                <w:rFonts w:ascii="Lato" w:eastAsia="Lato" w:hAnsi="Lato" w:cs="Lato"/>
                <w:sz w:val="20"/>
                <w:szCs w:val="20"/>
              </w:rPr>
              <w:t xml:space="preserve">dokumencie w sposób wystarczający. </w:t>
            </w:r>
          </w:p>
        </w:tc>
      </w:tr>
      <w:tr w:rsidR="004471C5" w:rsidRPr="004F425A" w14:paraId="5CED607D" w14:textId="77777777" w:rsidTr="79FF9703">
        <w:tc>
          <w:tcPr>
            <w:tcW w:w="1425" w:type="dxa"/>
            <w:tcBorders>
              <w:top w:val="single" w:sz="4" w:space="0" w:color="auto"/>
              <w:left w:val="single" w:sz="4" w:space="0" w:color="auto"/>
              <w:bottom w:val="single" w:sz="4" w:space="0" w:color="auto"/>
              <w:right w:val="single" w:sz="4" w:space="0" w:color="auto"/>
            </w:tcBorders>
          </w:tcPr>
          <w:p w14:paraId="2FA36DD5"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F2175E1" w14:textId="63F3D033"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4DA080EE" w14:textId="77777777" w:rsidR="005F5792" w:rsidRPr="004F425A" w:rsidRDefault="005F5792" w:rsidP="004F425A">
            <w:pPr>
              <w:pStyle w:val="Akapitzlist"/>
              <w:numPr>
                <w:ilvl w:val="2"/>
                <w:numId w:val="47"/>
              </w:numPr>
              <w:spacing w:after="120" w:line="240" w:lineRule="auto"/>
              <w:ind w:left="426" w:hanging="426"/>
              <w:contextualSpacing w:val="0"/>
              <w:jc w:val="both"/>
              <w:rPr>
                <w:rFonts w:ascii="Lato" w:eastAsia="Lato" w:hAnsi="Lato" w:cs="Lato"/>
                <w:sz w:val="20"/>
                <w:szCs w:val="20"/>
              </w:rPr>
            </w:pPr>
            <w:r w:rsidRPr="004F425A">
              <w:rPr>
                <w:rFonts w:ascii="Lato" w:eastAsia="Lato" w:hAnsi="Lato" w:cs="Lato"/>
                <w:sz w:val="20"/>
                <w:szCs w:val="20"/>
              </w:rPr>
              <w:t>Wykorzystanie potencjału położenia regionu łódzkiego</w:t>
            </w:r>
          </w:p>
          <w:p w14:paraId="217F17A2"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Rozdział I. Infrastruktura (str. 23)</w:t>
            </w:r>
          </w:p>
          <w:p w14:paraId="23BA6E48"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w:t>
            </w:r>
            <w:r w:rsidRPr="004F425A">
              <w:rPr>
                <w:rFonts w:ascii="Lato" w:hAnsi="Lato"/>
                <w:sz w:val="20"/>
                <w:szCs w:val="20"/>
              </w:rPr>
              <w:tab/>
            </w:r>
            <w:r w:rsidRPr="004F425A">
              <w:rPr>
                <w:rFonts w:ascii="Lato" w:eastAsia="Lato" w:hAnsi="Lato" w:cs="Lato"/>
                <w:sz w:val="20"/>
                <w:szCs w:val="20"/>
              </w:rPr>
              <w:t>Łódź (integracja logistyki, procesów wsparcia, R&amp;D oraz funkcje usługowe komplementarne wobec pozostałych ośrodków, doświadczenie w kontaktach z partnerami zagranicznymi);</w:t>
            </w:r>
          </w:p>
          <w:p w14:paraId="42257E1F"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w:t>
            </w:r>
            <w:r w:rsidRPr="004F425A">
              <w:rPr>
                <w:rFonts w:ascii="Lato" w:hAnsi="Lato"/>
                <w:sz w:val="20"/>
                <w:szCs w:val="20"/>
              </w:rPr>
              <w:tab/>
            </w:r>
            <w:r w:rsidRPr="004F425A">
              <w:rPr>
                <w:rFonts w:ascii="Lato" w:eastAsia="Lato" w:hAnsi="Lato" w:cs="Lato"/>
                <w:sz w:val="20"/>
                <w:szCs w:val="20"/>
              </w:rPr>
              <w:t>Łódź (integracja logistyki, procesów wsparcia, R&amp;D, rozwój infrastruktury front-end i back-end oraz integracji systemów półprzewodnikowych oraz funkcje usługowe komplementarne wobec pozostałych ośrodków, doświadczenie w kontaktach z partnerami zagranicznymi);</w:t>
            </w:r>
          </w:p>
          <w:p w14:paraId="41B424B6" w14:textId="77777777" w:rsidR="005F5792" w:rsidRPr="004F425A" w:rsidRDefault="005F5792" w:rsidP="004F425A">
            <w:pPr>
              <w:pStyle w:val="Akapitzlist"/>
              <w:spacing w:after="120" w:line="240" w:lineRule="auto"/>
              <w:ind w:left="426"/>
              <w:contextualSpacing w:val="0"/>
              <w:jc w:val="both"/>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36F12A37" w14:textId="72125826" w:rsidR="005F5792" w:rsidRPr="004F425A" w:rsidRDefault="005F5792" w:rsidP="004F425A">
            <w:pPr>
              <w:spacing w:after="120" w:line="240" w:lineRule="auto"/>
              <w:rPr>
                <w:rFonts w:ascii="Lato" w:hAnsi="Lato"/>
                <w:b/>
                <w:sz w:val="20"/>
                <w:szCs w:val="20"/>
              </w:rPr>
            </w:pPr>
            <w:r w:rsidRPr="004F425A">
              <w:rPr>
                <w:rStyle w:val="Ppogrubienie"/>
                <w:rFonts w:ascii="Lato" w:hAnsi="Lato"/>
                <w:sz w:val="20"/>
                <w:szCs w:val="20"/>
              </w:rPr>
              <w:t xml:space="preserve">Uwaga nieuwzględniona. </w:t>
            </w:r>
            <w:r w:rsidRPr="004F425A">
              <w:rPr>
                <w:rStyle w:val="Ppogrubienie"/>
                <w:rFonts w:ascii="Lato" w:hAnsi="Lato"/>
                <w:sz w:val="20"/>
                <w:szCs w:val="20"/>
              </w:rPr>
              <w:br/>
            </w:r>
            <w:r w:rsidRPr="004F425A">
              <w:rPr>
                <w:rFonts w:ascii="Lato" w:eastAsia="Lato" w:hAnsi="Lato" w:cs="Lato"/>
                <w:sz w:val="20"/>
                <w:szCs w:val="20"/>
              </w:rPr>
              <w:t xml:space="preserve">Polityka ma charakter horyzontalny i nie koncentruje się na jednym wybranym regionie Polski. </w:t>
            </w:r>
          </w:p>
        </w:tc>
      </w:tr>
      <w:tr w:rsidR="004471C5" w:rsidRPr="004F425A" w14:paraId="222D4D40" w14:textId="77777777" w:rsidTr="79FF9703">
        <w:tc>
          <w:tcPr>
            <w:tcW w:w="1425" w:type="dxa"/>
            <w:tcBorders>
              <w:top w:val="single" w:sz="4" w:space="0" w:color="auto"/>
              <w:left w:val="single" w:sz="4" w:space="0" w:color="auto"/>
              <w:bottom w:val="single" w:sz="4" w:space="0" w:color="auto"/>
              <w:right w:val="single" w:sz="4" w:space="0" w:color="auto"/>
            </w:tcBorders>
          </w:tcPr>
          <w:p w14:paraId="1D51C966"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E2C3814" w14:textId="1B87175C"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39FC0A3D" w14:textId="21539BCF" w:rsidR="005F5792" w:rsidRPr="004F425A" w:rsidRDefault="005F5792" w:rsidP="004F425A">
            <w:pPr>
              <w:pStyle w:val="Akapitzlist"/>
              <w:numPr>
                <w:ilvl w:val="2"/>
                <w:numId w:val="47"/>
              </w:numPr>
              <w:spacing w:after="120" w:line="240" w:lineRule="auto"/>
              <w:ind w:left="426" w:hanging="426"/>
              <w:contextualSpacing w:val="0"/>
              <w:jc w:val="both"/>
              <w:rPr>
                <w:rFonts w:ascii="Lato" w:eastAsia="Lato" w:hAnsi="Lato" w:cs="Lato"/>
                <w:sz w:val="20"/>
                <w:szCs w:val="20"/>
              </w:rPr>
            </w:pPr>
            <w:r w:rsidRPr="004F425A">
              <w:rPr>
                <w:rFonts w:ascii="Lato" w:eastAsia="Lato" w:hAnsi="Lato" w:cs="Lato"/>
                <w:sz w:val="20"/>
                <w:szCs w:val="20"/>
              </w:rPr>
              <w:t xml:space="preserve">Rozszerzenie zakresu projektowania o układy FPGA </w:t>
            </w:r>
          </w:p>
          <w:p w14:paraId="15218CC8"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Część „Polska branża półprzewodników” </w:t>
            </w:r>
          </w:p>
          <w:p w14:paraId="4322A2E2"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Rozdział „Obszary specjalizacji i kompetencji” </w:t>
            </w:r>
          </w:p>
          <w:p w14:paraId="0E02348A" w14:textId="2A3A802A"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Sekcja „Projektowanie układów scalonych i logika cyfrowa” (str. 7) </w:t>
            </w:r>
          </w:p>
          <w:p w14:paraId="05A64CA8"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lastRenderedPageBreak/>
              <w:t xml:space="preserve">Po słowach: </w:t>
            </w:r>
          </w:p>
          <w:p w14:paraId="57D77730" w14:textId="77777777" w:rsidR="005F5792" w:rsidRPr="004F425A" w:rsidRDefault="005F5792" w:rsidP="004F425A">
            <w:pPr>
              <w:spacing w:after="120" w:line="240" w:lineRule="auto"/>
              <w:jc w:val="both"/>
              <w:rPr>
                <w:rFonts w:ascii="Lato" w:eastAsia="Lato" w:hAnsi="Lato" w:cs="Lato"/>
                <w:sz w:val="20"/>
                <w:szCs w:val="20"/>
                <w:lang w:val="en-GB"/>
              </w:rPr>
            </w:pPr>
            <w:r w:rsidRPr="004F425A">
              <w:rPr>
                <w:rFonts w:ascii="Lato" w:eastAsia="Lato" w:hAnsi="Lato" w:cs="Lato"/>
                <w:sz w:val="20"/>
                <w:szCs w:val="20"/>
              </w:rPr>
              <w:t xml:space="preserve">„…w tym zwłaszcza specjalizowanych (z ang. </w:t>
            </w:r>
            <w:r w:rsidRPr="004F425A">
              <w:rPr>
                <w:rFonts w:ascii="Lato" w:eastAsia="Lato" w:hAnsi="Lato" w:cs="Lato"/>
                <w:sz w:val="20"/>
                <w:szCs w:val="20"/>
                <w:lang w:val="en-GB"/>
              </w:rPr>
              <w:t xml:space="preserve">ASIC - Application-Specific Integrated Circuit),” </w:t>
            </w:r>
          </w:p>
          <w:p w14:paraId="00044216"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dodać: </w:t>
            </w:r>
          </w:p>
          <w:p w14:paraId="3E67EAB5"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 oraz układów rekonfigurowalnych (z ang. FPGA - Field-Programmable Gate Array), które stanowią kluczowy element prototypowania, edukacji oraz specjalistycznych zastosowań krótkoseryjnych. </w:t>
            </w:r>
          </w:p>
          <w:p w14:paraId="01704351" w14:textId="77777777" w:rsidR="005F5792" w:rsidRPr="004F425A" w:rsidRDefault="005F5792" w:rsidP="004F425A">
            <w:pPr>
              <w:spacing w:after="120" w:line="240" w:lineRule="auto"/>
              <w:jc w:val="both"/>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7EBB2AE0" w14:textId="77777777" w:rsidR="007461C5"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4AD32B34" w14:textId="0D8D3F1E"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Projekt Polityki ma charakter strategiczny i nie ma na celu przedstawienia wyczerpującego katalogu technologii ani rozwiązań stosowanych w projektowaniu układów półprzewodnikowych. Wskazanie układów ASIC ma charakter przykładowy </w:t>
            </w:r>
            <w:r w:rsidRPr="004F425A">
              <w:rPr>
                <w:rFonts w:ascii="Lato" w:eastAsia="Lato" w:hAnsi="Lato" w:cs="Lato"/>
                <w:sz w:val="20"/>
                <w:szCs w:val="20"/>
              </w:rPr>
              <w:lastRenderedPageBreak/>
              <w:t>i odnosi się do jednego z głównych obszarów specjalizacji. Rozszerzanie katalogu o kolejne technologie, takie jak FPGA, mogłoby prowadzić do nadmiernego uszczegółowienia dokumentu.</w:t>
            </w:r>
          </w:p>
        </w:tc>
      </w:tr>
      <w:tr w:rsidR="004471C5" w:rsidRPr="004F425A" w14:paraId="01DB0AE4" w14:textId="77777777" w:rsidTr="79FF9703">
        <w:tc>
          <w:tcPr>
            <w:tcW w:w="1425" w:type="dxa"/>
            <w:tcBorders>
              <w:top w:val="single" w:sz="4" w:space="0" w:color="auto"/>
              <w:left w:val="single" w:sz="4" w:space="0" w:color="auto"/>
              <w:bottom w:val="single" w:sz="4" w:space="0" w:color="auto"/>
              <w:right w:val="single" w:sz="4" w:space="0" w:color="auto"/>
            </w:tcBorders>
          </w:tcPr>
          <w:p w14:paraId="0F2702D7"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5D2D267" w14:textId="2897EE4E"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4B3D8EC4" w14:textId="77777777" w:rsidR="005F5792" w:rsidRPr="004F425A" w:rsidRDefault="005F5792" w:rsidP="004F425A">
            <w:pPr>
              <w:pStyle w:val="Akapitzlist"/>
              <w:numPr>
                <w:ilvl w:val="2"/>
                <w:numId w:val="47"/>
              </w:numPr>
              <w:spacing w:after="120" w:line="240" w:lineRule="auto"/>
              <w:ind w:left="426" w:hanging="426"/>
              <w:contextualSpacing w:val="0"/>
              <w:jc w:val="both"/>
              <w:rPr>
                <w:rFonts w:ascii="Lato" w:eastAsia="Lato" w:hAnsi="Lato" w:cs="Lato"/>
                <w:sz w:val="20"/>
                <w:szCs w:val="20"/>
              </w:rPr>
            </w:pPr>
            <w:r w:rsidRPr="004F425A">
              <w:rPr>
                <w:rFonts w:ascii="Lato" w:eastAsia="Lato" w:hAnsi="Lato" w:cs="Lato"/>
                <w:sz w:val="20"/>
                <w:szCs w:val="20"/>
              </w:rPr>
              <w:t xml:space="preserve">Dookreślenie celów edukacyjnych (specjalizacja kadr) </w:t>
            </w:r>
          </w:p>
          <w:p w14:paraId="139AC90E"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Rozdział V. Kadry i edukacja (str. 37) </w:t>
            </w:r>
          </w:p>
          <w:p w14:paraId="341FCC05"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 Choć liczba ta jest adekwatna do bieżących potrzeb rynku, aby zaspokoić przyszły popyt, powinna wzrosnąć co najmniej o 30-50% do 2030 roku. </w:t>
            </w:r>
          </w:p>
          <w:p w14:paraId="42E29C8E"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 Choć liczba ta jest adekwatna do bieżących potrzeb rynku, aby zaspokoić przyszły popyt, powinna wzrosnąć co najmniej o 30-50% do 2030 roku, przy jednoczesnym zapewnieniu co najmniej dwukrotnego wzrostu liczby dyplomantów specjalizujących się bezpośrednio w projektowaniu, testowaniu oraz technologii wytwarzania struktur półprzewodnikowych. </w:t>
            </w:r>
          </w:p>
          <w:p w14:paraId="13DEA026" w14:textId="77777777" w:rsidR="005F5792" w:rsidRPr="004F425A" w:rsidRDefault="005F5792" w:rsidP="004F425A">
            <w:pPr>
              <w:pStyle w:val="Akapitzlist"/>
              <w:spacing w:after="120" w:line="240" w:lineRule="auto"/>
              <w:ind w:left="426"/>
              <w:contextualSpacing w:val="0"/>
              <w:jc w:val="both"/>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15451EBD" w14:textId="77777777" w:rsidR="007461C5"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częściowo uwzględniona</w:t>
            </w:r>
          </w:p>
          <w:p w14:paraId="5EB28667" w14:textId="4938709D"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 xml:space="preserve">Wskaźnik został doprecyzowany. </w:t>
            </w:r>
          </w:p>
        </w:tc>
      </w:tr>
      <w:tr w:rsidR="004471C5" w:rsidRPr="004F425A" w14:paraId="6DED17B2" w14:textId="77777777" w:rsidTr="79FF9703">
        <w:tc>
          <w:tcPr>
            <w:tcW w:w="1425" w:type="dxa"/>
            <w:tcBorders>
              <w:top w:val="single" w:sz="4" w:space="0" w:color="auto"/>
              <w:left w:val="single" w:sz="4" w:space="0" w:color="auto"/>
              <w:bottom w:val="single" w:sz="4" w:space="0" w:color="auto"/>
              <w:right w:val="single" w:sz="4" w:space="0" w:color="auto"/>
            </w:tcBorders>
          </w:tcPr>
          <w:p w14:paraId="7741C939"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E76BBCE" w14:textId="679DDD8E"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3BB30C10" w14:textId="77777777" w:rsidR="005F5792" w:rsidRPr="004F425A" w:rsidRDefault="005F5792" w:rsidP="004F425A">
            <w:pPr>
              <w:pStyle w:val="Akapitzlist"/>
              <w:numPr>
                <w:ilvl w:val="2"/>
                <w:numId w:val="47"/>
              </w:numPr>
              <w:spacing w:after="120" w:line="240" w:lineRule="auto"/>
              <w:ind w:left="426" w:hanging="426"/>
              <w:contextualSpacing w:val="0"/>
              <w:jc w:val="both"/>
              <w:rPr>
                <w:rFonts w:ascii="Lato" w:eastAsia="Lato" w:hAnsi="Lato" w:cs="Lato"/>
                <w:sz w:val="20"/>
                <w:szCs w:val="20"/>
              </w:rPr>
            </w:pPr>
            <w:r w:rsidRPr="004F425A">
              <w:rPr>
                <w:rFonts w:ascii="Lato" w:eastAsia="Lato" w:hAnsi="Lato" w:cs="Lato"/>
                <w:sz w:val="20"/>
                <w:szCs w:val="20"/>
              </w:rPr>
              <w:t xml:space="preserve">Mechanizm dostępu do linii pilotażowych </w:t>
            </w:r>
          </w:p>
          <w:p w14:paraId="5EE29A27"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Rozdział I. Infrastruktura </w:t>
            </w:r>
          </w:p>
          <w:p w14:paraId="3640A9ED"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Sekcja „Zadania linii pilotażowych” (str. 21) </w:t>
            </w:r>
          </w:p>
          <w:p w14:paraId="69C3C82E"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Po słowach: </w:t>
            </w:r>
          </w:p>
          <w:p w14:paraId="16E379CF"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„…o podwyższonej odporności środowiskowej.” </w:t>
            </w:r>
          </w:p>
          <w:p w14:paraId="2FC4BFA9" w14:textId="77777777" w:rsidR="005F5792" w:rsidRPr="004F425A" w:rsidRDefault="005F579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dodać </w:t>
            </w:r>
          </w:p>
          <w:p w14:paraId="3C0FBA2F" w14:textId="29F9787C" w:rsidR="005F5792" w:rsidRPr="004F425A" w:rsidRDefault="005F5792" w:rsidP="004F425A">
            <w:pPr>
              <w:pStyle w:val="Akapitzlist"/>
              <w:numPr>
                <w:ilvl w:val="2"/>
                <w:numId w:val="47"/>
              </w:numPr>
              <w:spacing w:after="120" w:line="240" w:lineRule="auto"/>
              <w:ind w:left="426" w:hanging="426"/>
              <w:contextualSpacing w:val="0"/>
              <w:jc w:val="both"/>
              <w:rPr>
                <w:rFonts w:ascii="Lato" w:eastAsia="Lato" w:hAnsi="Lato" w:cs="Lato"/>
                <w:sz w:val="20"/>
                <w:szCs w:val="20"/>
              </w:rPr>
            </w:pPr>
            <w:r w:rsidRPr="004F425A">
              <w:rPr>
                <w:rFonts w:ascii="Lato" w:eastAsia="Lato" w:hAnsi="Lato" w:cs="Lato"/>
                <w:sz w:val="20"/>
                <w:szCs w:val="20"/>
              </w:rPr>
              <w:t>[+] Zapewnić mechanizmy preferencyjnego, nisko- lub bezkosztowego dostępu do infrastruktury dla krajowych jednostek naukowych oraz sektora MŚP.</w:t>
            </w:r>
          </w:p>
        </w:tc>
        <w:tc>
          <w:tcPr>
            <w:tcW w:w="4859" w:type="dxa"/>
            <w:tcBorders>
              <w:top w:val="single" w:sz="4" w:space="0" w:color="auto"/>
              <w:left w:val="single" w:sz="4" w:space="0" w:color="auto"/>
              <w:bottom w:val="single" w:sz="4" w:space="0" w:color="auto"/>
              <w:right w:val="single" w:sz="4" w:space="0" w:color="auto"/>
            </w:tcBorders>
          </w:tcPr>
          <w:p w14:paraId="1DBCD8D7" w14:textId="77777777" w:rsidR="007461C5"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42666994" w14:textId="007B857E"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 xml:space="preserve">Projekt Polityki wskazuje potrzebę zapewnienia szerokiego dostępu do infrastruktury badawczej dla przedsiębiorstw i jednostek naukowych. Natomiast szczegółowe zasady korzystania z infrastruktury, w tym ewentualne preferencje dotyczące kosztów dostępu dla określonych grup użytkowników, będą określane na etapie projektowania instrumentów wdrożeniowych oraz zgodnie z zasadami finansowania infrastruktury i przepisami dotyczącymi pomocy publicznej. Z tego względu nie </w:t>
            </w:r>
            <w:r w:rsidRPr="004F425A">
              <w:rPr>
                <w:rFonts w:ascii="Lato" w:eastAsia="Lato" w:hAnsi="Lato" w:cs="Lato"/>
                <w:sz w:val="20"/>
                <w:szCs w:val="20"/>
              </w:rPr>
              <w:lastRenderedPageBreak/>
              <w:t>jest zasadne przesądzanie tych kwestii na poziomie dokumentu strategicznego.</w:t>
            </w:r>
          </w:p>
        </w:tc>
      </w:tr>
      <w:tr w:rsidR="004471C5" w:rsidRPr="004F425A" w14:paraId="46C380D3" w14:textId="77777777" w:rsidTr="79FF9703">
        <w:tc>
          <w:tcPr>
            <w:tcW w:w="1425" w:type="dxa"/>
            <w:tcBorders>
              <w:top w:val="single" w:sz="4" w:space="0" w:color="auto"/>
              <w:left w:val="single" w:sz="4" w:space="0" w:color="auto"/>
              <w:bottom w:val="single" w:sz="4" w:space="0" w:color="auto"/>
              <w:right w:val="single" w:sz="4" w:space="0" w:color="auto"/>
            </w:tcBorders>
          </w:tcPr>
          <w:p w14:paraId="59AA9DF5"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A5543A5" w14:textId="682DF3F9"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Politechnika Łódzka</w:t>
            </w:r>
          </w:p>
        </w:tc>
        <w:tc>
          <w:tcPr>
            <w:tcW w:w="5387" w:type="dxa"/>
            <w:tcBorders>
              <w:top w:val="single" w:sz="4" w:space="0" w:color="auto"/>
              <w:left w:val="single" w:sz="4" w:space="0" w:color="auto"/>
              <w:bottom w:val="single" w:sz="4" w:space="0" w:color="auto"/>
              <w:right w:val="single" w:sz="4" w:space="0" w:color="auto"/>
            </w:tcBorders>
          </w:tcPr>
          <w:p w14:paraId="216440DF" w14:textId="77777777" w:rsidR="005F5792" w:rsidRPr="004F425A" w:rsidRDefault="005F5792" w:rsidP="004F425A">
            <w:pPr>
              <w:pStyle w:val="Nagwek1"/>
              <w:spacing w:before="0" w:after="120"/>
              <w:jc w:val="both"/>
              <w:rPr>
                <w:rFonts w:ascii="Lato" w:eastAsia="Lato" w:hAnsi="Lato" w:cs="Lato"/>
                <w:color w:val="auto"/>
                <w:sz w:val="20"/>
                <w:szCs w:val="20"/>
              </w:rPr>
            </w:pPr>
            <w:r w:rsidRPr="004F425A">
              <w:rPr>
                <w:rFonts w:ascii="Lato" w:eastAsia="Lato" w:hAnsi="Lato" w:cs="Lato"/>
                <w:color w:val="auto"/>
                <w:sz w:val="20"/>
                <w:szCs w:val="20"/>
              </w:rPr>
              <w:t xml:space="preserve">Najważniejsze projekty </w:t>
            </w:r>
          </w:p>
          <w:p w14:paraId="1E1981A2"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lang w:val="en-GB"/>
              </w:rPr>
              <w:t>Transparent, silicon-free and flexible photovoltaic cells based on graphen quantum dots syntesized from bio-waste. PRIME 02.06-0121/25 (</w:t>
            </w:r>
            <w:r w:rsidRPr="004F425A">
              <w:rPr>
                <w:rFonts w:ascii="Lato" w:eastAsia="Lato" w:hAnsi="Lato" w:cs="Lato"/>
                <w:sz w:val="20"/>
                <w:szCs w:val="20"/>
              </w:rPr>
              <w:t xml:space="preserve">2025-2026) FNP </w:t>
            </w:r>
          </w:p>
          <w:p w14:paraId="538ED66D"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lang w:val="en-GB"/>
              </w:rPr>
            </w:pPr>
            <w:r w:rsidRPr="004F425A">
              <w:rPr>
                <w:rFonts w:ascii="Lato" w:eastAsia="Lato" w:hAnsi="Lato" w:cs="Lato"/>
                <w:sz w:val="20"/>
                <w:szCs w:val="20"/>
                <w:lang w:val="en-GB"/>
              </w:rPr>
              <w:t>Graphene-based composite materials intended for water purification, akronim HydroGraf, POIR.04.01.04-00-0089/15 (2017-2020) NCBiR</w:t>
            </w:r>
          </w:p>
          <w:p w14:paraId="29C504BE"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Photo-graph: Ultraszybkie fotodetektory grafenowe, GRAF-TECH/NBCR/13/20/2013 (2013-2016), NCBiR</w:t>
            </w:r>
          </w:p>
          <w:p w14:paraId="0653AB25"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lang w:val="en-GB"/>
              </w:rPr>
              <w:t xml:space="preserve">Graphene nanocomposite for reversible hydrogen storage. </w:t>
            </w:r>
            <w:r w:rsidRPr="004F425A">
              <w:rPr>
                <w:rFonts w:ascii="Lato" w:eastAsia="Lato" w:hAnsi="Lato" w:cs="Lato"/>
                <w:sz w:val="20"/>
                <w:szCs w:val="20"/>
              </w:rPr>
              <w:t>GRAF-TECH-NCBR/07/24/2013 (2013-2015) NCBiR</w:t>
            </w:r>
          </w:p>
          <w:p w14:paraId="52D94DCF"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Linia technologiczna dla przyrządów półprzewodnikowych na bazie materiałów szerokopasmowych, SPUB (2024-2026) MNiSW</w:t>
            </w:r>
          </w:p>
          <w:p w14:paraId="758ACDD8"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Opracowanie technologii wytwarzania diody p-i-n w podłożu SiC - Nowe technologie na bazie węglika krzemu i ich zastosowanie w elektronice wielkich częstotliwości, dużych mocy i wysokich temperatur, PBZ-MEiN-6/2/2006 (2007-2010) MEiN</w:t>
            </w:r>
          </w:p>
          <w:p w14:paraId="6907DAE4"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Badania metodą ToF-SIMS struktury i składu chemicznego obszarów granicznych metal-węglik krzemu w nowoczesnych przyrządach półprzewodnikowych, N209 340337 (2009-2012), NCN</w:t>
            </w:r>
          </w:p>
          <w:p w14:paraId="6D654DBE"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Superefektywne systemy chłodzenia cieczowego dla przyrządów i systemów energoelektroniki, project rozwojowy R01 0016 04 (2008-2011) NCBiR</w:t>
            </w:r>
          </w:p>
          <w:p w14:paraId="626467F5"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Układy energoelektroniczne z przyrządami z węglika krzemu, project rozwojowy R01 0003 04 (2008-2011) NCBiR</w:t>
            </w:r>
          </w:p>
          <w:p w14:paraId="40F51E9C"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lastRenderedPageBreak/>
              <w:t>Wykorzystanie metod Monte Carlo do modelowania materiałów i struktur półprzewodnikowych z węglika krzemu N515 541 538 (2010-2011) NCN</w:t>
            </w:r>
          </w:p>
          <w:p w14:paraId="16A42323"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Nowa struktura tranzystora unipolarnego mocy SVMOS, 3T11 B05 029 (2005–2008), MNiSW</w:t>
            </w:r>
          </w:p>
          <w:p w14:paraId="31E4AEBD"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Wysokotemperaturowe procesy domieszkowania dyfuzyjnego w SiC, 3T11 B009 30 (2006-2008), MNiSW</w:t>
            </w:r>
          </w:p>
          <w:p w14:paraId="2D1044E7"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lang w:val="en-US"/>
              </w:rPr>
            </w:pPr>
            <w:r w:rsidRPr="004F425A">
              <w:rPr>
                <w:rFonts w:ascii="Lato" w:eastAsia="Lato" w:hAnsi="Lato" w:cs="Lato"/>
                <w:sz w:val="20"/>
                <w:szCs w:val="20"/>
                <w:lang w:val="en-US"/>
              </w:rPr>
              <w:t>GECCO: 3D GaN for High Efficiency Solid State Lighting, FP7-NMP3-SL-2012-280694 (2012-2015) EU</w:t>
            </w:r>
          </w:p>
          <w:p w14:paraId="64302D41"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Organiczne fotodiody i ogniwa fotowoltaiczne: symulacje i eksperymenty OPUS, 2024/53/B/ST5/03923 (2025</w:t>
            </w:r>
            <w:r w:rsidRPr="004F425A">
              <w:rPr>
                <w:rFonts w:ascii="Lato" w:hAnsi="Lato"/>
                <w:sz w:val="20"/>
                <w:szCs w:val="20"/>
              </w:rPr>
              <w:noBreakHyphen/>
            </w:r>
            <w:r w:rsidRPr="004F425A">
              <w:rPr>
                <w:rFonts w:ascii="Lato" w:eastAsia="Lato" w:hAnsi="Lato" w:cs="Lato"/>
                <w:sz w:val="20"/>
                <w:szCs w:val="20"/>
              </w:rPr>
              <w:t>2028) NCN</w:t>
            </w:r>
          </w:p>
          <w:p w14:paraId="27450090"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Ambipolarne związki poliaromatyczne w kształcie misy, zawierające precyzyjnie zlokalizowane domieszki atomów azotu. Unikatowa klasa wysoce wydajnych emiterów OLED (BOwLEDs)" OPUS 2022/45/B/ST4/00800 (2023</w:t>
            </w:r>
            <w:r w:rsidRPr="004F425A">
              <w:rPr>
                <w:rFonts w:ascii="Lato" w:hAnsi="Lato"/>
                <w:sz w:val="20"/>
                <w:szCs w:val="20"/>
              </w:rPr>
              <w:noBreakHyphen/>
            </w:r>
            <w:r w:rsidRPr="004F425A">
              <w:rPr>
                <w:rFonts w:ascii="Lato" w:eastAsia="Lato" w:hAnsi="Lato" w:cs="Lato"/>
                <w:sz w:val="20"/>
                <w:szCs w:val="20"/>
              </w:rPr>
              <w:t>2027)</w:t>
            </w:r>
          </w:p>
          <w:p w14:paraId="1D336803"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Modyfikacja powierzchni elektrod przy pomocy nowych pochodnych perylenu oraz badanie interfejsów elektroda</w:t>
            </w:r>
            <w:r w:rsidRPr="004F425A">
              <w:rPr>
                <w:rFonts w:ascii="Lato" w:hAnsi="Lato"/>
                <w:sz w:val="20"/>
                <w:szCs w:val="20"/>
              </w:rPr>
              <w:noBreakHyphen/>
            </w:r>
            <w:r w:rsidRPr="004F425A">
              <w:rPr>
                <w:rFonts w:ascii="Lato" w:eastAsia="Lato" w:hAnsi="Lato" w:cs="Lato"/>
                <w:sz w:val="20"/>
                <w:szCs w:val="20"/>
              </w:rPr>
              <w:t>półprzewodnik w drukowanych organicznych urządzeniach optoelektronicznych OPUS, 2020/37/B/ST5/03929 (2021-2026) NCN</w:t>
            </w:r>
          </w:p>
          <w:p w14:paraId="5829EA72"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Czwarta generacja emiterów OLED, jak dostosować, zoptymalizować i kontrolować hiperfluorescencję, OPUS 2022/45/B/ST5/03712 (2023-2026) NCN</w:t>
            </w:r>
          </w:p>
          <w:p w14:paraId="5B13E976"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Printed QDD: Nowe metody strukturyzowania drukowanych diod elektroluminescencyjnych typu QD</w:t>
            </w:r>
            <w:r w:rsidRPr="004F425A">
              <w:rPr>
                <w:rFonts w:ascii="Lato" w:hAnsi="Lato"/>
                <w:sz w:val="20"/>
                <w:szCs w:val="20"/>
              </w:rPr>
              <w:noBreakHyphen/>
            </w:r>
            <w:r w:rsidRPr="004F425A">
              <w:rPr>
                <w:rFonts w:ascii="Lato" w:eastAsia="Lato" w:hAnsi="Lato" w:cs="Lato"/>
                <w:sz w:val="20"/>
                <w:szCs w:val="20"/>
              </w:rPr>
              <w:t>LED do zastosowań w tablicach świetlnych, projekt POLBER 5, (projekt bilateralny Polska–Niemcy), (2022-2025) NCBiR</w:t>
            </w:r>
          </w:p>
          <w:p w14:paraId="25F029BD"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lang w:val="en-US"/>
              </w:rPr>
            </w:pPr>
            <w:r w:rsidRPr="004F425A">
              <w:rPr>
                <w:rFonts w:ascii="Lato" w:eastAsia="Lato" w:hAnsi="Lato" w:cs="Lato"/>
                <w:sz w:val="20"/>
                <w:szCs w:val="20"/>
                <w:lang w:val="en-US"/>
              </w:rPr>
              <w:lastRenderedPageBreak/>
              <w:t>Organic Charge Transfer Application’s, H2020</w:t>
            </w:r>
            <w:r w:rsidRPr="004F425A">
              <w:rPr>
                <w:rFonts w:ascii="Lato" w:hAnsi="Lato"/>
                <w:sz w:val="20"/>
                <w:szCs w:val="20"/>
              </w:rPr>
              <w:noBreakHyphen/>
            </w:r>
            <w:r w:rsidRPr="004F425A">
              <w:rPr>
                <w:rFonts w:ascii="Lato" w:eastAsia="Lato" w:hAnsi="Lato" w:cs="Lato"/>
                <w:sz w:val="20"/>
                <w:szCs w:val="20"/>
                <w:lang w:val="en-US"/>
              </w:rPr>
              <w:t>MSCA</w:t>
            </w:r>
            <w:r w:rsidRPr="004F425A">
              <w:rPr>
                <w:rFonts w:ascii="Lato" w:hAnsi="Lato"/>
                <w:sz w:val="20"/>
                <w:szCs w:val="20"/>
              </w:rPr>
              <w:noBreakHyphen/>
            </w:r>
            <w:r w:rsidRPr="004F425A">
              <w:rPr>
                <w:rFonts w:ascii="Lato" w:eastAsia="Lato" w:hAnsi="Lato" w:cs="Lato"/>
                <w:sz w:val="20"/>
                <w:szCs w:val="20"/>
                <w:lang w:val="en-US"/>
              </w:rPr>
              <w:t>RISE</w:t>
            </w:r>
            <w:r w:rsidRPr="004F425A">
              <w:rPr>
                <w:rFonts w:ascii="Lato" w:hAnsi="Lato"/>
                <w:sz w:val="20"/>
                <w:szCs w:val="20"/>
              </w:rPr>
              <w:noBreakHyphen/>
            </w:r>
            <w:r w:rsidRPr="004F425A">
              <w:rPr>
                <w:rFonts w:ascii="Lato" w:eastAsia="Lato" w:hAnsi="Lato" w:cs="Lato"/>
                <w:sz w:val="20"/>
                <w:szCs w:val="20"/>
                <w:lang w:val="en-US"/>
              </w:rPr>
              <w:t>2017/778158 OCTA, Horizon 2020 (2018 –2023) EU</w:t>
            </w:r>
          </w:p>
          <w:p w14:paraId="097DF149"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lang w:val="en-US"/>
              </w:rPr>
            </w:pPr>
            <w:r w:rsidRPr="004F425A">
              <w:rPr>
                <w:rFonts w:ascii="Lato" w:eastAsia="Lato" w:hAnsi="Lato" w:cs="Lato"/>
                <w:sz w:val="20"/>
                <w:szCs w:val="20"/>
                <w:lang w:val="en-US"/>
              </w:rPr>
              <w:t>Green Horizon on Organic Semiconductor Technologie”s (GHOST), HORIZON</w:t>
            </w:r>
            <w:r w:rsidRPr="004F425A">
              <w:rPr>
                <w:rFonts w:ascii="Lato" w:hAnsi="Lato"/>
                <w:sz w:val="20"/>
                <w:szCs w:val="20"/>
              </w:rPr>
              <w:noBreakHyphen/>
            </w:r>
            <w:r w:rsidRPr="004F425A">
              <w:rPr>
                <w:rFonts w:ascii="Lato" w:eastAsia="Lato" w:hAnsi="Lato" w:cs="Lato"/>
                <w:sz w:val="20"/>
                <w:szCs w:val="20"/>
                <w:lang w:val="en-US"/>
              </w:rPr>
              <w:t>MSCA</w:t>
            </w:r>
            <w:r w:rsidRPr="004F425A">
              <w:rPr>
                <w:rFonts w:ascii="Lato" w:hAnsi="Lato"/>
                <w:sz w:val="20"/>
                <w:szCs w:val="20"/>
              </w:rPr>
              <w:noBreakHyphen/>
            </w:r>
            <w:r w:rsidRPr="004F425A">
              <w:rPr>
                <w:rFonts w:ascii="Lato" w:eastAsia="Lato" w:hAnsi="Lato" w:cs="Lato"/>
                <w:sz w:val="20"/>
                <w:szCs w:val="20"/>
                <w:lang w:val="en-US"/>
              </w:rPr>
              <w:t>2023</w:t>
            </w:r>
            <w:r w:rsidRPr="004F425A">
              <w:rPr>
                <w:rFonts w:ascii="Lato" w:hAnsi="Lato"/>
                <w:sz w:val="20"/>
                <w:szCs w:val="20"/>
              </w:rPr>
              <w:noBreakHyphen/>
            </w:r>
            <w:r w:rsidRPr="004F425A">
              <w:rPr>
                <w:rFonts w:ascii="Lato" w:eastAsia="Lato" w:hAnsi="Lato" w:cs="Lato"/>
                <w:sz w:val="20"/>
                <w:szCs w:val="20"/>
                <w:lang w:val="en-US"/>
              </w:rPr>
              <w:t>SE</w:t>
            </w:r>
            <w:r w:rsidRPr="004F425A">
              <w:rPr>
                <w:rFonts w:ascii="Lato" w:hAnsi="Lato"/>
                <w:sz w:val="20"/>
                <w:szCs w:val="20"/>
              </w:rPr>
              <w:noBreakHyphen/>
            </w:r>
            <w:r w:rsidRPr="004F425A">
              <w:rPr>
                <w:rFonts w:ascii="Lato" w:eastAsia="Lato" w:hAnsi="Lato" w:cs="Lato"/>
                <w:sz w:val="20"/>
                <w:szCs w:val="20"/>
                <w:lang w:val="en-US"/>
              </w:rPr>
              <w:t>01</w:t>
            </w:r>
            <w:r w:rsidRPr="004F425A">
              <w:rPr>
                <w:rFonts w:ascii="Lato" w:hAnsi="Lato"/>
                <w:sz w:val="20"/>
                <w:szCs w:val="20"/>
              </w:rPr>
              <w:noBreakHyphen/>
            </w:r>
            <w:r w:rsidRPr="004F425A">
              <w:rPr>
                <w:rFonts w:ascii="Lato" w:eastAsia="Lato" w:hAnsi="Lato" w:cs="Lato"/>
                <w:sz w:val="20"/>
                <w:szCs w:val="20"/>
                <w:lang w:val="en-US"/>
              </w:rPr>
              <w:t>01/101182946, Horizon Europe, (2024-2028) EU</w:t>
            </w:r>
          </w:p>
          <w:p w14:paraId="3F9E24C8"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Elektrody transparentne na bazie związków organicznych do przemysłowych zastosowań w elastycznych ogniwach słonecznych, Tango/266537/NCBR/2015 (2015-2016) NCN/NCBiR</w:t>
            </w:r>
          </w:p>
          <w:p w14:paraId="30F5ED64"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Wykorzystanie warstw konwerterów energii w nowych rozwiązaniach dla ogniw fotowoltaicznych, SONATA 2016/21/D/ST7/01215 (2017-2020) NCN</w:t>
            </w:r>
          </w:p>
          <w:p w14:paraId="65A0DBE9"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Systemy hybrydowe do konwersji energii słonecznej, POIR.04.01.04-00-0019/19 (2019-2023) NCBiR</w:t>
            </w:r>
          </w:p>
          <w:p w14:paraId="67215787"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lang w:val="en-GB"/>
              </w:rPr>
            </w:pPr>
            <w:r w:rsidRPr="004F425A">
              <w:rPr>
                <w:rFonts w:ascii="Lato" w:eastAsia="Lato" w:hAnsi="Lato" w:cs="Lato"/>
                <w:sz w:val="20"/>
                <w:szCs w:val="20"/>
                <w:lang w:val="en-GB"/>
              </w:rPr>
              <w:t>New solutions for solar cells down converters, POLONIUM (2012-2013) MNiSW</w:t>
            </w:r>
          </w:p>
          <w:p w14:paraId="0527C6BD"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Wytwarzanie warstw elastycznych ogniw fotowoltaicznych na bazie tellurku kadmu, PRELUDIUM 2011/03/N/ST7/03614 (2011-2012)</w:t>
            </w:r>
          </w:p>
          <w:p w14:paraId="61FFFB54"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lang w:val="en-GB"/>
              </w:rPr>
            </w:pPr>
            <w:r w:rsidRPr="004F425A">
              <w:rPr>
                <w:rFonts w:ascii="Lato" w:eastAsia="Lato" w:hAnsi="Lato" w:cs="Lato"/>
                <w:sz w:val="20"/>
                <w:szCs w:val="20"/>
                <w:lang w:val="en-GB"/>
              </w:rPr>
              <w:t>Solar cells with Energy converters based on ZnO nanoparticle layers, POLONIUM (2015-2016) MNiSW</w:t>
            </w:r>
          </w:p>
          <w:p w14:paraId="3459A7F9"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lang w:val="en-GB"/>
              </w:rPr>
            </w:pPr>
            <w:r w:rsidRPr="004F425A">
              <w:rPr>
                <w:rFonts w:ascii="Lato" w:eastAsia="Lato" w:hAnsi="Lato" w:cs="Lato"/>
                <w:sz w:val="20"/>
                <w:szCs w:val="20"/>
                <w:lang w:val="en-GB"/>
              </w:rPr>
              <w:t>Ultraviolet light converting glass for the applications in health and environment protection, POLONIUM (2020-2021) MNiSW</w:t>
            </w:r>
          </w:p>
          <w:p w14:paraId="6E8DC8DB"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lang w:val="en-GB"/>
              </w:rPr>
            </w:pPr>
            <w:r w:rsidRPr="004F425A">
              <w:rPr>
                <w:rFonts w:ascii="Lato" w:eastAsia="Lato" w:hAnsi="Lato" w:cs="Lato"/>
                <w:sz w:val="20"/>
                <w:szCs w:val="20"/>
                <w:lang w:val="en-GB"/>
              </w:rPr>
              <w:t>RENEW-PV: „Research and International Networking on Emerging Inorganic Chalcogenides for Photovoltaics” (2022-2026), projekt COST</w:t>
            </w:r>
          </w:p>
          <w:p w14:paraId="505F6BC0"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 xml:space="preserve">Nowatorski system do oceny i rehabilitacji zaburzeń układu równowagi, STRATEGMED 2/266299/19/NCBR/2016 (2016-2021) NCBiR </w:t>
            </w:r>
          </w:p>
          <w:p w14:paraId="77B577B1"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lang w:val="en-GB"/>
              </w:rPr>
            </w:pPr>
            <w:r w:rsidRPr="004F425A">
              <w:rPr>
                <w:rFonts w:ascii="Lato" w:eastAsia="Lato" w:hAnsi="Lato" w:cs="Lato"/>
                <w:sz w:val="20"/>
                <w:szCs w:val="20"/>
                <w:lang w:val="en-GB"/>
              </w:rPr>
              <w:lastRenderedPageBreak/>
              <w:t>MISAC – Mixed Signal ASIC for DC/DC power converters,, ESA Contract no. 4000117171/16/NL/CBi (2016-2020) dla Europejskiej Agencji Kosmicznej</w:t>
            </w:r>
          </w:p>
          <w:p w14:paraId="07BDC46E"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 xml:space="preserve">Rozwój systemów diagnostyki plazmy w zakresie promieniowania podczerwonego z wykorzystaniem technik sztucznej inteligencji pod kątem zastosowania w tokamaku ITER, AWP22-EEG-IPPLM (2022-2025) </w:t>
            </w:r>
          </w:p>
          <w:p w14:paraId="16255EA5"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 xml:space="preserve">European Spallation Source ERIC, (2018-2025) </w:t>
            </w:r>
          </w:p>
          <w:p w14:paraId="32AC99A3"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PolFEL – Polski Laser na Swobodnych Elektronach, POIR.04.02.00-00-B002/18-00 (2018-2023) NCBiR</w:t>
            </w:r>
          </w:p>
          <w:p w14:paraId="228ED6D0"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lang w:val="en-US"/>
              </w:rPr>
            </w:pPr>
            <w:r w:rsidRPr="004F425A">
              <w:rPr>
                <w:rFonts w:ascii="Lato" w:eastAsia="Lato" w:hAnsi="Lato" w:cs="Lato"/>
                <w:sz w:val="20"/>
                <w:szCs w:val="20"/>
                <w:lang w:val="en-US"/>
              </w:rPr>
              <w:t xml:space="preserve">HPD 400 and PSM Prototypes design and evaluation, for European Spallation Source ERIC, (2021-2024) </w:t>
            </w:r>
          </w:p>
          <w:p w14:paraId="5CD39FCF"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lang w:val="en-US"/>
              </w:rPr>
            </w:pPr>
            <w:r w:rsidRPr="004F425A">
              <w:rPr>
                <w:rFonts w:ascii="Lato" w:eastAsia="Lato" w:hAnsi="Lato" w:cs="Lato"/>
                <w:sz w:val="20"/>
                <w:szCs w:val="20"/>
                <w:lang w:val="en-US"/>
              </w:rPr>
              <w:t>EURATOM (2022-2024)</w:t>
            </w:r>
          </w:p>
          <w:p w14:paraId="3DA6B585"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lang w:val="en-US"/>
              </w:rPr>
            </w:pPr>
            <w:r w:rsidRPr="004F425A">
              <w:rPr>
                <w:rFonts w:ascii="Lato" w:eastAsia="Lato" w:hAnsi="Lato" w:cs="Lato"/>
                <w:sz w:val="20"/>
                <w:szCs w:val="20"/>
                <w:lang w:val="en-US"/>
              </w:rPr>
              <w:t xml:space="preserve">Framework Service Contract for ITER (International Thermonuclear Experimental Reactor, Francja): Diagnostic Instrumentation and Control Activities, Operation Application Engineering Services, Diagnostic Plant I&amp;C Coordination and Development, Large scale I&amp;C for diagnostics - phase 2”, (2010-obecnie) </w:t>
            </w:r>
          </w:p>
          <w:p w14:paraId="3F8E89AE"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lang w:val="en-US"/>
              </w:rPr>
            </w:pPr>
            <w:r w:rsidRPr="004F425A">
              <w:rPr>
                <w:rFonts w:ascii="Lato" w:eastAsia="Lato" w:hAnsi="Lato" w:cs="Lato"/>
                <w:sz w:val="20"/>
                <w:szCs w:val="20"/>
                <w:lang w:val="en-GB"/>
              </w:rPr>
              <w:t>Subcontract for PIP-II RF Coupler High Voltage Bias Supplies, for Fermi Forward Discovery Group, LLC, Subcontract Number 721951 (2025-obecnie)</w:t>
            </w:r>
          </w:p>
          <w:p w14:paraId="5A44B44C"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lang w:val="en-US"/>
              </w:rPr>
            </w:pPr>
            <w:r w:rsidRPr="004F425A">
              <w:rPr>
                <w:rFonts w:ascii="Lato" w:eastAsia="Lato" w:hAnsi="Lato" w:cs="Lato"/>
                <w:sz w:val="20"/>
                <w:szCs w:val="20"/>
                <w:lang w:val="en-US"/>
              </w:rPr>
              <w:t>ProeTEX: MicroNanoStructured fibre systems for Emergency-Disaster Wear, FP6-2004-IST-4-026987 (2005-2010) EU</w:t>
            </w:r>
          </w:p>
          <w:p w14:paraId="18C5AA84"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Bufory optyczne dla połączeń on-chip w systemach fotonicznych, N515 409634 (2008-2011) NCN</w:t>
            </w:r>
          </w:p>
          <w:p w14:paraId="722B5ACC"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INTIR: Integracja detektorów podczerwieni chłodzonych termoelektrycznie lub pracujących w temperaturze otoczenia z szerokopasmowym układem odbiorczym”, PBS (2013-2015), NCBiR</w:t>
            </w:r>
          </w:p>
          <w:p w14:paraId="044743F1"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lastRenderedPageBreak/>
              <w:t>Kompaktowe matryce azotkowych laserów krawędziowych emitujących światło zielone, PRELUDIUM, 2025-2027, NCN</w:t>
            </w:r>
          </w:p>
          <w:p w14:paraId="3D062388"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Tanie systemy detekcji gazów oparte na przestrajalnych matrycach laserów VCSEL z obszarami czynnymi w postaci kropek kwantowych oraz zwierciadami w postaci podfalowych siatek dyfrakcyjnych, POLBER POLBER/5/2/QD-Sense/2023 (2022-2025) NCBiR</w:t>
            </w:r>
          </w:p>
          <w:p w14:paraId="2F8DEDFA"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Nowe przezroczyste elektrody dla laserów VCSEL, ERANET (2020-2024) NCBiR</w:t>
            </w:r>
          </w:p>
          <w:p w14:paraId="72EF53ED" w14:textId="77777777" w:rsidR="005F5792" w:rsidRPr="004F425A" w:rsidRDefault="005F5792" w:rsidP="004F425A">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Technologia produkcji kluczowych dla rozwoju fotoniki nowatorskich struktur epitaksjalnych oraz przyrządów laserujących VCSEL, MAZOWSZE/0032/19-00 (2020-2022)</w:t>
            </w:r>
          </w:p>
          <w:p w14:paraId="1410F127" w14:textId="388D3E07" w:rsidR="005F5792" w:rsidRPr="004F425A" w:rsidRDefault="005F5792" w:rsidP="007461C5">
            <w:pPr>
              <w:pStyle w:val="Akapitzlist"/>
              <w:numPr>
                <w:ilvl w:val="0"/>
                <w:numId w:val="50"/>
              </w:numPr>
              <w:spacing w:after="120" w:line="240" w:lineRule="auto"/>
              <w:contextualSpacing w:val="0"/>
              <w:jc w:val="both"/>
              <w:rPr>
                <w:rFonts w:ascii="Lato" w:eastAsia="Lato" w:hAnsi="Lato" w:cs="Lato"/>
                <w:sz w:val="20"/>
                <w:szCs w:val="20"/>
              </w:rPr>
            </w:pPr>
            <w:r w:rsidRPr="004F425A">
              <w:rPr>
                <w:rFonts w:ascii="Lato" w:eastAsia="Lato" w:hAnsi="Lato" w:cs="Lato"/>
                <w:sz w:val="20"/>
                <w:szCs w:val="20"/>
              </w:rPr>
              <w:t>Podfalowe siatki MHCG jako aktywne zwierciadła dla nowej klasy kwantowych laserów kaskadowych z pionową wnęką rezonansową, OPUS (2020-2024) NCN</w:t>
            </w:r>
          </w:p>
        </w:tc>
        <w:tc>
          <w:tcPr>
            <w:tcW w:w="4859" w:type="dxa"/>
            <w:tcBorders>
              <w:top w:val="single" w:sz="4" w:space="0" w:color="auto"/>
              <w:left w:val="single" w:sz="4" w:space="0" w:color="auto"/>
              <w:bottom w:val="single" w:sz="4" w:space="0" w:color="auto"/>
              <w:right w:val="single" w:sz="4" w:space="0" w:color="auto"/>
            </w:tcBorders>
          </w:tcPr>
          <w:p w14:paraId="4CF3600D" w14:textId="77777777" w:rsidR="007461C5" w:rsidRDefault="00BA7473" w:rsidP="007461C5">
            <w:pPr>
              <w:spacing w:after="120" w:line="240" w:lineRule="auto"/>
              <w:rPr>
                <w:rStyle w:val="Ppogrubienie"/>
                <w:rFonts w:ascii="Lato" w:hAnsi="Lato"/>
                <w:sz w:val="20"/>
                <w:szCs w:val="20"/>
              </w:rPr>
            </w:pPr>
            <w:r w:rsidRPr="004F425A">
              <w:rPr>
                <w:rStyle w:val="Ppogrubienie"/>
                <w:rFonts w:ascii="Lato" w:hAnsi="Lato"/>
                <w:sz w:val="20"/>
                <w:szCs w:val="20"/>
              </w:rPr>
              <w:lastRenderedPageBreak/>
              <w:t xml:space="preserve">Uwaga </w:t>
            </w:r>
            <w:r w:rsidR="000A045D" w:rsidRPr="004F425A">
              <w:rPr>
                <w:rStyle w:val="Ppogrubienie"/>
                <w:rFonts w:ascii="Lato" w:hAnsi="Lato"/>
                <w:sz w:val="20"/>
                <w:szCs w:val="20"/>
              </w:rPr>
              <w:t>nieuwzględniona</w:t>
            </w:r>
          </w:p>
          <w:p w14:paraId="69002CCC" w14:textId="6628713E" w:rsidR="005F5792" w:rsidRPr="004F425A" w:rsidRDefault="005F5792" w:rsidP="007461C5">
            <w:pPr>
              <w:spacing w:after="120" w:line="240" w:lineRule="auto"/>
              <w:rPr>
                <w:rFonts w:ascii="Lato" w:eastAsia="Lato" w:hAnsi="Lato" w:cs="Lato"/>
                <w:sz w:val="20"/>
                <w:szCs w:val="20"/>
              </w:rPr>
            </w:pPr>
            <w:r w:rsidRPr="004F425A">
              <w:rPr>
                <w:rFonts w:ascii="Lato" w:eastAsia="Lato" w:hAnsi="Lato" w:cs="Lato"/>
                <w:sz w:val="20"/>
                <w:szCs w:val="20"/>
              </w:rPr>
              <w:t>Uwaga o charakterze informacyjnym (lista projektów PŁ) może zostać wykorzystana jako materiał pomocniczy przy pracach nad Mapą drogową technologii (Filar II).</w:t>
            </w:r>
          </w:p>
        </w:tc>
      </w:tr>
      <w:tr w:rsidR="004471C5" w:rsidRPr="004F425A" w14:paraId="629D0F57" w14:textId="77777777" w:rsidTr="79FF9703">
        <w:tc>
          <w:tcPr>
            <w:tcW w:w="1425" w:type="dxa"/>
            <w:tcBorders>
              <w:top w:val="single" w:sz="4" w:space="0" w:color="auto"/>
              <w:left w:val="single" w:sz="4" w:space="0" w:color="auto"/>
              <w:bottom w:val="single" w:sz="4" w:space="0" w:color="auto"/>
              <w:right w:val="single" w:sz="4" w:space="0" w:color="auto"/>
            </w:tcBorders>
          </w:tcPr>
          <w:p w14:paraId="15978492" w14:textId="7C1A144A"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B6E2568" w14:textId="09709C5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Bank Gospodarstwa Krajowego</w:t>
            </w:r>
          </w:p>
        </w:tc>
        <w:tc>
          <w:tcPr>
            <w:tcW w:w="5387" w:type="dxa"/>
            <w:tcBorders>
              <w:top w:val="single" w:sz="4" w:space="0" w:color="auto"/>
              <w:left w:val="single" w:sz="4" w:space="0" w:color="auto"/>
              <w:bottom w:val="single" w:sz="4" w:space="0" w:color="auto"/>
              <w:right w:val="single" w:sz="4" w:space="0" w:color="auto"/>
            </w:tcBorders>
          </w:tcPr>
          <w:p w14:paraId="522E72F1" w14:textId="2B0EE802"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Przedstawione liczby (800 mln CAPEX + 300 mln OPEX) nie są poparte modelem finansowym, analizą kosztów ani prognozami ekonomicznymi.</w:t>
            </w:r>
          </w:p>
        </w:tc>
        <w:tc>
          <w:tcPr>
            <w:tcW w:w="4859" w:type="dxa"/>
            <w:tcBorders>
              <w:top w:val="single" w:sz="4" w:space="0" w:color="auto"/>
              <w:left w:val="single" w:sz="4" w:space="0" w:color="auto"/>
              <w:bottom w:val="single" w:sz="4" w:space="0" w:color="auto"/>
              <w:right w:val="single" w:sz="4" w:space="0" w:color="auto"/>
            </w:tcBorders>
          </w:tcPr>
          <w:p w14:paraId="0CC43410" w14:textId="77777777" w:rsidR="007461C5"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6F87626F" w14:textId="7887CCAE"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Wskazane wartości mają charakter orientacyjny i - zgodnie z rozdziałem „Wdrażanie, monitorowanie i ewaluacja” - podlegają corocznemu monitorowaniu oraz przeglądowi w ramach ewaluacji śródokresowej w 2028 r. Korekta wskaźnika możliwa na tym etapie bez nowelizacji uchwały.</w:t>
            </w:r>
          </w:p>
        </w:tc>
      </w:tr>
      <w:tr w:rsidR="004471C5" w:rsidRPr="004F425A" w14:paraId="7C31D18E" w14:textId="77777777" w:rsidTr="79FF9703">
        <w:tc>
          <w:tcPr>
            <w:tcW w:w="1425" w:type="dxa"/>
            <w:tcBorders>
              <w:top w:val="single" w:sz="4" w:space="0" w:color="auto"/>
              <w:left w:val="single" w:sz="4" w:space="0" w:color="auto"/>
              <w:bottom w:val="single" w:sz="4" w:space="0" w:color="auto"/>
              <w:right w:val="single" w:sz="4" w:space="0" w:color="auto"/>
            </w:tcBorders>
          </w:tcPr>
          <w:p w14:paraId="5DA19538" w14:textId="2F95496C"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2443D0C" w14:textId="09709C5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Bank Gospodarstwa Krajowego</w:t>
            </w:r>
          </w:p>
          <w:p w14:paraId="00B33D5E" w14:textId="19254542"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4C7F29F" w14:textId="1D08E5C6"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Dokument nie wskazuje jasno trwałości finansowania po zakończeniu KPO (2026) oraz widoczny jest wysoki poziom zależności od środków jednorazowych.</w:t>
            </w:r>
          </w:p>
          <w:p w14:paraId="2235989B" w14:textId="64DD1878"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Generuje to duże ryzyko luki finansowej w latach 2027–2030.</w:t>
            </w:r>
          </w:p>
        </w:tc>
        <w:tc>
          <w:tcPr>
            <w:tcW w:w="4859" w:type="dxa"/>
            <w:tcBorders>
              <w:top w:val="single" w:sz="4" w:space="0" w:color="auto"/>
              <w:left w:val="single" w:sz="4" w:space="0" w:color="auto"/>
              <w:bottom w:val="single" w:sz="4" w:space="0" w:color="auto"/>
              <w:right w:val="single" w:sz="4" w:space="0" w:color="auto"/>
            </w:tcBorders>
          </w:tcPr>
          <w:p w14:paraId="2C132352" w14:textId="77777777" w:rsidR="007461C5"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79E356D7" w14:textId="222CCF23"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Ryzyko luki finansowej po zakończeniu KPO (2026) będzie przedmiotem odrębnych prac nad instrumentami wsparcia w perspektywie finansowej UE 2028-2034 oraz przeglądu Krajowych Ram Wspierania Strategicznych Inwestycji Półprzewodnikowych.</w:t>
            </w:r>
          </w:p>
        </w:tc>
      </w:tr>
      <w:tr w:rsidR="004471C5" w:rsidRPr="004F425A" w14:paraId="16AC2056" w14:textId="77777777" w:rsidTr="79FF9703">
        <w:tc>
          <w:tcPr>
            <w:tcW w:w="1425" w:type="dxa"/>
            <w:tcBorders>
              <w:top w:val="single" w:sz="4" w:space="0" w:color="auto"/>
              <w:left w:val="single" w:sz="4" w:space="0" w:color="auto"/>
              <w:bottom w:val="single" w:sz="4" w:space="0" w:color="auto"/>
              <w:right w:val="single" w:sz="4" w:space="0" w:color="auto"/>
            </w:tcBorders>
          </w:tcPr>
          <w:p w14:paraId="2BB914AF" w14:textId="0F8ABFD9"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B7E9078" w14:textId="09709C5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Bank Gospodarstwa Krajowego</w:t>
            </w:r>
          </w:p>
          <w:p w14:paraId="55DC2C3F" w14:textId="2EA9B5F1"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89B20BB" w14:textId="2933370E"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 xml:space="preserve">Str.23 </w:t>
            </w:r>
          </w:p>
          <w:p w14:paraId="27AE386A" w14:textId="75F38673"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Analiza lokalizacyjna powinna uwzględniać również już zrealizowane bezpośrednie inwestycje zagraniczne (BIZ) z sektora półprzewodnikowego, w tym utworzone centra B+R.</w:t>
            </w:r>
          </w:p>
        </w:tc>
        <w:tc>
          <w:tcPr>
            <w:tcW w:w="4859" w:type="dxa"/>
            <w:tcBorders>
              <w:top w:val="single" w:sz="4" w:space="0" w:color="auto"/>
              <w:left w:val="single" w:sz="4" w:space="0" w:color="auto"/>
              <w:bottom w:val="single" w:sz="4" w:space="0" w:color="auto"/>
              <w:right w:val="single" w:sz="4" w:space="0" w:color="auto"/>
            </w:tcBorders>
          </w:tcPr>
          <w:p w14:paraId="0DF4AE0A" w14:textId="03009615" w:rsidR="00C60990" w:rsidRPr="004F425A" w:rsidRDefault="00C60990"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3194487E" w14:textId="72B56486" w:rsidR="005F5792" w:rsidRPr="004F425A" w:rsidRDefault="00C60990"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 xml:space="preserve">Postulat wykracza poza poziom ogólności dokumentu. </w:t>
            </w:r>
          </w:p>
        </w:tc>
      </w:tr>
      <w:tr w:rsidR="004471C5" w:rsidRPr="004F425A" w14:paraId="53BD5DCB" w14:textId="77777777" w:rsidTr="79FF9703">
        <w:tc>
          <w:tcPr>
            <w:tcW w:w="1425" w:type="dxa"/>
            <w:tcBorders>
              <w:top w:val="single" w:sz="4" w:space="0" w:color="auto"/>
              <w:left w:val="single" w:sz="4" w:space="0" w:color="auto"/>
              <w:bottom w:val="single" w:sz="4" w:space="0" w:color="auto"/>
              <w:right w:val="single" w:sz="4" w:space="0" w:color="auto"/>
            </w:tcBorders>
          </w:tcPr>
          <w:p w14:paraId="67159148" w14:textId="0DD90BFC"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3953A08" w14:textId="09709C5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Bank Gospodarstwa Krajowego</w:t>
            </w:r>
          </w:p>
          <w:p w14:paraId="2D4EE0C6" w14:textId="763BB3C7"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0B17F8D" w14:textId="2788D71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Odwołania Krajowej Strategii Rozwoju Regionalnego (KSRR 2030).</w:t>
            </w:r>
          </w:p>
          <w:p w14:paraId="4AF28408" w14:textId="0D433560"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Dokument w wielu miejscach odwołujące się do KSRR. Wskazane byłoby opisanie silnych i słabych stron poszczególnych regionów oraz oceny komponentu krajowego (local content) i wpływu inwestycji na rozwój lokalny.</w:t>
            </w:r>
          </w:p>
        </w:tc>
        <w:tc>
          <w:tcPr>
            <w:tcW w:w="4859" w:type="dxa"/>
            <w:tcBorders>
              <w:top w:val="single" w:sz="4" w:space="0" w:color="auto"/>
              <w:left w:val="single" w:sz="4" w:space="0" w:color="auto"/>
              <w:bottom w:val="single" w:sz="4" w:space="0" w:color="auto"/>
              <w:right w:val="single" w:sz="4" w:space="0" w:color="auto"/>
            </w:tcBorders>
          </w:tcPr>
          <w:p w14:paraId="64CA2E77" w14:textId="77777777" w:rsidR="007461C5"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40E9EA31" w14:textId="60B6EDB5"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Szczegółowa analiza regionalna (w tym ocena local content) wykracza poza poziom ogólności dokumentu i będzie elementem analizy lokalizacyjnej dla parku technologicznego i linii pilotażowych (do I kw. 2027 r.).</w:t>
            </w:r>
          </w:p>
        </w:tc>
      </w:tr>
      <w:tr w:rsidR="004471C5" w:rsidRPr="004F425A" w14:paraId="5F65209E" w14:textId="77777777" w:rsidTr="79FF9703">
        <w:tc>
          <w:tcPr>
            <w:tcW w:w="1425" w:type="dxa"/>
            <w:tcBorders>
              <w:top w:val="single" w:sz="4" w:space="0" w:color="auto"/>
              <w:left w:val="single" w:sz="4" w:space="0" w:color="auto"/>
              <w:bottom w:val="single" w:sz="4" w:space="0" w:color="auto"/>
              <w:right w:val="single" w:sz="4" w:space="0" w:color="auto"/>
            </w:tcBorders>
          </w:tcPr>
          <w:p w14:paraId="7BDBFC49" w14:textId="2F95496C"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C944DFC" w14:textId="09709C5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Bank Gospodarstwa Krajowego</w:t>
            </w:r>
          </w:p>
          <w:p w14:paraId="472598BC" w14:textId="0A638901"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62E66A5" w14:textId="14E9E790"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Filar II – Impuls państwa</w:t>
            </w:r>
          </w:p>
          <w:p w14:paraId="2004F707" w14:textId="462CA2F5"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Wskazane byłoby, aby dokument zawierał ocenę, które spółki Skarbu Państwa mogą realnie zaangażować się we wdrażanie technologii półprzewodnikowych.</w:t>
            </w:r>
          </w:p>
          <w:p w14:paraId="78090B6D" w14:textId="4582003C"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Zasadne wydaje się również uwzględnienie </w:t>
            </w:r>
            <w:r w:rsidRPr="004F425A">
              <w:rPr>
                <w:rFonts w:ascii="Lato" w:hAnsi="Lato"/>
                <w:sz w:val="20"/>
                <w:szCs w:val="20"/>
              </w:rPr>
              <w:br/>
            </w:r>
            <w:r w:rsidRPr="004F425A">
              <w:rPr>
                <w:rFonts w:ascii="Lato" w:eastAsia="Lato" w:hAnsi="Lato" w:cs="Lato"/>
                <w:sz w:val="20"/>
                <w:szCs w:val="20"/>
              </w:rPr>
              <w:t>w dokumencie klarownego opisu roli instytucji rozwoju, ze szczególnym odniesieniem do ich potencjalnego wkładu w realizację założeń polityki półprzewodnikowej.</w:t>
            </w:r>
          </w:p>
        </w:tc>
        <w:tc>
          <w:tcPr>
            <w:tcW w:w="4859" w:type="dxa"/>
            <w:tcBorders>
              <w:top w:val="single" w:sz="4" w:space="0" w:color="auto"/>
              <w:left w:val="single" w:sz="4" w:space="0" w:color="auto"/>
              <w:bottom w:val="single" w:sz="4" w:space="0" w:color="auto"/>
              <w:right w:val="single" w:sz="4" w:space="0" w:color="auto"/>
            </w:tcBorders>
          </w:tcPr>
          <w:p w14:paraId="301D8915" w14:textId="77777777" w:rsidR="007461C5"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1D7FB8B5" w14:textId="52E82D45"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Lista konkretnych spółek SP oraz szczegółowy opis roli instytucji rozwoju zostaną doprecyzowane na etapie mechanizmu dopasowywania technologii i zastosowań (matchmaking), o którym mowa w rozdz. Impuls państwa.</w:t>
            </w:r>
          </w:p>
        </w:tc>
      </w:tr>
      <w:tr w:rsidR="004471C5" w:rsidRPr="004F425A" w14:paraId="18778490" w14:textId="77777777" w:rsidTr="79FF9703">
        <w:tc>
          <w:tcPr>
            <w:tcW w:w="1425" w:type="dxa"/>
            <w:tcBorders>
              <w:top w:val="single" w:sz="4" w:space="0" w:color="auto"/>
              <w:left w:val="single" w:sz="4" w:space="0" w:color="auto"/>
              <w:bottom w:val="single" w:sz="4" w:space="0" w:color="auto"/>
              <w:right w:val="single" w:sz="4" w:space="0" w:color="auto"/>
            </w:tcBorders>
          </w:tcPr>
          <w:p w14:paraId="662E011E" w14:textId="0F8ABFD9"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F892126" w14:textId="09709C5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Bank Gospodarstwa Krajowego</w:t>
            </w:r>
          </w:p>
          <w:p w14:paraId="707458CD" w14:textId="07DE7206"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2944C2A" w14:textId="47CAA6F2"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zdaniu „Działania te realizują już instytucje takie jak Polska Agencja Inwestycji i Handlu czy, w wybranych aspektach, Ministerstwo Spraw Zagranicznych - ich rola powinna zostać wzmocniona i lepiej zintegrowana z celami polityki przemysłowej.” rekomendujemy dodanie Banku Gospodarstwa krajowego, który swoimi instrumentami intensywnie wspiera ekspansję zagraniczną polskich przedsiębiorców.</w:t>
            </w:r>
          </w:p>
        </w:tc>
        <w:tc>
          <w:tcPr>
            <w:tcW w:w="4859" w:type="dxa"/>
            <w:tcBorders>
              <w:top w:val="single" w:sz="4" w:space="0" w:color="auto"/>
              <w:left w:val="single" w:sz="4" w:space="0" w:color="auto"/>
              <w:bottom w:val="single" w:sz="4" w:space="0" w:color="auto"/>
              <w:right w:val="single" w:sz="4" w:space="0" w:color="auto"/>
            </w:tcBorders>
          </w:tcPr>
          <w:p w14:paraId="730ABBC9" w14:textId="77777777" w:rsidR="007461C5"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3CD9213A" w14:textId="406EBB0D"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BGK został wskazany jako instytucja, która swoimi instrumentami intensywnie wspiera ekspansję zagraniczną polskich przedsiębiorców.</w:t>
            </w:r>
            <w:r w:rsidRPr="004F425A">
              <w:rPr>
                <w:rFonts w:ascii="Lato" w:hAnsi="Lato"/>
                <w:sz w:val="20"/>
                <w:szCs w:val="20"/>
              </w:rPr>
              <w:br/>
            </w:r>
          </w:p>
        </w:tc>
      </w:tr>
      <w:tr w:rsidR="004471C5" w:rsidRPr="004F425A" w14:paraId="43FE39D6" w14:textId="77777777" w:rsidTr="79FF9703">
        <w:tc>
          <w:tcPr>
            <w:tcW w:w="1425" w:type="dxa"/>
            <w:tcBorders>
              <w:top w:val="single" w:sz="4" w:space="0" w:color="auto"/>
              <w:left w:val="single" w:sz="4" w:space="0" w:color="auto"/>
              <w:bottom w:val="single" w:sz="4" w:space="0" w:color="auto"/>
              <w:right w:val="single" w:sz="4" w:space="0" w:color="auto"/>
            </w:tcBorders>
          </w:tcPr>
          <w:p w14:paraId="01CD07B4" w14:textId="0DD90BFC"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DE60364" w14:textId="09709C5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Bank Gospodarstwa Krajowego</w:t>
            </w:r>
          </w:p>
          <w:p w14:paraId="08D374D8" w14:textId="26701DA8"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ADE91DD" w14:textId="17A4BDCF"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ostatnim akapicie jest odwołanie do polityki przemysłowej państwa. Ostatni oficjalny dokument rządowy pod nazwą „Polityka Przemysłowa Polski” pochodzi z 2021 roku i został opublikowany przez ówczesne Ministerstwo Rozwoju, Pracy i Technologii. W tym miejscu powinno zostać doprecyzowane o jaką dokładnie politykę chodzi, kto powinien koordynować działania zamiast ogólnego stwierdzenia „Wszystkie te działania powinny być skoordynowane w ramach polityki </w:t>
            </w:r>
            <w:r w:rsidRPr="004F425A">
              <w:rPr>
                <w:rFonts w:ascii="Lato" w:eastAsia="Lato" w:hAnsi="Lato" w:cs="Lato"/>
                <w:sz w:val="20"/>
                <w:szCs w:val="20"/>
              </w:rPr>
              <w:lastRenderedPageBreak/>
              <w:t>przemysłowej państwa, wspieranej przez dedykowane zespoły analityczne i inwestycyjne oraz komplementarne działania dyplomacji gospodarczej i regulacyjnej.” Zespoły analityczne powinny zostać konkretnie umiejscowione a koordynacja wyznaczona przez jeden podmiot.</w:t>
            </w:r>
          </w:p>
        </w:tc>
        <w:tc>
          <w:tcPr>
            <w:tcW w:w="4859" w:type="dxa"/>
            <w:tcBorders>
              <w:top w:val="single" w:sz="4" w:space="0" w:color="auto"/>
              <w:left w:val="single" w:sz="4" w:space="0" w:color="auto"/>
              <w:bottom w:val="single" w:sz="4" w:space="0" w:color="auto"/>
              <w:right w:val="single" w:sz="4" w:space="0" w:color="auto"/>
            </w:tcBorders>
          </w:tcPr>
          <w:p w14:paraId="19BA2F22" w14:textId="77777777" w:rsidR="007461C5"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została uwzględniona</w:t>
            </w:r>
          </w:p>
          <w:p w14:paraId="4FD8D2B6" w14:textId="598335F7"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 xml:space="preserve">Poprawiono odwołanie dot. Polityki Przemysłowej. </w:t>
            </w:r>
          </w:p>
        </w:tc>
      </w:tr>
      <w:tr w:rsidR="004471C5" w:rsidRPr="004F425A" w14:paraId="0F6CA95E" w14:textId="77777777" w:rsidTr="79FF9703">
        <w:tc>
          <w:tcPr>
            <w:tcW w:w="1425" w:type="dxa"/>
            <w:tcBorders>
              <w:top w:val="single" w:sz="4" w:space="0" w:color="auto"/>
              <w:left w:val="single" w:sz="4" w:space="0" w:color="auto"/>
              <w:bottom w:val="single" w:sz="4" w:space="0" w:color="auto"/>
              <w:right w:val="single" w:sz="4" w:space="0" w:color="auto"/>
            </w:tcBorders>
          </w:tcPr>
          <w:p w14:paraId="156E9CBA" w14:textId="2F95496C"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49C66D8" w14:textId="09709C5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Bank Gospodarstwa Krajowego</w:t>
            </w:r>
          </w:p>
          <w:p w14:paraId="043CD3AE" w14:textId="43F42FC4"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B12FCD2" w14:textId="5D747AD9"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Miernik „System rezerwy strategicznej obejmuj</w:t>
            </w:r>
            <w:r w:rsidR="005F5C4D">
              <w:rPr>
                <w:rFonts w:ascii="Lato" w:eastAsia="Lato" w:hAnsi="Lato" w:cs="Lato"/>
                <w:sz w:val="20"/>
                <w:szCs w:val="20"/>
              </w:rPr>
              <w:t>ą</w:t>
            </w:r>
            <w:r w:rsidRPr="004F425A">
              <w:rPr>
                <w:rFonts w:ascii="Lato" w:eastAsia="Lato" w:hAnsi="Lato" w:cs="Lato"/>
                <w:sz w:val="20"/>
                <w:szCs w:val="20"/>
              </w:rPr>
              <w:t>cy 3 miesi</w:t>
            </w:r>
            <w:r w:rsidR="005F5C4D">
              <w:rPr>
                <w:rFonts w:ascii="Lato" w:eastAsia="Lato" w:hAnsi="Lato" w:cs="Lato"/>
                <w:sz w:val="20"/>
                <w:szCs w:val="20"/>
              </w:rPr>
              <w:t>ą</w:t>
            </w:r>
            <w:r w:rsidRPr="004F425A">
              <w:rPr>
                <w:rFonts w:ascii="Lato" w:eastAsia="Lato" w:hAnsi="Lato" w:cs="Lato"/>
                <w:sz w:val="20"/>
                <w:szCs w:val="20"/>
              </w:rPr>
              <w:t>ce zapotrzebowania na wybrane gazy i chemikalia” ze str. 48 nawi¹zuje do opisu filaru na stronie 13, ale nie zosta</w:t>
            </w:r>
            <w:r w:rsidR="005F5C4D">
              <w:rPr>
                <w:rFonts w:ascii="Lato" w:eastAsia="Lato" w:hAnsi="Lato" w:cs="Lato"/>
                <w:sz w:val="20"/>
                <w:szCs w:val="20"/>
              </w:rPr>
              <w:t>ł</w:t>
            </w:r>
            <w:r w:rsidRPr="004F425A">
              <w:rPr>
                <w:rFonts w:ascii="Lato" w:eastAsia="Lato" w:hAnsi="Lato" w:cs="Lato"/>
                <w:sz w:val="20"/>
                <w:szCs w:val="20"/>
              </w:rPr>
              <w:t xml:space="preserve"> </w:t>
            </w:r>
            <w:r w:rsidR="005F5C4D" w:rsidRPr="004F425A">
              <w:rPr>
                <w:rFonts w:ascii="Lato" w:eastAsia="Lato" w:hAnsi="Lato" w:cs="Lato"/>
                <w:sz w:val="20"/>
                <w:szCs w:val="20"/>
              </w:rPr>
              <w:t>ujęty</w:t>
            </w:r>
            <w:r w:rsidRPr="004F425A">
              <w:rPr>
                <w:rFonts w:ascii="Lato" w:eastAsia="Lato" w:hAnsi="Lato" w:cs="Lato"/>
                <w:sz w:val="20"/>
                <w:szCs w:val="20"/>
              </w:rPr>
              <w:t xml:space="preserve"> w szerokim opisie w części VII. Chemikalia i surowce na str. 41-42. System rezerw surowcowych warto poszerzyć o inne kluczowe obszary gospodarki nie tylko półprzewodniki.</w:t>
            </w:r>
          </w:p>
        </w:tc>
        <w:tc>
          <w:tcPr>
            <w:tcW w:w="4859" w:type="dxa"/>
            <w:tcBorders>
              <w:top w:val="single" w:sz="4" w:space="0" w:color="auto"/>
              <w:left w:val="single" w:sz="4" w:space="0" w:color="auto"/>
              <w:bottom w:val="single" w:sz="4" w:space="0" w:color="auto"/>
              <w:right w:val="single" w:sz="4" w:space="0" w:color="auto"/>
            </w:tcBorders>
          </w:tcPr>
          <w:p w14:paraId="147096DF" w14:textId="77777777" w:rsidR="005F5C4D"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703B1F31" w14:textId="3E58A39B"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Nie jest planowane rozszerzenia systemu rezerw na inne sektory gospodarki, ponieważ wykracza to poza zakres przedmiotowy niniejszej Polityki, która koncentruje się na rozwoju krajowego sektora półprzewodników.</w:t>
            </w:r>
          </w:p>
        </w:tc>
      </w:tr>
      <w:tr w:rsidR="004471C5" w:rsidRPr="004F425A" w14:paraId="7AD7163C" w14:textId="77777777" w:rsidTr="79FF9703">
        <w:tc>
          <w:tcPr>
            <w:tcW w:w="1425" w:type="dxa"/>
            <w:tcBorders>
              <w:top w:val="single" w:sz="4" w:space="0" w:color="auto"/>
              <w:left w:val="single" w:sz="4" w:space="0" w:color="auto"/>
              <w:bottom w:val="single" w:sz="4" w:space="0" w:color="auto"/>
              <w:right w:val="single" w:sz="4" w:space="0" w:color="auto"/>
            </w:tcBorders>
          </w:tcPr>
          <w:p w14:paraId="023F0D9B" w14:textId="0F8ABFD9"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2A93D38" w14:textId="09709C5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Bank Gospodarstwa Krajowego</w:t>
            </w:r>
          </w:p>
          <w:p w14:paraId="13B989A2" w14:textId="07869E28"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28C36BB4" w14:textId="4AD32A0D"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części „Mierniki sukcesu” wskazane zosta</w:t>
            </w:r>
            <w:r w:rsidR="005F5C4D">
              <w:rPr>
                <w:rFonts w:ascii="Lato" w:eastAsia="Lato" w:hAnsi="Lato" w:cs="Lato"/>
                <w:sz w:val="20"/>
                <w:szCs w:val="20"/>
              </w:rPr>
              <w:t>ł</w:t>
            </w:r>
            <w:r w:rsidRPr="004F425A">
              <w:rPr>
                <w:rFonts w:ascii="Lato" w:eastAsia="Lato" w:hAnsi="Lato" w:cs="Lato"/>
                <w:sz w:val="20"/>
                <w:szCs w:val="20"/>
              </w:rPr>
              <w:t>y różne ministerstwa, ale niejasne jest, które dok</w:t>
            </w:r>
            <w:r w:rsidR="005F5C4D">
              <w:rPr>
                <w:rFonts w:ascii="Lato" w:eastAsia="Lato" w:hAnsi="Lato" w:cs="Lato"/>
                <w:sz w:val="20"/>
                <w:szCs w:val="20"/>
              </w:rPr>
              <w:t>ł</w:t>
            </w:r>
            <w:r w:rsidRPr="004F425A">
              <w:rPr>
                <w:rFonts w:ascii="Lato" w:eastAsia="Lato" w:hAnsi="Lato" w:cs="Lato"/>
                <w:sz w:val="20"/>
                <w:szCs w:val="20"/>
              </w:rPr>
              <w:t xml:space="preserve">adnie ministerstwo ma do wykonania zadanie. Istotnym wydaje </w:t>
            </w:r>
            <w:r w:rsidR="005F5C4D" w:rsidRPr="004F425A">
              <w:rPr>
                <w:rFonts w:ascii="Lato" w:eastAsia="Lato" w:hAnsi="Lato" w:cs="Lato"/>
                <w:sz w:val="20"/>
                <w:szCs w:val="20"/>
              </w:rPr>
              <w:t>się</w:t>
            </w:r>
            <w:r w:rsidRPr="004F425A">
              <w:rPr>
                <w:rFonts w:ascii="Lato" w:eastAsia="Lato" w:hAnsi="Lato" w:cs="Lato"/>
                <w:sz w:val="20"/>
                <w:szCs w:val="20"/>
              </w:rPr>
              <w:t xml:space="preserve"> b</w:t>
            </w:r>
            <w:r w:rsidR="005F5C4D">
              <w:rPr>
                <w:rFonts w:ascii="Lato" w:eastAsia="Lato" w:hAnsi="Lato" w:cs="Lato"/>
                <w:sz w:val="20"/>
                <w:szCs w:val="20"/>
              </w:rPr>
              <w:t>yć</w:t>
            </w:r>
            <w:r w:rsidRPr="004F425A">
              <w:rPr>
                <w:rFonts w:ascii="Lato" w:eastAsia="Lato" w:hAnsi="Lato" w:cs="Lato"/>
                <w:sz w:val="20"/>
                <w:szCs w:val="20"/>
              </w:rPr>
              <w:t xml:space="preserve"> wskazaniu podmiotów wykonuj</w:t>
            </w:r>
            <w:r w:rsidR="005F5C4D">
              <w:rPr>
                <w:rFonts w:ascii="Lato" w:eastAsia="Lato" w:hAnsi="Lato" w:cs="Lato"/>
                <w:sz w:val="20"/>
                <w:szCs w:val="20"/>
              </w:rPr>
              <w:t>ą</w:t>
            </w:r>
            <w:r w:rsidRPr="004F425A">
              <w:rPr>
                <w:rFonts w:ascii="Lato" w:eastAsia="Lato" w:hAnsi="Lato" w:cs="Lato"/>
                <w:sz w:val="20"/>
                <w:szCs w:val="20"/>
              </w:rPr>
              <w:t>cych dzia</w:t>
            </w:r>
            <w:r w:rsidR="005F5C4D">
              <w:rPr>
                <w:rFonts w:ascii="Lato" w:eastAsia="Lato" w:hAnsi="Lato" w:cs="Lato"/>
                <w:sz w:val="20"/>
                <w:szCs w:val="20"/>
              </w:rPr>
              <w:t>ł</w:t>
            </w:r>
            <w:r w:rsidRPr="004F425A">
              <w:rPr>
                <w:rFonts w:ascii="Lato" w:eastAsia="Lato" w:hAnsi="Lato" w:cs="Lato"/>
                <w:sz w:val="20"/>
                <w:szCs w:val="20"/>
              </w:rPr>
              <w:t>ania z poszczególnych filarów.</w:t>
            </w:r>
          </w:p>
          <w:p w14:paraId="47B92D4D" w14:textId="1CD0EA21"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Dodatkowo </w:t>
            </w:r>
            <w:r w:rsidR="005F5C4D">
              <w:rPr>
                <w:rFonts w:ascii="Lato" w:eastAsia="Lato" w:hAnsi="Lato" w:cs="Lato"/>
                <w:sz w:val="20"/>
                <w:szCs w:val="20"/>
              </w:rPr>
              <w:t>należałoby</w:t>
            </w:r>
            <w:r w:rsidRPr="004F425A">
              <w:rPr>
                <w:rFonts w:ascii="Lato" w:eastAsia="Lato" w:hAnsi="Lato" w:cs="Lato"/>
                <w:sz w:val="20"/>
                <w:szCs w:val="20"/>
              </w:rPr>
              <w:t xml:space="preserve"> oddzieli</w:t>
            </w:r>
            <w:r w:rsidR="005F5C4D">
              <w:rPr>
                <w:rFonts w:ascii="Lato" w:eastAsia="Lato" w:hAnsi="Lato" w:cs="Lato"/>
                <w:sz w:val="20"/>
                <w:szCs w:val="20"/>
              </w:rPr>
              <w:t>ć</w:t>
            </w:r>
            <w:r w:rsidRPr="004F425A">
              <w:rPr>
                <w:rFonts w:ascii="Lato" w:eastAsia="Lato" w:hAnsi="Lato" w:cs="Lato"/>
                <w:sz w:val="20"/>
                <w:szCs w:val="20"/>
              </w:rPr>
              <w:t xml:space="preserve"> mierniki sukcesu strategiczne od operacyjnych.</w:t>
            </w:r>
          </w:p>
        </w:tc>
        <w:tc>
          <w:tcPr>
            <w:tcW w:w="4859" w:type="dxa"/>
            <w:tcBorders>
              <w:top w:val="single" w:sz="4" w:space="0" w:color="auto"/>
              <w:left w:val="single" w:sz="4" w:space="0" w:color="auto"/>
              <w:bottom w:val="single" w:sz="4" w:space="0" w:color="auto"/>
              <w:right w:val="single" w:sz="4" w:space="0" w:color="auto"/>
            </w:tcBorders>
          </w:tcPr>
          <w:p w14:paraId="297247CE" w14:textId="77777777" w:rsidR="005F5C4D"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częściowo uwzględniona</w:t>
            </w:r>
          </w:p>
          <w:p w14:paraId="7FEC77FB" w14:textId="57442F20"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W nowej wersji dokumentu zaproponowano powołanie Zespołu odpowiedzialnego za koordynowanie i wdrażanie Polityki i odstąpiono od koncepcji Pełnomocnika. Szczególne wymagania w zakresie monitorowania zostaną określone przez Zespół.</w:t>
            </w:r>
          </w:p>
        </w:tc>
      </w:tr>
      <w:tr w:rsidR="004471C5" w:rsidRPr="004F425A" w14:paraId="319D80D1" w14:textId="77777777" w:rsidTr="79FF9703">
        <w:tc>
          <w:tcPr>
            <w:tcW w:w="1425" w:type="dxa"/>
            <w:tcBorders>
              <w:top w:val="single" w:sz="4" w:space="0" w:color="auto"/>
              <w:left w:val="single" w:sz="4" w:space="0" w:color="auto"/>
              <w:bottom w:val="single" w:sz="4" w:space="0" w:color="auto"/>
              <w:right w:val="single" w:sz="4" w:space="0" w:color="auto"/>
            </w:tcBorders>
          </w:tcPr>
          <w:p w14:paraId="5A96F54B" w14:textId="0DD90BFC"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E9728E9" w14:textId="09709C5A"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Bank Gospodarstwa Krajowego</w:t>
            </w:r>
          </w:p>
          <w:p w14:paraId="1A3C93D2" w14:textId="3BAC20F8"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CC7DDD3" w14:textId="52B163F2"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Str. 47</w:t>
            </w:r>
          </w:p>
          <w:p w14:paraId="63F5BC9B" w14:textId="2C9DD15E"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„liczba absolwentów kierunków elektronicznych/półprzewodnikowych Wartość docelowa = podwojenie roczne do 2030 roku.”</w:t>
            </w:r>
          </w:p>
          <w:p w14:paraId="6384CFA1" w14:textId="71C839BF"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Podwojenie rocznie daje nam wskaźnik x16 do 2030 roku, co jest niemożliwe do osi¹gniêcia. Propozycja: roczny wzrost o 18%.</w:t>
            </w:r>
          </w:p>
        </w:tc>
        <w:tc>
          <w:tcPr>
            <w:tcW w:w="4859" w:type="dxa"/>
            <w:tcBorders>
              <w:top w:val="single" w:sz="4" w:space="0" w:color="auto"/>
              <w:left w:val="single" w:sz="4" w:space="0" w:color="auto"/>
              <w:bottom w:val="single" w:sz="4" w:space="0" w:color="auto"/>
              <w:right w:val="single" w:sz="4" w:space="0" w:color="auto"/>
            </w:tcBorders>
          </w:tcPr>
          <w:p w14:paraId="7315588E" w14:textId="77777777" w:rsidR="005F5C4D"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częściowo uwzględniona</w:t>
            </w:r>
          </w:p>
          <w:p w14:paraId="0AF0C9AC" w14:textId="3C6E6B40"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 xml:space="preserve">Wartości wskaźników zostały doprecyzowane. </w:t>
            </w:r>
          </w:p>
        </w:tc>
      </w:tr>
      <w:tr w:rsidR="004471C5" w:rsidRPr="004F425A" w14:paraId="0A5F3021" w14:textId="77777777" w:rsidTr="79FF9703">
        <w:tc>
          <w:tcPr>
            <w:tcW w:w="1425" w:type="dxa"/>
            <w:tcBorders>
              <w:top w:val="single" w:sz="4" w:space="0" w:color="auto"/>
              <w:left w:val="single" w:sz="4" w:space="0" w:color="auto"/>
              <w:bottom w:val="single" w:sz="4" w:space="0" w:color="auto"/>
              <w:right w:val="single" w:sz="4" w:space="0" w:color="auto"/>
            </w:tcBorders>
          </w:tcPr>
          <w:p w14:paraId="174A25A7" w14:textId="0F8ABFD9"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69D9229" w14:textId="385E2A82"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1F1CD21A" w14:textId="7ECE3431"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p w14:paraId="62D5B965" w14:textId="064213FE"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38DAE0C" w14:textId="74CF410E"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Doprecyzowanie roli mikroelektroniki </w:t>
            </w:r>
          </w:p>
          <w:p w14:paraId="19E2DED6"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W obecnym kształcie dokumentu zauważalna jest dominacja odniesień do fotoniki, w porównaniu do mikroelektroniki, tymczasem Polska posiada rozwinięte kompetencje w zakresie projektowania układów scalonych, a także infrastrukturę stwarzającą warunki do uruchomienia niskoseryjnej produkcji. Dokument nie w pełni to odzwierciedla i pomija fakt, że na globalnym rynku półprzewodników mikroelektronika jest dominującym </w:t>
            </w:r>
            <w:r w:rsidRPr="004F425A">
              <w:rPr>
                <w:rFonts w:ascii="Lato" w:eastAsia="Lato" w:hAnsi="Lato" w:cs="Lato"/>
                <w:color w:val="auto"/>
                <w:sz w:val="20"/>
                <w:szCs w:val="20"/>
              </w:rPr>
              <w:lastRenderedPageBreak/>
              <w:t>obszarem. Wobec powyższego rekomenduje się zmiany zapewniające:</w:t>
            </w:r>
          </w:p>
          <w:p w14:paraId="2F8B6BBE" w14:textId="77777777" w:rsidR="005F5792" w:rsidRPr="004F425A" w:rsidRDefault="005F5792" w:rsidP="004F425A">
            <w:pPr>
              <w:pStyle w:val="Default"/>
              <w:numPr>
                <w:ilvl w:val="0"/>
                <w:numId w:val="5"/>
              </w:numPr>
              <w:spacing w:after="120"/>
              <w:rPr>
                <w:rFonts w:ascii="Lato" w:eastAsia="Lato" w:hAnsi="Lato" w:cs="Lato"/>
                <w:color w:val="auto"/>
                <w:sz w:val="20"/>
                <w:szCs w:val="20"/>
              </w:rPr>
            </w:pPr>
            <w:r w:rsidRPr="004F425A">
              <w:rPr>
                <w:rFonts w:ascii="Lato" w:eastAsia="Lato" w:hAnsi="Lato" w:cs="Lato"/>
                <w:color w:val="auto"/>
                <w:sz w:val="20"/>
                <w:szCs w:val="20"/>
              </w:rPr>
              <w:t xml:space="preserve">wskazanie mikroelektroniki jako równorzędnego obszaru strategicznego; </w:t>
            </w:r>
          </w:p>
          <w:p w14:paraId="12B1341D" w14:textId="77777777" w:rsidR="005F5792" w:rsidRPr="004F425A" w:rsidRDefault="005F5792" w:rsidP="004F425A">
            <w:pPr>
              <w:pStyle w:val="Default"/>
              <w:numPr>
                <w:ilvl w:val="0"/>
                <w:numId w:val="5"/>
              </w:numPr>
              <w:spacing w:after="120"/>
              <w:rPr>
                <w:rFonts w:ascii="Lato" w:eastAsia="Lato" w:hAnsi="Lato" w:cs="Lato"/>
                <w:color w:val="auto"/>
                <w:sz w:val="20"/>
                <w:szCs w:val="20"/>
              </w:rPr>
            </w:pPr>
            <w:r w:rsidRPr="004F425A">
              <w:rPr>
                <w:rFonts w:ascii="Lato" w:eastAsia="Lato" w:hAnsi="Lato" w:cs="Lato"/>
                <w:color w:val="auto"/>
                <w:sz w:val="20"/>
                <w:szCs w:val="20"/>
              </w:rPr>
              <w:t xml:space="preserve">rozszerzenie opisu kompetencji o mikroelektronikę, w tym projektowanie układów scalonych; technologie wytwarzania, testowanie i montaż, a także potencjał produkcyjny; </w:t>
            </w:r>
          </w:p>
          <w:p w14:paraId="3328F914" w14:textId="77777777" w:rsidR="005F5792" w:rsidRPr="004F425A" w:rsidRDefault="005F5792" w:rsidP="004F425A">
            <w:pPr>
              <w:pStyle w:val="Default"/>
              <w:numPr>
                <w:ilvl w:val="0"/>
                <w:numId w:val="5"/>
              </w:numPr>
              <w:spacing w:after="120"/>
              <w:rPr>
                <w:rFonts w:ascii="Lato" w:eastAsia="Lato" w:hAnsi="Lato" w:cs="Lato"/>
                <w:color w:val="auto"/>
                <w:sz w:val="20"/>
                <w:szCs w:val="20"/>
              </w:rPr>
            </w:pPr>
            <w:r w:rsidRPr="004F425A">
              <w:rPr>
                <w:rFonts w:ascii="Lato" w:eastAsia="Lato" w:hAnsi="Lato" w:cs="Lato"/>
                <w:color w:val="auto"/>
                <w:sz w:val="20"/>
                <w:szCs w:val="20"/>
              </w:rPr>
              <w:t xml:space="preserve">równoważność traktowania mikroelektroniki w instrumentach wsparcia B+R. </w:t>
            </w:r>
          </w:p>
          <w:p w14:paraId="162911C6" w14:textId="3E13A1B6" w:rsidR="005F5792" w:rsidRPr="004F425A" w:rsidRDefault="005F5792" w:rsidP="004F425A">
            <w:pPr>
              <w:spacing w:after="120" w:line="240" w:lineRule="auto"/>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39996D10" w14:textId="77777777" w:rsidR="005F5C4D"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74611EBB" w14:textId="47D10AD5"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 xml:space="preserve">Polityka celowo nie różnicuje wsparcia wg wąskich segmentów technologicznych (np. rad-hard, pamięci półprzewodnikowe, technologie termoelektryczne), by uniknąć nadmiernej granulacji i zarzutu wybiórczego premiowania pojedynczych nisz. Doprecyzowanie priorytetów technologicznych nastąpi na etapie Mapy drogowej rozwoju </w:t>
            </w:r>
            <w:r w:rsidRPr="004F425A">
              <w:rPr>
                <w:rFonts w:ascii="Lato" w:eastAsia="Lato" w:hAnsi="Lato" w:cs="Lato"/>
                <w:sz w:val="20"/>
                <w:szCs w:val="20"/>
              </w:rPr>
              <w:lastRenderedPageBreak/>
              <w:t>technologii półprzewodnikowych (Filar II), łatwiejszej do aktualizacji niż uchwała RM.</w:t>
            </w:r>
          </w:p>
        </w:tc>
      </w:tr>
      <w:tr w:rsidR="004471C5" w:rsidRPr="004F425A" w14:paraId="27503826" w14:textId="77777777" w:rsidTr="79FF9703">
        <w:tc>
          <w:tcPr>
            <w:tcW w:w="1425" w:type="dxa"/>
            <w:tcBorders>
              <w:top w:val="single" w:sz="4" w:space="0" w:color="auto"/>
              <w:left w:val="single" w:sz="4" w:space="0" w:color="auto"/>
              <w:bottom w:val="single" w:sz="4" w:space="0" w:color="auto"/>
              <w:right w:val="single" w:sz="4" w:space="0" w:color="auto"/>
            </w:tcBorders>
          </w:tcPr>
          <w:p w14:paraId="3094DDC6"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D8F10C0"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64826180" w14:textId="77777777" w:rsidR="005F5792" w:rsidRPr="004F425A" w:rsidRDefault="005F5792" w:rsidP="004F425A">
            <w:pPr>
              <w:spacing w:after="120" w:line="240" w:lineRule="auto"/>
              <w:rPr>
                <w:rFonts w:ascii="Lato" w:eastAsia="Lato" w:hAnsi="Lato" w:cs="Lato"/>
                <w:sz w:val="20"/>
                <w:szCs w:val="20"/>
              </w:rPr>
            </w:pPr>
          </w:p>
          <w:p w14:paraId="78E35DD6"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p w14:paraId="391D24F6" w14:textId="77777777"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34B576E" w14:textId="10C8E1E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Uzupełnienie strategicznych produktów o układy odporne na promieniowanie i pamięci półprzewodnikowe </w:t>
            </w:r>
          </w:p>
          <w:p w14:paraId="0C65ED0F"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Dokument nie identyfikuje wszystkich klas produktów, w których Polska może budować przewagę konkurencyjną. Pragniemy zauważyć, iż zespół Centrum Zaawansowanych Materiałów i Technologii CEZAMAT Politechniki Warszawskiej w ramach projektu FAMES realizowanego w ramach Chips JU rozwija technologie w obszarze pamięci półprzewodnikowych. Identyfikujemy także układy odporne na promieniowanie jako obszar możliwego rozwoju opartego o posiadane przez Polskę kompetencje. Te dwie grupy produktów wpisują się w strategiczne potrzeby Polski i UE w zakresie bezpieczeństwa i suwerenności technologicznej, a także umożliwiają budowę wyspecjalizowanej pozycji Polski bez konieczności konkurowania w najbardziej kapitałochłonnych segmentach rynku. Dlatego też rekomenduje się: </w:t>
            </w:r>
          </w:p>
          <w:p w14:paraId="3D44009C" w14:textId="77777777" w:rsidR="005F5792" w:rsidRPr="004F425A" w:rsidRDefault="005F5792" w:rsidP="004F425A">
            <w:pPr>
              <w:pStyle w:val="Default"/>
              <w:numPr>
                <w:ilvl w:val="0"/>
                <w:numId w:val="6"/>
              </w:numPr>
              <w:spacing w:after="120"/>
              <w:rPr>
                <w:rFonts w:ascii="Lato" w:eastAsia="Lato" w:hAnsi="Lato" w:cs="Lato"/>
                <w:color w:val="auto"/>
                <w:sz w:val="20"/>
                <w:szCs w:val="20"/>
              </w:rPr>
            </w:pPr>
            <w:r w:rsidRPr="004F425A">
              <w:rPr>
                <w:rFonts w:ascii="Lato" w:eastAsia="Lato" w:hAnsi="Lato" w:cs="Lato"/>
                <w:color w:val="auto"/>
                <w:sz w:val="20"/>
                <w:szCs w:val="20"/>
              </w:rPr>
              <w:t xml:space="preserve">uzupełnienie katalogu specjalizacji o układy scalone odporne na promieniowanie (szczególnie istotne dla sektora kosmicznego, obronności i infrastruktury krytycznej), a także pamięci półprzewodnikowe (kluczowe dla cyberbezpieczeństwa, istotne dla wysokowydajnych obliczeń). </w:t>
            </w:r>
          </w:p>
          <w:p w14:paraId="6099154C" w14:textId="77777777" w:rsidR="005F5792" w:rsidRDefault="005F5792" w:rsidP="005F5C4D">
            <w:pPr>
              <w:pStyle w:val="Default"/>
              <w:numPr>
                <w:ilvl w:val="0"/>
                <w:numId w:val="6"/>
              </w:numPr>
              <w:spacing w:after="120"/>
              <w:rPr>
                <w:rFonts w:ascii="Lato" w:eastAsia="Lato" w:hAnsi="Lato" w:cs="Lato"/>
                <w:color w:val="auto"/>
                <w:sz w:val="20"/>
                <w:szCs w:val="20"/>
              </w:rPr>
            </w:pPr>
            <w:r w:rsidRPr="004F425A">
              <w:rPr>
                <w:rFonts w:ascii="Lato" w:eastAsia="Lato" w:hAnsi="Lato" w:cs="Lato"/>
                <w:color w:val="auto"/>
                <w:sz w:val="20"/>
                <w:szCs w:val="20"/>
              </w:rPr>
              <w:lastRenderedPageBreak/>
              <w:t xml:space="preserve">rozszerzenie analizy trendów o te dwie grupy produktów. </w:t>
            </w:r>
          </w:p>
          <w:p w14:paraId="2E1FCF8E" w14:textId="4766068E" w:rsidR="005F5C4D" w:rsidRPr="004F425A" w:rsidRDefault="005F5C4D" w:rsidP="005F5C4D">
            <w:pPr>
              <w:pStyle w:val="Default"/>
              <w:numPr>
                <w:ilvl w:val="0"/>
                <w:numId w:val="6"/>
              </w:numPr>
              <w:spacing w:after="120"/>
              <w:rPr>
                <w:rFonts w:ascii="Lato" w:eastAsia="Lato" w:hAnsi="Lato" w:cs="Lato"/>
                <w:color w:val="au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271ABA33" w14:textId="77777777" w:rsidR="005F5C4D"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07323865" w14:textId="03386F84"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Dokument ma charakter horyzontalny i celowo nie różnicuje wsparcia wg wąskich segmentów technologicznych (np. rad-hard, pamięci półprzewodnikowe, technologie termoelektryczne), by uniknąć nadmiernej granulacji i zarzutu wybiórczego premiowania pojedynczych nisz. Doprecyzowanie priorytetów technologicznych nastąpi na etapie Mapy drogowej rozwoju technologii półprzewodnikowych (Filar II), łatwiejszej do aktualizacji niż uchwała RM.</w:t>
            </w:r>
          </w:p>
          <w:p w14:paraId="787AB0E0" w14:textId="2F9643DC" w:rsidR="005F5792" w:rsidRPr="004F425A" w:rsidRDefault="005F5792" w:rsidP="004F425A">
            <w:pPr>
              <w:spacing w:after="120" w:line="240" w:lineRule="auto"/>
              <w:rPr>
                <w:rFonts w:ascii="Lato" w:eastAsia="Lato" w:hAnsi="Lato" w:cs="Lato"/>
                <w:sz w:val="20"/>
                <w:szCs w:val="20"/>
              </w:rPr>
            </w:pPr>
          </w:p>
        </w:tc>
      </w:tr>
      <w:tr w:rsidR="004471C5" w:rsidRPr="004F425A" w14:paraId="34886D53" w14:textId="77777777" w:rsidTr="79FF9703">
        <w:tc>
          <w:tcPr>
            <w:tcW w:w="1425" w:type="dxa"/>
            <w:tcBorders>
              <w:top w:val="single" w:sz="4" w:space="0" w:color="auto"/>
              <w:left w:val="single" w:sz="4" w:space="0" w:color="auto"/>
              <w:bottom w:val="single" w:sz="4" w:space="0" w:color="auto"/>
              <w:right w:val="single" w:sz="4" w:space="0" w:color="auto"/>
            </w:tcBorders>
          </w:tcPr>
          <w:p w14:paraId="1441DDAB"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4BCD128" w14:textId="2DE815A1"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3AB0C79E"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p w14:paraId="12D9EFEA" w14:textId="77777777"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5F44BE5" w14:textId="1DDCF9B4"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Uszczegółowienie aspektów związanych z kształceniem kadr, Centrami Kompetencji i infrastrukturą </w:t>
            </w:r>
          </w:p>
          <w:p w14:paraId="08103895"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W kontekście opracowywanej polityki dla sektora półprzewodników zasadne jest bardziej szczegółowe odniesienie się do potrzeb zapewnienia zasobów takich jak kadry czy dostęp do infrastruktury. Są to kluczowe czynniki warunkujące rozwój przemysłu w kraju. Rekomenduje się: </w:t>
            </w:r>
          </w:p>
          <w:p w14:paraId="71575BEE" w14:textId="77777777" w:rsidR="005F5792" w:rsidRPr="004F425A" w:rsidRDefault="005F5792" w:rsidP="004F425A">
            <w:pPr>
              <w:pStyle w:val="Default"/>
              <w:numPr>
                <w:ilvl w:val="0"/>
                <w:numId w:val="7"/>
              </w:numPr>
              <w:spacing w:after="120"/>
              <w:rPr>
                <w:rFonts w:ascii="Lato" w:eastAsia="Lato" w:hAnsi="Lato" w:cs="Lato"/>
                <w:color w:val="auto"/>
                <w:sz w:val="20"/>
                <w:szCs w:val="20"/>
              </w:rPr>
            </w:pPr>
            <w:r w:rsidRPr="004F425A">
              <w:rPr>
                <w:rFonts w:ascii="Lato" w:eastAsia="Lato" w:hAnsi="Lato" w:cs="Lato"/>
                <w:color w:val="auto"/>
                <w:sz w:val="20"/>
                <w:szCs w:val="20"/>
              </w:rPr>
              <w:t xml:space="preserve">uszczegółowienie zapisów dotyczących form kształcenia i uwypuklenie znaczenia Centrów Kompetencji oraz zasygnalizowanie gotowości Centrum PolSemi do podjęcia aktywności; </w:t>
            </w:r>
          </w:p>
          <w:p w14:paraId="4DD591F0" w14:textId="7386473B" w:rsidR="005F5792" w:rsidRPr="004F425A" w:rsidRDefault="005F5792" w:rsidP="004F425A">
            <w:pPr>
              <w:pStyle w:val="Default"/>
              <w:numPr>
                <w:ilvl w:val="0"/>
                <w:numId w:val="7"/>
              </w:numPr>
              <w:spacing w:after="120"/>
              <w:rPr>
                <w:rFonts w:ascii="Lato" w:eastAsia="Lato" w:hAnsi="Lato" w:cs="Lato"/>
                <w:color w:val="auto"/>
                <w:sz w:val="20"/>
                <w:szCs w:val="20"/>
              </w:rPr>
            </w:pPr>
            <w:r w:rsidRPr="004F425A">
              <w:rPr>
                <w:rFonts w:ascii="Lato" w:eastAsia="Lato" w:hAnsi="Lato" w:cs="Lato"/>
                <w:color w:val="auto"/>
                <w:sz w:val="20"/>
                <w:szCs w:val="20"/>
              </w:rPr>
              <w:t xml:space="preserve">zasygnalizowanie potencjału nieruchomości zlokalizowanych w bezpośrednim sąsiedztwie CEZAMAT PW do ulokowania inwestycji rozszerzających dotychczasową ofertę o charakterze parku technologicznego. </w:t>
            </w:r>
          </w:p>
        </w:tc>
        <w:tc>
          <w:tcPr>
            <w:tcW w:w="4859" w:type="dxa"/>
            <w:tcBorders>
              <w:top w:val="single" w:sz="4" w:space="0" w:color="auto"/>
              <w:left w:val="single" w:sz="4" w:space="0" w:color="auto"/>
              <w:bottom w:val="single" w:sz="4" w:space="0" w:color="auto"/>
              <w:right w:val="single" w:sz="4" w:space="0" w:color="auto"/>
            </w:tcBorders>
          </w:tcPr>
          <w:p w14:paraId="51F3C957" w14:textId="77777777" w:rsidR="005F5C4D"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częściowo </w:t>
            </w:r>
            <w:r w:rsidR="00D15B8A" w:rsidRPr="004F425A">
              <w:rPr>
                <w:rStyle w:val="Ppogrubienie"/>
                <w:rFonts w:ascii="Lato" w:hAnsi="Lato"/>
                <w:sz w:val="20"/>
                <w:szCs w:val="20"/>
              </w:rPr>
              <w:t>uwzględniona</w:t>
            </w:r>
          </w:p>
          <w:p w14:paraId="154C8B4B" w14:textId="107FE381"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Zapisy dotyczące kadr zostały doszczegółowione. </w:t>
            </w:r>
            <w:r w:rsidRPr="004F425A">
              <w:rPr>
                <w:rFonts w:ascii="Lato" w:hAnsi="Lato"/>
                <w:sz w:val="20"/>
                <w:szCs w:val="20"/>
              </w:rPr>
              <w:br/>
            </w:r>
          </w:p>
        </w:tc>
      </w:tr>
      <w:tr w:rsidR="004471C5" w:rsidRPr="004F425A" w14:paraId="21DC15D1" w14:textId="77777777" w:rsidTr="79FF9703">
        <w:tc>
          <w:tcPr>
            <w:tcW w:w="1425" w:type="dxa"/>
            <w:tcBorders>
              <w:top w:val="single" w:sz="4" w:space="0" w:color="auto"/>
              <w:left w:val="single" w:sz="4" w:space="0" w:color="auto"/>
              <w:bottom w:val="single" w:sz="4" w:space="0" w:color="auto"/>
              <w:right w:val="single" w:sz="4" w:space="0" w:color="auto"/>
            </w:tcBorders>
          </w:tcPr>
          <w:p w14:paraId="3B08DB98"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58808E3" w14:textId="116A45D1"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0EC9D6F1"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p w14:paraId="0913A66D" w14:textId="77777777"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0C9DEFEB" w14:textId="43B0CEAF"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Przeformułowanie wskaźnika „Członkostwo w inicjatywach UE” dla celu nr 2 </w:t>
            </w:r>
          </w:p>
          <w:p w14:paraId="4A26C67A" w14:textId="7AAC1175"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t xml:space="preserve">W obecnym kształcie zapisu dokument nie uwzględnił możliwej konsolidacji projektów i konkursów przewidywanych przez Chips JU. Pozostając w bieżącym dialogu z europejskimi partnerami obserwujemy tendencje do agregacji projektów, stąd wskaźnik oparty o liczbę projektów nie odzwierciedli osiągania celu wzmocnienia pozycji Polski. Postuluje się: </w:t>
            </w:r>
          </w:p>
          <w:p w14:paraId="51E46622" w14:textId="675A657F" w:rsidR="005F5792" w:rsidRPr="004F425A" w:rsidRDefault="005F5792" w:rsidP="005F5C4D">
            <w:pPr>
              <w:pStyle w:val="Default"/>
              <w:numPr>
                <w:ilvl w:val="0"/>
                <w:numId w:val="8"/>
              </w:numPr>
              <w:spacing w:after="120"/>
              <w:rPr>
                <w:rFonts w:ascii="Lato" w:eastAsia="Lato" w:hAnsi="Lato" w:cs="Lato"/>
                <w:color w:val="auto"/>
                <w:sz w:val="20"/>
                <w:szCs w:val="20"/>
              </w:rPr>
            </w:pPr>
            <w:r w:rsidRPr="004F425A">
              <w:rPr>
                <w:rFonts w:ascii="Lato" w:eastAsia="Lato" w:hAnsi="Lato" w:cs="Lato"/>
                <w:color w:val="auto"/>
                <w:sz w:val="20"/>
                <w:szCs w:val="20"/>
              </w:rPr>
              <w:t xml:space="preserve">oparcie wskaźnika o wartość dofinansowania podmiotów z Polski, a nie na liczbie projektów. </w:t>
            </w:r>
          </w:p>
        </w:tc>
        <w:tc>
          <w:tcPr>
            <w:tcW w:w="4859" w:type="dxa"/>
            <w:tcBorders>
              <w:top w:val="single" w:sz="4" w:space="0" w:color="auto"/>
              <w:left w:val="single" w:sz="4" w:space="0" w:color="auto"/>
              <w:bottom w:val="single" w:sz="4" w:space="0" w:color="auto"/>
              <w:right w:val="single" w:sz="4" w:space="0" w:color="auto"/>
            </w:tcBorders>
          </w:tcPr>
          <w:p w14:paraId="579E5E75" w14:textId="77777777" w:rsidR="005F5C4D"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5EA6DEC5" w14:textId="510F6B90" w:rsidR="005F5792" w:rsidRPr="004F425A" w:rsidRDefault="005F5792" w:rsidP="004F425A">
            <w:pPr>
              <w:spacing w:after="120" w:line="240" w:lineRule="auto"/>
              <w:rPr>
                <w:rFonts w:ascii="Lato" w:hAnsi="Lato"/>
                <w:b/>
                <w:sz w:val="20"/>
                <w:szCs w:val="20"/>
              </w:rPr>
            </w:pPr>
            <w:r w:rsidRPr="004F425A">
              <w:rPr>
                <w:rFonts w:ascii="Lato" w:eastAsia="Lato" w:hAnsi="Lato" w:cs="Lato"/>
                <w:sz w:val="20"/>
                <w:szCs w:val="20"/>
              </w:rPr>
              <w:t>Wskazane wartości mają charakter orientacyjny i - zgodnie z rozdziałem „Wdrażanie, monitorowanie i ewaluacja” - podlegają corocznemu monitorowaniu oraz przeglądowi w ramach ewaluacji śródokresowej w 2028 r. Korekta wskaźnika możliwa na tym etapie bez nowelizacji uchwały.</w:t>
            </w:r>
          </w:p>
        </w:tc>
      </w:tr>
      <w:tr w:rsidR="004471C5" w:rsidRPr="004F425A" w14:paraId="4A0A1C91" w14:textId="77777777" w:rsidTr="79FF9703">
        <w:tc>
          <w:tcPr>
            <w:tcW w:w="1425" w:type="dxa"/>
            <w:tcBorders>
              <w:top w:val="single" w:sz="4" w:space="0" w:color="auto"/>
              <w:left w:val="single" w:sz="4" w:space="0" w:color="auto"/>
              <w:bottom w:val="single" w:sz="4" w:space="0" w:color="auto"/>
              <w:right w:val="single" w:sz="4" w:space="0" w:color="auto"/>
            </w:tcBorders>
          </w:tcPr>
          <w:p w14:paraId="58D9A020"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DA4754A" w14:textId="26AA49EC"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49345F37" w14:textId="77777777"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Centrum Zaawansowanych Materiałów i Technologii CEZAMAT</w:t>
            </w:r>
          </w:p>
          <w:p w14:paraId="5C9CBC8E" w14:textId="77777777" w:rsidR="005F5792" w:rsidRPr="004F425A" w:rsidRDefault="005F579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B6BB2A7" w14:textId="0B9E153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lastRenderedPageBreak/>
              <w:t xml:space="preserve">Sprostowanie danych liczbowych dotyczących produkcji możliwej do ulokowania w CEZAMAT PW </w:t>
            </w:r>
          </w:p>
          <w:p w14:paraId="4DB1869C" w14:textId="77777777" w:rsidR="005F5792" w:rsidRPr="004F425A" w:rsidRDefault="005F5792" w:rsidP="004F425A">
            <w:pPr>
              <w:pStyle w:val="Default"/>
              <w:spacing w:after="120"/>
              <w:rPr>
                <w:rFonts w:ascii="Lato" w:eastAsia="Lato" w:hAnsi="Lato" w:cs="Lato"/>
                <w:color w:val="auto"/>
                <w:sz w:val="20"/>
                <w:szCs w:val="20"/>
              </w:rPr>
            </w:pPr>
            <w:r w:rsidRPr="004F425A">
              <w:rPr>
                <w:rFonts w:ascii="Lato" w:eastAsia="Lato" w:hAnsi="Lato" w:cs="Lato"/>
                <w:color w:val="auto"/>
                <w:sz w:val="20"/>
                <w:szCs w:val="20"/>
              </w:rPr>
              <w:lastRenderedPageBreak/>
              <w:t xml:space="preserve">Dane liczbowe przedstawiające możliwe wolumeny produkcji w CEZAMAT PW na poziomie 100 tysięcy rocznie nie są zgodne z naszymi szacunkami. Postuluje się: </w:t>
            </w:r>
          </w:p>
          <w:p w14:paraId="2E85F5A0" w14:textId="77777777" w:rsidR="005F5792" w:rsidRPr="004F425A" w:rsidRDefault="005F5792" w:rsidP="004F425A">
            <w:pPr>
              <w:pStyle w:val="Default"/>
              <w:numPr>
                <w:ilvl w:val="0"/>
                <w:numId w:val="9"/>
              </w:numPr>
              <w:spacing w:after="120"/>
              <w:rPr>
                <w:rFonts w:ascii="Lato" w:eastAsia="Lato" w:hAnsi="Lato" w:cs="Lato"/>
                <w:color w:val="auto"/>
                <w:sz w:val="20"/>
                <w:szCs w:val="20"/>
              </w:rPr>
            </w:pPr>
            <w:r w:rsidRPr="004F425A">
              <w:rPr>
                <w:rFonts w:ascii="Lato" w:eastAsia="Lato" w:hAnsi="Lato" w:cs="Lato"/>
                <w:color w:val="auto"/>
                <w:sz w:val="20"/>
                <w:szCs w:val="20"/>
              </w:rPr>
              <w:t xml:space="preserve">korektę wartości na możliwość produkcji po pierwszym etapie inwestycji do 1 mln sztuk układów scalonych rocznie, a w przypadku pojawienia się takich potrzeb możliwe będzie dalsze przeskalowanie wolumenu produkcji do rzędu 10 mln sztuk rocznie w ramach drugiego etapu inwestycji. </w:t>
            </w:r>
          </w:p>
          <w:p w14:paraId="03FA8E3F" w14:textId="585C7879" w:rsidR="005F5792" w:rsidRPr="004F425A" w:rsidRDefault="005F5792" w:rsidP="004F425A">
            <w:pPr>
              <w:pStyle w:val="Default"/>
              <w:spacing w:after="120"/>
              <w:rPr>
                <w:rFonts w:ascii="Lato" w:eastAsia="Lato" w:hAnsi="Lato" w:cs="Lato"/>
                <w:color w:val="au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0AD3E0F5" w14:textId="54B7783D" w:rsidR="005A69F1" w:rsidRDefault="00E65A8D"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 xml:space="preserve">Uwaga </w:t>
            </w:r>
            <w:r w:rsidR="005A69F1" w:rsidRPr="004F425A">
              <w:rPr>
                <w:rStyle w:val="Ppogrubienie"/>
                <w:rFonts w:ascii="Lato" w:hAnsi="Lato"/>
                <w:sz w:val="20"/>
                <w:szCs w:val="20"/>
              </w:rPr>
              <w:t>nieuwzględniona</w:t>
            </w:r>
          </w:p>
          <w:p w14:paraId="351E52C7" w14:textId="77777777" w:rsidR="005F5C4D" w:rsidRPr="004F425A" w:rsidRDefault="005F5C4D" w:rsidP="004F425A">
            <w:pPr>
              <w:spacing w:after="120" w:line="240" w:lineRule="auto"/>
              <w:rPr>
                <w:rStyle w:val="Ppogrubienie"/>
                <w:rFonts w:ascii="Lato" w:hAnsi="Lato"/>
                <w:sz w:val="20"/>
                <w:szCs w:val="20"/>
              </w:rPr>
            </w:pPr>
          </w:p>
          <w:p w14:paraId="3E2FC7A0" w14:textId="2B648ACD" w:rsidR="005F5792" w:rsidRPr="004F425A" w:rsidRDefault="005A69F1"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Wartości wskazane w dokumencie wskazują poziom minimalny. Wskaźniki te będą podlegały ewaluacji.</w:t>
            </w:r>
          </w:p>
        </w:tc>
      </w:tr>
      <w:tr w:rsidR="004471C5" w:rsidRPr="004F425A" w14:paraId="23FD5897" w14:textId="77777777" w:rsidTr="79FF9703">
        <w:tc>
          <w:tcPr>
            <w:tcW w:w="1425" w:type="dxa"/>
            <w:tcBorders>
              <w:top w:val="single" w:sz="4" w:space="0" w:color="auto"/>
              <w:left w:val="single" w:sz="4" w:space="0" w:color="auto"/>
              <w:bottom w:val="single" w:sz="4" w:space="0" w:color="auto"/>
              <w:right w:val="single" w:sz="4" w:space="0" w:color="auto"/>
            </w:tcBorders>
          </w:tcPr>
          <w:p w14:paraId="5D1A1242" w14:textId="77777777" w:rsidR="005F5792" w:rsidRPr="004F425A" w:rsidRDefault="005F579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D0D5F50" w14:textId="75D447A1" w:rsidR="005F5792" w:rsidRPr="004F425A" w:rsidRDefault="005F579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19392EDC" w14:textId="1F5004FF" w:rsidR="005F5792" w:rsidRPr="004F425A" w:rsidRDefault="005F5792" w:rsidP="005F5C4D">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10E4A389" w14:textId="4B2DA15B" w:rsidR="005F5792" w:rsidRPr="004F425A" w:rsidRDefault="005F579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 xml:space="preserve">Ze względu na ich strategiczne znaczenie, rozwój zdolności w zakresie projektowania i produkcji półprzewodników, struktur, układów i przyrządów półprzewodnikowych, został uznany przez Unię Europejską za jeden z fundamentów suwerenności technologicznej. </w:t>
            </w:r>
          </w:p>
          <w:p w14:paraId="41C76931" w14:textId="77777777" w:rsidR="005F5792" w:rsidRPr="004F425A" w:rsidRDefault="005F5792" w:rsidP="004F425A">
            <w:pPr>
              <w:pStyle w:val="Default"/>
              <w:spacing w:after="120"/>
              <w:rPr>
                <w:rFonts w:ascii="Lato" w:eastAsia="Lato" w:hAnsi="Lato" w:cs="Lato"/>
                <w:color w:val="au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2C7BAAB1" w14:textId="77777777" w:rsidR="005F5C4D" w:rsidRDefault="005F579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1A1B4A47" w14:textId="5E20276D" w:rsidR="005F5792" w:rsidRPr="004F425A" w:rsidRDefault="008B6F96" w:rsidP="004F425A">
            <w:pPr>
              <w:spacing w:after="120" w:line="240" w:lineRule="auto"/>
              <w:rPr>
                <w:rFonts w:ascii="Lato" w:eastAsia="Lato" w:hAnsi="Lato" w:cs="Lato"/>
                <w:sz w:val="20"/>
                <w:szCs w:val="20"/>
              </w:rPr>
            </w:pPr>
            <w:r w:rsidRPr="004F425A">
              <w:rPr>
                <w:rFonts w:ascii="Lato" w:eastAsia="Lato" w:hAnsi="Lato" w:cs="Lato"/>
                <w:sz w:val="20"/>
                <w:szCs w:val="20"/>
              </w:rPr>
              <w:t xml:space="preserve">Dokument </w:t>
            </w:r>
            <w:r w:rsidR="005F5792" w:rsidRPr="004F425A">
              <w:rPr>
                <w:rFonts w:ascii="Lato" w:eastAsia="Lato" w:hAnsi="Lato" w:cs="Lato"/>
                <w:sz w:val="20"/>
                <w:szCs w:val="20"/>
              </w:rPr>
              <w:t>został doprecyzowany</w:t>
            </w:r>
            <w:r w:rsidRPr="004F425A">
              <w:rPr>
                <w:rFonts w:ascii="Lato" w:eastAsia="Lato" w:hAnsi="Lato" w:cs="Lato"/>
                <w:sz w:val="20"/>
                <w:szCs w:val="20"/>
              </w:rPr>
              <w:t xml:space="preserve"> zgodnie z</w:t>
            </w:r>
            <w:r w:rsidR="005F5C4D">
              <w:rPr>
                <w:rFonts w:ascii="Lato" w:eastAsia="Lato" w:hAnsi="Lato" w:cs="Lato"/>
                <w:sz w:val="20"/>
                <w:szCs w:val="20"/>
              </w:rPr>
              <w:t> </w:t>
            </w:r>
            <w:r w:rsidRPr="004F425A">
              <w:rPr>
                <w:rFonts w:ascii="Lato" w:eastAsia="Lato" w:hAnsi="Lato" w:cs="Lato"/>
                <w:sz w:val="20"/>
                <w:szCs w:val="20"/>
              </w:rPr>
              <w:t>propozycją</w:t>
            </w:r>
            <w:r w:rsidR="005F5792" w:rsidRPr="004F425A">
              <w:rPr>
                <w:rFonts w:ascii="Lato" w:eastAsia="Lato" w:hAnsi="Lato" w:cs="Lato"/>
                <w:sz w:val="20"/>
                <w:szCs w:val="20"/>
              </w:rPr>
              <w:t>.</w:t>
            </w:r>
          </w:p>
        </w:tc>
      </w:tr>
      <w:tr w:rsidR="004471C5" w:rsidRPr="004F425A" w14:paraId="190DAA90" w14:textId="77777777" w:rsidTr="79FF9703">
        <w:tc>
          <w:tcPr>
            <w:tcW w:w="1425" w:type="dxa"/>
            <w:tcBorders>
              <w:top w:val="single" w:sz="4" w:space="0" w:color="auto"/>
              <w:left w:val="single" w:sz="4" w:space="0" w:color="auto"/>
              <w:bottom w:val="single" w:sz="4" w:space="0" w:color="auto"/>
              <w:right w:val="single" w:sz="4" w:space="0" w:color="auto"/>
            </w:tcBorders>
          </w:tcPr>
          <w:p w14:paraId="752F2F2C" w14:textId="77777777" w:rsidR="008B6F96" w:rsidRPr="004F425A" w:rsidRDefault="008B6F96"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464335F" w14:textId="57CE1900" w:rsidR="008B6F96" w:rsidRPr="004F425A" w:rsidRDefault="008B6F96"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3E7EF06E" w14:textId="55402F8D" w:rsidR="008B6F96" w:rsidRPr="004F425A" w:rsidRDefault="008B6F96"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26DA7A56" w14:textId="36F1516C" w:rsidR="008B6F96" w:rsidRPr="004F425A" w:rsidRDefault="008B6F96"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 xml:space="preserve">Projektowanie architektury układu scalonego (design) to etap, kiedy infrastruktura produkcyjna nie jest jeszcze potrzebna, </w:t>
            </w:r>
            <w:r w:rsidRPr="004F425A">
              <w:rPr>
                <w:rFonts w:ascii="Lato" w:eastAsia="Lato" w:hAnsi="Lato" w:cs="Lato"/>
                <w:sz w:val="20"/>
                <w:szCs w:val="20"/>
              </w:rPr>
              <w:t>choć ostatni etap projektowania opiera się na danych (PDK) i modelach dostarczonych przez konkretną linię produkcyjną</w:t>
            </w:r>
            <w:r w:rsidRPr="004F425A">
              <w:rPr>
                <w:rFonts w:ascii="Lato" w:eastAsia="Lato" w:hAnsi="Lato" w:cs="Lato"/>
                <w:spacing w:val="-10"/>
                <w:kern w:val="28"/>
                <w:sz w:val="20"/>
                <w:szCs w:val="20"/>
              </w:rPr>
              <w:t>.</w:t>
            </w:r>
          </w:p>
        </w:tc>
        <w:tc>
          <w:tcPr>
            <w:tcW w:w="4859" w:type="dxa"/>
            <w:tcBorders>
              <w:top w:val="single" w:sz="4" w:space="0" w:color="auto"/>
              <w:left w:val="single" w:sz="4" w:space="0" w:color="auto"/>
              <w:bottom w:val="single" w:sz="4" w:space="0" w:color="auto"/>
              <w:right w:val="single" w:sz="4" w:space="0" w:color="auto"/>
            </w:tcBorders>
          </w:tcPr>
          <w:p w14:paraId="71996DB5" w14:textId="77777777" w:rsidR="005F5C4D" w:rsidRDefault="008B6F96"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26940EEF" w14:textId="3548F808" w:rsidR="008B6F96" w:rsidRPr="004F425A" w:rsidRDefault="008B6F96" w:rsidP="004F425A">
            <w:pPr>
              <w:spacing w:after="120" w:line="240" w:lineRule="auto"/>
              <w:rPr>
                <w:rFonts w:ascii="Lato" w:eastAsia="Lato" w:hAnsi="Lato" w:cs="Lato"/>
                <w:sz w:val="20"/>
                <w:szCs w:val="20"/>
              </w:rPr>
            </w:pPr>
            <w:r w:rsidRPr="004F425A">
              <w:rPr>
                <w:rFonts w:ascii="Lato" w:eastAsia="Lato" w:hAnsi="Lato" w:cs="Lato"/>
                <w:sz w:val="20"/>
                <w:szCs w:val="20"/>
              </w:rPr>
              <w:t>Dokument został doprecyzowany zgodnie z</w:t>
            </w:r>
            <w:r w:rsidR="005F5C4D">
              <w:rPr>
                <w:rFonts w:ascii="Lato" w:eastAsia="Lato" w:hAnsi="Lato" w:cs="Lato"/>
                <w:sz w:val="20"/>
                <w:szCs w:val="20"/>
              </w:rPr>
              <w:t> </w:t>
            </w:r>
            <w:r w:rsidRPr="004F425A">
              <w:rPr>
                <w:rFonts w:ascii="Lato" w:eastAsia="Lato" w:hAnsi="Lato" w:cs="Lato"/>
                <w:sz w:val="20"/>
                <w:szCs w:val="20"/>
              </w:rPr>
              <w:t>propozycją.</w:t>
            </w:r>
          </w:p>
        </w:tc>
      </w:tr>
      <w:tr w:rsidR="004471C5" w:rsidRPr="004F425A" w14:paraId="39602726" w14:textId="77777777" w:rsidTr="79FF9703">
        <w:tc>
          <w:tcPr>
            <w:tcW w:w="1425" w:type="dxa"/>
            <w:tcBorders>
              <w:top w:val="single" w:sz="4" w:space="0" w:color="auto"/>
              <w:left w:val="single" w:sz="4" w:space="0" w:color="auto"/>
              <w:bottom w:val="single" w:sz="4" w:space="0" w:color="auto"/>
              <w:right w:val="single" w:sz="4" w:space="0" w:color="auto"/>
            </w:tcBorders>
          </w:tcPr>
          <w:p w14:paraId="692D715C"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4CA3DED" w14:textId="310ED3D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5A66B11C" w14:textId="2981A06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53F8B700" w14:textId="23A281A1"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Back-end obejmuje obróbkę gotowych płytek, montaż, integrację oraz kontrolę jakości - na tym etapie powstają gotowe do instalacji w urządzeniach (produktach) czipy.</w:t>
            </w:r>
          </w:p>
          <w:p w14:paraId="30A571BD" w14:textId="61EB9566" w:rsidR="00F574A2" w:rsidRPr="004F425A" w:rsidRDefault="00F574A2" w:rsidP="004F425A">
            <w:pPr>
              <w:spacing w:after="120" w:line="240" w:lineRule="auto"/>
              <w:rPr>
                <w:rFonts w:ascii="Lato" w:eastAsia="Lato" w:hAnsi="Lato" w:cs="Lato"/>
                <w:spacing w:val="-10"/>
                <w:kern w:val="28"/>
                <w:sz w:val="20"/>
                <w:szCs w:val="20"/>
              </w:rPr>
            </w:pPr>
          </w:p>
        </w:tc>
        <w:tc>
          <w:tcPr>
            <w:tcW w:w="4859" w:type="dxa"/>
            <w:tcBorders>
              <w:top w:val="single" w:sz="4" w:space="0" w:color="auto"/>
              <w:left w:val="single" w:sz="4" w:space="0" w:color="auto"/>
              <w:bottom w:val="single" w:sz="4" w:space="0" w:color="auto"/>
              <w:right w:val="single" w:sz="4" w:space="0" w:color="auto"/>
            </w:tcBorders>
          </w:tcPr>
          <w:p w14:paraId="66C4E807" w14:textId="77777777" w:rsidR="005F5C4D"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56092F15" w14:textId="481AEDB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został doprecyzowany zgodnie z</w:t>
            </w:r>
            <w:r w:rsidR="005F5C4D">
              <w:rPr>
                <w:rFonts w:ascii="Lato" w:eastAsia="Lato" w:hAnsi="Lato" w:cs="Lato"/>
                <w:sz w:val="20"/>
                <w:szCs w:val="20"/>
              </w:rPr>
              <w:t> </w:t>
            </w:r>
            <w:r w:rsidRPr="004F425A">
              <w:rPr>
                <w:rFonts w:ascii="Lato" w:eastAsia="Lato" w:hAnsi="Lato" w:cs="Lato"/>
                <w:sz w:val="20"/>
                <w:szCs w:val="20"/>
              </w:rPr>
              <w:t>propozycją.</w:t>
            </w:r>
          </w:p>
        </w:tc>
      </w:tr>
      <w:tr w:rsidR="004471C5" w:rsidRPr="004F425A" w14:paraId="2F6EEC34" w14:textId="77777777" w:rsidTr="79FF9703">
        <w:tc>
          <w:tcPr>
            <w:tcW w:w="1425" w:type="dxa"/>
            <w:tcBorders>
              <w:top w:val="single" w:sz="4" w:space="0" w:color="auto"/>
              <w:left w:val="single" w:sz="4" w:space="0" w:color="auto"/>
              <w:bottom w:val="single" w:sz="4" w:space="0" w:color="auto"/>
              <w:right w:val="single" w:sz="4" w:space="0" w:color="auto"/>
            </w:tcBorders>
          </w:tcPr>
          <w:p w14:paraId="6125C172"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0B65876" w14:textId="2C1BF8B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2E6C844E"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p w14:paraId="0CD3DCCE" w14:textId="77777777" w:rsidR="00F574A2" w:rsidRPr="004F425A" w:rsidRDefault="00F574A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0C3AF8F" w14:textId="3093F374"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lastRenderedPageBreak/>
              <w:t xml:space="preserve">Str. 5 po pkt Back-end dodanie akapitu w brzmieniu: </w:t>
            </w:r>
          </w:p>
          <w:p w14:paraId="36CA7CAA" w14:textId="4510747B"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 xml:space="preserve">Należy jednak zauważyć, że układy scalone można traktować jako bezpieczne (sprawa kluczowa w przypadku ich użycia w urządzeniach militarnych, infrastrukturze krytycznej, czy innych wrażliwych obszarach zastosowań) tylko wtedy, gdy wszystkie powyższe etapy są </w:t>
            </w:r>
            <w:r w:rsidRPr="004F425A">
              <w:rPr>
                <w:rFonts w:ascii="Lato" w:eastAsia="Lato" w:hAnsi="Lato" w:cs="Lato"/>
                <w:sz w:val="20"/>
                <w:szCs w:val="20"/>
              </w:rPr>
              <w:lastRenderedPageBreak/>
              <w:t xml:space="preserve">wykonywane w pełni kontrolowanych/bezpiecznych warunkach. Takie można osiągnąć jedynie w przypadku, gdy zarówno projektowanie odbywa się w posiadających odpowiednie uprawnienia/certyfikaty grupach projektowych, jak i realizowane na liniach produkcyjnych znajdujących się pod kontrolą zleceniodawców, a więc praktycznie – w kraju. </w:t>
            </w:r>
          </w:p>
        </w:tc>
        <w:tc>
          <w:tcPr>
            <w:tcW w:w="4859" w:type="dxa"/>
            <w:tcBorders>
              <w:top w:val="single" w:sz="4" w:space="0" w:color="auto"/>
              <w:left w:val="single" w:sz="4" w:space="0" w:color="auto"/>
              <w:bottom w:val="single" w:sz="4" w:space="0" w:color="auto"/>
              <w:right w:val="single" w:sz="4" w:space="0" w:color="auto"/>
            </w:tcBorders>
          </w:tcPr>
          <w:p w14:paraId="489BBD3C" w14:textId="7C2C3C86" w:rsidR="00F574A2" w:rsidRPr="004F425A" w:rsidRDefault="00F574A2" w:rsidP="004F425A">
            <w:pPr>
              <w:spacing w:after="120" w:line="240" w:lineRule="auto"/>
              <w:rPr>
                <w:rFonts w:ascii="Lato" w:eastAsia="Lato" w:hAnsi="Lato" w:cs="Lato"/>
                <w:sz w:val="20"/>
                <w:szCs w:val="20"/>
              </w:rPr>
            </w:pPr>
            <w:r w:rsidRPr="004F425A">
              <w:rPr>
                <w:rStyle w:val="Ppogrubienie"/>
                <w:rFonts w:ascii="Lato" w:hAnsi="Lato"/>
                <w:sz w:val="20"/>
                <w:szCs w:val="20"/>
              </w:rPr>
              <w:lastRenderedPageBreak/>
              <w:t>Uwaga nieuwzględniona</w:t>
            </w:r>
          </w:p>
          <w:p w14:paraId="111D6316" w14:textId="410B434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Polityka ma charakter horyzontalny i nie ma potrzeby doszczegółowienia zapisów w obszarze back-end.</w:t>
            </w:r>
          </w:p>
        </w:tc>
      </w:tr>
      <w:tr w:rsidR="004471C5" w:rsidRPr="004F425A" w14:paraId="1F74A380" w14:textId="77777777" w:rsidTr="79FF9703">
        <w:tc>
          <w:tcPr>
            <w:tcW w:w="1425" w:type="dxa"/>
            <w:tcBorders>
              <w:top w:val="single" w:sz="4" w:space="0" w:color="auto"/>
              <w:left w:val="single" w:sz="4" w:space="0" w:color="auto"/>
              <w:bottom w:val="single" w:sz="4" w:space="0" w:color="auto"/>
              <w:right w:val="single" w:sz="4" w:space="0" w:color="auto"/>
            </w:tcBorders>
          </w:tcPr>
          <w:p w14:paraId="0227A410"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9869415" w14:textId="29165BA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7F0A9B37" w14:textId="395C3E7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54F1999F" w14:textId="71BC35BA"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Większość działalności front- i back-end, zwłaszcza najbardziej zaawansowanej, zlokalizowana jest w Azji. W Europie istnieje kilka fabryk półprzewodników, w ostatnich latach powstają nowe inwestycje - w tym dużych azjatyckich producentów, w tym duża fabryka czipów ESMC w Dreźnie (joint venture TSMC, Bosch, Infienon oraz NXP).</w:t>
            </w:r>
          </w:p>
        </w:tc>
        <w:tc>
          <w:tcPr>
            <w:tcW w:w="4859" w:type="dxa"/>
            <w:tcBorders>
              <w:top w:val="single" w:sz="4" w:space="0" w:color="auto"/>
              <w:left w:val="single" w:sz="4" w:space="0" w:color="auto"/>
              <w:bottom w:val="single" w:sz="4" w:space="0" w:color="auto"/>
              <w:right w:val="single" w:sz="4" w:space="0" w:color="auto"/>
            </w:tcBorders>
          </w:tcPr>
          <w:p w14:paraId="000951B7" w14:textId="77777777" w:rsidR="005F5C4D"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539F405A" w14:textId="41309678" w:rsidR="00F574A2" w:rsidRPr="004F425A" w:rsidRDefault="00F574A2" w:rsidP="004F425A">
            <w:pPr>
              <w:spacing w:after="120" w:line="240" w:lineRule="auto"/>
              <w:rPr>
                <w:rFonts w:ascii="Lato" w:hAnsi="Lato"/>
                <w:b/>
                <w:sz w:val="20"/>
                <w:szCs w:val="20"/>
              </w:rPr>
            </w:pPr>
            <w:r w:rsidRPr="004F425A">
              <w:rPr>
                <w:rFonts w:ascii="Lato" w:eastAsia="Lato" w:hAnsi="Lato" w:cs="Lato"/>
                <w:sz w:val="20"/>
                <w:szCs w:val="20"/>
              </w:rPr>
              <w:t>Polityka ma charakter horyzontalny i nie ma potrzeby doszczegółowania zapisów dotyczących back-end i front-end.</w:t>
            </w:r>
          </w:p>
        </w:tc>
      </w:tr>
      <w:tr w:rsidR="004471C5" w:rsidRPr="004F425A" w14:paraId="1FA3B313" w14:textId="77777777" w:rsidTr="79FF9703">
        <w:tc>
          <w:tcPr>
            <w:tcW w:w="1425" w:type="dxa"/>
            <w:tcBorders>
              <w:top w:val="single" w:sz="4" w:space="0" w:color="auto"/>
              <w:left w:val="single" w:sz="4" w:space="0" w:color="auto"/>
              <w:bottom w:val="single" w:sz="4" w:space="0" w:color="auto"/>
              <w:right w:val="single" w:sz="4" w:space="0" w:color="auto"/>
            </w:tcBorders>
          </w:tcPr>
          <w:p w14:paraId="0C3D3795"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010CBBE" w14:textId="328491D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7E50FFF9" w14:textId="7358F99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0478E38E" w14:textId="22A5958B"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Od kilku dekad trwa trend specjalizacji: firmy rezygnują z kosztownego prowadzenia własnych fabryk na rzecz zlecania tego etapu produkcji u wyspecjalizowanych producentów, którzy dzięki efektowi skali uzyskują niższe koszty produkcji. Firmy produkujące na rynek urzadzenia i systemy elektroniczne skupiają się na projektowaniu i sprzedaży produktów pod własnymi markami, tymczasem operatorzy fabów powiększają swoje zdolności produkcyjne bez tworzenia własnych produktów.</w:t>
            </w:r>
          </w:p>
        </w:tc>
        <w:tc>
          <w:tcPr>
            <w:tcW w:w="4859" w:type="dxa"/>
            <w:tcBorders>
              <w:top w:val="single" w:sz="4" w:space="0" w:color="auto"/>
              <w:left w:val="single" w:sz="4" w:space="0" w:color="auto"/>
              <w:bottom w:val="single" w:sz="4" w:space="0" w:color="auto"/>
              <w:right w:val="single" w:sz="4" w:space="0" w:color="auto"/>
            </w:tcBorders>
          </w:tcPr>
          <w:p w14:paraId="12A36E72" w14:textId="77777777" w:rsidR="00610FF2"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2CBE67DF" w14:textId="5FE5EC3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Zapis został doprecyzowany zgodnie z propozycją CEZAMAT. </w:t>
            </w:r>
          </w:p>
        </w:tc>
      </w:tr>
      <w:tr w:rsidR="004471C5" w:rsidRPr="004F425A" w14:paraId="52D89FDE" w14:textId="77777777" w:rsidTr="79FF9703">
        <w:tc>
          <w:tcPr>
            <w:tcW w:w="1425" w:type="dxa"/>
            <w:tcBorders>
              <w:top w:val="single" w:sz="4" w:space="0" w:color="auto"/>
              <w:left w:val="single" w:sz="4" w:space="0" w:color="auto"/>
              <w:bottom w:val="single" w:sz="4" w:space="0" w:color="auto"/>
              <w:right w:val="single" w:sz="4" w:space="0" w:color="auto"/>
            </w:tcBorders>
          </w:tcPr>
          <w:p w14:paraId="11D4BFFE"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D5C8BB7" w14:textId="4EAA4D5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199ECE25" w14:textId="0A6918E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7C572DF1" w14:textId="29EFF29E"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Jednym z kierunków rozwoju technologii półprzewodnikowych jest integracja z układami mikroelektronicznymi i miniaturyzacja układów fotonicznych (optoelektronicznych), które do transmisji informacji i energii zamiast prądu elektrycznego wykorzystują światło.</w:t>
            </w:r>
          </w:p>
        </w:tc>
        <w:tc>
          <w:tcPr>
            <w:tcW w:w="4859" w:type="dxa"/>
            <w:tcBorders>
              <w:top w:val="single" w:sz="4" w:space="0" w:color="auto"/>
              <w:left w:val="single" w:sz="4" w:space="0" w:color="auto"/>
              <w:bottom w:val="single" w:sz="4" w:space="0" w:color="auto"/>
              <w:right w:val="single" w:sz="4" w:space="0" w:color="auto"/>
            </w:tcBorders>
          </w:tcPr>
          <w:p w14:paraId="14D9AA02" w14:textId="77777777" w:rsidR="00610FF2"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378A61D9" w14:textId="4D7B78E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tc>
      </w:tr>
      <w:tr w:rsidR="004471C5" w:rsidRPr="004F425A" w14:paraId="69DA6CC3" w14:textId="77777777" w:rsidTr="79FF9703">
        <w:tc>
          <w:tcPr>
            <w:tcW w:w="1425" w:type="dxa"/>
            <w:tcBorders>
              <w:top w:val="single" w:sz="4" w:space="0" w:color="auto"/>
              <w:left w:val="single" w:sz="4" w:space="0" w:color="auto"/>
              <w:bottom w:val="single" w:sz="4" w:space="0" w:color="auto"/>
              <w:right w:val="single" w:sz="4" w:space="0" w:color="auto"/>
            </w:tcBorders>
          </w:tcPr>
          <w:p w14:paraId="6BAF6038"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CB72C9A" w14:textId="5C29ABE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412150EB" w14:textId="49EA3A7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362A3152" w14:textId="78B6B04A"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 xml:space="preserve">Łańcuch wartości półprzewodników nie mógłby funkcjonować bez dostawców surowców pierwotnych, takich jak </w:t>
            </w:r>
            <w:r w:rsidRPr="004F425A">
              <w:rPr>
                <w:rFonts w:ascii="Lato" w:eastAsia="Lato" w:hAnsi="Lato" w:cs="Lato"/>
                <w:strike/>
                <w:sz w:val="20"/>
                <w:szCs w:val="20"/>
              </w:rPr>
              <w:t xml:space="preserve">materiały </w:t>
            </w:r>
            <w:r w:rsidRPr="004F425A">
              <w:rPr>
                <w:rFonts w:ascii="Lato" w:eastAsia="Lato" w:hAnsi="Lato" w:cs="Lato"/>
                <w:sz w:val="20"/>
                <w:szCs w:val="20"/>
              </w:rPr>
              <w:t xml:space="preserve">ultraczyste półprzewodnikowe </w:t>
            </w:r>
            <w:r w:rsidRPr="004F425A">
              <w:rPr>
                <w:rFonts w:ascii="Lato" w:eastAsia="Lato" w:hAnsi="Lato" w:cs="Lato"/>
                <w:strike/>
                <w:sz w:val="20"/>
                <w:szCs w:val="20"/>
              </w:rPr>
              <w:t xml:space="preserve"> metale rzadkie oraz producentów zaawansowanych</w:t>
            </w:r>
            <w:r w:rsidRPr="004F425A">
              <w:rPr>
                <w:rFonts w:ascii="Lato" w:eastAsia="Lato" w:hAnsi="Lato" w:cs="Lato"/>
                <w:sz w:val="20"/>
                <w:szCs w:val="20"/>
              </w:rPr>
              <w:t xml:space="preserve"> płytki podłożowe, szeroka gama materiałów i chemikaliów. niezbędnych do produkcji układów mikroelekotronicznych i fotnicznych, w tym - metali ziem rzadkich. Ważne są również firmy zajmujące się projektowaniem i produkcją </w:t>
            </w:r>
            <w:r w:rsidRPr="004F425A">
              <w:rPr>
                <w:rFonts w:ascii="Lato" w:eastAsia="Lato" w:hAnsi="Lato" w:cs="Lato"/>
                <w:sz w:val="20"/>
                <w:szCs w:val="20"/>
              </w:rPr>
              <w:lastRenderedPageBreak/>
              <w:t xml:space="preserve">maszyn do wytwarzania </w:t>
            </w:r>
            <w:r w:rsidRPr="004F425A">
              <w:rPr>
                <w:rFonts w:ascii="Lato" w:eastAsia="Lato" w:hAnsi="Lato" w:cs="Lato"/>
                <w:strike/>
                <w:sz w:val="20"/>
                <w:szCs w:val="20"/>
              </w:rPr>
              <w:t>półprzewodników</w:t>
            </w:r>
            <w:r w:rsidRPr="004F425A">
              <w:rPr>
                <w:rFonts w:ascii="Lato" w:eastAsia="Lato" w:hAnsi="Lato" w:cs="Lato"/>
                <w:sz w:val="20"/>
                <w:szCs w:val="20"/>
              </w:rPr>
              <w:t xml:space="preserve"> podłoży półprzewodnikowych, czipów, a także dostawcy oprogramowania umożliwiającego projektowanie układów scalonych.</w:t>
            </w:r>
          </w:p>
        </w:tc>
        <w:tc>
          <w:tcPr>
            <w:tcW w:w="4859" w:type="dxa"/>
            <w:tcBorders>
              <w:top w:val="single" w:sz="4" w:space="0" w:color="auto"/>
              <w:left w:val="single" w:sz="4" w:space="0" w:color="auto"/>
              <w:bottom w:val="single" w:sz="4" w:space="0" w:color="auto"/>
              <w:right w:val="single" w:sz="4" w:space="0" w:color="auto"/>
            </w:tcBorders>
          </w:tcPr>
          <w:p w14:paraId="267A828D" w14:textId="77777777" w:rsidR="00610FF2"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uwzględniona</w:t>
            </w:r>
          </w:p>
          <w:p w14:paraId="0BB2EA7D" w14:textId="0C879EE4" w:rsidR="00F574A2" w:rsidRPr="004F425A" w:rsidRDefault="00610FF2" w:rsidP="004F425A">
            <w:pPr>
              <w:spacing w:after="120" w:line="240" w:lineRule="auto"/>
              <w:rPr>
                <w:rFonts w:ascii="Lato" w:hAnsi="Lato"/>
                <w:b/>
                <w:sz w:val="20"/>
                <w:szCs w:val="20"/>
              </w:rPr>
            </w:pPr>
            <w:r>
              <w:rPr>
                <w:rStyle w:val="Ppogrubienie"/>
              </w:rPr>
              <w:t>Z</w:t>
            </w:r>
            <w:r w:rsidR="00F574A2" w:rsidRPr="004F425A">
              <w:rPr>
                <w:rFonts w:ascii="Lato" w:eastAsia="Lato" w:hAnsi="Lato" w:cs="Lato"/>
                <w:sz w:val="20"/>
                <w:szCs w:val="20"/>
              </w:rPr>
              <w:t>apis został doprecyzowany zgodnie z propozycją CEZAMAT</w:t>
            </w:r>
            <w:r w:rsidR="00617D19" w:rsidRPr="004F425A">
              <w:rPr>
                <w:rFonts w:ascii="Lato" w:eastAsia="Lato" w:hAnsi="Lato" w:cs="Lato"/>
                <w:sz w:val="20"/>
                <w:szCs w:val="20"/>
              </w:rPr>
              <w:t xml:space="preserve"> z korekt</w:t>
            </w:r>
            <w:r>
              <w:rPr>
                <w:rFonts w:ascii="Lato" w:eastAsia="Lato" w:hAnsi="Lato" w:cs="Lato"/>
                <w:sz w:val="20"/>
                <w:szCs w:val="20"/>
              </w:rPr>
              <w:t>ą</w:t>
            </w:r>
            <w:r w:rsidR="00617D19" w:rsidRPr="004F425A">
              <w:rPr>
                <w:rFonts w:ascii="Lato" w:eastAsia="Lato" w:hAnsi="Lato" w:cs="Lato"/>
                <w:sz w:val="20"/>
                <w:szCs w:val="20"/>
              </w:rPr>
              <w:t xml:space="preserve"> </w:t>
            </w:r>
            <w:r w:rsidR="0046734E" w:rsidRPr="004F425A">
              <w:rPr>
                <w:rFonts w:ascii="Lato" w:eastAsia="Lato" w:hAnsi="Lato" w:cs="Lato"/>
                <w:sz w:val="20"/>
                <w:szCs w:val="20"/>
              </w:rPr>
              <w:t>wynikającą z innych uwag.</w:t>
            </w:r>
          </w:p>
        </w:tc>
      </w:tr>
      <w:tr w:rsidR="004471C5" w:rsidRPr="004F425A" w14:paraId="2A63522A" w14:textId="77777777" w:rsidTr="79FF9703">
        <w:tc>
          <w:tcPr>
            <w:tcW w:w="1425" w:type="dxa"/>
            <w:tcBorders>
              <w:top w:val="single" w:sz="4" w:space="0" w:color="auto"/>
              <w:left w:val="single" w:sz="4" w:space="0" w:color="auto"/>
              <w:bottom w:val="single" w:sz="4" w:space="0" w:color="auto"/>
              <w:right w:val="single" w:sz="4" w:space="0" w:color="auto"/>
            </w:tcBorders>
          </w:tcPr>
          <w:p w14:paraId="372E41EF"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F8A661A" w14:textId="3BE1FDF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2B2AAFC7" w14:textId="66F0AA8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1FA640C8" w14:textId="6CD07CF2"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 xml:space="preserve">Z tego względu jednym z pierwszych zadań w kontekście planowania jego rozwoju powinno być przygotowanie dokładniejszej analizy pozwalającej w pełni zrozumieć obecny stan rynku półprzewodników i </w:t>
            </w:r>
            <w:r w:rsidRPr="004F425A">
              <w:rPr>
                <w:rFonts w:ascii="Lato" w:eastAsia="Lato" w:hAnsi="Lato" w:cs="Lato"/>
                <w:strike/>
                <w:spacing w:val="-10"/>
                <w:kern w:val="28"/>
                <w:sz w:val="20"/>
                <w:szCs w:val="20"/>
              </w:rPr>
              <w:t>wynikającego</w:t>
            </w:r>
            <w:r w:rsidRPr="004F425A">
              <w:rPr>
                <w:rFonts w:ascii="Lato" w:eastAsia="Lato" w:hAnsi="Lato" w:cs="Lato"/>
                <w:spacing w:val="-10"/>
                <w:kern w:val="28"/>
                <w:sz w:val="20"/>
                <w:szCs w:val="20"/>
              </w:rPr>
              <w:t xml:space="preserve"> wynikające z niego konieczne działania priorytetowe oraz występujące potencjalne szanse i zagrożenia.</w:t>
            </w:r>
          </w:p>
        </w:tc>
        <w:tc>
          <w:tcPr>
            <w:tcW w:w="4859" w:type="dxa"/>
            <w:tcBorders>
              <w:top w:val="single" w:sz="4" w:space="0" w:color="auto"/>
              <w:left w:val="single" w:sz="4" w:space="0" w:color="auto"/>
              <w:bottom w:val="single" w:sz="4" w:space="0" w:color="auto"/>
              <w:right w:val="single" w:sz="4" w:space="0" w:color="auto"/>
            </w:tcBorders>
          </w:tcPr>
          <w:p w14:paraId="1E529D42" w14:textId="77777777" w:rsidR="00610FF2"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48100A2E" w14:textId="35D3EDB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tc>
      </w:tr>
      <w:tr w:rsidR="004471C5" w:rsidRPr="004F425A" w14:paraId="553511D1" w14:textId="77777777" w:rsidTr="79FF9703">
        <w:tc>
          <w:tcPr>
            <w:tcW w:w="1425" w:type="dxa"/>
            <w:tcBorders>
              <w:top w:val="single" w:sz="4" w:space="0" w:color="auto"/>
              <w:left w:val="single" w:sz="4" w:space="0" w:color="auto"/>
              <w:bottom w:val="single" w:sz="4" w:space="0" w:color="auto"/>
              <w:right w:val="single" w:sz="4" w:space="0" w:color="auto"/>
            </w:tcBorders>
          </w:tcPr>
          <w:p w14:paraId="3928BF2F"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D00659A" w14:textId="42AA77D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5AB5FF86" w14:textId="0E929F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7F1468D4" w14:textId="0C79E8FA"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 xml:space="preserve">nowe brzmienie: </w:t>
            </w:r>
          </w:p>
          <w:p w14:paraId="1318B0B1" w14:textId="3268F1E3"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Przełomowe innowacje - w obszarze mikroelektroniki/nanoelektroniki, fotoniki scalonej oraz w pewnym zakresie - mikrosystemówy;</w:t>
            </w:r>
          </w:p>
        </w:tc>
        <w:tc>
          <w:tcPr>
            <w:tcW w:w="4859" w:type="dxa"/>
            <w:tcBorders>
              <w:top w:val="single" w:sz="4" w:space="0" w:color="auto"/>
              <w:left w:val="single" w:sz="4" w:space="0" w:color="auto"/>
              <w:bottom w:val="single" w:sz="4" w:space="0" w:color="auto"/>
              <w:right w:val="single" w:sz="4" w:space="0" w:color="auto"/>
            </w:tcBorders>
          </w:tcPr>
          <w:p w14:paraId="4BAE843D" w14:textId="77777777" w:rsidR="00610FF2"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5E142392" w14:textId="21BC30F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Zapis został doprecyzowany z </w:t>
            </w:r>
            <w:r w:rsidR="002755CA" w:rsidRPr="004F425A">
              <w:rPr>
                <w:rFonts w:ascii="Lato" w:eastAsia="Lato" w:hAnsi="Lato" w:cs="Lato"/>
                <w:sz w:val="20"/>
                <w:szCs w:val="20"/>
              </w:rPr>
              <w:t xml:space="preserve">uwzględnieniem </w:t>
            </w:r>
            <w:r w:rsidRPr="004F425A">
              <w:rPr>
                <w:rFonts w:ascii="Lato" w:eastAsia="Lato" w:hAnsi="Lato" w:cs="Lato"/>
                <w:sz w:val="20"/>
                <w:szCs w:val="20"/>
              </w:rPr>
              <w:t>propozycj</w:t>
            </w:r>
            <w:r w:rsidR="002755CA" w:rsidRPr="004F425A">
              <w:rPr>
                <w:rFonts w:ascii="Lato" w:eastAsia="Lato" w:hAnsi="Lato" w:cs="Lato"/>
                <w:sz w:val="20"/>
                <w:szCs w:val="20"/>
              </w:rPr>
              <w:t>i CEZAMAT</w:t>
            </w:r>
            <w:r w:rsidRPr="004F425A">
              <w:rPr>
                <w:rFonts w:ascii="Lato" w:eastAsia="Lato" w:hAnsi="Lato" w:cs="Lato"/>
                <w:sz w:val="20"/>
                <w:szCs w:val="20"/>
              </w:rPr>
              <w:t xml:space="preserve">. </w:t>
            </w:r>
          </w:p>
        </w:tc>
      </w:tr>
      <w:tr w:rsidR="004471C5" w:rsidRPr="004F425A" w14:paraId="170EF2CF" w14:textId="77777777" w:rsidTr="79FF9703">
        <w:tc>
          <w:tcPr>
            <w:tcW w:w="1425" w:type="dxa"/>
            <w:tcBorders>
              <w:top w:val="single" w:sz="4" w:space="0" w:color="auto"/>
              <w:left w:val="single" w:sz="4" w:space="0" w:color="auto"/>
              <w:bottom w:val="single" w:sz="4" w:space="0" w:color="auto"/>
              <w:right w:val="single" w:sz="4" w:space="0" w:color="auto"/>
            </w:tcBorders>
          </w:tcPr>
          <w:p w14:paraId="1520A398"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99FE99D" w14:textId="398D056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070C8C1E" w14:textId="63F34F3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0768004B" w14:textId="1F55956E"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Istnieją zarówno firmy fabless, jak i firmy działające w modelu fabless, projektujące na zlecenie klientów układy scalone, w tym także krajowe oddziały międzynarodowych koncernów prowadzących działalność projektową. W Europie segment</w:t>
            </w:r>
            <w:r w:rsidRPr="004F425A">
              <w:rPr>
                <w:rFonts w:ascii="Lato" w:eastAsia="Lato" w:hAnsi="Lato" w:cs="Lato"/>
                <w:strike/>
                <w:sz w:val="20"/>
                <w:szCs w:val="20"/>
              </w:rPr>
              <w:t xml:space="preserve"> ten</w:t>
            </w:r>
            <w:r w:rsidRPr="004F425A">
              <w:rPr>
                <w:rFonts w:ascii="Lato" w:eastAsia="Lato" w:hAnsi="Lato" w:cs="Lato"/>
                <w:sz w:val="20"/>
                <w:szCs w:val="20"/>
              </w:rPr>
              <w:t xml:space="preserve"> fabless jest niewielki; europejskie firmy fabless stanowią zaledwie 2-4% globalnego rynku projektowania układów scalonych . Mimo to rynek firm działających w systemie fabless jest globalnie istotny, zwłaszcza w kontekście rosnącego zapotrzebowania na układy specjalistyczne, w tym dla AI.</w:t>
            </w:r>
          </w:p>
        </w:tc>
        <w:tc>
          <w:tcPr>
            <w:tcW w:w="4859" w:type="dxa"/>
            <w:tcBorders>
              <w:top w:val="single" w:sz="4" w:space="0" w:color="auto"/>
              <w:left w:val="single" w:sz="4" w:space="0" w:color="auto"/>
              <w:bottom w:val="single" w:sz="4" w:space="0" w:color="auto"/>
              <w:right w:val="single" w:sz="4" w:space="0" w:color="auto"/>
            </w:tcBorders>
          </w:tcPr>
          <w:p w14:paraId="0F3F4798" w14:textId="77777777" w:rsidR="00610FF2"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3BDFE2DC" w14:textId="0BB3E40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tc>
      </w:tr>
      <w:tr w:rsidR="004471C5" w:rsidRPr="004F425A" w14:paraId="2869AE5E" w14:textId="77777777" w:rsidTr="79FF9703">
        <w:tc>
          <w:tcPr>
            <w:tcW w:w="1425" w:type="dxa"/>
            <w:tcBorders>
              <w:top w:val="single" w:sz="4" w:space="0" w:color="auto"/>
              <w:left w:val="single" w:sz="4" w:space="0" w:color="auto"/>
              <w:bottom w:val="single" w:sz="4" w:space="0" w:color="auto"/>
              <w:right w:val="single" w:sz="4" w:space="0" w:color="auto"/>
            </w:tcBorders>
          </w:tcPr>
          <w:p w14:paraId="59D9B97A"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33DE8B2" w14:textId="5A152CA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68CCA556" w14:textId="5E3EC0E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4869EC8A" w14:textId="03FEF7F8"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Chodzi zwłaszcza o tzw. materiały III-V, takie jak: azotek galu (GaN), w mniejszym zakresie - fosforki indu (InP) i galu (GaP) oraz antymonek galu (GaSb), materiały dla fotoniki scalonej oraz węglik krzemu (SiC), który jest doskonałym materiałem dla energoelektroniki.</w:t>
            </w:r>
          </w:p>
          <w:p w14:paraId="0DEFB7AD" w14:textId="4600CE08" w:rsidR="00F574A2" w:rsidRPr="004F425A" w:rsidRDefault="00F574A2" w:rsidP="004F425A">
            <w:pPr>
              <w:spacing w:after="120" w:line="240" w:lineRule="auto"/>
              <w:rPr>
                <w:rFonts w:ascii="Lato" w:eastAsia="Lato" w:hAnsi="Lato" w:cs="Lato"/>
                <w:spacing w:val="-10"/>
                <w:kern w:val="28"/>
                <w:sz w:val="20"/>
                <w:szCs w:val="20"/>
              </w:rPr>
            </w:pPr>
          </w:p>
        </w:tc>
        <w:tc>
          <w:tcPr>
            <w:tcW w:w="4859" w:type="dxa"/>
            <w:tcBorders>
              <w:top w:val="single" w:sz="4" w:space="0" w:color="auto"/>
              <w:left w:val="single" w:sz="4" w:space="0" w:color="auto"/>
              <w:bottom w:val="single" w:sz="4" w:space="0" w:color="auto"/>
              <w:right w:val="single" w:sz="4" w:space="0" w:color="auto"/>
            </w:tcBorders>
          </w:tcPr>
          <w:p w14:paraId="14DF1511" w14:textId="77777777" w:rsidR="00610FF2"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40661CBF" w14:textId="3A100D6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tc>
      </w:tr>
      <w:tr w:rsidR="004471C5" w:rsidRPr="004F425A" w14:paraId="712BE8FC" w14:textId="77777777" w:rsidTr="79FF9703">
        <w:tc>
          <w:tcPr>
            <w:tcW w:w="1425" w:type="dxa"/>
            <w:tcBorders>
              <w:top w:val="single" w:sz="4" w:space="0" w:color="auto"/>
              <w:left w:val="single" w:sz="4" w:space="0" w:color="auto"/>
              <w:bottom w:val="single" w:sz="4" w:space="0" w:color="auto"/>
              <w:right w:val="single" w:sz="4" w:space="0" w:color="auto"/>
            </w:tcBorders>
          </w:tcPr>
          <w:p w14:paraId="299D6710"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DE81FFB" w14:textId="62C81DC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5D1FBC7E"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Centrum Zaawansowanych Materiałów i Technologii CEZAMAT</w:t>
            </w:r>
          </w:p>
          <w:p w14:paraId="698E89AC" w14:textId="77777777" w:rsidR="00F574A2" w:rsidRPr="004F425A" w:rsidRDefault="00F574A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584336B6" w14:textId="77777777"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lastRenderedPageBreak/>
              <w:t xml:space="preserve">Str. 8 po pkt Fotonika scalona dodanie pkt </w:t>
            </w:r>
          </w:p>
          <w:p w14:paraId="7F4389AE" w14:textId="4F6C5DF3"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 xml:space="preserve">Nowatorskie koncepcje przyrządów pamięciowych – prace naukowe rozpoczęto w Politechnice Warszawskiej </w:t>
            </w:r>
            <w:r w:rsidRPr="004F425A">
              <w:rPr>
                <w:rFonts w:ascii="Lato" w:eastAsia="Lato" w:hAnsi="Lato" w:cs="Lato"/>
                <w:sz w:val="20"/>
                <w:szCs w:val="20"/>
              </w:rPr>
              <w:lastRenderedPageBreak/>
              <w:t>jeszcze ok. 2015 roku, aby osiągnąć aplikacyjną dojrzałość w CEZAMAT PW w ramach linii pilotażowej FAMES; dały początek rodzącej się specjalizacji w zakresie elementów pamięciowych, których unikatowe cechy pozwalają wykorzystać je w obszarze cyberbezpieczeństwa oraz w in-memory-computing (wspomaganie obliczeń na potrzeby AI). Dalszy rozwój tych technologii planowany jest w ramach opracowywanego projektu RESOLVE tworzonego w ramach przygotowań do EU Chips Act 2.0.</w:t>
            </w:r>
          </w:p>
          <w:p w14:paraId="1C447104" w14:textId="36EF8959"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Układy mikroelektroniczne odporne na radiację - technologia rad-hard - brak dostępu do takich układów, spowodowany m.in. protekcjonistycznymi decyzjami USA stwarza unikatową szansę rozwinięcia w oparciu o planowaną w CEZAMAT PW produkcję małoseryjną układów w technologii FD-SOI, przy współpracy partnerów europejskich, produkcji układów rad-hard na potrzeby rynku krajowego i europejskiego. Technologia ta, jako jedyna, jest w stanie spełnić wymagania stawiane tego typu układom i systemom. A linia pilotażowa w CEZAMAT PW, przy wsparciu istniejących w Polsce laboratoriów z zakresu technologii jądrowych jest w stanie zaspokoić potrzeby polskiego i europejskiego przemysłu kosmicznego i obronnego.</w:t>
            </w:r>
          </w:p>
        </w:tc>
        <w:tc>
          <w:tcPr>
            <w:tcW w:w="4859" w:type="dxa"/>
            <w:tcBorders>
              <w:top w:val="single" w:sz="4" w:space="0" w:color="auto"/>
              <w:left w:val="single" w:sz="4" w:space="0" w:color="auto"/>
              <w:bottom w:val="single" w:sz="4" w:space="0" w:color="auto"/>
              <w:right w:val="single" w:sz="4" w:space="0" w:color="auto"/>
            </w:tcBorders>
          </w:tcPr>
          <w:p w14:paraId="3C9BFD7E" w14:textId="77777777" w:rsidR="00610FF2"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71A98EBE" w14:textId="4758B180" w:rsidR="00F574A2" w:rsidRPr="004F425A" w:rsidRDefault="00610FF2" w:rsidP="004F425A">
            <w:pPr>
              <w:spacing w:after="120" w:line="240" w:lineRule="auto"/>
              <w:rPr>
                <w:rFonts w:ascii="Lato" w:hAnsi="Lato"/>
                <w:b/>
                <w:sz w:val="20"/>
                <w:szCs w:val="20"/>
              </w:rPr>
            </w:pPr>
            <w:r>
              <w:rPr>
                <w:rStyle w:val="Ppogrubienie"/>
                <w:rFonts w:ascii="Lato" w:hAnsi="Lato"/>
                <w:sz w:val="20"/>
                <w:szCs w:val="20"/>
              </w:rPr>
              <w:t>P</w:t>
            </w:r>
            <w:r w:rsidR="00F574A2" w:rsidRPr="004F425A">
              <w:rPr>
                <w:rFonts w:ascii="Lato" w:eastAsia="Lato" w:hAnsi="Lato" w:cs="Lato"/>
                <w:sz w:val="20"/>
                <w:szCs w:val="20"/>
              </w:rPr>
              <w:t xml:space="preserve">olityka celowo nie różnicuje wsparcia wg wąskich segmentów technologicznych (np. rad-hard, pamięci </w:t>
            </w:r>
            <w:r w:rsidR="00F574A2" w:rsidRPr="004F425A">
              <w:rPr>
                <w:rFonts w:ascii="Lato" w:eastAsia="Lato" w:hAnsi="Lato" w:cs="Lato"/>
                <w:sz w:val="20"/>
                <w:szCs w:val="20"/>
              </w:rPr>
              <w:lastRenderedPageBreak/>
              <w:t>półprzewodnikowe, technologie termoelektryczne), by uniknąć nadmiernej granulacji i zarzutu wybiórczego premiowania pojedynczych nisz. Doprecyzowanie priorytetów technologicznych nastąpi na etapie Mapy drogowej rozwoju technologii półprzewodnikowych (Filar II), łatwiejszej do aktualizacji niż uchwała RM.</w:t>
            </w:r>
          </w:p>
        </w:tc>
      </w:tr>
      <w:tr w:rsidR="004471C5" w:rsidRPr="004F425A" w14:paraId="7EE190EE" w14:textId="77777777" w:rsidTr="79FF9703">
        <w:tc>
          <w:tcPr>
            <w:tcW w:w="1425" w:type="dxa"/>
            <w:tcBorders>
              <w:top w:val="single" w:sz="4" w:space="0" w:color="auto"/>
              <w:left w:val="single" w:sz="4" w:space="0" w:color="auto"/>
              <w:bottom w:val="single" w:sz="4" w:space="0" w:color="auto"/>
              <w:right w:val="single" w:sz="4" w:space="0" w:color="auto"/>
            </w:tcBorders>
          </w:tcPr>
          <w:p w14:paraId="10DA660D"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B9D146B" w14:textId="458C115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31D257AC" w14:textId="057EE6F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6D7A20B9" w14:textId="66F6B6A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Procesy back-endowe, takie jak montaż, pakowanie, testowanie czy hermetyzacja, pozostają słabo rozwinięte. Planowane inwestycje przemysłowe w tym zakresie zostały </w:t>
            </w:r>
            <w:r w:rsidRPr="004F425A">
              <w:rPr>
                <w:rFonts w:ascii="Lato" w:eastAsia="Lato" w:hAnsi="Lato" w:cs="Lato"/>
                <w:strike/>
                <w:sz w:val="20"/>
                <w:szCs w:val="20"/>
              </w:rPr>
              <w:t xml:space="preserve">czasowo wstrzymane </w:t>
            </w:r>
            <w:r w:rsidRPr="004F425A">
              <w:rPr>
                <w:rFonts w:ascii="Lato" w:eastAsia="Lato" w:hAnsi="Lato" w:cs="Lato"/>
                <w:sz w:val="20"/>
                <w:szCs w:val="20"/>
              </w:rPr>
              <w:t xml:space="preserve">zatrzymane lub odwołane, a działania ograniczają się obecnie do wybranych prac zespołów badawczych (m.in. w CEZAMAT PW oraz IMIF IŁ). </w:t>
            </w:r>
          </w:p>
        </w:tc>
        <w:tc>
          <w:tcPr>
            <w:tcW w:w="4859" w:type="dxa"/>
            <w:tcBorders>
              <w:top w:val="single" w:sz="4" w:space="0" w:color="auto"/>
              <w:left w:val="single" w:sz="4" w:space="0" w:color="auto"/>
              <w:bottom w:val="single" w:sz="4" w:space="0" w:color="auto"/>
              <w:right w:val="single" w:sz="4" w:space="0" w:color="auto"/>
            </w:tcBorders>
          </w:tcPr>
          <w:p w14:paraId="15BB61CA" w14:textId="4567DA56" w:rsidR="00C43618" w:rsidRPr="004F425A" w:rsidRDefault="00C43618"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33ACDA7A" w14:textId="77777777" w:rsidR="00744BD1" w:rsidRPr="004F425A" w:rsidRDefault="00744BD1"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modyfikacji w tym zakresie. </w:t>
            </w:r>
          </w:p>
          <w:p w14:paraId="01463EBD" w14:textId="06CE4FC2" w:rsidR="00F574A2" w:rsidRPr="004F425A" w:rsidRDefault="00F574A2" w:rsidP="004F425A">
            <w:pPr>
              <w:spacing w:after="120" w:line="240" w:lineRule="auto"/>
              <w:rPr>
                <w:rFonts w:ascii="Lato" w:eastAsia="Lato" w:hAnsi="Lato" w:cs="Lato"/>
                <w:sz w:val="20"/>
                <w:szCs w:val="20"/>
              </w:rPr>
            </w:pPr>
          </w:p>
        </w:tc>
      </w:tr>
      <w:tr w:rsidR="004471C5" w:rsidRPr="004F425A" w14:paraId="795F86B2" w14:textId="77777777" w:rsidTr="79FF9703">
        <w:tc>
          <w:tcPr>
            <w:tcW w:w="1425" w:type="dxa"/>
            <w:tcBorders>
              <w:top w:val="single" w:sz="4" w:space="0" w:color="auto"/>
              <w:left w:val="single" w:sz="4" w:space="0" w:color="auto"/>
              <w:bottom w:val="single" w:sz="4" w:space="0" w:color="auto"/>
              <w:right w:val="single" w:sz="4" w:space="0" w:color="auto"/>
            </w:tcBorders>
          </w:tcPr>
          <w:p w14:paraId="7E59C42B"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F1EF0C4" w14:textId="7B9648E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07518283" w14:textId="41D42FE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5D088267" w14:textId="2C1A7845"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Jednostki te wspierają rozwój praktycznie pełnego zakresu zadań od niezbędnych materiałów, technologii stosowanych w produkcji, nowych konstrukcji przyrządów i elementów półprzewodnikowych (mikroelektronicznych i fotonicznych), modeli i metod stosowanych w symulacji działania elementów, układów i systemów, aż po metody ich projektowania.</w:t>
            </w:r>
          </w:p>
        </w:tc>
        <w:tc>
          <w:tcPr>
            <w:tcW w:w="4859" w:type="dxa"/>
            <w:tcBorders>
              <w:top w:val="single" w:sz="4" w:space="0" w:color="auto"/>
              <w:left w:val="single" w:sz="4" w:space="0" w:color="auto"/>
              <w:bottom w:val="single" w:sz="4" w:space="0" w:color="auto"/>
              <w:right w:val="single" w:sz="4" w:space="0" w:color="auto"/>
            </w:tcBorders>
          </w:tcPr>
          <w:p w14:paraId="710A500E" w14:textId="77777777" w:rsidR="00610FF2"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2A7F86B5" w14:textId="7CBCC62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tc>
      </w:tr>
      <w:tr w:rsidR="004471C5" w:rsidRPr="004F425A" w14:paraId="32BA6D8A" w14:textId="77777777" w:rsidTr="05B17520">
        <w:trPr>
          <w:trHeight w:val="2122"/>
        </w:trPr>
        <w:tc>
          <w:tcPr>
            <w:tcW w:w="1425" w:type="dxa"/>
            <w:tcBorders>
              <w:top w:val="single" w:sz="4" w:space="0" w:color="auto"/>
              <w:left w:val="single" w:sz="4" w:space="0" w:color="auto"/>
              <w:bottom w:val="single" w:sz="4" w:space="0" w:color="auto"/>
              <w:right w:val="single" w:sz="4" w:space="0" w:color="auto"/>
            </w:tcBorders>
          </w:tcPr>
          <w:p w14:paraId="5CF3BFD8"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C28D599" w14:textId="6363060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21C1114B" w14:textId="5694150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06C141C4" w14:textId="127621CF"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 xml:space="preserve">Polska, z uwagi na brak własnej produkcji mikroelektronicznych układów scalonych na skalę przemysłową, pozostaje </w:t>
            </w:r>
            <w:r w:rsidRPr="004F425A">
              <w:rPr>
                <w:rFonts w:ascii="Lato" w:eastAsia="Lato" w:hAnsi="Lato" w:cs="Lato"/>
                <w:strike/>
                <w:spacing w:val="-10"/>
                <w:kern w:val="28"/>
                <w:sz w:val="20"/>
                <w:szCs w:val="20"/>
              </w:rPr>
              <w:t>w dużym stopniu</w:t>
            </w:r>
            <w:r w:rsidRPr="004F425A">
              <w:rPr>
                <w:rFonts w:ascii="Lato" w:eastAsia="Lato" w:hAnsi="Lato" w:cs="Lato"/>
                <w:spacing w:val="-10"/>
                <w:kern w:val="28"/>
                <w:sz w:val="20"/>
                <w:szCs w:val="20"/>
              </w:rPr>
              <w:t xml:space="preserve"> całkowicie uzależniona od importu komponentów elektronicznych.</w:t>
            </w:r>
          </w:p>
        </w:tc>
        <w:tc>
          <w:tcPr>
            <w:tcW w:w="4859" w:type="dxa"/>
            <w:tcBorders>
              <w:top w:val="single" w:sz="4" w:space="0" w:color="auto"/>
              <w:left w:val="single" w:sz="4" w:space="0" w:color="auto"/>
              <w:bottom w:val="single" w:sz="4" w:space="0" w:color="auto"/>
              <w:right w:val="single" w:sz="4" w:space="0" w:color="auto"/>
            </w:tcBorders>
          </w:tcPr>
          <w:p w14:paraId="6A9DF4DA" w14:textId="01A94516" w:rsidR="00C43618" w:rsidRPr="004F425A" w:rsidRDefault="00C43618"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r w:rsidR="00982460" w:rsidRPr="004F425A">
              <w:rPr>
                <w:rStyle w:val="Ppogrubienie"/>
                <w:rFonts w:ascii="Lato" w:hAnsi="Lato"/>
                <w:sz w:val="20"/>
                <w:szCs w:val="20"/>
              </w:rPr>
              <w:t xml:space="preserve">. </w:t>
            </w:r>
          </w:p>
          <w:p w14:paraId="11BD3077" w14:textId="7337DA95" w:rsidR="00982460" w:rsidRPr="004F425A" w:rsidRDefault="00982460"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Zapis nie wymaga korekty i jest zgodny z intencją</w:t>
            </w:r>
            <w:r w:rsidR="00AA3A5F" w:rsidRPr="004F425A">
              <w:rPr>
                <w:rFonts w:ascii="Lato" w:eastAsia="Lato" w:hAnsi="Lato" w:cs="Lato"/>
                <w:spacing w:val="-10"/>
                <w:kern w:val="28"/>
                <w:sz w:val="20"/>
                <w:szCs w:val="20"/>
              </w:rPr>
              <w:t xml:space="preserve"> przekazu. </w:t>
            </w:r>
          </w:p>
          <w:p w14:paraId="3F04B5AC" w14:textId="3202A79F" w:rsidR="00F574A2" w:rsidRPr="004F425A" w:rsidRDefault="00F574A2" w:rsidP="004F425A">
            <w:pPr>
              <w:spacing w:after="120" w:line="240" w:lineRule="auto"/>
              <w:rPr>
                <w:rFonts w:ascii="Lato" w:eastAsia="Lato" w:hAnsi="Lato" w:cs="Lato"/>
                <w:sz w:val="20"/>
                <w:szCs w:val="20"/>
              </w:rPr>
            </w:pPr>
          </w:p>
        </w:tc>
      </w:tr>
      <w:tr w:rsidR="004471C5" w:rsidRPr="004F425A" w14:paraId="26042A19" w14:textId="77777777" w:rsidTr="79FF9703">
        <w:tc>
          <w:tcPr>
            <w:tcW w:w="1425" w:type="dxa"/>
            <w:tcBorders>
              <w:top w:val="single" w:sz="4" w:space="0" w:color="auto"/>
              <w:left w:val="single" w:sz="4" w:space="0" w:color="auto"/>
              <w:bottom w:val="single" w:sz="4" w:space="0" w:color="auto"/>
              <w:right w:val="single" w:sz="4" w:space="0" w:color="auto"/>
            </w:tcBorders>
          </w:tcPr>
          <w:p w14:paraId="406CFA74"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2448BC9" w14:textId="470AF6A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021DA758" w14:textId="5A0DE1E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46A97D83" w14:textId="7E25016C"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Jednocześnie krajowy ekosystem nie obejmuje pełnego łańcucha wartości: procesy back-endowe są słabo rozwinięte, a infrastruktura front-endowa pozostaje niewykształcona. Brak tej ostatniej uniemożliwia samodzielną produkcję czipów, co powoduje niemożliwość osiągnięcia pełnego bezpieczeństwa sprzętowego we wszystkich wrażliwych zastosowaniach. Brakuje również jednolitego zestawu danych i statystyk dotyczących sektora - powyższa diagnoza opiera się na dostępnej wiedzy eksperckiej oraz materiałach źródłowych zebranych w toku przeglądu branży. Polska ma szansę zagospodarować niezwykle atrakcyjną niszę, jaka pojawiła się na globalnym rynku i objąć w niedługiej perspektywie rolę europejskiego hub'u dla technologii rad-hard".</w:t>
            </w:r>
          </w:p>
        </w:tc>
        <w:tc>
          <w:tcPr>
            <w:tcW w:w="4859" w:type="dxa"/>
            <w:tcBorders>
              <w:top w:val="single" w:sz="4" w:space="0" w:color="auto"/>
              <w:left w:val="single" w:sz="4" w:space="0" w:color="auto"/>
              <w:bottom w:val="single" w:sz="4" w:space="0" w:color="auto"/>
              <w:right w:val="single" w:sz="4" w:space="0" w:color="auto"/>
            </w:tcBorders>
          </w:tcPr>
          <w:p w14:paraId="09D357AA" w14:textId="579196CE"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45886645" w14:textId="47CC313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p w14:paraId="6F40DA50" w14:textId="573E1F6A" w:rsidR="00F574A2" w:rsidRPr="004F425A" w:rsidRDefault="00F574A2" w:rsidP="004F425A">
            <w:pPr>
              <w:spacing w:after="120" w:line="240" w:lineRule="auto"/>
              <w:rPr>
                <w:rFonts w:ascii="Lato" w:eastAsia="Lato" w:hAnsi="Lato" w:cs="Lato"/>
                <w:sz w:val="20"/>
                <w:szCs w:val="20"/>
              </w:rPr>
            </w:pPr>
          </w:p>
        </w:tc>
      </w:tr>
      <w:tr w:rsidR="004471C5" w:rsidRPr="004F425A" w14:paraId="4347E140" w14:textId="77777777" w:rsidTr="79FF9703">
        <w:tc>
          <w:tcPr>
            <w:tcW w:w="1425" w:type="dxa"/>
            <w:tcBorders>
              <w:top w:val="single" w:sz="4" w:space="0" w:color="auto"/>
              <w:left w:val="single" w:sz="4" w:space="0" w:color="auto"/>
              <w:bottom w:val="single" w:sz="4" w:space="0" w:color="auto"/>
              <w:right w:val="single" w:sz="4" w:space="0" w:color="auto"/>
            </w:tcBorders>
          </w:tcPr>
          <w:p w14:paraId="09B94091"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171AFC6" w14:textId="34CCFD5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3C3F6173" w14:textId="5BB2D75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668A48CC" w14:textId="473FD1E4"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Polska jako rozpoznawalny węzeł europejskiego ekosystemu półprzewodników, wykorzystujący lokalne kompetencje w projektowaniu układów scalonych, mikroelektronice i fotonice do budowania trwałych przewag konkurencyjnych w wybranych niszach technologicznych.</w:t>
            </w:r>
          </w:p>
        </w:tc>
        <w:tc>
          <w:tcPr>
            <w:tcW w:w="4859" w:type="dxa"/>
            <w:tcBorders>
              <w:top w:val="single" w:sz="4" w:space="0" w:color="auto"/>
              <w:left w:val="single" w:sz="4" w:space="0" w:color="auto"/>
              <w:bottom w:val="single" w:sz="4" w:space="0" w:color="auto"/>
              <w:right w:val="single" w:sz="4" w:space="0" w:color="auto"/>
            </w:tcBorders>
          </w:tcPr>
          <w:p w14:paraId="26B81DBA" w14:textId="075333FB"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7A06C9DA" w14:textId="0CAE46F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p w14:paraId="6217BA03" w14:textId="7BF28DF0" w:rsidR="00F574A2" w:rsidRPr="004F425A" w:rsidRDefault="00F574A2" w:rsidP="004F425A">
            <w:pPr>
              <w:spacing w:after="120" w:line="240" w:lineRule="auto"/>
              <w:rPr>
                <w:rFonts w:ascii="Lato" w:eastAsia="Lato" w:hAnsi="Lato" w:cs="Lato"/>
                <w:sz w:val="20"/>
                <w:szCs w:val="20"/>
              </w:rPr>
            </w:pPr>
          </w:p>
        </w:tc>
      </w:tr>
      <w:tr w:rsidR="004471C5" w:rsidRPr="004F425A" w14:paraId="339426E0" w14:textId="77777777" w:rsidTr="79FF9703">
        <w:tc>
          <w:tcPr>
            <w:tcW w:w="1425" w:type="dxa"/>
            <w:tcBorders>
              <w:top w:val="single" w:sz="4" w:space="0" w:color="auto"/>
              <w:left w:val="single" w:sz="4" w:space="0" w:color="auto"/>
              <w:bottom w:val="single" w:sz="4" w:space="0" w:color="auto"/>
              <w:right w:val="single" w:sz="4" w:space="0" w:color="auto"/>
            </w:tcBorders>
          </w:tcPr>
          <w:p w14:paraId="4E078AC3"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49EA7F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05418DDC" w14:textId="1228DC7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3EEBD2A4" w14:textId="305F2BA7"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Członkostwo w inicjatywach UE - przystąpienie polskich podmiotów do Europejskiego Sojuszu na rzecz Półprzewodników ESRA (cel: Polska członkiem ESRA do końca 2026 roku) oraz aktywny udział w programach Chips JU (</w:t>
            </w:r>
            <w:r w:rsidRPr="004F425A">
              <w:rPr>
                <w:rFonts w:ascii="Lato" w:eastAsia="Lato" w:hAnsi="Lato" w:cs="Lato"/>
                <w:strike/>
                <w:sz w:val="20"/>
                <w:szCs w:val="20"/>
              </w:rPr>
              <w:t xml:space="preserve">liczba </w:t>
            </w:r>
            <w:r w:rsidRPr="004F425A">
              <w:rPr>
                <w:rFonts w:ascii="Lato" w:eastAsia="Lato" w:hAnsi="Lato" w:cs="Lato"/>
                <w:sz w:val="20"/>
                <w:szCs w:val="20"/>
              </w:rPr>
              <w:t xml:space="preserve">kwota  dofinansowania dla podmiotów z Polski w ramach projektów </w:t>
            </w:r>
            <w:r w:rsidRPr="004F425A">
              <w:rPr>
                <w:rFonts w:ascii="Lato" w:eastAsia="Lato" w:hAnsi="Lato" w:cs="Lato"/>
                <w:strike/>
                <w:sz w:val="20"/>
                <w:szCs w:val="20"/>
              </w:rPr>
              <w:t>z dofinansowaniem</w:t>
            </w:r>
            <w:r w:rsidRPr="004F425A">
              <w:rPr>
                <w:rFonts w:ascii="Lato" w:eastAsia="Lato" w:hAnsi="Lato" w:cs="Lato"/>
                <w:sz w:val="20"/>
                <w:szCs w:val="20"/>
              </w:rPr>
              <w:t xml:space="preserve"> Chips JU </w:t>
            </w:r>
            <w:r w:rsidRPr="004F425A">
              <w:rPr>
                <w:rFonts w:ascii="Lato" w:eastAsia="Lato" w:hAnsi="Lato" w:cs="Lato"/>
                <w:strike/>
                <w:sz w:val="20"/>
                <w:szCs w:val="20"/>
              </w:rPr>
              <w:t>z PL udziałem</w:t>
            </w:r>
            <w:r w:rsidRPr="004F425A">
              <w:rPr>
                <w:rFonts w:ascii="Lato" w:eastAsia="Lato" w:hAnsi="Lato" w:cs="Lato"/>
                <w:sz w:val="20"/>
                <w:szCs w:val="20"/>
              </w:rPr>
              <w:t xml:space="preserve"> - cel: wzrost o 50% do 2030 roku).</w:t>
            </w:r>
          </w:p>
        </w:tc>
        <w:tc>
          <w:tcPr>
            <w:tcW w:w="4859" w:type="dxa"/>
            <w:tcBorders>
              <w:top w:val="single" w:sz="4" w:space="0" w:color="auto"/>
              <w:left w:val="single" w:sz="4" w:space="0" w:color="auto"/>
              <w:bottom w:val="single" w:sz="4" w:space="0" w:color="auto"/>
              <w:right w:val="single" w:sz="4" w:space="0" w:color="auto"/>
            </w:tcBorders>
          </w:tcPr>
          <w:p w14:paraId="54264A5C" w14:textId="2FB44FA5"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7F32A2CE" w14:textId="06A5D3D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p w14:paraId="10885443" w14:textId="4DF2D186" w:rsidR="00F574A2" w:rsidRPr="004F425A" w:rsidRDefault="00F574A2" w:rsidP="004F425A">
            <w:pPr>
              <w:spacing w:after="120" w:line="240" w:lineRule="auto"/>
              <w:rPr>
                <w:rFonts w:ascii="Lato" w:eastAsia="Lato" w:hAnsi="Lato" w:cs="Lato"/>
                <w:sz w:val="20"/>
                <w:szCs w:val="20"/>
              </w:rPr>
            </w:pPr>
          </w:p>
        </w:tc>
      </w:tr>
      <w:tr w:rsidR="004471C5" w:rsidRPr="004F425A" w14:paraId="4AE16A69" w14:textId="77777777" w:rsidTr="79FF9703">
        <w:tc>
          <w:tcPr>
            <w:tcW w:w="1425" w:type="dxa"/>
            <w:tcBorders>
              <w:top w:val="single" w:sz="4" w:space="0" w:color="auto"/>
              <w:left w:val="single" w:sz="4" w:space="0" w:color="auto"/>
              <w:bottom w:val="single" w:sz="4" w:space="0" w:color="auto"/>
              <w:right w:val="single" w:sz="4" w:space="0" w:color="auto"/>
            </w:tcBorders>
          </w:tcPr>
          <w:p w14:paraId="1FE22A99"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7EFFCFE" w14:textId="4F3BF81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1A69F1E1" w14:textId="1367E4E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188B28A4" w14:textId="1BF3A7F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pacing w:val="-10"/>
                <w:kern w:val="28"/>
                <w:sz w:val="20"/>
                <w:szCs w:val="20"/>
              </w:rPr>
              <w:t>Filar VII</w:t>
            </w:r>
            <w:r w:rsidRPr="004F425A">
              <w:rPr>
                <w:rFonts w:ascii="Lato" w:eastAsia="Lato" w:hAnsi="Lato" w:cs="Lato"/>
                <w:sz w:val="20"/>
                <w:szCs w:val="20"/>
              </w:rPr>
              <w:t xml:space="preserve"> </w:t>
            </w:r>
          </w:p>
          <w:p w14:paraId="6D710BD8" w14:textId="1EC492FE"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o</w:t>
            </w:r>
            <w:r w:rsidRPr="004F425A">
              <w:rPr>
                <w:rFonts w:ascii="Lato" w:hAnsi="Lato"/>
                <w:sz w:val="20"/>
                <w:szCs w:val="20"/>
              </w:rPr>
              <w:tab/>
            </w:r>
            <w:r w:rsidRPr="004F425A">
              <w:rPr>
                <w:rFonts w:ascii="Lato" w:eastAsia="Lato" w:hAnsi="Lato" w:cs="Lato"/>
                <w:spacing w:val="-10"/>
                <w:kern w:val="28"/>
                <w:sz w:val="20"/>
                <w:szCs w:val="20"/>
              </w:rPr>
              <w:t xml:space="preserve">Wartość docelowa = rezerwy na </w:t>
            </w:r>
            <w:r w:rsidRPr="004F425A">
              <w:rPr>
                <w:rFonts w:ascii="Lato" w:eastAsia="Lato" w:hAnsi="Lato" w:cs="Lato"/>
                <w:strike/>
                <w:spacing w:val="-10"/>
                <w:kern w:val="28"/>
                <w:sz w:val="20"/>
                <w:szCs w:val="20"/>
              </w:rPr>
              <w:t>3 miesiące</w:t>
            </w:r>
            <w:r w:rsidRPr="004F425A">
              <w:rPr>
                <w:rFonts w:ascii="Lato" w:eastAsia="Lato" w:hAnsi="Lato" w:cs="Lato"/>
                <w:spacing w:val="-10"/>
                <w:kern w:val="28"/>
                <w:sz w:val="20"/>
                <w:szCs w:val="20"/>
              </w:rPr>
              <w:t xml:space="preserve"> 12 miesięcy zapotrzebowania.  </w:t>
            </w:r>
          </w:p>
        </w:tc>
        <w:tc>
          <w:tcPr>
            <w:tcW w:w="4859" w:type="dxa"/>
            <w:tcBorders>
              <w:top w:val="single" w:sz="4" w:space="0" w:color="auto"/>
              <w:left w:val="single" w:sz="4" w:space="0" w:color="auto"/>
              <w:bottom w:val="single" w:sz="4" w:space="0" w:color="auto"/>
              <w:right w:val="single" w:sz="4" w:space="0" w:color="auto"/>
            </w:tcBorders>
          </w:tcPr>
          <w:p w14:paraId="00A69B0A" w14:textId="0BC543A8"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50784DA6" w14:textId="29C13689" w:rsidR="00F574A2" w:rsidRPr="004F425A" w:rsidRDefault="00F574A2" w:rsidP="00EB412C">
            <w:pPr>
              <w:spacing w:after="120" w:line="240" w:lineRule="auto"/>
              <w:rPr>
                <w:rFonts w:ascii="Lato" w:eastAsia="Lato" w:hAnsi="Lato" w:cs="Lato"/>
                <w:sz w:val="20"/>
                <w:szCs w:val="20"/>
              </w:rPr>
            </w:pPr>
            <w:r w:rsidRPr="004F425A">
              <w:rPr>
                <w:rFonts w:ascii="Lato" w:eastAsia="Lato" w:hAnsi="Lato" w:cs="Lato"/>
                <w:sz w:val="20"/>
                <w:szCs w:val="20"/>
              </w:rPr>
              <w:t>Poziom rezerw odpowiadający trzymiesięcznemu krajowemu zapotrzebowaniu uznaje się za adekwatny do charakteru ryzyk występujących w sektorze półprzewodników. Pozwala on na utrzymanie ciągłości działalności w przypadku krótkotrwałych zakłóceń w globalnych łańcuchach dostaw, przy jednoczesnym zachowaniu racjonalnych kosztów magazynowania materiałów.  Trzy miesiące powinny zapewnić czas niezbędny do znalezienia alternatywnych źródeł zaopatrzenia oraz uruchomienia mechanizmów współpracy na poziomie Unii Europejskiej.</w:t>
            </w:r>
          </w:p>
        </w:tc>
      </w:tr>
      <w:tr w:rsidR="004471C5" w:rsidRPr="004F425A" w14:paraId="23FBF71B" w14:textId="77777777" w:rsidTr="79FF9703">
        <w:tc>
          <w:tcPr>
            <w:tcW w:w="1425" w:type="dxa"/>
            <w:tcBorders>
              <w:top w:val="single" w:sz="4" w:space="0" w:color="auto"/>
              <w:left w:val="single" w:sz="4" w:space="0" w:color="auto"/>
              <w:bottom w:val="single" w:sz="4" w:space="0" w:color="auto"/>
              <w:right w:val="single" w:sz="4" w:space="0" w:color="auto"/>
            </w:tcBorders>
          </w:tcPr>
          <w:p w14:paraId="4E28BDFD"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09668BB" w14:textId="16EA397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7B11A7E9" w14:textId="55CABDA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6F637FE4" w14:textId="1EEEBB5E" w:rsidR="00F574A2" w:rsidRPr="004F425A" w:rsidRDefault="00F574A2" w:rsidP="00EB412C">
            <w:pPr>
              <w:spacing w:after="120" w:line="240" w:lineRule="auto"/>
              <w:rPr>
                <w:rFonts w:ascii="Lato" w:eastAsia="Lato" w:hAnsi="Lato" w:cs="Lato"/>
                <w:spacing w:val="-10"/>
                <w:kern w:val="28"/>
                <w:sz w:val="20"/>
                <w:szCs w:val="20"/>
              </w:rPr>
            </w:pPr>
            <w:r w:rsidRPr="004F425A">
              <w:rPr>
                <w:rFonts w:ascii="Lato" w:eastAsia="Lato" w:hAnsi="Lato" w:cs="Lato"/>
                <w:sz w:val="20"/>
                <w:szCs w:val="20"/>
              </w:rPr>
              <w:t xml:space="preserve">Strategia koncentruje się na dwóch uzupełniających się ścieżkach. Po pierwsze, zakłada rozwój krajowych kompetencji - zarówno przełomowych (wybrane aspekty mikroelektroniki/nanoelektroniki, jak np. pamięci, układy rad-hard i elementy mocy i wysokiej częstotliwości, fotonika </w:t>
            </w:r>
            <w:r w:rsidRPr="004F425A">
              <w:rPr>
                <w:rFonts w:ascii="Lato" w:eastAsia="Lato" w:hAnsi="Lato" w:cs="Lato"/>
                <w:strike/>
                <w:sz w:val="20"/>
                <w:szCs w:val="20"/>
              </w:rPr>
              <w:t>scalona, materiały szerokoprzerwowe</w:t>
            </w:r>
            <w:r w:rsidRPr="004F425A">
              <w:rPr>
                <w:rFonts w:ascii="Lato" w:eastAsia="Lato" w:hAnsi="Lato" w:cs="Lato"/>
                <w:sz w:val="20"/>
                <w:szCs w:val="20"/>
              </w:rPr>
              <w:t xml:space="preserve">, mikrosystemy), jak i tych umożliwiających integrację z europejskimi </w:t>
            </w:r>
            <w:r w:rsidRPr="004F425A">
              <w:rPr>
                <w:rFonts w:ascii="Lato" w:eastAsia="Lato" w:hAnsi="Lato" w:cs="Lato"/>
                <w:spacing w:val="-10"/>
                <w:kern w:val="28"/>
                <w:sz w:val="20"/>
                <w:szCs w:val="20"/>
              </w:rPr>
              <w:t>i globalnymi łańcuchami wartości (projektowanie, technologie produkcyjne, kontrola jakości, komponenty specjalizowane).</w:t>
            </w:r>
          </w:p>
        </w:tc>
        <w:tc>
          <w:tcPr>
            <w:tcW w:w="4859" w:type="dxa"/>
            <w:tcBorders>
              <w:top w:val="single" w:sz="4" w:space="0" w:color="auto"/>
              <w:left w:val="single" w:sz="4" w:space="0" w:color="auto"/>
              <w:bottom w:val="single" w:sz="4" w:space="0" w:color="auto"/>
              <w:right w:val="single" w:sz="4" w:space="0" w:color="auto"/>
            </w:tcBorders>
          </w:tcPr>
          <w:p w14:paraId="44B8D44D" w14:textId="7455E994" w:rsidR="00F574A2" w:rsidRPr="004F425A" w:rsidRDefault="007F5167"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w:t>
            </w:r>
            <w:r w:rsidR="0087303F" w:rsidRPr="004F425A">
              <w:rPr>
                <w:rStyle w:val="Ppogrubienie"/>
                <w:rFonts w:ascii="Lato" w:hAnsi="Lato"/>
                <w:sz w:val="20"/>
                <w:szCs w:val="20"/>
              </w:rPr>
              <w:t>nieuwzględniona</w:t>
            </w:r>
          </w:p>
          <w:p w14:paraId="49ACE74F" w14:textId="53AF333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Polityka </w:t>
            </w:r>
            <w:r w:rsidR="00B16453" w:rsidRPr="004F425A">
              <w:rPr>
                <w:rFonts w:ascii="Lato" w:eastAsia="Lato" w:hAnsi="Lato" w:cs="Lato"/>
                <w:sz w:val="20"/>
                <w:szCs w:val="20"/>
              </w:rPr>
              <w:t xml:space="preserve"> z uwagi na sw</w:t>
            </w:r>
            <w:r w:rsidR="0087303F" w:rsidRPr="004F425A">
              <w:rPr>
                <w:rFonts w:ascii="Lato" w:eastAsia="Lato" w:hAnsi="Lato" w:cs="Lato"/>
                <w:sz w:val="20"/>
                <w:szCs w:val="20"/>
              </w:rPr>
              <w:t xml:space="preserve">ój horyzontalny i ogólny charakter </w:t>
            </w:r>
            <w:r w:rsidRPr="004F425A">
              <w:rPr>
                <w:rFonts w:ascii="Lato" w:eastAsia="Lato" w:hAnsi="Lato" w:cs="Lato"/>
                <w:sz w:val="20"/>
                <w:szCs w:val="20"/>
              </w:rPr>
              <w:t xml:space="preserve">celowo nie różnicuje </w:t>
            </w:r>
            <w:r w:rsidR="00621660" w:rsidRPr="004F425A">
              <w:rPr>
                <w:rFonts w:ascii="Lato" w:eastAsia="Lato" w:hAnsi="Lato" w:cs="Lato"/>
                <w:sz w:val="20"/>
                <w:szCs w:val="20"/>
              </w:rPr>
              <w:t xml:space="preserve">ścieżek </w:t>
            </w:r>
            <w:r w:rsidRPr="004F425A">
              <w:rPr>
                <w:rFonts w:ascii="Lato" w:eastAsia="Lato" w:hAnsi="Lato" w:cs="Lato"/>
                <w:sz w:val="20"/>
                <w:szCs w:val="20"/>
              </w:rPr>
              <w:t>wg wąskich segmentów technologicznych (np. rad-hard, pamięci półprzewodnikowe, technologie termoelektryczne), by uniknąć nadmiernej granulacji</w:t>
            </w:r>
            <w:r w:rsidR="00B16453" w:rsidRPr="004F425A">
              <w:rPr>
                <w:rFonts w:ascii="Lato" w:eastAsia="Lato" w:hAnsi="Lato" w:cs="Lato"/>
                <w:sz w:val="20"/>
                <w:szCs w:val="20"/>
              </w:rPr>
              <w:t>.</w:t>
            </w:r>
            <w:r w:rsidRPr="004F425A">
              <w:rPr>
                <w:rFonts w:ascii="Lato" w:eastAsia="Lato" w:hAnsi="Lato" w:cs="Lato"/>
                <w:sz w:val="20"/>
                <w:szCs w:val="20"/>
              </w:rPr>
              <w:t xml:space="preserve"> </w:t>
            </w:r>
          </w:p>
        </w:tc>
      </w:tr>
      <w:tr w:rsidR="004471C5" w:rsidRPr="004F425A" w14:paraId="4F0B86DA" w14:textId="77777777" w:rsidTr="79FF9703">
        <w:tc>
          <w:tcPr>
            <w:tcW w:w="1425" w:type="dxa"/>
            <w:tcBorders>
              <w:top w:val="single" w:sz="4" w:space="0" w:color="auto"/>
              <w:left w:val="single" w:sz="4" w:space="0" w:color="auto"/>
              <w:bottom w:val="single" w:sz="4" w:space="0" w:color="auto"/>
              <w:right w:val="single" w:sz="4" w:space="0" w:color="auto"/>
            </w:tcBorders>
          </w:tcPr>
          <w:p w14:paraId="42612800"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E7BD3FC" w14:textId="32CD6DB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1F805E17"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p w14:paraId="05C1DF18" w14:textId="77777777" w:rsidR="00F574A2" w:rsidRPr="004F425A" w:rsidRDefault="00F574A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6ABB1538" w14:textId="29831288"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 xml:space="preserve">Infrastruktura stanowi fundament dla rozwoju kompetencji krajowych w sektorze półprzewodników. Infrastruktura ta nie powinna być definiowana wyłącznie jako front-end czy pojedyncza linia technologiczna, ale jako zdolność obejmująca cały łańcuch wartości: projektowanie, prototypowanie, pilotażową produkcję, integrację heterogeniczną, testowanie i packaging. Bez odpowiednio zaprojektowanej i dostępnej infrastruktury </w:t>
            </w:r>
            <w:r w:rsidRPr="004F425A">
              <w:rPr>
                <w:rFonts w:ascii="Lato" w:eastAsia="Lato" w:hAnsi="Lato" w:cs="Lato"/>
                <w:strike/>
                <w:sz w:val="20"/>
                <w:szCs w:val="20"/>
              </w:rPr>
              <w:t>nie ma możliwości</w:t>
            </w:r>
            <w:r w:rsidRPr="004F425A">
              <w:rPr>
                <w:rFonts w:ascii="Lato" w:eastAsia="Lato" w:hAnsi="Lato" w:cs="Lato"/>
                <w:sz w:val="20"/>
                <w:szCs w:val="20"/>
              </w:rPr>
              <w:t xml:space="preserve"> nie istnieje możliwość skutecznego budowania zdolności w </w:t>
            </w:r>
            <w:r w:rsidRPr="004F425A">
              <w:rPr>
                <w:rFonts w:ascii="Lato" w:eastAsia="Lato" w:hAnsi="Lato" w:cs="Lato"/>
                <w:strike/>
                <w:sz w:val="20"/>
                <w:szCs w:val="20"/>
              </w:rPr>
              <w:t xml:space="preserve">tej </w:t>
            </w:r>
            <w:r w:rsidRPr="004F425A">
              <w:rPr>
                <w:rFonts w:ascii="Lato" w:eastAsia="Lato" w:hAnsi="Lato" w:cs="Lato"/>
                <w:sz w:val="20"/>
                <w:szCs w:val="20"/>
              </w:rPr>
              <w:t xml:space="preserve">branży półprzewodników. Obecnie infrastruktura jest rozproszona i niepełna, dlatego kluczowe jest jej rozbudowanie. Ponadto, bez uruchomienia możliwości produkcyjnych (niezależnie od skali), zwłaszcza dla zastosowań w cyberbezpieczeństwie, energetyce, obronności i infrastrukturze krytycznej, trudno </w:t>
            </w:r>
            <w:r w:rsidRPr="004F425A">
              <w:rPr>
                <w:rFonts w:ascii="Lato" w:eastAsia="Lato" w:hAnsi="Lato" w:cs="Lato"/>
                <w:sz w:val="20"/>
                <w:szCs w:val="20"/>
              </w:rPr>
              <w:lastRenderedPageBreak/>
              <w:t>mówić o wzroście gospodarczym czy odporności Państwa. Proponuje się, by nowa infrastruktura wspierała trzy komplementarne cele polityki państwowej:</w:t>
            </w:r>
          </w:p>
          <w:p w14:paraId="7998563C" w14:textId="0D647817"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 xml:space="preserve">Umożliwienie przełomowych innowacji - takich jak </w:t>
            </w:r>
            <w:r w:rsidRPr="004F425A">
              <w:rPr>
                <w:rFonts w:ascii="Lato" w:eastAsia="Lato" w:hAnsi="Lato" w:cs="Lato"/>
                <w:strike/>
                <w:sz w:val="20"/>
                <w:szCs w:val="20"/>
              </w:rPr>
              <w:t>fotonika scalona na zakres średniej podczerwieni, materiały szerokoprzerwowe i mikrosystemy</w:t>
            </w:r>
            <w:r w:rsidRPr="004F425A">
              <w:rPr>
                <w:rFonts w:ascii="Lato" w:eastAsia="Lato" w:hAnsi="Lato" w:cs="Lato"/>
                <w:sz w:val="20"/>
                <w:szCs w:val="20"/>
              </w:rPr>
              <w:t xml:space="preserve">  wybrane aspekty mikroelektroniki /nanoelektroniki (np. pamięci, układy rad-hard, czy elementy wysokiej mocy i częstotliwości), fotoniki scalonej i mikrosystemów;</w:t>
            </w:r>
          </w:p>
        </w:tc>
        <w:tc>
          <w:tcPr>
            <w:tcW w:w="4859" w:type="dxa"/>
            <w:tcBorders>
              <w:top w:val="single" w:sz="4" w:space="0" w:color="auto"/>
              <w:left w:val="single" w:sz="4" w:space="0" w:color="auto"/>
              <w:bottom w:val="single" w:sz="4" w:space="0" w:color="auto"/>
              <w:right w:val="single" w:sz="4" w:space="0" w:color="auto"/>
            </w:tcBorders>
          </w:tcPr>
          <w:p w14:paraId="1C216A50" w14:textId="7F7CFE08" w:rsidR="00F574A2" w:rsidRPr="004F425A" w:rsidRDefault="00621660"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6FE207B1" w14:textId="77777777" w:rsidR="00257232" w:rsidRPr="004F425A" w:rsidRDefault="0025723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modyfikacji w tym zakresie. </w:t>
            </w:r>
          </w:p>
          <w:p w14:paraId="45921F44" w14:textId="0B9BB7AC" w:rsidR="00F574A2" w:rsidRPr="004F425A" w:rsidRDefault="00F574A2" w:rsidP="004F425A">
            <w:pPr>
              <w:spacing w:after="120" w:line="240" w:lineRule="auto"/>
              <w:rPr>
                <w:rFonts w:ascii="Lato" w:eastAsia="Lato" w:hAnsi="Lato" w:cs="Lato"/>
                <w:sz w:val="20"/>
                <w:szCs w:val="20"/>
              </w:rPr>
            </w:pPr>
          </w:p>
        </w:tc>
      </w:tr>
      <w:tr w:rsidR="004471C5" w:rsidRPr="004F425A" w14:paraId="2A2E4ED0" w14:textId="77777777" w:rsidTr="79FF9703">
        <w:tc>
          <w:tcPr>
            <w:tcW w:w="1425" w:type="dxa"/>
            <w:tcBorders>
              <w:top w:val="single" w:sz="4" w:space="0" w:color="auto"/>
              <w:left w:val="single" w:sz="4" w:space="0" w:color="auto"/>
              <w:bottom w:val="single" w:sz="4" w:space="0" w:color="auto"/>
              <w:right w:val="single" w:sz="4" w:space="0" w:color="auto"/>
            </w:tcBorders>
          </w:tcPr>
          <w:p w14:paraId="3B784D5B"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5E62C3F" w14:textId="79DA23B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58FC5949" w14:textId="53D330F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63FA1C23" w14:textId="26B51C79"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Infrastruktura badawcza stanowi fundament ekosystemu technologicznego wspierającego rozwój sektora półprzewodników. Rozwój infrastruktury technologicznej powinien opierać się przede wszystkim na wykorzystaniu i rozbudowie istniejących, zweryfikowanych zasobów krajowych, a nie wyłącznie na planowaniu nowych rozproszonych inwestycji. Z dotychczasowych doświadczeń wynika, że kluczowe znaczenie ma szybkie uruchomienie zdolności pilotażowych w oparciu o podmioty posiadające realną gotowość technologiczną, kompetencje kadrowe i udział w inicjatywach europejskich.</w:t>
            </w:r>
          </w:p>
        </w:tc>
        <w:tc>
          <w:tcPr>
            <w:tcW w:w="4859" w:type="dxa"/>
            <w:tcBorders>
              <w:top w:val="single" w:sz="4" w:space="0" w:color="auto"/>
              <w:left w:val="single" w:sz="4" w:space="0" w:color="auto"/>
              <w:bottom w:val="single" w:sz="4" w:space="0" w:color="auto"/>
              <w:right w:val="single" w:sz="4" w:space="0" w:color="auto"/>
            </w:tcBorders>
          </w:tcPr>
          <w:p w14:paraId="4D66E905" w14:textId="6B475201"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2CCDF0E0" w14:textId="20EC6B8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w formie zbliżonej do propozycji CEZAMAT.</w:t>
            </w:r>
          </w:p>
          <w:p w14:paraId="0D1643A8" w14:textId="40D46E0C" w:rsidR="00F574A2" w:rsidRPr="004F425A" w:rsidRDefault="00F574A2" w:rsidP="004F425A">
            <w:pPr>
              <w:spacing w:after="120" w:line="240" w:lineRule="auto"/>
              <w:rPr>
                <w:rFonts w:ascii="Lato" w:eastAsia="Lato" w:hAnsi="Lato" w:cs="Lato"/>
                <w:sz w:val="20"/>
                <w:szCs w:val="20"/>
              </w:rPr>
            </w:pPr>
          </w:p>
        </w:tc>
      </w:tr>
      <w:tr w:rsidR="004471C5" w:rsidRPr="004F425A" w14:paraId="2F0A5D4A" w14:textId="77777777" w:rsidTr="79FF9703">
        <w:tc>
          <w:tcPr>
            <w:tcW w:w="1425" w:type="dxa"/>
            <w:tcBorders>
              <w:top w:val="single" w:sz="4" w:space="0" w:color="auto"/>
              <w:left w:val="single" w:sz="4" w:space="0" w:color="auto"/>
              <w:bottom w:val="single" w:sz="4" w:space="0" w:color="auto"/>
              <w:right w:val="single" w:sz="4" w:space="0" w:color="auto"/>
            </w:tcBorders>
          </w:tcPr>
          <w:p w14:paraId="3B6D60F2"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E139172" w14:textId="5DC0B4B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4E940C58" w14:textId="696C661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20AA7D30" w14:textId="3E0A8F29"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 xml:space="preserve">Polska, mimo rosnącego potencjału, nie dysponuje obecnie żadną linią pilotażową  dla technologii półprzewodnikowych. Brak takiej infrastruktury ogranicza rozwój projektów  i zmusza do korzystania z drogich usług zagranicznych, co opóźnia lub wręcz uniemożliwia proces wprowadzania produktów na rynek. Z tego względu uruchomienie krajowej infrastruktury pilotażowych linii produkcyjnych jest niezbędne, zwłaszcza w kontekście rozwijanych nowych technologii, takich jak </w:t>
            </w:r>
            <w:r w:rsidRPr="004F425A">
              <w:rPr>
                <w:rFonts w:ascii="Lato" w:eastAsia="Lato" w:hAnsi="Lato" w:cs="Lato"/>
                <w:strike/>
                <w:sz w:val="20"/>
                <w:szCs w:val="20"/>
              </w:rPr>
              <w:t>przyrządy</w:t>
            </w:r>
            <w:r w:rsidRPr="004F425A">
              <w:rPr>
                <w:rFonts w:ascii="Lato" w:eastAsia="Lato" w:hAnsi="Lato" w:cs="Lato"/>
                <w:sz w:val="20"/>
                <w:szCs w:val="20"/>
              </w:rPr>
              <w:t xml:space="preserve"> układy rad-hard, przyrządy na bazie GaN oraz fotonika scalona na zakres średniej podczerwieni, które mają duży potencjał na rynku międzynarodowym.</w:t>
            </w:r>
          </w:p>
        </w:tc>
        <w:tc>
          <w:tcPr>
            <w:tcW w:w="4859" w:type="dxa"/>
            <w:tcBorders>
              <w:top w:val="single" w:sz="4" w:space="0" w:color="auto"/>
              <w:left w:val="single" w:sz="4" w:space="0" w:color="auto"/>
              <w:bottom w:val="single" w:sz="4" w:space="0" w:color="auto"/>
              <w:right w:val="single" w:sz="4" w:space="0" w:color="auto"/>
            </w:tcBorders>
          </w:tcPr>
          <w:p w14:paraId="3225FEA0" w14:textId="5FEDD6EF"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231FA9D4" w14:textId="7327FBA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w formie zbliżonej do propozycji CEZAMAT</w:t>
            </w:r>
            <w:r w:rsidR="004672A8" w:rsidRPr="004F425A">
              <w:rPr>
                <w:rFonts w:ascii="Lato" w:eastAsia="Lato" w:hAnsi="Lato" w:cs="Lato"/>
                <w:sz w:val="20"/>
                <w:szCs w:val="20"/>
              </w:rPr>
              <w:t>z modyfikacją wynikając</w:t>
            </w:r>
            <w:r w:rsidR="00EB412C">
              <w:rPr>
                <w:rFonts w:ascii="Lato" w:eastAsia="Lato" w:hAnsi="Lato" w:cs="Lato"/>
                <w:sz w:val="20"/>
                <w:szCs w:val="20"/>
              </w:rPr>
              <w:t>ą</w:t>
            </w:r>
            <w:r w:rsidR="004672A8" w:rsidRPr="004F425A">
              <w:rPr>
                <w:rFonts w:ascii="Lato" w:eastAsia="Lato" w:hAnsi="Lato" w:cs="Lato"/>
                <w:sz w:val="20"/>
                <w:szCs w:val="20"/>
              </w:rPr>
              <w:t xml:space="preserve"> z innych uwag</w:t>
            </w:r>
            <w:r w:rsidRPr="004F425A">
              <w:rPr>
                <w:rFonts w:ascii="Lato" w:eastAsia="Lato" w:hAnsi="Lato" w:cs="Lato"/>
                <w:sz w:val="20"/>
                <w:szCs w:val="20"/>
              </w:rPr>
              <w:t>.</w:t>
            </w:r>
          </w:p>
          <w:p w14:paraId="44401215" w14:textId="255C447B" w:rsidR="00F574A2" w:rsidRPr="004F425A" w:rsidRDefault="00F574A2" w:rsidP="004F425A">
            <w:pPr>
              <w:spacing w:after="120" w:line="240" w:lineRule="auto"/>
              <w:rPr>
                <w:rFonts w:ascii="Lato" w:eastAsia="Lato" w:hAnsi="Lato" w:cs="Lato"/>
                <w:sz w:val="20"/>
                <w:szCs w:val="20"/>
              </w:rPr>
            </w:pPr>
          </w:p>
        </w:tc>
      </w:tr>
      <w:tr w:rsidR="004471C5" w:rsidRPr="004F425A" w14:paraId="2CA1B2C6" w14:textId="77777777" w:rsidTr="79FF9703">
        <w:tc>
          <w:tcPr>
            <w:tcW w:w="1425" w:type="dxa"/>
            <w:tcBorders>
              <w:top w:val="single" w:sz="4" w:space="0" w:color="auto"/>
              <w:left w:val="single" w:sz="4" w:space="0" w:color="auto"/>
              <w:bottom w:val="single" w:sz="4" w:space="0" w:color="auto"/>
              <w:right w:val="single" w:sz="4" w:space="0" w:color="auto"/>
            </w:tcBorders>
          </w:tcPr>
          <w:p w14:paraId="194035E4"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C40C280" w14:textId="012D37A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3A40EF99" w14:textId="445D106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Centrum Zaawansowanych </w:t>
            </w:r>
            <w:r w:rsidRPr="004F425A">
              <w:rPr>
                <w:rFonts w:ascii="Lato" w:eastAsia="Lato" w:hAnsi="Lato" w:cs="Lato"/>
                <w:sz w:val="20"/>
                <w:szCs w:val="20"/>
              </w:rPr>
              <w:lastRenderedPageBreak/>
              <w:t>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68348BF5" w14:textId="50B56E3A"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lastRenderedPageBreak/>
              <w:t xml:space="preserve">Zgodnie  z informacjami CEZAMAT PW, </w:t>
            </w:r>
            <w:r w:rsidRPr="004F425A">
              <w:rPr>
                <w:rFonts w:ascii="Lato" w:eastAsia="Lato" w:hAnsi="Lato" w:cs="Lato"/>
                <w:strike/>
                <w:sz w:val="20"/>
                <w:szCs w:val="20"/>
              </w:rPr>
              <w:t>możliwe jest uruchomienie produkcji rzędu</w:t>
            </w:r>
            <w:r w:rsidRPr="004F425A">
              <w:rPr>
                <w:rFonts w:ascii="Lato" w:eastAsia="Lato" w:hAnsi="Lato" w:cs="Lato"/>
                <w:sz w:val="20"/>
                <w:szCs w:val="20"/>
              </w:rPr>
              <w:t xml:space="preserve"> na bazie istniejącej już infrastruktury (po uzyskaniu odpowiedniego dofinansowania), w niedługim czasie możliwe będzie produkowanie łącznie do </w:t>
            </w:r>
            <w:r w:rsidRPr="004F425A">
              <w:rPr>
                <w:rFonts w:ascii="Lato" w:eastAsia="Lato" w:hAnsi="Lato" w:cs="Lato"/>
                <w:strike/>
                <w:sz w:val="20"/>
                <w:szCs w:val="20"/>
              </w:rPr>
              <w:t>100 tys.</w:t>
            </w:r>
            <w:r w:rsidRPr="004F425A">
              <w:rPr>
                <w:rFonts w:ascii="Lato" w:eastAsia="Lato" w:hAnsi="Lato" w:cs="Lato"/>
                <w:sz w:val="20"/>
                <w:szCs w:val="20"/>
              </w:rPr>
              <w:t xml:space="preserve"> 1 mln. sztuk rocznie układów </w:t>
            </w:r>
            <w:r w:rsidRPr="004F425A">
              <w:rPr>
                <w:rFonts w:ascii="Lato" w:eastAsia="Lato" w:hAnsi="Lato" w:cs="Lato"/>
                <w:strike/>
                <w:sz w:val="20"/>
                <w:szCs w:val="20"/>
              </w:rPr>
              <w:t xml:space="preserve">rocznie w kilku technologiach, pozwalających na </w:t>
            </w:r>
            <w:r w:rsidRPr="004F425A">
              <w:rPr>
                <w:rFonts w:ascii="Lato" w:eastAsia="Lato" w:hAnsi="Lato" w:cs="Lato"/>
                <w:strike/>
                <w:sz w:val="20"/>
                <w:szCs w:val="20"/>
              </w:rPr>
              <w:lastRenderedPageBreak/>
              <w:t>produkcje unikatowych produktów</w:t>
            </w:r>
            <w:r w:rsidRPr="004F425A">
              <w:rPr>
                <w:rFonts w:ascii="Lato" w:eastAsia="Lato" w:hAnsi="Lato" w:cs="Lato"/>
                <w:sz w:val="20"/>
                <w:szCs w:val="20"/>
              </w:rPr>
              <w:t xml:space="preserve"> scalonych dedykowanych do wyspecjalizowanych zastosowań. W przypadku pojawienia się takich potrzeb możliwe jest dalsze przeskalowanie wolumenu produkcji do rzędu 10 mln sztuk rocznie. Istniejące zasoby należy potraktować jako punkt wyjścia do dalszego rozwoju i skoordynowanego wykorzystania potencjału infrastruktury krajowej.</w:t>
            </w:r>
          </w:p>
        </w:tc>
        <w:tc>
          <w:tcPr>
            <w:tcW w:w="4859" w:type="dxa"/>
            <w:tcBorders>
              <w:top w:val="single" w:sz="4" w:space="0" w:color="auto"/>
              <w:left w:val="single" w:sz="4" w:space="0" w:color="auto"/>
              <w:bottom w:val="single" w:sz="4" w:space="0" w:color="auto"/>
              <w:right w:val="single" w:sz="4" w:space="0" w:color="auto"/>
            </w:tcBorders>
          </w:tcPr>
          <w:p w14:paraId="7841B7AB" w14:textId="4B85687E" w:rsidR="00F574A2" w:rsidRPr="004F425A" w:rsidRDefault="004672A8"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 xml:space="preserve">Uwaga </w:t>
            </w:r>
            <w:r w:rsidR="00DF532D" w:rsidRPr="004F425A">
              <w:rPr>
                <w:rStyle w:val="Ppogrubienie"/>
                <w:rFonts w:ascii="Lato" w:hAnsi="Lato"/>
                <w:sz w:val="20"/>
                <w:szCs w:val="20"/>
              </w:rPr>
              <w:t>nieuwzględniona</w:t>
            </w:r>
          </w:p>
          <w:p w14:paraId="42EA2BDE" w14:textId="2E2741B1" w:rsidR="00F574A2" w:rsidRPr="004F425A" w:rsidRDefault="002A5CF9"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Wartości wskazane w dokumencie </w:t>
            </w:r>
            <w:r w:rsidR="00F023F5" w:rsidRPr="004F425A">
              <w:rPr>
                <w:rFonts w:ascii="Lato" w:eastAsia="Lato" w:hAnsi="Lato" w:cs="Lato"/>
                <w:sz w:val="20"/>
                <w:szCs w:val="20"/>
              </w:rPr>
              <w:t xml:space="preserve">wskazują poziom minimalny. </w:t>
            </w:r>
            <w:r w:rsidR="004940D1" w:rsidRPr="004F425A">
              <w:rPr>
                <w:rFonts w:ascii="Lato" w:eastAsia="Lato" w:hAnsi="Lato" w:cs="Lato"/>
                <w:sz w:val="20"/>
                <w:szCs w:val="20"/>
              </w:rPr>
              <w:t xml:space="preserve">Wskaźniki te będą podlegały ewaluacji. </w:t>
            </w:r>
          </w:p>
        </w:tc>
      </w:tr>
      <w:tr w:rsidR="004471C5" w:rsidRPr="004F425A" w14:paraId="1302946E" w14:textId="77777777" w:rsidTr="79FF9703">
        <w:tc>
          <w:tcPr>
            <w:tcW w:w="1425" w:type="dxa"/>
            <w:tcBorders>
              <w:top w:val="single" w:sz="4" w:space="0" w:color="auto"/>
              <w:left w:val="single" w:sz="4" w:space="0" w:color="auto"/>
              <w:bottom w:val="single" w:sz="4" w:space="0" w:color="auto"/>
              <w:right w:val="single" w:sz="4" w:space="0" w:color="auto"/>
            </w:tcBorders>
          </w:tcPr>
          <w:p w14:paraId="3AF7DCDF"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3F79E91" w14:textId="2BDCD9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3D8AE3B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p w14:paraId="444D4D33" w14:textId="77777777" w:rsidR="00F574A2" w:rsidRPr="004F425A" w:rsidRDefault="00F574A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1EF4AB54" w14:textId="69E2CFEA"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Str. 23 nowe brzmienie:</w:t>
            </w:r>
          </w:p>
          <w:p w14:paraId="0AB53F63" w14:textId="77777777"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Polska już uczestniczy w europejskich projektach takich jak FAMES (CEZAMAT PW/PW), WBG (Ł-IMIF oraz UNIPRESS) PIXEurope (PW/CEZAMAT PW). Projekty te mają za zadanie opracowanie nowoczesnych technologii, które przywróciłyby konkurencyjność przemysłu europejskiego w zakresie, odpowiednio: FAMES - układów niskomocowych (FD-SOI), WBG - elementów dużych mocy (SiC) i duzych mocy i wysokich częstotliwości (GaN) oraz PIXEurope - fotoniki scalonej w zakresie średniej podczerwieni. Korzyścią z tych projektów jest udział polskich podmiotów w rozwoju najnowszych technologii, dostęp do infrastruktury o wysokiej gotowości technologicznej oraz możliwość transferu wiedzy i personelu.</w:t>
            </w:r>
          </w:p>
          <w:p w14:paraId="6497715F" w14:textId="09C84467"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 xml:space="preserve">Należy aktywnie dążyć do zwiększenia udziału polskich podmiotów w kolejnych europejskich liniach pilotażowych, a także do wykorzystania w tych liniach technologii rozwijanych przez polskie firmy (np. systemy nanodruku czy urządzenia do automatyzacji montażu </w:t>
            </w:r>
            <w:r w:rsidRPr="004F425A">
              <w:rPr>
                <w:rFonts w:ascii="Lato" w:eastAsia="Lato" w:hAnsi="Lato" w:cs="Lato"/>
                <w:strike/>
                <w:sz w:val="20"/>
                <w:szCs w:val="20"/>
              </w:rPr>
              <w:t>w tych projektach.</w:t>
            </w:r>
          </w:p>
        </w:tc>
        <w:tc>
          <w:tcPr>
            <w:tcW w:w="4859" w:type="dxa"/>
            <w:tcBorders>
              <w:top w:val="single" w:sz="4" w:space="0" w:color="auto"/>
              <w:left w:val="single" w:sz="4" w:space="0" w:color="auto"/>
              <w:bottom w:val="single" w:sz="4" w:space="0" w:color="auto"/>
              <w:right w:val="single" w:sz="4" w:space="0" w:color="auto"/>
            </w:tcBorders>
          </w:tcPr>
          <w:p w14:paraId="4C0F119F" w14:textId="0ED11A3E" w:rsidR="00F574A2" w:rsidRPr="004F425A" w:rsidRDefault="00F34318"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0B476F8E" w14:textId="582C31B0" w:rsidR="00A77E68" w:rsidRPr="004F425A" w:rsidRDefault="004645D3"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Postulat wykracza poza zakres Polityki. </w:t>
            </w:r>
            <w:r w:rsidR="00A77E68" w:rsidRPr="004F425A">
              <w:rPr>
                <w:rFonts w:ascii="Lato" w:eastAsia="Lato" w:hAnsi="Lato" w:cs="Lato"/>
                <w:sz w:val="20"/>
                <w:szCs w:val="20"/>
              </w:rPr>
              <w:t xml:space="preserve">W ocenie MC z uwagi na </w:t>
            </w:r>
            <w:r w:rsidRPr="004F425A">
              <w:rPr>
                <w:rFonts w:ascii="Lato" w:eastAsia="Lato" w:hAnsi="Lato" w:cs="Lato"/>
                <w:sz w:val="20"/>
                <w:szCs w:val="20"/>
              </w:rPr>
              <w:t>horyzontalny</w:t>
            </w:r>
            <w:r w:rsidR="00A77E68" w:rsidRPr="004F425A">
              <w:rPr>
                <w:rFonts w:ascii="Lato" w:eastAsia="Lato" w:hAnsi="Lato" w:cs="Lato"/>
                <w:sz w:val="20"/>
                <w:szCs w:val="20"/>
              </w:rPr>
              <w:t xml:space="preserve"> i ogólny charakter dokumentu nie wymaga on modyfikacji w tym zakresie. </w:t>
            </w:r>
          </w:p>
          <w:p w14:paraId="20E52D2B" w14:textId="735B292C" w:rsidR="00F574A2" w:rsidRPr="004F425A" w:rsidRDefault="00F574A2" w:rsidP="004F425A">
            <w:pPr>
              <w:spacing w:after="120" w:line="240" w:lineRule="auto"/>
              <w:rPr>
                <w:rFonts w:ascii="Lato" w:eastAsia="Lato" w:hAnsi="Lato" w:cs="Lato"/>
                <w:sz w:val="20"/>
                <w:szCs w:val="20"/>
              </w:rPr>
            </w:pPr>
          </w:p>
        </w:tc>
      </w:tr>
      <w:tr w:rsidR="004471C5" w:rsidRPr="004F425A" w14:paraId="2FB38B16" w14:textId="77777777" w:rsidTr="79FF9703">
        <w:tc>
          <w:tcPr>
            <w:tcW w:w="1425" w:type="dxa"/>
            <w:tcBorders>
              <w:top w:val="single" w:sz="4" w:space="0" w:color="auto"/>
              <w:left w:val="single" w:sz="4" w:space="0" w:color="auto"/>
              <w:bottom w:val="single" w:sz="4" w:space="0" w:color="auto"/>
              <w:right w:val="single" w:sz="4" w:space="0" w:color="auto"/>
            </w:tcBorders>
          </w:tcPr>
          <w:p w14:paraId="41BB271B"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C9A9DFA"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51659499" w14:textId="0E0A3BB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41029CF4" w14:textId="3F0EDEBE"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Park ma wypełnić tę lukę, oferując zintegrowane środowisko wspierające szybkie wdrażanie innowacji, rozwój prototypów i kształcenie kadr. Obecnie CEZAMAT PW  posiada już wiele niezbędnych elementów dla realizacji tego pomysłu, a Politechnika Warszawska posiada nieruchomości pozwalające na lokalizację nowych inwestycji, które uzupełnią tą ofertę.</w:t>
            </w:r>
          </w:p>
        </w:tc>
        <w:tc>
          <w:tcPr>
            <w:tcW w:w="4859" w:type="dxa"/>
            <w:tcBorders>
              <w:top w:val="single" w:sz="4" w:space="0" w:color="auto"/>
              <w:left w:val="single" w:sz="4" w:space="0" w:color="auto"/>
              <w:bottom w:val="single" w:sz="4" w:space="0" w:color="auto"/>
              <w:right w:val="single" w:sz="4" w:space="0" w:color="auto"/>
            </w:tcBorders>
          </w:tcPr>
          <w:p w14:paraId="5FAEA16C" w14:textId="1F037754"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12887EA2" w14:textId="5940A31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p w14:paraId="1C4C21A5" w14:textId="31A4F89A" w:rsidR="00F574A2" w:rsidRPr="004F425A" w:rsidRDefault="00F574A2" w:rsidP="004F425A">
            <w:pPr>
              <w:spacing w:after="120" w:line="240" w:lineRule="auto"/>
              <w:rPr>
                <w:rFonts w:ascii="Lato" w:eastAsia="Lato" w:hAnsi="Lato" w:cs="Lato"/>
                <w:sz w:val="20"/>
                <w:szCs w:val="20"/>
              </w:rPr>
            </w:pPr>
          </w:p>
        </w:tc>
      </w:tr>
      <w:tr w:rsidR="004471C5" w:rsidRPr="004F425A" w14:paraId="273EABF1" w14:textId="77777777" w:rsidTr="79FF9703">
        <w:tc>
          <w:tcPr>
            <w:tcW w:w="1425" w:type="dxa"/>
            <w:tcBorders>
              <w:top w:val="single" w:sz="4" w:space="0" w:color="auto"/>
              <w:left w:val="single" w:sz="4" w:space="0" w:color="auto"/>
              <w:bottom w:val="single" w:sz="4" w:space="0" w:color="auto"/>
              <w:right w:val="single" w:sz="4" w:space="0" w:color="auto"/>
            </w:tcBorders>
          </w:tcPr>
          <w:p w14:paraId="7F30F4D6"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7475DA7" w14:textId="5A34E14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354E5D41" w14:textId="6CF367B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1A5C6493" w14:textId="54839151"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Ośrodki te mogą pełnić wyspecjalizowane funkcje, np. front-end oraz back-end i testowanie w Warszawie, integracja i druk precyzyjny we Wrocławiu, programy edukacyjne i w zakresie projektowania oraz akceleracyjne w Krakowie - taka specjalizacja posłużyłaby wzmocnieniu regionalnych przewag, realizując jeden z celów Krajowej Strategii Rozwoju Regionalnego (KSRR 2030).</w:t>
            </w:r>
          </w:p>
        </w:tc>
        <w:tc>
          <w:tcPr>
            <w:tcW w:w="4859" w:type="dxa"/>
            <w:tcBorders>
              <w:top w:val="single" w:sz="4" w:space="0" w:color="auto"/>
              <w:left w:val="single" w:sz="4" w:space="0" w:color="auto"/>
              <w:bottom w:val="single" w:sz="4" w:space="0" w:color="auto"/>
              <w:right w:val="single" w:sz="4" w:space="0" w:color="auto"/>
            </w:tcBorders>
          </w:tcPr>
          <w:p w14:paraId="154CE859" w14:textId="63059420"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7988E860" w14:textId="2AB8E8A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p w14:paraId="658B2CB3" w14:textId="4F5EB3AE" w:rsidR="00F574A2" w:rsidRPr="004F425A" w:rsidRDefault="00F574A2" w:rsidP="004F425A">
            <w:pPr>
              <w:spacing w:after="120" w:line="240" w:lineRule="auto"/>
              <w:rPr>
                <w:rFonts w:ascii="Lato" w:eastAsia="Lato" w:hAnsi="Lato" w:cs="Lato"/>
                <w:sz w:val="20"/>
                <w:szCs w:val="20"/>
              </w:rPr>
            </w:pPr>
          </w:p>
        </w:tc>
      </w:tr>
      <w:tr w:rsidR="004471C5" w:rsidRPr="004F425A" w14:paraId="0F37ED20" w14:textId="77777777" w:rsidTr="79FF9703">
        <w:tc>
          <w:tcPr>
            <w:tcW w:w="1425" w:type="dxa"/>
            <w:tcBorders>
              <w:top w:val="single" w:sz="4" w:space="0" w:color="auto"/>
              <w:left w:val="single" w:sz="4" w:space="0" w:color="auto"/>
              <w:bottom w:val="single" w:sz="4" w:space="0" w:color="auto"/>
              <w:right w:val="single" w:sz="4" w:space="0" w:color="auto"/>
            </w:tcBorders>
          </w:tcPr>
          <w:p w14:paraId="4AEE3FF8"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62C03FC" w14:textId="6637616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25265C11" w14:textId="56C2A0F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4BA6AC40" w14:textId="650338FD"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 xml:space="preserve">Priorytetem państwa powinno być również wspieranie kompetencji przełomowych - przede wszystkim </w:t>
            </w:r>
            <w:r w:rsidRPr="004F425A">
              <w:rPr>
                <w:rFonts w:ascii="Lato" w:eastAsia="Lato" w:hAnsi="Lato" w:cs="Lato"/>
                <w:strike/>
                <w:spacing w:val="-10"/>
                <w:kern w:val="28"/>
                <w:sz w:val="20"/>
                <w:szCs w:val="20"/>
              </w:rPr>
              <w:t>fotoniki scalonej, nowyc</w:t>
            </w:r>
            <w:r w:rsidRPr="004F425A">
              <w:rPr>
                <w:rFonts w:ascii="Lato" w:eastAsia="Lato" w:hAnsi="Lato" w:cs="Lato"/>
                <w:spacing w:val="-10"/>
                <w:kern w:val="28"/>
                <w:sz w:val="20"/>
                <w:szCs w:val="20"/>
              </w:rPr>
              <w:t xml:space="preserve">h </w:t>
            </w:r>
            <w:r w:rsidRPr="004F425A">
              <w:rPr>
                <w:rFonts w:ascii="Lato" w:eastAsia="Lato" w:hAnsi="Lato" w:cs="Lato"/>
                <w:sz w:val="20"/>
                <w:szCs w:val="20"/>
              </w:rPr>
              <w:t xml:space="preserve">układów rad-hard, materiałów i elementów bazujących na nowych materiałach półprzewodnikowych i szerokoprzerwowych, fotoniki scalonej oraz </w:t>
            </w:r>
            <w:r w:rsidRPr="004F425A">
              <w:rPr>
                <w:rFonts w:ascii="Lato" w:eastAsia="Lato" w:hAnsi="Lato" w:cs="Lato"/>
                <w:spacing w:val="-10"/>
                <w:kern w:val="28"/>
                <w:sz w:val="20"/>
                <w:szCs w:val="20"/>
              </w:rPr>
              <w:t>projektowania układów - które mogą być podstawą do długoterminowego wyróżnienia Polski w globalnych łańcuchach wartości.</w:t>
            </w:r>
          </w:p>
        </w:tc>
        <w:tc>
          <w:tcPr>
            <w:tcW w:w="4859" w:type="dxa"/>
            <w:tcBorders>
              <w:top w:val="single" w:sz="4" w:space="0" w:color="auto"/>
              <w:left w:val="single" w:sz="4" w:space="0" w:color="auto"/>
              <w:bottom w:val="single" w:sz="4" w:space="0" w:color="auto"/>
              <w:right w:val="single" w:sz="4" w:space="0" w:color="auto"/>
            </w:tcBorders>
          </w:tcPr>
          <w:p w14:paraId="1AB665AC" w14:textId="68107BD2"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30749F24" w14:textId="1A10E2F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p w14:paraId="50A62D66" w14:textId="59D84A28" w:rsidR="00F574A2" w:rsidRPr="004F425A" w:rsidRDefault="00F574A2" w:rsidP="004F425A">
            <w:pPr>
              <w:spacing w:after="120" w:line="240" w:lineRule="auto"/>
              <w:rPr>
                <w:rFonts w:ascii="Lato" w:eastAsia="Lato" w:hAnsi="Lato" w:cs="Lato"/>
                <w:sz w:val="20"/>
                <w:szCs w:val="20"/>
              </w:rPr>
            </w:pPr>
          </w:p>
        </w:tc>
      </w:tr>
      <w:tr w:rsidR="004471C5" w:rsidRPr="004F425A" w14:paraId="5BF0277C" w14:textId="77777777" w:rsidTr="79FF9703">
        <w:tc>
          <w:tcPr>
            <w:tcW w:w="1425" w:type="dxa"/>
            <w:tcBorders>
              <w:top w:val="single" w:sz="4" w:space="0" w:color="auto"/>
              <w:left w:val="single" w:sz="4" w:space="0" w:color="auto"/>
              <w:bottom w:val="single" w:sz="4" w:space="0" w:color="auto"/>
              <w:right w:val="single" w:sz="4" w:space="0" w:color="auto"/>
            </w:tcBorders>
          </w:tcPr>
          <w:p w14:paraId="276D23AD"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0C9FBE8" w14:textId="5C08DB1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591B14CE" w14:textId="6B96B40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7EFA0942" w14:textId="4D96CF87"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Polityka zakłada dwutorowe podejście: z jednej strony - współtworzenie silnych, wyspecjalizowanych powiązań regionalnych w Europie, z drugiej - budowanie globalnej pozycji Polski w wybranych segmentach rynku, przede wszystkim w układach rad-hard i w fotonice scalonej.</w:t>
            </w:r>
          </w:p>
        </w:tc>
        <w:tc>
          <w:tcPr>
            <w:tcW w:w="4859" w:type="dxa"/>
            <w:tcBorders>
              <w:top w:val="single" w:sz="4" w:space="0" w:color="auto"/>
              <w:left w:val="single" w:sz="4" w:space="0" w:color="auto"/>
              <w:bottom w:val="single" w:sz="4" w:space="0" w:color="auto"/>
              <w:right w:val="single" w:sz="4" w:space="0" w:color="auto"/>
            </w:tcBorders>
          </w:tcPr>
          <w:p w14:paraId="39A6A798" w14:textId="5B6B0C3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77AF3D16" w14:textId="4A14840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p w14:paraId="3CF35AB4" w14:textId="7B0514C2" w:rsidR="00F574A2" w:rsidRPr="004F425A" w:rsidRDefault="00F574A2" w:rsidP="004F425A">
            <w:pPr>
              <w:spacing w:after="120" w:line="240" w:lineRule="auto"/>
              <w:rPr>
                <w:rFonts w:ascii="Lato" w:eastAsia="Lato" w:hAnsi="Lato" w:cs="Lato"/>
                <w:sz w:val="20"/>
                <w:szCs w:val="20"/>
              </w:rPr>
            </w:pPr>
          </w:p>
        </w:tc>
      </w:tr>
      <w:tr w:rsidR="004471C5" w:rsidRPr="004F425A" w14:paraId="5F255643" w14:textId="77777777" w:rsidTr="79FF9703">
        <w:tc>
          <w:tcPr>
            <w:tcW w:w="1425" w:type="dxa"/>
            <w:tcBorders>
              <w:top w:val="single" w:sz="4" w:space="0" w:color="auto"/>
              <w:left w:val="single" w:sz="4" w:space="0" w:color="auto"/>
              <w:bottom w:val="single" w:sz="4" w:space="0" w:color="auto"/>
              <w:right w:val="single" w:sz="4" w:space="0" w:color="auto"/>
            </w:tcBorders>
          </w:tcPr>
          <w:p w14:paraId="75AA755C"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6B95430" w14:textId="57FDBF0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74DE2301" w14:textId="0C28468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08F1E330" w14:textId="074B506E"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 xml:space="preserve">Polska może wzbogacić ten układ o kompetencje w zakresie projektowania układów scalonych, układów rad-hard, materiałów </w:t>
            </w:r>
            <w:r w:rsidRPr="004F425A">
              <w:rPr>
                <w:rFonts w:ascii="Lato" w:eastAsia="Lato" w:hAnsi="Lato" w:cs="Lato"/>
                <w:strike/>
                <w:sz w:val="20"/>
                <w:szCs w:val="20"/>
              </w:rPr>
              <w:t xml:space="preserve">półprzewodnikowych </w:t>
            </w:r>
            <w:r w:rsidRPr="004F425A">
              <w:rPr>
                <w:rFonts w:ascii="Lato" w:eastAsia="Lato" w:hAnsi="Lato" w:cs="Lato"/>
                <w:sz w:val="20"/>
                <w:szCs w:val="20"/>
              </w:rPr>
              <w:t>i elementów opartych na materiałach nowych i szerokoprzerwowych, nowych technologii produkcyjnych czy fotoniki scalonej.</w:t>
            </w:r>
          </w:p>
        </w:tc>
        <w:tc>
          <w:tcPr>
            <w:tcW w:w="4859" w:type="dxa"/>
            <w:tcBorders>
              <w:top w:val="single" w:sz="4" w:space="0" w:color="auto"/>
              <w:left w:val="single" w:sz="4" w:space="0" w:color="auto"/>
              <w:bottom w:val="single" w:sz="4" w:space="0" w:color="auto"/>
              <w:right w:val="single" w:sz="4" w:space="0" w:color="auto"/>
            </w:tcBorders>
          </w:tcPr>
          <w:p w14:paraId="77430592" w14:textId="69D5107D"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r w:rsidR="00FB0C21" w:rsidRPr="004F425A">
              <w:rPr>
                <w:rStyle w:val="Ppogrubienie"/>
                <w:rFonts w:ascii="Lato" w:hAnsi="Lato"/>
                <w:sz w:val="20"/>
                <w:szCs w:val="20"/>
              </w:rPr>
              <w:t>.</w:t>
            </w:r>
          </w:p>
          <w:p w14:paraId="6AEEF974" w14:textId="42C29B8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p w14:paraId="0F8EA7A8" w14:textId="4245FEB2" w:rsidR="00F574A2" w:rsidRPr="004F425A" w:rsidRDefault="00F574A2" w:rsidP="004F425A">
            <w:pPr>
              <w:spacing w:after="120" w:line="240" w:lineRule="auto"/>
              <w:rPr>
                <w:rFonts w:ascii="Lato" w:eastAsia="Lato" w:hAnsi="Lato" w:cs="Lato"/>
                <w:sz w:val="20"/>
                <w:szCs w:val="20"/>
              </w:rPr>
            </w:pPr>
          </w:p>
        </w:tc>
      </w:tr>
      <w:tr w:rsidR="004471C5" w:rsidRPr="004F425A" w14:paraId="2E4C3889" w14:textId="77777777" w:rsidTr="79FF9703">
        <w:tc>
          <w:tcPr>
            <w:tcW w:w="1425" w:type="dxa"/>
            <w:tcBorders>
              <w:top w:val="single" w:sz="4" w:space="0" w:color="auto"/>
              <w:left w:val="single" w:sz="4" w:space="0" w:color="auto"/>
              <w:bottom w:val="single" w:sz="4" w:space="0" w:color="auto"/>
              <w:right w:val="single" w:sz="4" w:space="0" w:color="auto"/>
            </w:tcBorders>
          </w:tcPr>
          <w:p w14:paraId="58605424"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28549F2" w14:textId="4091AE2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0E7294F8"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p w14:paraId="529F2F12" w14:textId="77777777" w:rsidR="00F574A2" w:rsidRPr="004F425A" w:rsidRDefault="00F574A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3C37600D" w14:textId="5E49B873"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 xml:space="preserve">Nowe brzmienie </w:t>
            </w:r>
          </w:p>
          <w:p w14:paraId="338D1702" w14:textId="1820C522"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Włączenie Belgii, Francji, Holandii i Litwy</w:t>
            </w:r>
          </w:p>
          <w:p w14:paraId="3FDD9E8E" w14:textId="40EC97CC"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 xml:space="preserve">Niezależnie od tworzenia mikroregionu należy rozwijać współpracę z komplementarnymi partnerami, np. z Belgią i Francją (IMEC oraz CEA-Leti to wiodące ośrodki badań nad układami scalonymi i systemami), Holandią  (wiodący ekosystem w zakresie ekstremalnej litografii, projektowania i fotoniki), czy Litwą (silny ekosystem laserów i ich zastosowań). </w:t>
            </w:r>
          </w:p>
        </w:tc>
        <w:tc>
          <w:tcPr>
            <w:tcW w:w="4859" w:type="dxa"/>
            <w:tcBorders>
              <w:top w:val="single" w:sz="4" w:space="0" w:color="auto"/>
              <w:left w:val="single" w:sz="4" w:space="0" w:color="auto"/>
              <w:bottom w:val="single" w:sz="4" w:space="0" w:color="auto"/>
              <w:right w:val="single" w:sz="4" w:space="0" w:color="auto"/>
            </w:tcBorders>
          </w:tcPr>
          <w:p w14:paraId="45F06C0D" w14:textId="34C08D85"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553FD179" w14:textId="6EE21F2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p w14:paraId="338CAEAF" w14:textId="5B584FF9" w:rsidR="00F574A2" w:rsidRPr="004F425A" w:rsidRDefault="00F574A2" w:rsidP="004F425A">
            <w:pPr>
              <w:spacing w:after="120" w:line="240" w:lineRule="auto"/>
              <w:rPr>
                <w:rFonts w:ascii="Lato" w:eastAsia="Lato" w:hAnsi="Lato" w:cs="Lato"/>
                <w:sz w:val="20"/>
                <w:szCs w:val="20"/>
              </w:rPr>
            </w:pPr>
          </w:p>
        </w:tc>
      </w:tr>
      <w:tr w:rsidR="004471C5" w:rsidRPr="004F425A" w14:paraId="5B3B835B" w14:textId="77777777" w:rsidTr="79FF9703">
        <w:tc>
          <w:tcPr>
            <w:tcW w:w="1425" w:type="dxa"/>
            <w:tcBorders>
              <w:top w:val="single" w:sz="4" w:space="0" w:color="auto"/>
              <w:left w:val="single" w:sz="4" w:space="0" w:color="auto"/>
              <w:bottom w:val="single" w:sz="4" w:space="0" w:color="auto"/>
              <w:right w:val="single" w:sz="4" w:space="0" w:color="auto"/>
            </w:tcBorders>
          </w:tcPr>
          <w:p w14:paraId="286B7536"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3B046F9" w14:textId="0773899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68CE64CB" w14:textId="414DB2E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340BACE1" w14:textId="71646F4C"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Str. 38 Nowe brzmienie zdania</w:t>
            </w:r>
          </w:p>
          <w:p w14:paraId="50FDA4C0" w14:textId="6D48B1C8"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Jednak długofalowy sukces sektora zależy od zwiększenia skali i jakości kształcenia technicznego, systemowego wsparcia rozwoju kadry poprzez nowoczesne formy kształcenia ustawicznego, staże naukowe i przemysłowe.</w:t>
            </w:r>
          </w:p>
        </w:tc>
        <w:tc>
          <w:tcPr>
            <w:tcW w:w="4859" w:type="dxa"/>
            <w:tcBorders>
              <w:top w:val="single" w:sz="4" w:space="0" w:color="auto"/>
              <w:left w:val="single" w:sz="4" w:space="0" w:color="auto"/>
              <w:bottom w:val="single" w:sz="4" w:space="0" w:color="auto"/>
              <w:right w:val="single" w:sz="4" w:space="0" w:color="auto"/>
            </w:tcBorders>
          </w:tcPr>
          <w:p w14:paraId="2EF5EB14" w14:textId="5A02049A"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7B5FBE27" w14:textId="0A48B39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p w14:paraId="2DA62DE5" w14:textId="3DACCC34" w:rsidR="00F574A2" w:rsidRPr="004F425A" w:rsidRDefault="00F574A2" w:rsidP="004F425A">
            <w:pPr>
              <w:spacing w:after="120" w:line="240" w:lineRule="auto"/>
              <w:rPr>
                <w:rFonts w:ascii="Lato" w:eastAsia="Lato" w:hAnsi="Lato" w:cs="Lato"/>
                <w:sz w:val="20"/>
                <w:szCs w:val="20"/>
              </w:rPr>
            </w:pPr>
          </w:p>
        </w:tc>
      </w:tr>
      <w:tr w:rsidR="004471C5" w:rsidRPr="004F425A" w14:paraId="63B85F65" w14:textId="77777777" w:rsidTr="79FF9703">
        <w:tc>
          <w:tcPr>
            <w:tcW w:w="1425" w:type="dxa"/>
            <w:tcBorders>
              <w:top w:val="single" w:sz="4" w:space="0" w:color="auto"/>
              <w:left w:val="single" w:sz="4" w:space="0" w:color="auto"/>
              <w:bottom w:val="single" w:sz="4" w:space="0" w:color="auto"/>
              <w:right w:val="single" w:sz="4" w:space="0" w:color="auto"/>
            </w:tcBorders>
          </w:tcPr>
          <w:p w14:paraId="61F909CF"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9FAEA06" w14:textId="5023D0E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7C70835D" w14:textId="0B5D652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036C6F17" w14:textId="584F23D2"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 xml:space="preserve">Wskazane jest wdrożenie praktycznych zajęć laboratoryjnych oraz projektów interdyscyplinarnych, a także wykorzystanie europejskich narzędzi dydaktycznych w </w:t>
            </w:r>
            <w:r w:rsidRPr="004F425A">
              <w:rPr>
                <w:rFonts w:ascii="Lato" w:eastAsia="Lato" w:hAnsi="Lato" w:cs="Lato"/>
                <w:strike/>
                <w:spacing w:val="-10"/>
                <w:kern w:val="28"/>
                <w:sz w:val="20"/>
                <w:szCs w:val="20"/>
              </w:rPr>
              <w:t>zakresie fotoniki i</w:t>
            </w:r>
            <w:r w:rsidRPr="004F425A">
              <w:rPr>
                <w:rFonts w:ascii="Lato" w:eastAsia="Lato" w:hAnsi="Lato" w:cs="Lato"/>
                <w:spacing w:val="-10"/>
                <w:kern w:val="28"/>
                <w:sz w:val="20"/>
                <w:szCs w:val="20"/>
              </w:rPr>
              <w:t xml:space="preserve"> obszarze półprzewodników, przede wszystkim mikroelektroniki i fotoniki.</w:t>
            </w:r>
          </w:p>
        </w:tc>
        <w:tc>
          <w:tcPr>
            <w:tcW w:w="4859" w:type="dxa"/>
            <w:tcBorders>
              <w:top w:val="single" w:sz="4" w:space="0" w:color="auto"/>
              <w:left w:val="single" w:sz="4" w:space="0" w:color="auto"/>
              <w:bottom w:val="single" w:sz="4" w:space="0" w:color="auto"/>
              <w:right w:val="single" w:sz="4" w:space="0" w:color="auto"/>
            </w:tcBorders>
          </w:tcPr>
          <w:p w14:paraId="6F27E6A2" w14:textId="1A776742"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0D27B04D" w14:textId="21FD0C4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p w14:paraId="71EE72D6" w14:textId="4BBEA07F" w:rsidR="00F574A2" w:rsidRPr="004F425A" w:rsidRDefault="00F574A2" w:rsidP="004F425A">
            <w:pPr>
              <w:spacing w:after="120" w:line="240" w:lineRule="auto"/>
              <w:rPr>
                <w:rFonts w:ascii="Lato" w:eastAsia="Lato" w:hAnsi="Lato" w:cs="Lato"/>
                <w:sz w:val="20"/>
                <w:szCs w:val="20"/>
              </w:rPr>
            </w:pPr>
          </w:p>
        </w:tc>
      </w:tr>
      <w:tr w:rsidR="004471C5" w:rsidRPr="004F425A" w14:paraId="7809B34F" w14:textId="77777777" w:rsidTr="79FF9703">
        <w:tc>
          <w:tcPr>
            <w:tcW w:w="1425" w:type="dxa"/>
            <w:tcBorders>
              <w:top w:val="single" w:sz="4" w:space="0" w:color="auto"/>
              <w:left w:val="single" w:sz="4" w:space="0" w:color="auto"/>
              <w:bottom w:val="single" w:sz="4" w:space="0" w:color="auto"/>
              <w:right w:val="single" w:sz="4" w:space="0" w:color="auto"/>
            </w:tcBorders>
          </w:tcPr>
          <w:p w14:paraId="29BEBA32"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FCFC8C3" w14:textId="23EC2CC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5155B369"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p w14:paraId="4FAD5B67" w14:textId="77777777" w:rsidR="00F574A2" w:rsidRPr="004F425A" w:rsidRDefault="00F574A2" w:rsidP="004F425A">
            <w:pPr>
              <w:spacing w:after="120" w:line="240" w:lineRule="auto"/>
              <w:rPr>
                <w:rFonts w:ascii="Lato" w:eastAsia="Lato" w:hAnsi="Lato" w:cs="Lato"/>
                <w:sz w:val="20"/>
                <w:szCs w:val="20"/>
              </w:rPr>
            </w:pPr>
          </w:p>
        </w:tc>
        <w:tc>
          <w:tcPr>
            <w:tcW w:w="5387" w:type="dxa"/>
            <w:tcBorders>
              <w:top w:val="single" w:sz="4" w:space="0" w:color="auto"/>
              <w:left w:val="single" w:sz="4" w:space="0" w:color="auto"/>
              <w:bottom w:val="single" w:sz="4" w:space="0" w:color="auto"/>
              <w:right w:val="single" w:sz="4" w:space="0" w:color="auto"/>
            </w:tcBorders>
          </w:tcPr>
          <w:p w14:paraId="48984CDE" w14:textId="26EC6103"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z w:val="20"/>
                <w:szCs w:val="20"/>
              </w:rPr>
              <w:t xml:space="preserve">Zaleca się utworzenie międzyuczelnianych centrów kompetencji, wspierających rozwój wspólnych programów dydaktycznych i ułatwiających dostęp do infrastruktury specjalistycznej. Centra te mogą koordynować powstawanie interdyscyplinarnych programów kształcenia, kursów anglojęzycznych, mikropoświadczeń, laboratoriów projektowych, szkół letnich, mentoringu, praktyk przemysłowych i rozwoju kompetencji od projektowania, przez technologię wytwarzania, po integrację systemów i testowanie. Centra te powinny również stanowić platformę współpracy z inwestorami technologicznymi oraz małymi i średnimi przedsiębiorstwami. Centra kompetencji powinny w pierwszej kolejności wykorzystywać istniejące struktury instytucjonalne, w tym powstałe w 2024 roku Centrum Kompetencji Półprzewodnikowych InnoSemi oraz PolSemi, które przeszły procedury weryfikacji na poziomie krajowym oraz Komisji Europejskiej. Ewentualne tworzenie nowych jednostek organizacyjnych będzie poprzedzone szczegółową analizą możliwości realizacji zakładanych zadań w ramach istniejących struktur oraz oceną zasadności i kosztów powołania dodatkowych podmiotów. Programy stypendialne, w tym współfinansowane przez przemysł, mogą zwiększyć atrakcyjność studiów technicznych. Rekomenduje się uruchomienie szeroko </w:t>
            </w:r>
            <w:r w:rsidRPr="004F425A">
              <w:rPr>
                <w:rFonts w:ascii="Lato" w:eastAsia="Lato" w:hAnsi="Lato" w:cs="Lato"/>
                <w:sz w:val="20"/>
                <w:szCs w:val="20"/>
              </w:rPr>
              <w:lastRenderedPageBreak/>
              <w:t xml:space="preserve">zakrojonej inicjatywy edukacyjnej obejmującej programy stypendialne i staże przemysłowe dla studentów mikroelektroniki, </w:t>
            </w:r>
            <w:r w:rsidRPr="004F425A">
              <w:rPr>
                <w:rFonts w:ascii="Lato" w:eastAsia="Lato" w:hAnsi="Lato" w:cs="Lato"/>
                <w:strike/>
                <w:sz w:val="20"/>
                <w:szCs w:val="20"/>
              </w:rPr>
              <w:t xml:space="preserve">mikrooptoelektroniki </w:t>
            </w:r>
            <w:r w:rsidRPr="004F425A">
              <w:rPr>
                <w:rFonts w:ascii="Lato" w:eastAsia="Lato" w:hAnsi="Lato" w:cs="Lato"/>
                <w:sz w:val="20"/>
                <w:szCs w:val="20"/>
              </w:rPr>
              <w:t>optoelektroniki i fotoniki oraz projektowania układów scalonych. Program ten może być oparty na doświadczeniach Politechniki Warszawskiej z realizacji projektu Akademia MOEMS - inicjatywy skierowanej do studentów ostatnich lat studiów I stopnia oraz studentów II stopnia, zwłaszcza z kierunków takich jak elektronika, fotonika, fizyka, mechatronika, inżynieria materiałowa czy chemiczna. Wdrażanie programu powinno rozpocząć się od I kwartału 2027 roku.</w:t>
            </w:r>
          </w:p>
        </w:tc>
        <w:tc>
          <w:tcPr>
            <w:tcW w:w="4859" w:type="dxa"/>
            <w:tcBorders>
              <w:top w:val="single" w:sz="4" w:space="0" w:color="auto"/>
              <w:left w:val="single" w:sz="4" w:space="0" w:color="auto"/>
              <w:bottom w:val="single" w:sz="4" w:space="0" w:color="auto"/>
              <w:right w:val="single" w:sz="4" w:space="0" w:color="auto"/>
            </w:tcBorders>
          </w:tcPr>
          <w:p w14:paraId="67818C4A" w14:textId="71C1043F" w:rsidR="00F574A2" w:rsidRPr="004F425A" w:rsidRDefault="00615794"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 xml:space="preserve">Uwaga </w:t>
            </w:r>
            <w:r w:rsidR="00510DFE" w:rsidRPr="004F425A">
              <w:rPr>
                <w:rStyle w:val="Ppogrubienie"/>
                <w:rFonts w:ascii="Lato" w:hAnsi="Lato"/>
                <w:sz w:val="20"/>
                <w:szCs w:val="20"/>
              </w:rPr>
              <w:t>nieuwzględniona</w:t>
            </w:r>
          </w:p>
          <w:p w14:paraId="57DA601B" w14:textId="77777777" w:rsidR="001719DB" w:rsidRPr="004F425A" w:rsidRDefault="001719DB"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Postulat wykracza poza zakres Polityki. W ocenie MC z uwagi na horyzontalny i ogólny charakter dokumentu nie wymaga on modyfikacji w tym zakresie. </w:t>
            </w:r>
          </w:p>
          <w:p w14:paraId="15C9C14F" w14:textId="31F67B06" w:rsidR="00F574A2" w:rsidRPr="004F425A" w:rsidRDefault="00F574A2" w:rsidP="004F425A">
            <w:pPr>
              <w:spacing w:after="120" w:line="240" w:lineRule="auto"/>
              <w:rPr>
                <w:rFonts w:ascii="Lato" w:eastAsia="Lato" w:hAnsi="Lato" w:cs="Lato"/>
                <w:sz w:val="20"/>
                <w:szCs w:val="20"/>
              </w:rPr>
            </w:pPr>
          </w:p>
        </w:tc>
      </w:tr>
      <w:tr w:rsidR="004471C5" w:rsidRPr="004F425A" w14:paraId="0844DE2D" w14:textId="77777777" w:rsidTr="79FF9703">
        <w:tc>
          <w:tcPr>
            <w:tcW w:w="1425" w:type="dxa"/>
            <w:tcBorders>
              <w:top w:val="single" w:sz="4" w:space="0" w:color="auto"/>
              <w:left w:val="single" w:sz="4" w:space="0" w:color="auto"/>
              <w:bottom w:val="single" w:sz="4" w:space="0" w:color="auto"/>
              <w:right w:val="single" w:sz="4" w:space="0" w:color="auto"/>
            </w:tcBorders>
          </w:tcPr>
          <w:p w14:paraId="63C66707"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056362B" w14:textId="4D15C5E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2E1754FC" w14:textId="61FB5DE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2F21C840" w14:textId="77777777"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Str. 40</w:t>
            </w:r>
          </w:p>
          <w:p w14:paraId="50240A62" w14:textId="6C8523F1" w:rsidR="00F574A2" w:rsidRPr="004F425A" w:rsidRDefault="00F574A2" w:rsidP="004F425A">
            <w:pPr>
              <w:spacing w:after="120" w:line="240" w:lineRule="auto"/>
              <w:rPr>
                <w:rFonts w:ascii="Lato" w:eastAsia="Lato" w:hAnsi="Lato" w:cs="Lato"/>
                <w:spacing w:val="-10"/>
                <w:kern w:val="28"/>
                <w:sz w:val="20"/>
                <w:szCs w:val="20"/>
              </w:rPr>
            </w:pPr>
            <w:r w:rsidRPr="004F425A">
              <w:rPr>
                <w:rFonts w:ascii="Lato" w:eastAsia="Lato" w:hAnsi="Lato" w:cs="Lato"/>
                <w:spacing w:val="-10"/>
                <w:kern w:val="28"/>
                <w:sz w:val="20"/>
                <w:szCs w:val="20"/>
              </w:rPr>
              <w:t xml:space="preserve">Skuteczna realizacja polityki kadrowej w sektorze półprzewodników wymaga </w:t>
            </w:r>
            <w:r w:rsidRPr="004F425A">
              <w:rPr>
                <w:rFonts w:ascii="Lato" w:eastAsia="Lato" w:hAnsi="Lato" w:cs="Lato"/>
                <w:strike/>
                <w:spacing w:val="-10"/>
                <w:kern w:val="28"/>
                <w:sz w:val="20"/>
                <w:szCs w:val="20"/>
              </w:rPr>
              <w:t>powołania i</w:t>
            </w:r>
            <w:r w:rsidRPr="004F425A">
              <w:rPr>
                <w:rFonts w:ascii="Lato" w:eastAsia="Lato" w:hAnsi="Lato" w:cs="Lato"/>
                <w:spacing w:val="-10"/>
                <w:kern w:val="28"/>
                <w:sz w:val="20"/>
                <w:szCs w:val="20"/>
              </w:rPr>
              <w:t xml:space="preserve"> wzmocnienia istniejących już, a w miarę powstających potrzeb – powołania kolejnych centrów kompetencji.</w:t>
            </w:r>
          </w:p>
        </w:tc>
        <w:tc>
          <w:tcPr>
            <w:tcW w:w="4859" w:type="dxa"/>
            <w:tcBorders>
              <w:top w:val="single" w:sz="4" w:space="0" w:color="auto"/>
              <w:left w:val="single" w:sz="4" w:space="0" w:color="auto"/>
              <w:bottom w:val="single" w:sz="4" w:space="0" w:color="auto"/>
              <w:right w:val="single" w:sz="4" w:space="0" w:color="auto"/>
            </w:tcBorders>
          </w:tcPr>
          <w:p w14:paraId="57BA03C9" w14:textId="14CCEAB6"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45EB2FD0" w14:textId="0BC8ED9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Zapis został doprecyzowany zgodnie z propozycją CEZAMAT.</w:t>
            </w:r>
          </w:p>
          <w:p w14:paraId="11AF2C58" w14:textId="248DC7AE" w:rsidR="00F574A2" w:rsidRPr="004F425A" w:rsidRDefault="00F574A2" w:rsidP="004F425A">
            <w:pPr>
              <w:spacing w:after="120" w:line="240" w:lineRule="auto"/>
              <w:rPr>
                <w:rFonts w:ascii="Lato" w:eastAsia="Lato" w:hAnsi="Lato" w:cs="Lato"/>
                <w:sz w:val="20"/>
                <w:szCs w:val="20"/>
              </w:rPr>
            </w:pPr>
          </w:p>
        </w:tc>
      </w:tr>
      <w:tr w:rsidR="004471C5" w:rsidRPr="004F425A" w14:paraId="1B66C213" w14:textId="77777777" w:rsidTr="79FF9703">
        <w:tc>
          <w:tcPr>
            <w:tcW w:w="1425" w:type="dxa"/>
            <w:tcBorders>
              <w:top w:val="single" w:sz="4" w:space="0" w:color="auto"/>
              <w:left w:val="single" w:sz="4" w:space="0" w:color="auto"/>
              <w:bottom w:val="single" w:sz="4" w:space="0" w:color="auto"/>
              <w:right w:val="single" w:sz="4" w:space="0" w:color="auto"/>
            </w:tcBorders>
          </w:tcPr>
          <w:p w14:paraId="30C17E03"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B7D0BB4" w14:textId="0A7FC02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Politechnika Warszawska </w:t>
            </w:r>
          </w:p>
          <w:p w14:paraId="0C954242" w14:textId="5D4EFEF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Centrum Zaawansowanych Materiałów i Technologii CEZAMAT</w:t>
            </w:r>
          </w:p>
        </w:tc>
        <w:tc>
          <w:tcPr>
            <w:tcW w:w="5387" w:type="dxa"/>
            <w:tcBorders>
              <w:top w:val="single" w:sz="4" w:space="0" w:color="auto"/>
              <w:left w:val="single" w:sz="4" w:space="0" w:color="auto"/>
              <w:bottom w:val="single" w:sz="4" w:space="0" w:color="auto"/>
              <w:right w:val="single" w:sz="4" w:space="0" w:color="auto"/>
            </w:tcBorders>
          </w:tcPr>
          <w:p w14:paraId="6312FDE0" w14:textId="3178C7F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pacing w:val="-10"/>
                <w:kern w:val="28"/>
                <w:sz w:val="20"/>
                <w:szCs w:val="20"/>
              </w:rPr>
              <w:t>Str.</w:t>
            </w:r>
            <w:r w:rsidRPr="004F425A">
              <w:rPr>
                <w:rFonts w:ascii="Lato" w:eastAsia="Lato" w:hAnsi="Lato" w:cs="Lato"/>
                <w:sz w:val="20"/>
                <w:szCs w:val="20"/>
              </w:rPr>
              <w:t xml:space="preserve"> 49</w:t>
            </w:r>
          </w:p>
          <w:p w14:paraId="551B8876" w14:textId="14550B7B" w:rsidR="00F574A2" w:rsidRPr="004F425A" w:rsidRDefault="00F574A2" w:rsidP="00EB412C">
            <w:pPr>
              <w:spacing w:after="120" w:line="240" w:lineRule="auto"/>
              <w:rPr>
                <w:rFonts w:ascii="Lato" w:eastAsia="Lato" w:hAnsi="Lato" w:cs="Lato"/>
                <w:spacing w:val="-10"/>
                <w:kern w:val="28"/>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 xml:space="preserve">Członkostwo w inicjatywach UE - przystąpienie polskich podmiotów do Europejskiego Sojuszu na rzecz Półprzewodników ESRA (cel: Polska członkiem ESRA do końca 2026 roku) oraz aktywny udział w programach Chips JU (kwota  dofinansowania dla podmiotów z Polski w ramach </w:t>
            </w:r>
            <w:r w:rsidRPr="004F425A">
              <w:rPr>
                <w:rFonts w:ascii="Lato" w:eastAsia="Lato" w:hAnsi="Lato" w:cs="Lato"/>
                <w:strike/>
                <w:sz w:val="20"/>
                <w:szCs w:val="20"/>
              </w:rPr>
              <w:t>liczba projektów z dofinansowaniem</w:t>
            </w:r>
            <w:r w:rsidRPr="004F425A">
              <w:rPr>
                <w:rFonts w:ascii="Lato" w:eastAsia="Lato" w:hAnsi="Lato" w:cs="Lato"/>
                <w:sz w:val="20"/>
                <w:szCs w:val="20"/>
              </w:rPr>
              <w:t xml:space="preserve"> Chips JU </w:t>
            </w:r>
            <w:r w:rsidRPr="004F425A">
              <w:rPr>
                <w:rFonts w:ascii="Lato" w:eastAsia="Lato" w:hAnsi="Lato" w:cs="Lato"/>
                <w:strike/>
                <w:sz w:val="20"/>
                <w:szCs w:val="20"/>
              </w:rPr>
              <w:t>z PL udziałem</w:t>
            </w:r>
            <w:r w:rsidRPr="004F425A">
              <w:rPr>
                <w:rFonts w:ascii="Lato" w:eastAsia="Lato" w:hAnsi="Lato" w:cs="Lato"/>
                <w:sz w:val="20"/>
                <w:szCs w:val="20"/>
              </w:rPr>
              <w:t xml:space="preserve"> - cel: wzrost o 50% do 2030 roku).  </w:t>
            </w:r>
          </w:p>
        </w:tc>
        <w:tc>
          <w:tcPr>
            <w:tcW w:w="4859" w:type="dxa"/>
            <w:tcBorders>
              <w:top w:val="single" w:sz="4" w:space="0" w:color="auto"/>
              <w:left w:val="single" w:sz="4" w:space="0" w:color="auto"/>
              <w:bottom w:val="single" w:sz="4" w:space="0" w:color="auto"/>
              <w:right w:val="single" w:sz="4" w:space="0" w:color="auto"/>
            </w:tcBorders>
          </w:tcPr>
          <w:p w14:paraId="527FAF67" w14:textId="756AA122" w:rsidR="00F574A2" w:rsidRPr="004F425A" w:rsidRDefault="006F2051"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0ADF9CAA" w14:textId="42A6B37B" w:rsidR="00F574A2" w:rsidRPr="004F425A" w:rsidRDefault="002D3905" w:rsidP="004F425A">
            <w:pPr>
              <w:spacing w:after="120" w:line="240" w:lineRule="auto"/>
              <w:rPr>
                <w:rFonts w:ascii="Lato" w:eastAsia="Lato" w:hAnsi="Lato" w:cs="Lato"/>
                <w:sz w:val="20"/>
                <w:szCs w:val="20"/>
              </w:rPr>
            </w:pPr>
            <w:r w:rsidRPr="004F425A">
              <w:rPr>
                <w:rFonts w:ascii="Lato" w:eastAsia="Lato" w:hAnsi="Lato" w:cs="Lato"/>
                <w:sz w:val="20"/>
                <w:szCs w:val="20"/>
              </w:rPr>
              <w:t>Z uwagi na cel z</w:t>
            </w:r>
            <w:r w:rsidR="008A73FF" w:rsidRPr="004F425A">
              <w:rPr>
                <w:rFonts w:ascii="Lato" w:eastAsia="Lato" w:hAnsi="Lato" w:cs="Lato"/>
                <w:sz w:val="20"/>
                <w:szCs w:val="20"/>
              </w:rPr>
              <w:t xml:space="preserve">asadne jest utrzymanie KPI w oparciu o </w:t>
            </w:r>
            <w:r w:rsidRPr="004F425A">
              <w:rPr>
                <w:rFonts w:ascii="Lato" w:eastAsia="Lato" w:hAnsi="Lato" w:cs="Lato"/>
                <w:sz w:val="20"/>
                <w:szCs w:val="20"/>
              </w:rPr>
              <w:t>liczbę</w:t>
            </w:r>
            <w:r w:rsidR="008A73FF" w:rsidRPr="004F425A">
              <w:rPr>
                <w:rFonts w:ascii="Lato" w:eastAsia="Lato" w:hAnsi="Lato" w:cs="Lato"/>
                <w:sz w:val="20"/>
                <w:szCs w:val="20"/>
              </w:rPr>
              <w:t xml:space="preserve"> </w:t>
            </w:r>
            <w:r w:rsidRPr="004F425A">
              <w:rPr>
                <w:rFonts w:ascii="Lato" w:eastAsia="Lato" w:hAnsi="Lato" w:cs="Lato"/>
                <w:sz w:val="20"/>
                <w:szCs w:val="20"/>
              </w:rPr>
              <w:t>projektów nie zaś o wskaźnik kwotowy</w:t>
            </w:r>
            <w:r w:rsidR="00F574A2" w:rsidRPr="004F425A">
              <w:rPr>
                <w:rFonts w:ascii="Lato" w:eastAsia="Lato" w:hAnsi="Lato" w:cs="Lato"/>
                <w:sz w:val="20"/>
                <w:szCs w:val="20"/>
              </w:rPr>
              <w:t>. Korekta wskaźnika możliwa na tym etapie bez nowelizacji uchwały.</w:t>
            </w:r>
          </w:p>
        </w:tc>
      </w:tr>
      <w:tr w:rsidR="004471C5" w:rsidRPr="004F425A" w14:paraId="06ECBAFC" w14:textId="77777777" w:rsidTr="79FF9703">
        <w:tc>
          <w:tcPr>
            <w:tcW w:w="1425" w:type="dxa"/>
            <w:tcBorders>
              <w:top w:val="single" w:sz="4" w:space="0" w:color="auto"/>
              <w:left w:val="single" w:sz="4" w:space="0" w:color="auto"/>
              <w:bottom w:val="single" w:sz="4" w:space="0" w:color="auto"/>
              <w:right w:val="single" w:sz="4" w:space="0" w:color="auto"/>
            </w:tcBorders>
          </w:tcPr>
          <w:p w14:paraId="6779D2FA" w14:textId="0F8ABFD9"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CBC6CAD" w14:textId="1C20BA3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TopGan sp. z o.o.</w:t>
            </w:r>
          </w:p>
        </w:tc>
        <w:tc>
          <w:tcPr>
            <w:tcW w:w="5387" w:type="dxa"/>
            <w:tcBorders>
              <w:top w:val="single" w:sz="4" w:space="0" w:color="auto"/>
              <w:left w:val="single" w:sz="4" w:space="0" w:color="auto"/>
              <w:bottom w:val="single" w:sz="4" w:space="0" w:color="auto"/>
              <w:right w:val="single" w:sz="4" w:space="0" w:color="auto"/>
            </w:tcBorders>
          </w:tcPr>
          <w:p w14:paraId="079538A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Wyrażając gratulacje i podziękowania za dążenie do wzmocnienia w Polsce przemysłu półprzewodnikowego, chcielibyśmy dodać nasze uwagi.</w:t>
            </w:r>
          </w:p>
          <w:p w14:paraId="02AA18F0" w14:textId="4D071DA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1) W dokumencie nie pojawia się sformułowanie „Technologie Kwantowe”, a to one będą w dużej mierze oparte na przyrządach półprzewodnikowych. Mamy na myśli komputery kwantowe, telekomunikację szyfrowaną kwantowo, zegary atomowe pozwalające na dokładność GPS ok. 1 cm, najrozmaitsze sensory grawitacji, pola magnetycznego, szkodliwych związków chemicznych, itp. Technologie kwantowe zrewolucjonizują bardzo wiele </w:t>
            </w:r>
            <w:r w:rsidRPr="004F425A">
              <w:rPr>
                <w:rFonts w:ascii="Lato" w:eastAsia="Lato" w:hAnsi="Lato" w:cs="Lato"/>
                <w:sz w:val="20"/>
                <w:szCs w:val="20"/>
              </w:rPr>
              <w:lastRenderedPageBreak/>
              <w:t xml:space="preserve">dziedzin naszego życia, np., bankowość, jako że metody szyfrowania będą musiały dostosować się do możliwości łamania szyfrów przez komputery kwantowe. </w:t>
            </w:r>
          </w:p>
          <w:p w14:paraId="528B5540" w14:textId="159A7BE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2) W Europie technologie kwantowe są absolutnym priorytetem, wystarczy przytoczyć: Strategia Quantum Europe 2025 i Quantum Act 2026.</w:t>
            </w:r>
          </w:p>
          <w:p w14:paraId="46525C95" w14:textId="3A09E58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3) W technologiach kwantowych diody laserowe i fotoniczne układy scalone (PIC), służą do wielorakich celów, między innymi, do chłodzenia dopplerowskiego atomów do temperatury bliskiej zeru bezwzględnemu, do pobudzania atomów do emisji fotonów, czy do przesyłania informacji.</w:t>
            </w:r>
          </w:p>
          <w:p w14:paraId="60B692EC" w14:textId="2C25EFC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4) Wszystkie technologie kwantowe są podwójnego zastosowania i w przyszłości przewaga militarna będzie zależała od ich rozwoju.</w:t>
            </w:r>
          </w:p>
          <w:p w14:paraId="572F5CEC" w14:textId="535A70A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5) W zakresie światła niebieskiego, firmą, która dostarcza diody laserowe na bazie półprzewodników azotkowych GaN-InN-AlN do zastosowań kwantowych, jest TopGaN Laser, firma założona przez prywatnego inwestora z Instytutem Wysokich Ciśnień PAN. </w:t>
            </w:r>
          </w:p>
          <w:p w14:paraId="4F0CA6DF" w14:textId="0D7BF80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6) TopGaN wraz z Instytutem IWC PAN i Wydziałem Fizyki UW uczestniczy w  niezwykle ważnym projekcie europejskim: Q-Planet „Quantum Pilot Line for production of Advanced chips for Neutral atom European Technologies”, który ma szansę na udział w odbudowaniu technologicznej pozycji Europy na świecie. Ze względu na istotny udział Polski w tym projekcie, powinien być on uwzględniony w przedstawianym dokumencie.</w:t>
            </w:r>
          </w:p>
          <w:p w14:paraId="336A8A63" w14:textId="357D3AA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7) Równolegle z opracowywaniem nowych technologii, TopGaN stara się o uzyskanie funduszy na budowę Linii Pilotażowej: „Fotonicznych układów scalonych na bazie półprzewodników azotkowych do zastosowań w technologiach kwantowych”, wpisując się bardzo dobrze w komentowaną „Politykę dla sektora półprzewodników 2026+”. </w:t>
            </w:r>
          </w:p>
          <w:p w14:paraId="194BB57C" w14:textId="78CA644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8) W dokumencie wielokrotnie pojawia się określenie „półprzewodniki szerokoprzerwowe”, do których należą półprzewodniki azotkowe, SiC, Ga2O3, diament, półprzewodniki II-VI. Każdy z nich ma swoją specyfikę, stopień zaawansowania technologicznego, wielkość rynku. W Polsce najbardziej zaawansowane są technologie związane z półprzewodnikami azotkowymi, spośród których szereg jest unikatowych na skalę światową. Postulujemy w miejsce „półprzewodników szerokoprzerwowych” umieścić explicite „półprzewodniki azotkowe”.</w:t>
            </w:r>
          </w:p>
          <w:p w14:paraId="087E0E66" w14:textId="6192E3C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9) Należy jednak zdawać sobie sprawę z faktu, że półprzewodniki azotkowe, druga co do ważności komercyjnej grupa półprzewodników (po Si-Ge), są niezwykle trudne do wytwarzania i procesowania, zawierając znacznie więcej defektów niż Si, GaAs, InP, czy SiC. Opóźnia to wprowadzanie wielu przyrządów na bazie GaN, ale też jest wyjątkową szansą dla Polski ze względu na jej bardzo wysoką pozycję na świecie w dziedzinie badań nad azotkami i posiadania szeregu unikatowych technologii. W Polsce posiadamy już 30 letnia tradycję badań i wdrożeń technologii opartych na GaN. Dlatego postulujemy ustanowienie dużego grantu strategicznego, który objąłby nie tylko opracowanie szeregu nowych technologii azotkowych, ale i badania podstawowe, bez których wiele technologii nie będzie mogło powstać.</w:t>
            </w:r>
          </w:p>
          <w:p w14:paraId="66FB02F1" w14:textId="54884FA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10) Polski zespół jest jednym z czterech po Japonii, USA i Niemczech najlepszych na świecie  zajmujących się technologiami opartymi o azotek galu </w:t>
            </w:r>
          </w:p>
          <w:p w14:paraId="1376E07F" w14:textId="46ACD7F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(GaN).  Top GaN posiada laboratoryjną linię produkcji diod laserowych z której technologie można bezpośrednio przenieść na linię pilotażową. IWC PAN produkuje kryształy GaN w tej chwili o średnicy 2 cale a w ramach unijnego programu zwiększy rozmiar najpierw do 4 a następnie sześciu cali. To też jest unikalne aktywo bo ma tylko dwu konkurentów na świecie. Rynki na produkty oparte na GaN dopiero się budują i teraz jest najlepsza chwila na zainwestowanie w tą dziedzinę i stworzenie </w:t>
            </w:r>
            <w:r w:rsidRPr="004F425A">
              <w:rPr>
                <w:rFonts w:ascii="Lato" w:eastAsia="Lato" w:hAnsi="Lato" w:cs="Lato"/>
                <w:sz w:val="20"/>
                <w:szCs w:val="20"/>
              </w:rPr>
              <w:lastRenderedPageBreak/>
              <w:t>polskiej specjalność. Mamy do tego wszelkie  potrzebne aktywa potrzebne jest  wsparcia finansowego do włożonych już prywatnych pieniędzy.</w:t>
            </w:r>
          </w:p>
        </w:tc>
        <w:tc>
          <w:tcPr>
            <w:tcW w:w="4859" w:type="dxa"/>
            <w:tcBorders>
              <w:top w:val="single" w:sz="4" w:space="0" w:color="auto"/>
              <w:left w:val="single" w:sz="4" w:space="0" w:color="auto"/>
              <w:bottom w:val="single" w:sz="4" w:space="0" w:color="auto"/>
              <w:right w:val="single" w:sz="4" w:space="0" w:color="auto"/>
            </w:tcBorders>
          </w:tcPr>
          <w:p w14:paraId="67223804" w14:textId="77777777" w:rsidR="00EB412C"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689AAE7C" w14:textId="59DF508E" w:rsidR="00F574A2" w:rsidRPr="004F425A" w:rsidRDefault="00F574A2" w:rsidP="004F425A">
            <w:pPr>
              <w:spacing w:after="120" w:line="240" w:lineRule="auto"/>
              <w:rPr>
                <w:rFonts w:ascii="Lato" w:hAnsi="Lato"/>
                <w:b/>
                <w:sz w:val="20"/>
                <w:szCs w:val="20"/>
              </w:rPr>
            </w:pPr>
            <w:r w:rsidRPr="004F425A">
              <w:rPr>
                <w:rFonts w:ascii="Lato" w:eastAsia="Lato" w:hAnsi="Lato" w:cs="Lato"/>
                <w:sz w:val="20"/>
                <w:szCs w:val="20"/>
              </w:rPr>
              <w:t>Nie uwzględniono propozycji wskazania konkretnych przedsiębiorstw, projektów badawczo-rozwojowych, technologii materiałowych ani dedykowanych instrumentów wsparcia dla wybranych rozwiązań, ponieważ Polityka ma charakter strategiczny i zachowuje neutralność technologiczną oraz podmiotową. Szczegółowe kierunki wsparcia będą określane w ramach instrumentów wdrożeniowych i programów finansowania.</w:t>
            </w:r>
          </w:p>
        </w:tc>
      </w:tr>
      <w:tr w:rsidR="004471C5" w:rsidRPr="004F425A" w14:paraId="1A58F0A9" w14:textId="77777777" w:rsidTr="79FF9703">
        <w:tc>
          <w:tcPr>
            <w:tcW w:w="1425" w:type="dxa"/>
            <w:tcBorders>
              <w:top w:val="single" w:sz="4" w:space="0" w:color="auto"/>
              <w:left w:val="single" w:sz="4" w:space="0" w:color="auto"/>
              <w:bottom w:val="single" w:sz="4" w:space="0" w:color="auto"/>
              <w:right w:val="single" w:sz="4" w:space="0" w:color="auto"/>
            </w:tcBorders>
          </w:tcPr>
          <w:p w14:paraId="3CE6B6B7" w14:textId="0DD90BFC"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7C0069E" w14:textId="4D7A628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TopGan sp. z o.o.</w:t>
            </w:r>
          </w:p>
        </w:tc>
        <w:tc>
          <w:tcPr>
            <w:tcW w:w="5387" w:type="dxa"/>
            <w:tcBorders>
              <w:top w:val="single" w:sz="4" w:space="0" w:color="auto"/>
              <w:left w:val="single" w:sz="4" w:space="0" w:color="auto"/>
              <w:bottom w:val="single" w:sz="4" w:space="0" w:color="auto"/>
              <w:right w:val="single" w:sz="4" w:space="0" w:color="auto"/>
            </w:tcBorders>
          </w:tcPr>
          <w:p w14:paraId="67D31CD3" w14:textId="03C3507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1. Brak rozróżnienia między przemysłem półprzewodnikowym a elektronicznym</w:t>
            </w:r>
          </w:p>
          <w:p w14:paraId="2905A6F7"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nie wprowadza jednoznacznego rozróżnienia pomiędzy:</w:t>
            </w:r>
          </w:p>
          <w:p w14:paraId="58E3232D" w14:textId="2A9EE0F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przemysłem półprzewodnikowym (obejmującym projektowanie i wytwarzanie elementów półprzewodnikowych, takich jak układy scalone, pamięci, tranzystory, diody, LED, diody laserowe),</w:t>
            </w:r>
          </w:p>
          <w:p w14:paraId="1CC96033"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a</w:t>
            </w:r>
          </w:p>
          <w:p w14:paraId="5C9A0EBE" w14:textId="0149819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przemysłem elektronicznym, w którym komponenty półprzewodnikowe stanowią jedynie element systemu.</w:t>
            </w:r>
          </w:p>
          <w:p w14:paraId="67AF7860" w14:textId="1D34659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Brak tego rozróżnienia utrudnia prawidłowe zdefiniowanie zakresu polityki oraz może prowadzić do rozmycia celów i instrumentów wsparcia.</w:t>
            </w:r>
          </w:p>
        </w:tc>
        <w:tc>
          <w:tcPr>
            <w:tcW w:w="4859" w:type="dxa"/>
            <w:tcBorders>
              <w:top w:val="single" w:sz="4" w:space="0" w:color="auto"/>
              <w:left w:val="single" w:sz="4" w:space="0" w:color="auto"/>
              <w:bottom w:val="single" w:sz="4" w:space="0" w:color="auto"/>
              <w:right w:val="single" w:sz="4" w:space="0" w:color="auto"/>
            </w:tcBorders>
          </w:tcPr>
          <w:p w14:paraId="34049C02" w14:textId="26CBE8E4"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częściowo uwzględniona</w:t>
            </w:r>
          </w:p>
          <w:p w14:paraId="05BC5441" w14:textId="6B1BFFD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celu zwiększenia precyzji terminologicznej doprecyzowano definicję sektora półprzewodników, wskazując, że Polityka koncentruje się na działalności obejmującej projektowanie, badania, rozwój i wytwarzanie półprzewodników oraz powiązanych technologii. Jednocześnie zachowano odniesienia do przemysłu elektronicznego w zakresie, w jakim stanowi on istotny obszar zastosowań oraz odbiorcę rozwiązań rozwijanych przez sektor półprzewodników.</w:t>
            </w:r>
          </w:p>
        </w:tc>
      </w:tr>
      <w:tr w:rsidR="004471C5" w:rsidRPr="004F425A" w14:paraId="6F32E5AB" w14:textId="77777777" w:rsidTr="79FF9703">
        <w:tc>
          <w:tcPr>
            <w:tcW w:w="1425" w:type="dxa"/>
            <w:tcBorders>
              <w:top w:val="single" w:sz="4" w:space="0" w:color="auto"/>
              <w:left w:val="single" w:sz="4" w:space="0" w:color="auto"/>
              <w:bottom w:val="single" w:sz="4" w:space="0" w:color="auto"/>
              <w:right w:val="single" w:sz="4" w:space="0" w:color="auto"/>
            </w:tcBorders>
          </w:tcPr>
          <w:p w14:paraId="66434902"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6B5ECC1" w14:textId="1150A96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TopGan sp. z o.o.</w:t>
            </w:r>
          </w:p>
        </w:tc>
        <w:tc>
          <w:tcPr>
            <w:tcW w:w="5387" w:type="dxa"/>
            <w:tcBorders>
              <w:top w:val="single" w:sz="4" w:space="0" w:color="auto"/>
              <w:left w:val="single" w:sz="4" w:space="0" w:color="auto"/>
              <w:bottom w:val="single" w:sz="4" w:space="0" w:color="auto"/>
              <w:right w:val="single" w:sz="4" w:space="0" w:color="auto"/>
            </w:tcBorders>
          </w:tcPr>
          <w:p w14:paraId="53F67651" w14:textId="3E81E4D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2. Brak rozróżnienia kluczowych klas materiałowych</w:t>
            </w:r>
          </w:p>
          <w:p w14:paraId="3125E049"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dokumencie nie uwzględniono fundamentalnego podziału sektora półprzewodników na:</w:t>
            </w:r>
          </w:p>
          <w:p w14:paraId="151A28B7" w14:textId="75B99BF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technologie krzemowe (Si),</w:t>
            </w:r>
          </w:p>
          <w:p w14:paraId="253CA184" w14:textId="5093704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związki półprzewodnikowe  (compound semiconductors, np. GaN, SiC, InP, GaAs).</w:t>
            </w:r>
          </w:p>
          <w:p w14:paraId="220D0AF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Podział ten ma charakter strategiczny, ponieważ:</w:t>
            </w:r>
          </w:p>
          <w:p w14:paraId="696965B0" w14:textId="4A7012C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obejmuje odmienne łańcuchy wartości,</w:t>
            </w:r>
          </w:p>
          <w:p w14:paraId="0B6EFC3D" w14:textId="58FB677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wymaga różnych kompetencji technologicznych i infrastruktury,</w:t>
            </w:r>
          </w:p>
          <w:p w14:paraId="1C4881CE" w14:textId="06227BE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prowadzi do odmiennych zastosowań (logika cyfrowa vs. optoelektronika, energetyka, RF).</w:t>
            </w:r>
          </w:p>
        </w:tc>
        <w:tc>
          <w:tcPr>
            <w:tcW w:w="4859" w:type="dxa"/>
            <w:tcBorders>
              <w:top w:val="single" w:sz="4" w:space="0" w:color="auto"/>
              <w:left w:val="single" w:sz="4" w:space="0" w:color="auto"/>
              <w:bottom w:val="single" w:sz="4" w:space="0" w:color="auto"/>
              <w:right w:val="single" w:sz="4" w:space="0" w:color="auto"/>
            </w:tcBorders>
          </w:tcPr>
          <w:p w14:paraId="554B35D5" w14:textId="77B23AD5"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24A87F93" w14:textId="7491FBE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Projekt Polityki identyfikuje kluczowe obszary krajowych kompetencji i kierunki rozwoju sektora półprzewodników, obejmujące zarówno technologie krzemowe, jak i technologie oparte na związkach półprzewodnikowych. Z uwagi na strategiczny charakter dokumentu nie wprowadzono odrębnego podziału według klas materiałowych, koncentrując się na obszarach zastosowań oraz kompetencjach technologicznych. Szczegółowa klasyfikacja technologii wykracza poza zakres dokumentu.</w:t>
            </w:r>
          </w:p>
        </w:tc>
      </w:tr>
      <w:tr w:rsidR="004471C5" w:rsidRPr="004F425A" w14:paraId="567BE1CA" w14:textId="77777777" w:rsidTr="79FF9703">
        <w:tc>
          <w:tcPr>
            <w:tcW w:w="1425" w:type="dxa"/>
            <w:tcBorders>
              <w:top w:val="single" w:sz="4" w:space="0" w:color="auto"/>
              <w:left w:val="single" w:sz="4" w:space="0" w:color="auto"/>
              <w:bottom w:val="single" w:sz="4" w:space="0" w:color="auto"/>
              <w:right w:val="single" w:sz="4" w:space="0" w:color="auto"/>
            </w:tcBorders>
          </w:tcPr>
          <w:p w14:paraId="7D53C523"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DD417CB" w14:textId="5E7EDFD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TopGan sp. z o.o.</w:t>
            </w:r>
          </w:p>
        </w:tc>
        <w:tc>
          <w:tcPr>
            <w:tcW w:w="5387" w:type="dxa"/>
            <w:tcBorders>
              <w:top w:val="single" w:sz="4" w:space="0" w:color="auto"/>
              <w:left w:val="single" w:sz="4" w:space="0" w:color="auto"/>
              <w:bottom w:val="single" w:sz="4" w:space="0" w:color="auto"/>
              <w:right w:val="single" w:sz="4" w:space="0" w:color="auto"/>
            </w:tcBorders>
          </w:tcPr>
          <w:p w14:paraId="3A1B45FF" w14:textId="36E2334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Brak przeglądu krajowych kompetencji technologicznych</w:t>
            </w:r>
          </w:p>
          <w:p w14:paraId="435911F7"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Dokument nie zawiera syntetycznego przeglądu istniejących w Polsce:</w:t>
            </w:r>
          </w:p>
          <w:p w14:paraId="4B1311C3" w14:textId="76B06C2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technologii półprzewodnikowych (zarówno w przemyśle, jak i w instytucjach badawczych),</w:t>
            </w:r>
          </w:p>
          <w:p w14:paraId="359D484C" w14:textId="3A70A0E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ich poziomu zaawansowania (np. TRL),</w:t>
            </w:r>
          </w:p>
          <w:p w14:paraId="78C293EA" w14:textId="5B66C81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oraz potencjału aplikacyjnego.</w:t>
            </w:r>
          </w:p>
          <w:p w14:paraId="5BB1715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Taki przegląd powinien obejmować krótką, ale jasno zdefiniowaną listę kluczowych technologii wraz z oceną:</w:t>
            </w:r>
          </w:p>
          <w:p w14:paraId="41550D43" w14:textId="1302853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ich znaczenia strategicznego,</w:t>
            </w:r>
          </w:p>
          <w:p w14:paraId="76EA9F33" w14:textId="0BAF391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pozycji Polski na tle międzynarodowym,</w:t>
            </w:r>
          </w:p>
          <w:p w14:paraId="36D4171D" w14:textId="0456F3D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oraz dystansu do wdrożenia przemysłowego.</w:t>
            </w:r>
          </w:p>
          <w:p w14:paraId="2CA1A6A8" w14:textId="018792D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Brak tej analizy utrudnia racjonalną priorytetyzację działań.</w:t>
            </w:r>
          </w:p>
        </w:tc>
        <w:tc>
          <w:tcPr>
            <w:tcW w:w="4859" w:type="dxa"/>
            <w:tcBorders>
              <w:top w:val="single" w:sz="4" w:space="0" w:color="auto"/>
              <w:left w:val="single" w:sz="4" w:space="0" w:color="auto"/>
              <w:bottom w:val="single" w:sz="4" w:space="0" w:color="auto"/>
              <w:right w:val="single" w:sz="4" w:space="0" w:color="auto"/>
            </w:tcBorders>
          </w:tcPr>
          <w:p w14:paraId="5F1579A1" w14:textId="77777777" w:rsidR="00EB412C"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508341B0" w14:textId="1C8CC2AF" w:rsidR="00F574A2" w:rsidRPr="004F425A" w:rsidRDefault="00F574A2" w:rsidP="004F425A">
            <w:pPr>
              <w:spacing w:after="120" w:line="240" w:lineRule="auto"/>
              <w:rPr>
                <w:rFonts w:ascii="Lato" w:hAnsi="Lato"/>
                <w:b/>
                <w:sz w:val="20"/>
                <w:szCs w:val="20"/>
              </w:rPr>
            </w:pPr>
            <w:r w:rsidRPr="004F425A">
              <w:rPr>
                <w:rFonts w:ascii="Lato" w:eastAsia="Lato" w:hAnsi="Lato" w:cs="Lato"/>
                <w:sz w:val="20"/>
                <w:szCs w:val="20"/>
              </w:rPr>
              <w:lastRenderedPageBreak/>
              <w:t>Projekt Polityki ma charakter strategiczny i wyznacza kierunki rozwoju krajowego sektora półprzewodników, nie stanowiąc szczegółowego opracowania analitycznego dotyczącego krajowych kompetencji technologicznych. Zamieszczenie kompleksowej mapy technologii wraz z oceną poziomu gotowości technologicznej (TRL), potencjału aplikacyjnego oraz pozycji Polski w poszczególnych obszarach wykracza poza zakres dokumentu i wymagałoby regularnej aktualizacji. Szczegółowe analizy kompetencji technologicznych mogą stanowić materiał wspierający wdrażanie Polityki oraz przygotowanie instrumentów wsparcia.</w:t>
            </w:r>
          </w:p>
        </w:tc>
      </w:tr>
      <w:tr w:rsidR="004471C5" w:rsidRPr="004F425A" w14:paraId="3C219C8A" w14:textId="77777777" w:rsidTr="79FF9703">
        <w:tc>
          <w:tcPr>
            <w:tcW w:w="1425" w:type="dxa"/>
            <w:tcBorders>
              <w:top w:val="single" w:sz="4" w:space="0" w:color="auto"/>
              <w:left w:val="single" w:sz="4" w:space="0" w:color="auto"/>
              <w:bottom w:val="single" w:sz="4" w:space="0" w:color="auto"/>
              <w:right w:val="single" w:sz="4" w:space="0" w:color="auto"/>
            </w:tcBorders>
          </w:tcPr>
          <w:p w14:paraId="0CC228A9"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3D59069" w14:textId="445DAFF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TopGan sp. z o.o.</w:t>
            </w:r>
          </w:p>
        </w:tc>
        <w:tc>
          <w:tcPr>
            <w:tcW w:w="5387" w:type="dxa"/>
            <w:tcBorders>
              <w:top w:val="single" w:sz="4" w:space="0" w:color="auto"/>
              <w:left w:val="single" w:sz="4" w:space="0" w:color="auto"/>
              <w:bottom w:val="single" w:sz="4" w:space="0" w:color="auto"/>
              <w:right w:val="single" w:sz="4" w:space="0" w:color="auto"/>
            </w:tcBorders>
          </w:tcPr>
          <w:p w14:paraId="6410563B" w14:textId="5E1F4A3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Brak jasno określonych priorytetów technologicznych</w:t>
            </w:r>
          </w:p>
          <w:p w14:paraId="7556792D" w14:textId="53349C6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nie wskazuje konkretnych obszarów, które powinny stanowić priorytet dla Polski</w:t>
            </w:r>
          </w:p>
          <w:p w14:paraId="1C4C361C" w14:textId="49834F8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Przykładowe obszary, które mogą zostać rozważone jako strategiczne</w:t>
            </w:r>
          </w:p>
          <w:p w14:paraId="32C49D0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wzrost kryształów podłożowych GaN</w:t>
            </w:r>
          </w:p>
          <w:p w14:paraId="3BC9BD23"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lasery kaskadowe (QCL) dla zastosowań sensorycznych,</w:t>
            </w:r>
          </w:p>
          <w:p w14:paraId="4569B12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azotkowe diody laserowe (GaN) dla technologii kwantowych,</w:t>
            </w:r>
          </w:p>
          <w:p w14:paraId="02BDB296"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elektronika azotkowa (HEMT, diody Schottkiego) dla zastosowań cywilnych i wojskowych (radary),</w:t>
            </w:r>
          </w:p>
          <w:p w14:paraId="4278C55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bezpieczne układy scalone (technologie krzemowe),</w:t>
            </w:r>
          </w:p>
          <w:p w14:paraId="2E3656F9"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detektory podczerwieni,</w:t>
            </w:r>
          </w:p>
          <w:p w14:paraId="75B34ED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zintegrowane układy fotoniczne (PIC) dla średniej podczerwieni,</w:t>
            </w:r>
          </w:p>
          <w:p w14:paraId="7AE3A94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w:t>
            </w:r>
            <w:r w:rsidRPr="004F425A">
              <w:rPr>
                <w:rFonts w:ascii="Lato" w:hAnsi="Lato"/>
                <w:sz w:val="20"/>
                <w:szCs w:val="20"/>
              </w:rPr>
              <w:tab/>
            </w:r>
            <w:r w:rsidRPr="004F425A">
              <w:rPr>
                <w:rFonts w:ascii="Lato" w:eastAsia="Lato" w:hAnsi="Lato" w:cs="Lato"/>
                <w:sz w:val="20"/>
                <w:szCs w:val="20"/>
              </w:rPr>
              <w:t>zintegrowane układy fotoniczne (PIC) dla zakresu widzialnego i zastosowań kwantowych,</w:t>
            </w:r>
          </w:p>
          <w:p w14:paraId="0AE0E9E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tranzystory SiC dla energetyki,</w:t>
            </w:r>
          </w:p>
          <w:p w14:paraId="7178DFF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optoelektronika oparta na perowskitach,</w:t>
            </w:r>
          </w:p>
          <w:p w14:paraId="11C181A0" w14:textId="5797C38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technologie wykorzystujące nanokryształy.</w:t>
            </w:r>
          </w:p>
          <w:p w14:paraId="4311F9FD" w14:textId="479681D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Brak selekcji priorytetów grozi rozproszeniem zasobów i ograniczeniem efektywności programu.</w:t>
            </w:r>
          </w:p>
        </w:tc>
        <w:tc>
          <w:tcPr>
            <w:tcW w:w="4859" w:type="dxa"/>
            <w:tcBorders>
              <w:top w:val="single" w:sz="4" w:space="0" w:color="auto"/>
              <w:left w:val="single" w:sz="4" w:space="0" w:color="auto"/>
              <w:bottom w:val="single" w:sz="4" w:space="0" w:color="auto"/>
              <w:right w:val="single" w:sz="4" w:space="0" w:color="auto"/>
            </w:tcBorders>
          </w:tcPr>
          <w:p w14:paraId="69344ED2" w14:textId="77777777" w:rsidR="00EB412C"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23B043B1" w14:textId="27BF1924" w:rsidR="00F574A2" w:rsidRPr="004F425A" w:rsidRDefault="00F574A2" w:rsidP="004F425A">
            <w:pPr>
              <w:spacing w:after="120" w:line="240" w:lineRule="auto"/>
              <w:rPr>
                <w:rFonts w:ascii="Lato" w:hAnsi="Lato"/>
                <w:b/>
                <w:sz w:val="20"/>
                <w:szCs w:val="20"/>
              </w:rPr>
            </w:pPr>
            <w:r w:rsidRPr="004F425A">
              <w:rPr>
                <w:rFonts w:ascii="Lato" w:eastAsia="Lato" w:hAnsi="Lato" w:cs="Lato"/>
                <w:sz w:val="20"/>
                <w:szCs w:val="20"/>
              </w:rPr>
              <w:t>Projekt Polityki identyfikuje kluczowe obszary specjalizacji krajowego sektora półprzewodników na poziomie strategicznym. Z uwagi na charakter dokumentu nie wskazuje natomiast zamkniętego katalogu konkretnych technologii ani produktów, ponieważ mogłoby to prowadzić do nadmiernego ograniczenia elastyczności Polityki oraz utrudniać jej aktualność w obliczu dynamicznego rozwoju technologii. Szczegółowe priorytety technologiczne będą mogły być określane w programach wykonawczych oraz instrumentach wsparcia, z uwzględnieniem aktualnych potrzeb rynku, potencjału krajowych podmiotów oraz kierunków rozwoju technologii w Unii Europejskiej.</w:t>
            </w:r>
          </w:p>
        </w:tc>
      </w:tr>
      <w:tr w:rsidR="004471C5" w:rsidRPr="004F425A" w14:paraId="4B05D9E3" w14:textId="77777777" w:rsidTr="79FF9703">
        <w:tc>
          <w:tcPr>
            <w:tcW w:w="1425" w:type="dxa"/>
            <w:tcBorders>
              <w:top w:val="single" w:sz="4" w:space="0" w:color="auto"/>
              <w:left w:val="single" w:sz="4" w:space="0" w:color="auto"/>
              <w:bottom w:val="single" w:sz="4" w:space="0" w:color="auto"/>
              <w:right w:val="single" w:sz="4" w:space="0" w:color="auto"/>
            </w:tcBorders>
          </w:tcPr>
          <w:p w14:paraId="07AA8EB8"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379977F" w14:textId="593387E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TopGan sp. z o.o.</w:t>
            </w:r>
          </w:p>
        </w:tc>
        <w:tc>
          <w:tcPr>
            <w:tcW w:w="5387" w:type="dxa"/>
            <w:tcBorders>
              <w:top w:val="single" w:sz="4" w:space="0" w:color="auto"/>
              <w:left w:val="single" w:sz="4" w:space="0" w:color="auto"/>
              <w:bottom w:val="single" w:sz="4" w:space="0" w:color="auto"/>
              <w:right w:val="single" w:sz="4" w:space="0" w:color="auto"/>
            </w:tcBorders>
          </w:tcPr>
          <w:p w14:paraId="44FF36DB" w14:textId="77CA4BB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5. Niewystarczająca precyzja celów strategicznych</w:t>
            </w:r>
          </w:p>
          <w:p w14:paraId="24A210BA" w14:textId="175CCA7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Program powinien formułować jednoznaczne cele strategiczne, zarówno technologiczne, jak i gospodarcze.</w:t>
            </w:r>
          </w:p>
          <w:p w14:paraId="78687746"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Obecny poziom ogólności może prowadzić do:</w:t>
            </w:r>
          </w:p>
          <w:p w14:paraId="5AB4B21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braku koncentracji działań,</w:t>
            </w:r>
          </w:p>
          <w:p w14:paraId="6121DBC6"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trudności w ocenie postępów,</w:t>
            </w:r>
          </w:p>
          <w:p w14:paraId="7AB5C8D0" w14:textId="6AF9219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ograniczonej skuteczności instrumentów wsparcia.</w:t>
            </w:r>
          </w:p>
        </w:tc>
        <w:tc>
          <w:tcPr>
            <w:tcW w:w="4859" w:type="dxa"/>
            <w:tcBorders>
              <w:top w:val="single" w:sz="4" w:space="0" w:color="auto"/>
              <w:left w:val="single" w:sz="4" w:space="0" w:color="auto"/>
              <w:bottom w:val="single" w:sz="4" w:space="0" w:color="auto"/>
              <w:right w:val="single" w:sz="4" w:space="0" w:color="auto"/>
            </w:tcBorders>
          </w:tcPr>
          <w:p w14:paraId="142E2968" w14:textId="77777777" w:rsidR="00EB412C"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2AE5C00F" w14:textId="49F72976" w:rsidR="00F574A2" w:rsidRPr="004F425A" w:rsidRDefault="00F574A2" w:rsidP="004F425A">
            <w:pPr>
              <w:spacing w:after="120" w:line="240" w:lineRule="auto"/>
              <w:rPr>
                <w:rFonts w:ascii="Lato" w:hAnsi="Lato"/>
                <w:b/>
                <w:sz w:val="20"/>
                <w:szCs w:val="20"/>
              </w:rPr>
            </w:pPr>
            <w:r w:rsidRPr="004F425A">
              <w:rPr>
                <w:rFonts w:ascii="Lato" w:eastAsia="Lato" w:hAnsi="Lato" w:cs="Lato"/>
                <w:sz w:val="20"/>
                <w:szCs w:val="20"/>
              </w:rPr>
              <w:t>Projekt Polityki określa strategiczne cele rozwoju krajowego sektora półprzewodników, wskazując priorytetowe obszary interwencji, kierunki działań oraz mierniki realizacji. Z uwagi na charakter dokumentu strategicznego cele zostały sformułowane na poziomie umożliwiającym ich realizację z wykorzystaniem różnych instrumentów i programów wdrożeniowych. Bardziej szczegółowe cele operacyjne oraz przypisane im działania będą określane w dokumentach wykonawczych i programach realizacyjnych.</w:t>
            </w:r>
          </w:p>
        </w:tc>
      </w:tr>
      <w:tr w:rsidR="004471C5" w:rsidRPr="004F425A" w14:paraId="412D6075" w14:textId="77777777" w:rsidTr="79FF9703">
        <w:tc>
          <w:tcPr>
            <w:tcW w:w="1425" w:type="dxa"/>
            <w:tcBorders>
              <w:top w:val="single" w:sz="4" w:space="0" w:color="auto"/>
              <w:left w:val="single" w:sz="4" w:space="0" w:color="auto"/>
              <w:bottom w:val="single" w:sz="4" w:space="0" w:color="auto"/>
              <w:right w:val="single" w:sz="4" w:space="0" w:color="auto"/>
            </w:tcBorders>
          </w:tcPr>
          <w:p w14:paraId="39A0E401"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0D93C0A" w14:textId="28F2144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TopGan sp. z o.o.</w:t>
            </w:r>
          </w:p>
        </w:tc>
        <w:tc>
          <w:tcPr>
            <w:tcW w:w="5387" w:type="dxa"/>
            <w:tcBorders>
              <w:top w:val="single" w:sz="4" w:space="0" w:color="auto"/>
              <w:left w:val="single" w:sz="4" w:space="0" w:color="auto"/>
              <w:bottom w:val="single" w:sz="4" w:space="0" w:color="auto"/>
              <w:right w:val="single" w:sz="4" w:space="0" w:color="auto"/>
            </w:tcBorders>
          </w:tcPr>
          <w:p w14:paraId="4D9C149B" w14:textId="6BCB687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Brak mechanizmów komercjalizacji i tworzenia nowych podmiotów</w:t>
            </w:r>
          </w:p>
          <w:p w14:paraId="77CF6B2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nie przewiduje wyraźnych mechanizmów, w których:</w:t>
            </w:r>
          </w:p>
          <w:p w14:paraId="6B4F9AA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realizacja projektów B+R prowadzi do powstawania start-upów,</w:t>
            </w:r>
          </w:p>
          <w:p w14:paraId="5F2137EB" w14:textId="03D329D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wyniki badań są systemowo przekształcane w produkty i własność intelektualną.</w:t>
            </w:r>
          </w:p>
          <w:p w14:paraId="186B1F52"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szczególności brakuje:</w:t>
            </w:r>
          </w:p>
          <w:p w14:paraId="609D444F"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modeli współwłasności IP,</w:t>
            </w:r>
          </w:p>
          <w:p w14:paraId="0C527B6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mechanizmów wsparcia spin-offów,</w:t>
            </w:r>
          </w:p>
          <w:p w14:paraId="28E107F4" w14:textId="53548C5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powiązania finansowania z komercjalizacją.</w:t>
            </w:r>
          </w:p>
        </w:tc>
        <w:tc>
          <w:tcPr>
            <w:tcW w:w="4859" w:type="dxa"/>
            <w:tcBorders>
              <w:top w:val="single" w:sz="4" w:space="0" w:color="auto"/>
              <w:left w:val="single" w:sz="4" w:space="0" w:color="auto"/>
              <w:bottom w:val="single" w:sz="4" w:space="0" w:color="auto"/>
              <w:right w:val="single" w:sz="4" w:space="0" w:color="auto"/>
            </w:tcBorders>
          </w:tcPr>
          <w:p w14:paraId="67C7C8F6" w14:textId="77777777" w:rsidR="00EB412C" w:rsidRDefault="00D761D7"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0044D263" w14:textId="4976A5E9" w:rsidR="00A40E2B" w:rsidRPr="004F425A" w:rsidRDefault="00F574A2" w:rsidP="004F425A">
            <w:pPr>
              <w:spacing w:after="120" w:line="240" w:lineRule="auto"/>
              <w:rPr>
                <w:rFonts w:ascii="Lato" w:eastAsia="Lato" w:hAnsi="Lato" w:cs="Lato"/>
                <w:sz w:val="20"/>
                <w:szCs w:val="20"/>
              </w:rPr>
            </w:pPr>
            <w:r w:rsidRPr="004F425A">
              <w:rPr>
                <w:rFonts w:ascii="Lato" w:hAnsi="Lato"/>
                <w:sz w:val="20"/>
                <w:szCs w:val="20"/>
              </w:rPr>
              <w:br/>
            </w:r>
            <w:r w:rsidR="00A40E2B" w:rsidRPr="004F425A">
              <w:rPr>
                <w:rFonts w:ascii="Lato" w:eastAsia="Lato" w:hAnsi="Lato" w:cs="Lato"/>
                <w:sz w:val="20"/>
                <w:szCs w:val="20"/>
              </w:rPr>
              <w:t xml:space="preserve">Postulat wykracza poza zakres Polityki. W ocenie MC z uwagi na horyzontalny i ogólny charakter dokumentu nie wymaga on modyfikacji w tym zakresie. </w:t>
            </w:r>
          </w:p>
          <w:p w14:paraId="5BFAD795" w14:textId="6B47E306" w:rsidR="00F574A2" w:rsidRPr="004F425A" w:rsidRDefault="00F574A2" w:rsidP="004F425A">
            <w:pPr>
              <w:spacing w:after="120" w:line="240" w:lineRule="auto"/>
              <w:rPr>
                <w:rFonts w:ascii="Lato" w:eastAsia="Lato" w:hAnsi="Lato" w:cs="Lato"/>
                <w:sz w:val="20"/>
                <w:szCs w:val="20"/>
              </w:rPr>
            </w:pPr>
          </w:p>
        </w:tc>
      </w:tr>
      <w:tr w:rsidR="004471C5" w:rsidRPr="004F425A" w14:paraId="572D3358" w14:textId="77777777" w:rsidTr="79FF9703">
        <w:tc>
          <w:tcPr>
            <w:tcW w:w="1425" w:type="dxa"/>
            <w:tcBorders>
              <w:top w:val="single" w:sz="4" w:space="0" w:color="auto"/>
              <w:left w:val="single" w:sz="4" w:space="0" w:color="auto"/>
              <w:bottom w:val="single" w:sz="4" w:space="0" w:color="auto"/>
              <w:right w:val="single" w:sz="4" w:space="0" w:color="auto"/>
            </w:tcBorders>
          </w:tcPr>
          <w:p w14:paraId="359D3A38"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78997B0" w14:textId="6A0062F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TopGan sp. z o.o.</w:t>
            </w:r>
          </w:p>
        </w:tc>
        <w:tc>
          <w:tcPr>
            <w:tcW w:w="5387" w:type="dxa"/>
            <w:tcBorders>
              <w:top w:val="single" w:sz="4" w:space="0" w:color="auto"/>
              <w:left w:val="single" w:sz="4" w:space="0" w:color="auto"/>
              <w:bottom w:val="single" w:sz="4" w:space="0" w:color="auto"/>
              <w:right w:val="single" w:sz="4" w:space="0" w:color="auto"/>
            </w:tcBorders>
          </w:tcPr>
          <w:p w14:paraId="1EDCBD96" w14:textId="6603659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Niewystarczające powiązanie dużego przemysłu ze start-upami</w:t>
            </w:r>
          </w:p>
          <w:p w14:paraId="1561D313"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Nie zdefiniowano mechanizmów współpracy pomiędzy:</w:t>
            </w:r>
          </w:p>
          <w:p w14:paraId="64EB407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dużymi podmiotami przemysłowymi,</w:t>
            </w:r>
          </w:p>
          <w:p w14:paraId="3015EB48"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a</w:t>
            </w:r>
          </w:p>
          <w:p w14:paraId="3506D7FB" w14:textId="0D6E1E1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małymi firmami technologicznymi i start-upami.</w:t>
            </w:r>
          </w:p>
          <w:p w14:paraId="62988176"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Efektywna polityka powinna wspierać:</w:t>
            </w:r>
          </w:p>
          <w:p w14:paraId="0FAB7E7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transfer technologii,</w:t>
            </w:r>
          </w:p>
          <w:p w14:paraId="411E37C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integrację łańcucha wartości,</w:t>
            </w:r>
          </w:p>
          <w:p w14:paraId="448CE13A" w14:textId="3F4D88E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oraz budowę ekosystemu, w którym duże firmy pełnią rolę integratorów i odbiorców technologii rozwijanych przez mniejsze podmioty.</w:t>
            </w:r>
          </w:p>
        </w:tc>
        <w:tc>
          <w:tcPr>
            <w:tcW w:w="4859" w:type="dxa"/>
            <w:tcBorders>
              <w:top w:val="single" w:sz="4" w:space="0" w:color="auto"/>
              <w:left w:val="single" w:sz="4" w:space="0" w:color="auto"/>
              <w:bottom w:val="single" w:sz="4" w:space="0" w:color="auto"/>
              <w:right w:val="single" w:sz="4" w:space="0" w:color="auto"/>
            </w:tcBorders>
          </w:tcPr>
          <w:p w14:paraId="2F93F9CB" w14:textId="77777777" w:rsidR="00EB412C" w:rsidRDefault="006A7037"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w:t>
            </w:r>
            <w:r w:rsidR="00E017AE" w:rsidRPr="004F425A">
              <w:rPr>
                <w:rStyle w:val="Ppogrubienie"/>
                <w:rFonts w:ascii="Lato" w:hAnsi="Lato"/>
                <w:sz w:val="20"/>
                <w:szCs w:val="20"/>
              </w:rPr>
              <w:t xml:space="preserve">częściowo </w:t>
            </w:r>
            <w:r w:rsidRPr="004F425A">
              <w:rPr>
                <w:rStyle w:val="Ppogrubienie"/>
                <w:rFonts w:ascii="Lato" w:hAnsi="Lato"/>
                <w:sz w:val="20"/>
                <w:szCs w:val="20"/>
              </w:rPr>
              <w:t>uwzględnion</w:t>
            </w:r>
            <w:r w:rsidR="00EB412C">
              <w:rPr>
                <w:rStyle w:val="Ppogrubienie"/>
                <w:rFonts w:ascii="Lato" w:hAnsi="Lato"/>
                <w:sz w:val="20"/>
                <w:szCs w:val="20"/>
              </w:rPr>
              <w:t>a</w:t>
            </w:r>
          </w:p>
          <w:p w14:paraId="6BA940F0" w14:textId="66F0665D" w:rsidR="00F574A2" w:rsidRPr="004F425A" w:rsidRDefault="00110F64" w:rsidP="004F425A">
            <w:pPr>
              <w:spacing w:after="120" w:line="240" w:lineRule="auto"/>
              <w:rPr>
                <w:rFonts w:ascii="Lato" w:hAnsi="Lato"/>
                <w:b/>
                <w:sz w:val="20"/>
                <w:szCs w:val="20"/>
              </w:rPr>
            </w:pPr>
            <w:r w:rsidRPr="004F425A">
              <w:rPr>
                <w:rFonts w:ascii="Lato" w:eastAsia="Lato" w:hAnsi="Lato" w:cs="Lato"/>
                <w:sz w:val="20"/>
                <w:szCs w:val="20"/>
              </w:rPr>
              <w:t>Zakres uwagi jest</w:t>
            </w:r>
            <w:r w:rsidR="00F574A2" w:rsidRPr="004F425A">
              <w:rPr>
                <w:rFonts w:ascii="Lato" w:eastAsia="Lato" w:hAnsi="Lato" w:cs="Lato"/>
                <w:sz w:val="20"/>
                <w:szCs w:val="20"/>
              </w:rPr>
              <w:t xml:space="preserve"> pośrednio</w:t>
            </w:r>
            <w:r w:rsidR="0009779F" w:rsidRPr="004F425A">
              <w:rPr>
                <w:rFonts w:ascii="Lato" w:eastAsia="Lato" w:hAnsi="Lato" w:cs="Lato"/>
                <w:sz w:val="20"/>
                <w:szCs w:val="20"/>
              </w:rPr>
              <w:t xml:space="preserve"> realizowan</w:t>
            </w:r>
            <w:r w:rsidRPr="004F425A">
              <w:rPr>
                <w:rFonts w:ascii="Lato" w:eastAsia="Lato" w:hAnsi="Lato" w:cs="Lato"/>
                <w:sz w:val="20"/>
                <w:szCs w:val="20"/>
              </w:rPr>
              <w:t>y</w:t>
            </w:r>
            <w:r w:rsidR="0009779F" w:rsidRPr="004F425A">
              <w:rPr>
                <w:rFonts w:ascii="Lato" w:eastAsia="Lato" w:hAnsi="Lato" w:cs="Lato"/>
                <w:sz w:val="20"/>
                <w:szCs w:val="20"/>
              </w:rPr>
              <w:t xml:space="preserve"> w dokumencie</w:t>
            </w:r>
            <w:r w:rsidR="00F574A2" w:rsidRPr="004F425A">
              <w:rPr>
                <w:rFonts w:ascii="Lato" w:eastAsia="Lato" w:hAnsi="Lato" w:cs="Lato"/>
                <w:sz w:val="20"/>
                <w:szCs w:val="20"/>
              </w:rPr>
              <w:t xml:space="preserve"> - mechanizmy współpracy dużych firm z MŚP/start-upami są częściowo adresowane w Filarze II (matchmaking) oraz opisie centrów kompetencji i parku technologicznego, zgodnie z częściowym uwzględnieniem analogicznej uwagi</w:t>
            </w:r>
            <w:r w:rsidRPr="004F425A">
              <w:rPr>
                <w:rFonts w:ascii="Lato" w:eastAsia="Lato" w:hAnsi="Lato" w:cs="Lato"/>
                <w:sz w:val="20"/>
                <w:szCs w:val="20"/>
              </w:rPr>
              <w:t>.</w:t>
            </w:r>
          </w:p>
        </w:tc>
      </w:tr>
      <w:tr w:rsidR="004471C5" w:rsidRPr="004F425A" w14:paraId="7E5BED86" w14:textId="77777777" w:rsidTr="79FF9703">
        <w:tc>
          <w:tcPr>
            <w:tcW w:w="1425" w:type="dxa"/>
            <w:tcBorders>
              <w:top w:val="single" w:sz="4" w:space="0" w:color="auto"/>
              <w:left w:val="single" w:sz="4" w:space="0" w:color="auto"/>
              <w:bottom w:val="single" w:sz="4" w:space="0" w:color="auto"/>
              <w:right w:val="single" w:sz="4" w:space="0" w:color="auto"/>
            </w:tcBorders>
          </w:tcPr>
          <w:p w14:paraId="00D47C3B" w14:textId="2F95496C"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DDDFD96" w14:textId="63E99E6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Sieć Badawcza Łukasiewicz</w:t>
            </w:r>
          </w:p>
        </w:tc>
        <w:tc>
          <w:tcPr>
            <w:tcW w:w="5387" w:type="dxa"/>
            <w:tcBorders>
              <w:top w:val="single" w:sz="4" w:space="0" w:color="auto"/>
              <w:left w:val="single" w:sz="4" w:space="0" w:color="auto"/>
              <w:bottom w:val="single" w:sz="4" w:space="0" w:color="auto"/>
              <w:right w:val="single" w:sz="4" w:space="0" w:color="auto"/>
            </w:tcBorders>
          </w:tcPr>
          <w:p w14:paraId="077ABDD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Przedstawiony materiał stanowi istotny i potrzebny krok w kierunku budowy długofalowego podejścia do rozwoju sektora półprzewodników w Polsce, trafnie akcentując znaczenie infrastruktury technologicznej, współpracy międzynarodowej oraz specjalizacji w wybranych obszarach technologicznych.</w:t>
            </w:r>
          </w:p>
          <w:p w14:paraId="143BDEAE" w14:textId="77F2A0A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tworzy solidną podstawę do dalszych prac strategicznych. Jednocześnie pozwalamy sobie przekazać kilka uwag, które naszym zdaniem mogłyby przyczynić się do dalszego wzmocnienia dokumentu, zwłaszcza w zakresie precyzyjnego określenia priorytetów technologicznych i instrumentów wdrożeniowych.</w:t>
            </w:r>
          </w:p>
          <w:p w14:paraId="6E1962D6" w14:textId="6B6BAEA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szczególności warto rozważyć wyraźniejsze rozróżnienie pomiędzy przemysłem półprzewodnikowym a przemysłem elektronicznym, który zasadniczo opiera się na podzespołach półprzewodnikowych. Są to obszary powiązane, jednak funkcjonujące w odmiennych modelach technologicznych, inwestycyjnych i kompetencyjnych. Brak jednoznacznego rozdzielenia tych kategorii może utrudniać precyzyjne definiowanie zakresu polityki oraz dobór adekwatnych instrumentów wsparcia.</w:t>
            </w:r>
          </w:p>
          <w:p w14:paraId="602CE45D" w14:textId="76D2686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Istotnym uzupełnieniem byłoby również uwzględnienie podstawowego podziału technologicznego sektora na technologie krzemowe oraz półprzewodniki złożone (compound semiconductors), obejmujące m.in. GaN. Segmenty te różnią się zarówno pod względem infrastruktury technologicznej, jak i charakteru łańcuchów wartości, kompetencji projektowych oraz docelowych zastosowań przemysłowych.</w:t>
            </w:r>
          </w:p>
          <w:p w14:paraId="737D3FBC" w14:textId="0EAF924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 Warto także rozważyć uzupełnienie dokumentu o syntetyczny przegląd istniejących w Polsce kompetencji technologicznych, obejmujący zarówno potencjał przemysłowy, jak i zasoby instytucji badawczych, wraz ze wskazaniem poziomu dojrzałości technologicznej oraz potencjału aplikacyjnego wybranych rozwiązań. Taka perspektywa mogłaby ułatwić racjonalną priorytetyzację działań oraz wskazanie obszarów, w których Polska posiada już dziś przewagi lub realne możliwości rozwoju. Warto również rozważyć bardziej jednoznaczne określeni priorytetów uruchomienia i skalowania produkcji w obszarach, które zapewniłyby uzyskanie choćby częściowej suwerenności technologicznej i jednocześnie mogłyby stanowić obszary specjalizacji Polski w średnim i długim horyzoncie. Dotyczy to w szczególności technologii związanych ze zintegrowaną elektroniką krzemową, optoelektroniką, elektroniką szerokoprzerwową, fotoniką zintegrowaną, detekcją podczerwieni, technologiami sensorycznymi oraz rozwiązaniami dla zastosowań obronnych, energetycznych i kwantowych. </w:t>
            </w:r>
          </w:p>
          <w:p w14:paraId="4FF53686" w14:textId="1DF0F72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Z perspektywy wdrożeniowej korzystne byłoby również dalsze doprecyzowanie mechanizmów komercjalizacji wyników badań, w tym instrumentów wspierających tworzenie nowych podmiotów technologicznych, modeli współwłasności własności intelektualnej oraz rozwiązań wzmacniających przejście od projektów badawczo-rozwojowych do wdrożeń przemysłowych. </w:t>
            </w:r>
          </w:p>
          <w:p w14:paraId="423D3F2C"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tym kontekście istotne wydaje się także silniejsze powiązanie dużych podmiotów przemysłowych z małymi firmami technologicznymi i start-upami, tak aby polityka </w:t>
            </w:r>
            <w:r w:rsidRPr="004F425A">
              <w:rPr>
                <w:rFonts w:ascii="Lato" w:eastAsia="Lato" w:hAnsi="Lato" w:cs="Lato"/>
                <w:sz w:val="20"/>
                <w:szCs w:val="20"/>
              </w:rPr>
              <w:lastRenderedPageBreak/>
              <w:t xml:space="preserve">sektorowa sprzyjała budowie pełniejszego ekosystemu innowacji, obejmującego zarówno transfer technologii, jak i rozwój krajowych łańcuchów wartości. </w:t>
            </w:r>
          </w:p>
          <w:p w14:paraId="43E41BD9" w14:textId="0C2279D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Przekazujemy powyższe uwagi z pełnym uznaniem dla znaczenia podjętej inicjatywy oraz z przekonaniem, że dalsze doprecyzowanie dokumentu może dodatkowo wzmocnić jego rolę jako narzędzia wspierającego budowę trwałej pozycji Polski w europejskim ekosystemie półprzewodników. </w:t>
            </w:r>
          </w:p>
        </w:tc>
        <w:tc>
          <w:tcPr>
            <w:tcW w:w="4859" w:type="dxa"/>
            <w:tcBorders>
              <w:top w:val="single" w:sz="4" w:space="0" w:color="auto"/>
              <w:left w:val="single" w:sz="4" w:space="0" w:color="auto"/>
              <w:bottom w:val="single" w:sz="4" w:space="0" w:color="auto"/>
              <w:right w:val="single" w:sz="4" w:space="0" w:color="auto"/>
            </w:tcBorders>
          </w:tcPr>
          <w:p w14:paraId="06485897" w14:textId="77777777" w:rsidR="00EB412C"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częściowo uwzględniona</w:t>
            </w:r>
          </w:p>
          <w:p w14:paraId="3C317BCC" w14:textId="5D544E2F" w:rsidR="00F574A2" w:rsidRPr="004F425A" w:rsidRDefault="00F574A2" w:rsidP="004F425A">
            <w:pPr>
              <w:spacing w:after="120" w:line="240" w:lineRule="auto"/>
              <w:rPr>
                <w:rFonts w:ascii="Lato" w:eastAsia="Lato" w:hAnsi="Lato" w:cs="Lato"/>
                <w:sz w:val="20"/>
                <w:szCs w:val="20"/>
              </w:rPr>
            </w:pPr>
            <w:r w:rsidRPr="004F425A">
              <w:rPr>
                <w:rFonts w:ascii="Lato" w:hAnsi="Lato"/>
                <w:sz w:val="20"/>
                <w:szCs w:val="20"/>
              </w:rPr>
              <w:br/>
            </w:r>
            <w:r w:rsidRPr="004F425A">
              <w:rPr>
                <w:rFonts w:ascii="Lato" w:eastAsia="Lato" w:hAnsi="Lato" w:cs="Lato"/>
                <w:sz w:val="20"/>
                <w:szCs w:val="20"/>
              </w:rPr>
              <w:t>Doprecyzowano wybrane zapisy dotyczące zakresu sektora półprzewodników, rozwoju kompetencji, technologii kwantowych oraz komercjalizacji wyników badań. Nie uwzględniono propozycji wskazania szczegółowych priorytetów technologicznych, konkretnych przedsiębiorstw i projektów ani zamieszczenia szczegółowej mapy krajowych kompetencji, ponieważ Polityka ma charakter strategiczny i zachowuje neutralność technologiczną oraz podmiotową.</w:t>
            </w:r>
          </w:p>
        </w:tc>
      </w:tr>
      <w:tr w:rsidR="004471C5" w:rsidRPr="004F425A" w14:paraId="63BB06FE" w14:textId="77777777" w:rsidTr="79FF9703">
        <w:tc>
          <w:tcPr>
            <w:tcW w:w="1425" w:type="dxa"/>
            <w:tcBorders>
              <w:top w:val="single" w:sz="4" w:space="0" w:color="auto"/>
              <w:left w:val="single" w:sz="4" w:space="0" w:color="auto"/>
              <w:bottom w:val="single" w:sz="4" w:space="0" w:color="auto"/>
              <w:right w:val="single" w:sz="4" w:space="0" w:color="auto"/>
            </w:tcBorders>
          </w:tcPr>
          <w:p w14:paraId="00235DD2" w14:textId="0F8ABFD9"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77F3902" w14:textId="45BBB25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Sieć Badawcza Łukasiewicz</w:t>
            </w:r>
          </w:p>
        </w:tc>
        <w:tc>
          <w:tcPr>
            <w:tcW w:w="5387" w:type="dxa"/>
            <w:tcBorders>
              <w:top w:val="single" w:sz="4" w:space="0" w:color="auto"/>
              <w:left w:val="single" w:sz="4" w:space="0" w:color="auto"/>
              <w:bottom w:val="single" w:sz="4" w:space="0" w:color="auto"/>
              <w:right w:val="single" w:sz="4" w:space="0" w:color="auto"/>
            </w:tcBorders>
          </w:tcPr>
          <w:p w14:paraId="233CC3E1" w14:textId="29A10CE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Str. 5 komentarze do zdania „Zastosowanie półprzewodników stało się powszechne dzięki ich miniaturyzacji do postaci układów scalonych (zwanych potocznie czipami), co zasadniczo obniżyło koszty produkcji systemów i poszerzyło możliwości powszechnego stosowania..” </w:t>
            </w:r>
          </w:p>
          <w:p w14:paraId="63773E87" w14:textId="402FA71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Produkcją zajmują się firmy technologiczne. Mikroelektronika to dziedzina</w:t>
            </w:r>
          </w:p>
          <w:p w14:paraId="7B1D9C6C" w14:textId="6BB990A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Ponadto produkcja układów scalonych dotyczy już zarówno elektroniki jaki fotoniki/optoelektroniki</w:t>
            </w:r>
          </w:p>
        </w:tc>
        <w:tc>
          <w:tcPr>
            <w:tcW w:w="4859" w:type="dxa"/>
            <w:tcBorders>
              <w:top w:val="single" w:sz="4" w:space="0" w:color="auto"/>
              <w:left w:val="single" w:sz="4" w:space="0" w:color="auto"/>
              <w:bottom w:val="single" w:sz="4" w:space="0" w:color="auto"/>
              <w:right w:val="single" w:sz="4" w:space="0" w:color="auto"/>
            </w:tcBorders>
          </w:tcPr>
          <w:p w14:paraId="453EBE51" w14:textId="4AD75511" w:rsidR="00F574A2" w:rsidRPr="004F425A" w:rsidRDefault="00F574A2" w:rsidP="004F425A">
            <w:pPr>
              <w:spacing w:after="120" w:line="240" w:lineRule="auto"/>
              <w:rPr>
                <w:rFonts w:ascii="Lato" w:eastAsia="Lato" w:hAnsi="Lato" w:cs="Lato"/>
                <w:sz w:val="20"/>
                <w:szCs w:val="20"/>
              </w:rPr>
            </w:pPr>
            <w:r w:rsidRPr="004F425A">
              <w:rPr>
                <w:rStyle w:val="Ppogrubienie"/>
                <w:rFonts w:ascii="Lato" w:hAnsi="Lato"/>
                <w:sz w:val="20"/>
                <w:szCs w:val="20"/>
              </w:rPr>
              <w:t>Uwaga uwzględniona.</w:t>
            </w:r>
            <w:r w:rsidRPr="004F425A">
              <w:rPr>
                <w:rFonts w:ascii="Lato" w:eastAsia="Lato" w:hAnsi="Lato" w:cs="Lato"/>
                <w:sz w:val="20"/>
                <w:szCs w:val="20"/>
              </w:rPr>
              <w:t xml:space="preserve"> </w:t>
            </w:r>
            <w:r w:rsidRPr="004F425A">
              <w:rPr>
                <w:rFonts w:ascii="Lato" w:hAnsi="Lato"/>
                <w:sz w:val="20"/>
                <w:szCs w:val="20"/>
              </w:rPr>
              <w:br/>
            </w:r>
            <w:r w:rsidRPr="004F425A">
              <w:rPr>
                <w:rFonts w:ascii="Lato" w:eastAsia="Lato" w:hAnsi="Lato" w:cs="Lato"/>
                <w:sz w:val="20"/>
                <w:szCs w:val="20"/>
              </w:rPr>
              <w:t>Doprecyzowano opis roli układów scalonych, uwzględniając ich znaczenie dla rozwoju zarówno mikroelektroniki, jak i fotoniki oraz optoelektroniki.</w:t>
            </w:r>
          </w:p>
        </w:tc>
      </w:tr>
      <w:tr w:rsidR="004471C5" w:rsidRPr="004F425A" w14:paraId="3BC71CFB" w14:textId="77777777" w:rsidTr="79FF9703">
        <w:tc>
          <w:tcPr>
            <w:tcW w:w="1425" w:type="dxa"/>
            <w:tcBorders>
              <w:top w:val="single" w:sz="4" w:space="0" w:color="auto"/>
              <w:left w:val="single" w:sz="4" w:space="0" w:color="auto"/>
              <w:bottom w:val="single" w:sz="4" w:space="0" w:color="auto"/>
              <w:right w:val="single" w:sz="4" w:space="0" w:color="auto"/>
            </w:tcBorders>
          </w:tcPr>
          <w:p w14:paraId="3A19F29A" w14:textId="0DD90BFC"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131981A" w14:textId="5B411AC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Polskie Towarzystwo Informatyczne </w:t>
            </w:r>
          </w:p>
        </w:tc>
        <w:tc>
          <w:tcPr>
            <w:tcW w:w="5387" w:type="dxa"/>
            <w:tcBorders>
              <w:top w:val="single" w:sz="4" w:space="0" w:color="auto"/>
              <w:left w:val="single" w:sz="4" w:space="0" w:color="auto"/>
              <w:bottom w:val="single" w:sz="4" w:space="0" w:color="auto"/>
              <w:right w:val="single" w:sz="4" w:space="0" w:color="auto"/>
            </w:tcBorders>
          </w:tcPr>
          <w:p w14:paraId="1EC794E2"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Brak perspektywy produktowej. </w:t>
            </w:r>
          </w:p>
          <w:p w14:paraId="64DEE62E" w14:textId="62FEE8A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projekcie polityki półprzewodnikowej skupiono się w głównej mierze na infrastrukturze i środowisku niezbędnym dla rozwoju sektora półprzewodników,pomijając aspekt produktowy, co naszym zdaniem jest niewystarczające dla realnej zmiany stanu obecnego. Położenie nacisku na inwestycje m.in. w linie pilotażowe jest istotne dla rozwoju technologii, jednakże aby technologia ta mogła obronić się na rynku europejskim i światowym potrzebne są konkretne produkty – półprzewodniki – wytwarzane w dużych ilościach (co najmniej miliony sztuk rocznie) z zachowaniem ścisłych rygorów jakościowych oraz konkurencyjności cenowej. Do tego niezbędna jest perspektywa produktowa, która zapewnia nie tylko ciągłość zapotrzebowania na know-how i zasoby potrzebne dla funkcjonowania sektora, ale co </w:t>
            </w:r>
            <w:r w:rsidRPr="004F425A">
              <w:rPr>
                <w:rFonts w:ascii="Lato" w:eastAsia="Lato" w:hAnsi="Lato" w:cs="Lato"/>
                <w:sz w:val="20"/>
                <w:szCs w:val="20"/>
              </w:rPr>
              <w:lastRenderedPageBreak/>
              <w:t>najważniejsze zapewnia możliwość finansowania długofalowego rozwoju sektora półprzewodników z pieniędzy rynkowych, nie wymagających docelowo wsparcia państwa. Perspektywa produktowa winna stanowić jeden z podstawowych filarów polityki rozwoju polskiego sektora półprzewodników.</w:t>
            </w:r>
          </w:p>
        </w:tc>
        <w:tc>
          <w:tcPr>
            <w:tcW w:w="4859" w:type="dxa"/>
            <w:tcBorders>
              <w:top w:val="single" w:sz="4" w:space="0" w:color="auto"/>
              <w:left w:val="single" w:sz="4" w:space="0" w:color="auto"/>
              <w:bottom w:val="single" w:sz="4" w:space="0" w:color="auto"/>
              <w:right w:val="single" w:sz="4" w:space="0" w:color="auto"/>
            </w:tcBorders>
          </w:tcPr>
          <w:p w14:paraId="17D620ED" w14:textId="41E74E5C" w:rsidR="00F574A2" w:rsidRPr="004F425A" w:rsidRDefault="00E017AE" w:rsidP="004F425A">
            <w:pPr>
              <w:spacing w:after="120" w:line="240" w:lineRule="auto"/>
              <w:rPr>
                <w:rFonts w:ascii="Lato" w:eastAsia="Lato" w:hAnsi="Lato" w:cs="Lato"/>
                <w:sz w:val="20"/>
                <w:szCs w:val="20"/>
              </w:rPr>
            </w:pPr>
            <w:r w:rsidRPr="004F425A">
              <w:rPr>
                <w:rStyle w:val="Ppogrubienie"/>
                <w:rFonts w:ascii="Lato" w:hAnsi="Lato"/>
                <w:sz w:val="20"/>
                <w:szCs w:val="20"/>
              </w:rPr>
              <w:lastRenderedPageBreak/>
              <w:t xml:space="preserve">Uwaga </w:t>
            </w:r>
            <w:r w:rsidR="00D64EAB" w:rsidRPr="004F425A">
              <w:rPr>
                <w:rStyle w:val="Ppogrubienie"/>
                <w:rFonts w:ascii="Lato" w:hAnsi="Lato"/>
                <w:sz w:val="20"/>
                <w:szCs w:val="20"/>
              </w:rPr>
              <w:t>nieuwzględniona.</w:t>
            </w:r>
            <w:r w:rsidR="00D64EAB" w:rsidRPr="004F425A">
              <w:rPr>
                <w:rFonts w:ascii="Lato" w:hAnsi="Lato"/>
                <w:sz w:val="20"/>
                <w:szCs w:val="20"/>
              </w:rPr>
              <w:t xml:space="preserve"> </w:t>
            </w:r>
            <w:r w:rsidR="00F574A2" w:rsidRPr="004F425A">
              <w:rPr>
                <w:rFonts w:ascii="Lato" w:hAnsi="Lato"/>
                <w:sz w:val="20"/>
                <w:szCs w:val="20"/>
              </w:rPr>
              <w:br/>
            </w:r>
            <w:r w:rsidR="00F574A2" w:rsidRPr="004F425A">
              <w:rPr>
                <w:rFonts w:ascii="Lato" w:eastAsia="Lato" w:hAnsi="Lato" w:cs="Lato"/>
                <w:sz w:val="20"/>
                <w:szCs w:val="20"/>
              </w:rPr>
              <w:t>Dokument koncentruje się na warunkach ramowych zgodnie z rolą państwa opisaną w rozdz. Impuls państwa („Państwo nie powinno projektować innowacji ani narzucać konkretnych technologii”); perspektywa produktowa pozostaje domeną przedsiębiorstw, wspieraną pośrednio przez mechanizmy popytowe.</w:t>
            </w:r>
          </w:p>
        </w:tc>
      </w:tr>
      <w:tr w:rsidR="004471C5" w:rsidRPr="004F425A" w14:paraId="00814174" w14:textId="77777777" w:rsidTr="79FF9703">
        <w:tc>
          <w:tcPr>
            <w:tcW w:w="1425" w:type="dxa"/>
            <w:tcBorders>
              <w:top w:val="single" w:sz="4" w:space="0" w:color="auto"/>
              <w:left w:val="single" w:sz="4" w:space="0" w:color="auto"/>
              <w:bottom w:val="single" w:sz="4" w:space="0" w:color="auto"/>
              <w:right w:val="single" w:sz="4" w:space="0" w:color="auto"/>
            </w:tcBorders>
          </w:tcPr>
          <w:p w14:paraId="1C084AEE" w14:textId="2F95496C"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585A29D" w14:textId="578B2D3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Polskie Towarzystwo Informatyczne</w:t>
            </w:r>
          </w:p>
        </w:tc>
        <w:tc>
          <w:tcPr>
            <w:tcW w:w="5387" w:type="dxa"/>
            <w:tcBorders>
              <w:top w:val="single" w:sz="4" w:space="0" w:color="auto"/>
              <w:left w:val="single" w:sz="4" w:space="0" w:color="auto"/>
              <w:bottom w:val="single" w:sz="4" w:space="0" w:color="auto"/>
              <w:right w:val="single" w:sz="4" w:space="0" w:color="auto"/>
            </w:tcBorders>
          </w:tcPr>
          <w:p w14:paraId="58D8214B" w14:textId="7127813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Potrzeba zwiększenia roli państwa w pierwszej fazie rozwoju sektora półprzewodników.</w:t>
            </w:r>
          </w:p>
          <w:p w14:paraId="4F28E560" w14:textId="168A521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„Impuls państwa” został wymieniony jako jeden z 7 filarów polityki, jednakże z uwagi na wysokie nakłady i bariery wejścia rola państwa w polityce półprzewodnikowej powinna zostać dodatkowo wzmocniona. Aspekt ten jest tym ważniejszy, że praktycznie wszystkie państwa posiadające liczące się sektory półprzewodnikowe w Europie, Azji czy Ameryce intensywnie wspierają ich rozwój przez swoje agendy państwowe, zarówno w sferze finansowej jak i formalno-</w:t>
            </w:r>
          </w:p>
          <w:p w14:paraId="43C66FA4" w14:textId="0B51EFD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regulacyjnej. Polska dysponuje w tym obszarze możliwościami wykorzystania m.in. spółek kontrolowanych przez Skarb Państwa czy funduszy inwestycyjnych (na przykład Polskiego Funduszu Rozwoju) do istotnego zwiększenia nakładów na rozwoju sektora półprzewodników.</w:t>
            </w:r>
          </w:p>
          <w:p w14:paraId="771CE0E3" w14:textId="15E6940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Optymalnym rozwiązaniem wydaje się zwłaszcza wykorzystanie potencjału spółek skarbu państwa do precyzyjnego zrealizowania perspektywy produktowej. Warto zwrócić uwagę na dwa główne obszary rozwoju w tym zakresie: </w:t>
            </w:r>
          </w:p>
          <w:p w14:paraId="68100E68" w14:textId="21B13A6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 Obszar zastosowań cywilnych</w:t>
            </w:r>
          </w:p>
          <w:p w14:paraId="31D4E90B" w14:textId="24C93E7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tym obszarze kluczową rolę pełni Polska Wytwórnia Papierów Wartościowych S.A., spółka Skarbu Państwa, która kupuje ok. 10 milionów mikroprocesorów rocznie do</w:t>
            </w:r>
          </w:p>
          <w:p w14:paraId="4FFD0956"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produkcji dokumentów identyfikacyjnych (m.in. dowody osobiste, paszporty biometryczne).</w:t>
            </w:r>
          </w:p>
          <w:p w14:paraId="41A5DA13" w14:textId="4EF48D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Mikroprocesory dla PWPW S.A powinny zostać uznane jako priorytetowy i najbardziej obiecujący obszar rozwoju polskiego sektora półprzewodników dla zbudowania własnego, polskiego potencjału w tym zakresie. Obszar mikroprocesorów dla dokumentów identyfikacyjnych jest tym bardziej zachęcający, że wymagania techniczne i certyfikacyjne dla takich mikroprocesorów są stabilne i precyzyjnie wyspecyfikowane w normach ISO i ICAO.</w:t>
            </w:r>
          </w:p>
          <w:p w14:paraId="1D99562F" w14:textId="4070C79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Obszar zastosowań wojskowych</w:t>
            </w:r>
          </w:p>
          <w:p w14:paraId="45A854FE" w14:textId="3F2D2CF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Obszar zastosowań wojskowych oraz dual-use dla rozwoju sektora półprzewodników winien zostać uwzględniony i dopracowany we współpracy z Ministerstwem Obrony Narodowej jako strategicznie istotny dla bezpieczeństwa państwa polskiego. Obszar ten powinien naszym zdaniem zostać ujęty jako jeden z filarów rozwoju polskiego sektora</w:t>
            </w:r>
          </w:p>
          <w:p w14:paraId="4AD42BC2" w14:textId="65D1736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półprzewodników.</w:t>
            </w:r>
          </w:p>
        </w:tc>
        <w:tc>
          <w:tcPr>
            <w:tcW w:w="4859" w:type="dxa"/>
            <w:tcBorders>
              <w:top w:val="single" w:sz="4" w:space="0" w:color="auto"/>
              <w:left w:val="single" w:sz="4" w:space="0" w:color="auto"/>
              <w:bottom w:val="single" w:sz="4" w:space="0" w:color="auto"/>
              <w:right w:val="single" w:sz="4" w:space="0" w:color="auto"/>
            </w:tcBorders>
          </w:tcPr>
          <w:p w14:paraId="488D6899" w14:textId="61B5E973" w:rsidR="00F574A2" w:rsidRPr="004F425A" w:rsidRDefault="00DA2296" w:rsidP="004F425A">
            <w:pPr>
              <w:spacing w:after="120" w:line="240" w:lineRule="auto"/>
              <w:rPr>
                <w:rFonts w:ascii="Lato" w:hAnsi="Lato"/>
                <w:b/>
                <w:sz w:val="20"/>
                <w:szCs w:val="20"/>
              </w:rPr>
            </w:pPr>
            <w:r w:rsidRPr="004F425A">
              <w:rPr>
                <w:rStyle w:val="Ppogrubienie"/>
                <w:rFonts w:ascii="Lato" w:hAnsi="Lato"/>
                <w:sz w:val="20"/>
                <w:szCs w:val="20"/>
              </w:rPr>
              <w:lastRenderedPageBreak/>
              <w:t xml:space="preserve">Uwaga </w:t>
            </w:r>
            <w:r w:rsidR="00880C14" w:rsidRPr="004F425A">
              <w:rPr>
                <w:rStyle w:val="Ppogrubienie"/>
                <w:rFonts w:ascii="Lato" w:hAnsi="Lato"/>
                <w:sz w:val="20"/>
                <w:szCs w:val="20"/>
              </w:rPr>
              <w:t>nieuwzględnion</w:t>
            </w:r>
            <w:r w:rsidR="00CD66BE" w:rsidRPr="004F425A">
              <w:rPr>
                <w:rStyle w:val="Ppogrubienie"/>
                <w:rFonts w:ascii="Lato" w:hAnsi="Lato"/>
                <w:sz w:val="20"/>
                <w:szCs w:val="20"/>
              </w:rPr>
              <w:t>a.</w:t>
            </w:r>
            <w:r w:rsidR="00F574A2" w:rsidRPr="004F425A">
              <w:rPr>
                <w:rFonts w:ascii="Lato" w:hAnsi="Lato"/>
                <w:sz w:val="20"/>
                <w:szCs w:val="20"/>
              </w:rPr>
              <w:br/>
            </w:r>
            <w:r w:rsidR="00880C14" w:rsidRPr="004F425A">
              <w:rPr>
                <w:rFonts w:ascii="Lato" w:eastAsia="Lato" w:hAnsi="Lato" w:cs="Lato"/>
                <w:sz w:val="20"/>
                <w:szCs w:val="20"/>
              </w:rPr>
              <w:t xml:space="preserve">Z uwagi na założenia dokumentu </w:t>
            </w:r>
            <w:r w:rsidR="00F574A2" w:rsidRPr="004F425A">
              <w:rPr>
                <w:rFonts w:ascii="Lato" w:eastAsia="Lato" w:hAnsi="Lato" w:cs="Lato"/>
                <w:sz w:val="20"/>
                <w:szCs w:val="20"/>
              </w:rPr>
              <w:t>poziom zaangażowania państwa (Filar II) pozostaje niezmieniony. Ewentualne wzmocnienie instrumentów popytowych będzie przedmiotem przeglądu przy ewaluacji śródokresowej (2028 r.).</w:t>
            </w:r>
          </w:p>
        </w:tc>
      </w:tr>
      <w:tr w:rsidR="004471C5" w:rsidRPr="004F425A" w14:paraId="1D0D3CEA" w14:textId="77777777" w:rsidTr="79FF9703">
        <w:tc>
          <w:tcPr>
            <w:tcW w:w="1425" w:type="dxa"/>
            <w:tcBorders>
              <w:top w:val="single" w:sz="4" w:space="0" w:color="auto"/>
              <w:left w:val="single" w:sz="4" w:space="0" w:color="auto"/>
              <w:bottom w:val="single" w:sz="4" w:space="0" w:color="auto"/>
              <w:right w:val="single" w:sz="4" w:space="0" w:color="auto"/>
            </w:tcBorders>
          </w:tcPr>
          <w:p w14:paraId="2C07B0B5" w14:textId="0F8ABFD9"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B32CFEF" w14:textId="7E18ED2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Polskie Towarzystwo Informatyczne</w:t>
            </w:r>
          </w:p>
        </w:tc>
        <w:tc>
          <w:tcPr>
            <w:tcW w:w="5387" w:type="dxa"/>
            <w:tcBorders>
              <w:top w:val="single" w:sz="4" w:space="0" w:color="auto"/>
              <w:left w:val="single" w:sz="4" w:space="0" w:color="auto"/>
              <w:bottom w:val="single" w:sz="4" w:space="0" w:color="auto"/>
              <w:right w:val="single" w:sz="4" w:space="0" w:color="auto"/>
            </w:tcBorders>
          </w:tcPr>
          <w:p w14:paraId="4148E17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Koncentracja na obszarze projektowania i back-end</w:t>
            </w:r>
          </w:p>
          <w:p w14:paraId="23FF5D6A"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posiada dobre zaplecze naukowo-techniczne, zwłaszcza w obszarze projektowania chipów.</w:t>
            </w:r>
          </w:p>
          <w:p w14:paraId="1025FA6B" w14:textId="7BAE54C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Z uwagi na bardzo wysokie koszty wejścia w obszar produkcji (front-end) jednym z filarów polityki dla sektora półprzewodników powinno być skoncentrowanie nakładów i działań na obszarze projektowania i back-end (w pierwszej fazie rozwoju sektora półprzewodników). Polska posiada w tym obszarze wykwalifikowane kadry, które umiejętne wykorzystane umożliwiają zbudowanie realnej przewagi konkurencyjnej przy relatywnie niskich nakładach inwestycyjnych, będących w zasięgu państwa polskiego. Bardzo ważne jest aby prace projektowe i backend zostały skoordynowane w celu stworzenia produktów rynkowych kontrolowanych przez polskie podmioty (vide punkt dot. perspektywy produktowej). Równoległe inwestowanie dużych środków finansowych na front-end i back-end będzie naszym zdaniem prowadziło do niepotrzebnego rozproszenia nakładów, które w obszarze projektowania i back-end mogą zostać </w:t>
            </w:r>
            <w:r w:rsidRPr="004F425A">
              <w:rPr>
                <w:rFonts w:ascii="Lato" w:eastAsia="Lato" w:hAnsi="Lato" w:cs="Lato"/>
                <w:sz w:val="20"/>
                <w:szCs w:val="20"/>
              </w:rPr>
              <w:lastRenderedPageBreak/>
              <w:t>wykorzystane znacznie bardziej efektywnie. Nakłady na front-end winny zostać przewidziane w drugiej fazie rozwoju polskiego sektora półprzewodników.</w:t>
            </w:r>
          </w:p>
        </w:tc>
        <w:tc>
          <w:tcPr>
            <w:tcW w:w="4859" w:type="dxa"/>
            <w:tcBorders>
              <w:top w:val="single" w:sz="4" w:space="0" w:color="auto"/>
              <w:left w:val="single" w:sz="4" w:space="0" w:color="auto"/>
              <w:bottom w:val="single" w:sz="4" w:space="0" w:color="auto"/>
              <w:right w:val="single" w:sz="4" w:space="0" w:color="auto"/>
            </w:tcBorders>
          </w:tcPr>
          <w:p w14:paraId="4EF76A47" w14:textId="1AC9CC4D" w:rsidR="00F574A2" w:rsidRPr="004F425A" w:rsidRDefault="00CD66BE" w:rsidP="004F425A">
            <w:pPr>
              <w:spacing w:after="120" w:line="240" w:lineRule="auto"/>
              <w:rPr>
                <w:rFonts w:ascii="Lato" w:eastAsia="Lato" w:hAnsi="Lato" w:cs="Lato"/>
                <w:sz w:val="20"/>
                <w:szCs w:val="20"/>
              </w:rPr>
            </w:pPr>
            <w:r w:rsidRPr="004F425A">
              <w:rPr>
                <w:rStyle w:val="Ppogrubienie"/>
                <w:rFonts w:ascii="Lato" w:hAnsi="Lato"/>
                <w:sz w:val="20"/>
                <w:szCs w:val="20"/>
              </w:rPr>
              <w:lastRenderedPageBreak/>
              <w:t>Uwaga czesiowo uwzględniona.</w:t>
            </w:r>
            <w:r w:rsidRPr="004F425A">
              <w:rPr>
                <w:rFonts w:ascii="Lato" w:hAnsi="Lato"/>
                <w:sz w:val="20"/>
                <w:szCs w:val="20"/>
              </w:rPr>
              <w:t xml:space="preserve"> </w:t>
            </w:r>
            <w:r w:rsidR="00F574A2" w:rsidRPr="004F425A">
              <w:rPr>
                <w:rFonts w:ascii="Lato" w:hAnsi="Lato"/>
                <w:sz w:val="20"/>
                <w:szCs w:val="20"/>
              </w:rPr>
              <w:br/>
            </w:r>
            <w:r w:rsidR="00691113" w:rsidRPr="004F425A">
              <w:rPr>
                <w:rFonts w:ascii="Lato" w:eastAsia="Lato" w:hAnsi="Lato" w:cs="Lato"/>
                <w:sz w:val="20"/>
                <w:szCs w:val="20"/>
              </w:rPr>
              <w:t>D</w:t>
            </w:r>
            <w:r w:rsidR="00F574A2" w:rsidRPr="004F425A">
              <w:rPr>
                <w:rFonts w:ascii="Lato" w:eastAsia="Lato" w:hAnsi="Lato" w:cs="Lato"/>
                <w:sz w:val="20"/>
                <w:szCs w:val="20"/>
              </w:rPr>
              <w:t xml:space="preserve">okument </w:t>
            </w:r>
            <w:r w:rsidR="00691113" w:rsidRPr="004F425A">
              <w:rPr>
                <w:rFonts w:ascii="Lato" w:eastAsia="Lato" w:hAnsi="Lato" w:cs="Lato"/>
                <w:sz w:val="20"/>
                <w:szCs w:val="20"/>
              </w:rPr>
              <w:t xml:space="preserve">odnosi się do </w:t>
            </w:r>
            <w:r w:rsidR="00F574A2" w:rsidRPr="004F425A">
              <w:rPr>
                <w:rFonts w:ascii="Lato" w:eastAsia="Lato" w:hAnsi="Lato" w:cs="Lato"/>
                <w:sz w:val="20"/>
                <w:szCs w:val="20"/>
              </w:rPr>
              <w:t>projektowani</w:t>
            </w:r>
            <w:r w:rsidR="00691113" w:rsidRPr="004F425A">
              <w:rPr>
                <w:rFonts w:ascii="Lato" w:eastAsia="Lato" w:hAnsi="Lato" w:cs="Lato"/>
                <w:sz w:val="20"/>
                <w:szCs w:val="20"/>
              </w:rPr>
              <w:t>a</w:t>
            </w:r>
            <w:r w:rsidR="00F574A2" w:rsidRPr="004F425A">
              <w:rPr>
                <w:rFonts w:ascii="Lato" w:eastAsia="Lato" w:hAnsi="Lato" w:cs="Lato"/>
                <w:sz w:val="20"/>
                <w:szCs w:val="20"/>
              </w:rPr>
              <w:t xml:space="preserve"> oraz wybran</w:t>
            </w:r>
            <w:r w:rsidR="00691113" w:rsidRPr="004F425A">
              <w:rPr>
                <w:rFonts w:ascii="Lato" w:eastAsia="Lato" w:hAnsi="Lato" w:cs="Lato"/>
                <w:sz w:val="20"/>
                <w:szCs w:val="20"/>
              </w:rPr>
              <w:t>ych</w:t>
            </w:r>
            <w:r w:rsidR="00F574A2" w:rsidRPr="004F425A">
              <w:rPr>
                <w:rFonts w:ascii="Lato" w:eastAsia="Lato" w:hAnsi="Lato" w:cs="Lato"/>
                <w:sz w:val="20"/>
                <w:szCs w:val="20"/>
              </w:rPr>
              <w:t xml:space="preserve"> segment</w:t>
            </w:r>
            <w:r w:rsidR="00691113" w:rsidRPr="004F425A">
              <w:rPr>
                <w:rFonts w:ascii="Lato" w:eastAsia="Lato" w:hAnsi="Lato" w:cs="Lato"/>
                <w:sz w:val="20"/>
                <w:szCs w:val="20"/>
              </w:rPr>
              <w:t>ów</w:t>
            </w:r>
            <w:r w:rsidR="00F574A2" w:rsidRPr="004F425A">
              <w:rPr>
                <w:rFonts w:ascii="Lato" w:eastAsia="Lato" w:hAnsi="Lato" w:cs="Lato"/>
                <w:sz w:val="20"/>
                <w:szCs w:val="20"/>
              </w:rPr>
              <w:t xml:space="preserve"> back-endu jako obszar</w:t>
            </w:r>
            <w:r w:rsidR="00F50F14" w:rsidRPr="004F425A">
              <w:rPr>
                <w:rFonts w:ascii="Lato" w:eastAsia="Lato" w:hAnsi="Lato" w:cs="Lato"/>
                <w:sz w:val="20"/>
                <w:szCs w:val="20"/>
              </w:rPr>
              <w:t xml:space="preserve">ów </w:t>
            </w:r>
            <w:r w:rsidR="00F574A2" w:rsidRPr="004F425A">
              <w:rPr>
                <w:rFonts w:ascii="Lato" w:eastAsia="Lato" w:hAnsi="Lato" w:cs="Lato"/>
                <w:sz w:val="20"/>
                <w:szCs w:val="20"/>
              </w:rPr>
              <w:t>o krótszej ścieżce wdrożeniowej i wysokiej dźwigni rynkowej (rozdz. „Luka w łańcuchu wartości”), bez formalnego ograniczenia polityki wyłącznie do tych segmentów, zgodnie z zasadą horyzontalności.</w:t>
            </w:r>
          </w:p>
        </w:tc>
      </w:tr>
      <w:tr w:rsidR="004471C5" w:rsidRPr="004F425A" w14:paraId="611A413A" w14:textId="77777777" w:rsidTr="79FF9703">
        <w:tc>
          <w:tcPr>
            <w:tcW w:w="1425" w:type="dxa"/>
            <w:tcBorders>
              <w:top w:val="single" w:sz="4" w:space="0" w:color="auto"/>
              <w:left w:val="single" w:sz="4" w:space="0" w:color="auto"/>
              <w:bottom w:val="single" w:sz="4" w:space="0" w:color="auto"/>
              <w:right w:val="single" w:sz="4" w:space="0" w:color="auto"/>
            </w:tcBorders>
          </w:tcPr>
          <w:p w14:paraId="4AC88792" w14:textId="0DD90BFC"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23FE475" w14:textId="1D4F896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Polskie Towarzystwo Informatyczne</w:t>
            </w:r>
          </w:p>
        </w:tc>
        <w:tc>
          <w:tcPr>
            <w:tcW w:w="5387" w:type="dxa"/>
            <w:tcBorders>
              <w:top w:val="single" w:sz="4" w:space="0" w:color="auto"/>
              <w:left w:val="single" w:sz="4" w:space="0" w:color="auto"/>
              <w:bottom w:val="single" w:sz="4" w:space="0" w:color="auto"/>
              <w:right w:val="single" w:sz="4" w:space="0" w:color="auto"/>
            </w:tcBorders>
          </w:tcPr>
          <w:p w14:paraId="37751C4A" w14:textId="41CD77C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Wsparcie ekosystemu Open-Source</w:t>
            </w:r>
          </w:p>
          <w:p w14:paraId="0DCA7DDF" w14:textId="5CE5D76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Rozwiązania półprzewodnikowe, w szczególności sensory, mikrokontrolery i mikroprocesory, potrzebują oprogramowania do poprawnego funkcjonowania. Polska jest szczególnie znanym i cenionym na całym świecie krajem posiadającym wysokiej klasy niezależnych specjalistów w dziedzinie wolnego oprogramowania (Free and Open-Source So</w:t>
            </w:r>
            <w:r w:rsidRPr="004F425A">
              <w:rPr>
                <w:rFonts w:ascii="Lato" w:eastAsia="Lato" w:hAnsi="Lato" w:cs="Lato" w:hint="eastAsia"/>
                <w:sz w:val="20"/>
                <w:szCs w:val="20"/>
              </w:rPr>
              <w:t>􀅌</w:t>
            </w:r>
            <w:r w:rsidRPr="004F425A">
              <w:rPr>
                <w:rFonts w:ascii="Lato" w:eastAsia="Lato" w:hAnsi="Lato" w:cs="Lato"/>
                <w:sz w:val="20"/>
                <w:szCs w:val="20"/>
              </w:rPr>
              <w:t>ware), które zapewnia najniższy możliwy koszt opracowania, rozwoju, i utrzymania rozwiązań, a także całkowitą niezależność szeroko rozumianych łańcuchów dostaw.</w:t>
            </w:r>
          </w:p>
          <w:p w14:paraId="65C46E66" w14:textId="239A06D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Wsparcie krajowej społeczności Open-Source</w:t>
            </w:r>
          </w:p>
          <w:p w14:paraId="2ED165FE" w14:textId="2D3A244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Już na etapie projektowania oraz prototypowania mikroelektroniki należy zapewnić wsparcie dla krajowej społeczności Open-Source / freelancerów / MŚP, w celu opracowania otwartych publicznie dostępnych sterowników i portów dla systemów OS/RTOS na opracowywane układy, tak aby zapewnić ich błyskawiczną użyteczność aplikacyjną oraz komercyjną atrakcyjność produktową.</w:t>
            </w:r>
          </w:p>
          <w:p w14:paraId="2709015B" w14:textId="650649D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Prawdziwie otwarty model licencyjny</w:t>
            </w:r>
          </w:p>
          <w:p w14:paraId="3FFFB2E5" w14:textId="44D80D0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Powiązane kody źródłowe powinny być objęte prawdziwie wolną licencją (np. BSD, MIT, Apache) unikając “wirusowych” licencji (np. GNU, CC, PD). Alternatywnie mogą być objęte kilkoma licencjami jednocześnie tak aby nie ograniczać potencjalnych zastosowań.</w:t>
            </w:r>
          </w:p>
          <w:p w14:paraId="45280BD2" w14:textId="3A48699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Dokumentacja techniczna</w:t>
            </w:r>
          </w:p>
          <w:p w14:paraId="5F4EDFCA" w14:textId="28FD21F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Bardzo ważne jest określenie rygorystycznych wymagań dotyczących dostępności oraz wysokiej jakości publicznej dokumentacji technicznej (datasheets, technical reference manuals, itp), co bezpośrednio przekłada się na </w:t>
            </w:r>
            <w:r w:rsidRPr="004F425A">
              <w:rPr>
                <w:rFonts w:ascii="Lato" w:eastAsia="Lato" w:hAnsi="Lato" w:cs="Lato"/>
                <w:sz w:val="20"/>
                <w:szCs w:val="20"/>
              </w:rPr>
              <w:lastRenderedPageBreak/>
              <w:t>użyteczność, popularność, a w konsekwencji sprzedaż układów scalonych.</w:t>
            </w:r>
          </w:p>
          <w:p w14:paraId="2BDABD34" w14:textId="5B8BE61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Otwarty sprzęt</w:t>
            </w:r>
          </w:p>
          <w:p w14:paraId="2B82097F" w14:textId="5627829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Rozwiązania znane jako Open-Source Hardware stanowią dopełnienie wolnego oprogramowania budując kompletny niezależny ekosystem świata elektroniki. Począwszy od otwartych architektur (np. RISC-V), poprzez otwarte zestawy deweloperskie i ewaluacyjne (tzw. devel-kits), kończąc na kompletnych produktach o otwartej architekturze (np. komputery frame.work). Otwarty sprzęt zapewniają nie tylko silną odporność fizycznych łańcuchów dostaw czy dywersyfikację produkcji (włączając dual-use), ale również niezależność od skomplikowanych modeli licencyjnych podatnych na geopolityczne zawirowania rynkowe, przyśpieszenie i minimalizację kosztów edukacji, itp.</w:t>
            </w:r>
          </w:p>
        </w:tc>
        <w:tc>
          <w:tcPr>
            <w:tcW w:w="4859" w:type="dxa"/>
            <w:tcBorders>
              <w:top w:val="single" w:sz="4" w:space="0" w:color="auto"/>
              <w:left w:val="single" w:sz="4" w:space="0" w:color="auto"/>
              <w:bottom w:val="single" w:sz="4" w:space="0" w:color="auto"/>
              <w:right w:val="single" w:sz="4" w:space="0" w:color="auto"/>
            </w:tcBorders>
          </w:tcPr>
          <w:p w14:paraId="4696DBE0" w14:textId="17D8A327" w:rsidR="00F574A2" w:rsidRPr="004F425A" w:rsidRDefault="00F50F14"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Uwaga nieuwzględniona.</w:t>
            </w:r>
          </w:p>
          <w:p w14:paraId="07FFBB2E" w14:textId="7D79E773" w:rsidR="00F574A2" w:rsidRPr="004F425A" w:rsidRDefault="006A779A"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Postulat wykracza poza zakres Polityki. W ocenie MC z uwagi na horyzontalny i ogólny charakter dokumentu nie wymaga on modyfikacji w tym zakresie. </w:t>
            </w:r>
          </w:p>
        </w:tc>
      </w:tr>
      <w:tr w:rsidR="004471C5" w:rsidRPr="004F425A" w14:paraId="586AF8B5" w14:textId="77777777" w:rsidTr="79FF9703">
        <w:tc>
          <w:tcPr>
            <w:tcW w:w="1425" w:type="dxa"/>
            <w:tcBorders>
              <w:top w:val="single" w:sz="4" w:space="0" w:color="auto"/>
              <w:left w:val="single" w:sz="4" w:space="0" w:color="auto"/>
              <w:bottom w:val="single" w:sz="4" w:space="0" w:color="auto"/>
              <w:right w:val="single" w:sz="4" w:space="0" w:color="auto"/>
            </w:tcBorders>
          </w:tcPr>
          <w:p w14:paraId="6E63B756" w14:textId="2F95496C"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E429BAB" w14:textId="0F0DABC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SEMI Europe</w:t>
            </w:r>
          </w:p>
        </w:tc>
        <w:tc>
          <w:tcPr>
            <w:tcW w:w="5387" w:type="dxa"/>
            <w:tcBorders>
              <w:top w:val="single" w:sz="4" w:space="0" w:color="auto"/>
              <w:left w:val="single" w:sz="4" w:space="0" w:color="auto"/>
              <w:bottom w:val="single" w:sz="4" w:space="0" w:color="auto"/>
              <w:right w:val="single" w:sz="4" w:space="0" w:color="auto"/>
            </w:tcBorders>
          </w:tcPr>
          <w:p w14:paraId="336B71A6"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Konkretyzacja backendu jako polskiej specjalizacji narodowej</w:t>
            </w:r>
          </w:p>
          <w:p w14:paraId="06551968" w14:textId="4D63195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słusznie wskazuje na potrzebę integracji  z globalnym łańcuchem wartości. Proponujemy wprost wskazać advenced packaging i testowanie (OSAT/APT) jako polska specjalizacje narodową 2026-2030. Polska ma udowodniona zdolność w tym segmencie jak pokazuje inwestycja Intel Wrocław (backend z technologiami TSV, hybrid bonding, wafer-level packaging) , a także obecność firm takich jak AT&amp;S(podzespoły), Amkor (planowane inwestycje w regionie) i krajowych dostawców precyzyjnych komponentów.  Obecny globalny Hub ATP zlokalizowany jest w 70-80% w Chinach i Malezji, co niesie ryzyka geopolityczne i wydłużone łańcuchy dostaw. Budowa minimalnych europejskich mocy backendowych służy zabezpieczeniu na wypadek kryzysów.</w:t>
            </w:r>
          </w:p>
        </w:tc>
        <w:tc>
          <w:tcPr>
            <w:tcW w:w="4859" w:type="dxa"/>
            <w:tcBorders>
              <w:top w:val="single" w:sz="4" w:space="0" w:color="auto"/>
              <w:left w:val="single" w:sz="4" w:space="0" w:color="auto"/>
              <w:bottom w:val="single" w:sz="4" w:space="0" w:color="auto"/>
              <w:right w:val="single" w:sz="4" w:space="0" w:color="auto"/>
            </w:tcBorders>
          </w:tcPr>
          <w:p w14:paraId="55B1B30A" w14:textId="4AAF728D" w:rsidR="00F574A2" w:rsidRPr="004F425A" w:rsidRDefault="006A779A" w:rsidP="004F425A">
            <w:pPr>
              <w:spacing w:after="120" w:line="240" w:lineRule="auto"/>
              <w:rPr>
                <w:rFonts w:ascii="Lato" w:hAnsi="Lato"/>
                <w:sz w:val="20"/>
                <w:szCs w:val="20"/>
              </w:rPr>
            </w:pPr>
            <w:r w:rsidRPr="004F425A">
              <w:rPr>
                <w:rStyle w:val="Ppogrubienie"/>
                <w:rFonts w:ascii="Lato" w:hAnsi="Lato"/>
                <w:sz w:val="20"/>
                <w:szCs w:val="20"/>
              </w:rPr>
              <w:t>Uwaga nieuwzględniona.</w:t>
            </w:r>
            <w:r w:rsidRPr="004F425A">
              <w:rPr>
                <w:rFonts w:ascii="Lato" w:hAnsi="Lato"/>
                <w:sz w:val="20"/>
                <w:szCs w:val="20"/>
              </w:rPr>
              <w:t xml:space="preserve"> </w:t>
            </w:r>
            <w:r w:rsidR="00F574A2" w:rsidRPr="004F425A">
              <w:rPr>
                <w:rFonts w:ascii="Lato" w:hAnsi="Lato"/>
                <w:sz w:val="20"/>
                <w:szCs w:val="20"/>
              </w:rPr>
              <w:br/>
            </w:r>
            <w:r w:rsidR="00DF49D8" w:rsidRPr="004F425A">
              <w:rPr>
                <w:rFonts w:ascii="Lato" w:eastAsia="Lato" w:hAnsi="Lato" w:cs="Lato"/>
                <w:sz w:val="20"/>
                <w:szCs w:val="20"/>
              </w:rPr>
              <w:t xml:space="preserve">Postulat wykracza poza zakres Polityki. W ocenie MC z uwagi na horyzontalny i ogólny charakter dokumentu nie wymaga on modyfikacji w tym zakresie. </w:t>
            </w:r>
            <w:r w:rsidR="00F574A2" w:rsidRPr="004F425A">
              <w:rPr>
                <w:rFonts w:ascii="Lato" w:eastAsia="Lato" w:hAnsi="Lato" w:cs="Lato"/>
                <w:sz w:val="20"/>
                <w:szCs w:val="20"/>
              </w:rPr>
              <w:t>Przykłady inwestycji (Intel, AT&amp;S, Amkor) mogą zostać wykorzystane w Mapie drogowej technologii.</w:t>
            </w:r>
          </w:p>
        </w:tc>
      </w:tr>
      <w:tr w:rsidR="004471C5" w:rsidRPr="004F425A" w14:paraId="2F0123DF" w14:textId="77777777" w:rsidTr="79FF9703">
        <w:tc>
          <w:tcPr>
            <w:tcW w:w="1425" w:type="dxa"/>
            <w:tcBorders>
              <w:top w:val="single" w:sz="4" w:space="0" w:color="auto"/>
              <w:left w:val="single" w:sz="4" w:space="0" w:color="auto"/>
              <w:bottom w:val="single" w:sz="4" w:space="0" w:color="auto"/>
              <w:right w:val="single" w:sz="4" w:space="0" w:color="auto"/>
            </w:tcBorders>
          </w:tcPr>
          <w:p w14:paraId="56D55F44" w14:textId="0F8ABFD9"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FE0F38A" w14:textId="68A58B8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SEMI Europe</w:t>
            </w:r>
          </w:p>
        </w:tc>
        <w:tc>
          <w:tcPr>
            <w:tcW w:w="5387" w:type="dxa"/>
            <w:tcBorders>
              <w:top w:val="single" w:sz="4" w:space="0" w:color="auto"/>
              <w:left w:val="single" w:sz="4" w:space="0" w:color="auto"/>
              <w:bottom w:val="single" w:sz="4" w:space="0" w:color="auto"/>
              <w:right w:val="single" w:sz="4" w:space="0" w:color="auto"/>
            </w:tcBorders>
          </w:tcPr>
          <w:p w14:paraId="0FA7BCB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Mechanizm „Fast-Track Permitting” dla inwestycji strategicznych</w:t>
            </w:r>
          </w:p>
          <w:p w14:paraId="4B76FCFA" w14:textId="756AA6F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Z doświadczenia przy projekcie Intel wiemy, że decyzje administracyjne (środowiskowe, budowlane, PPOŻ) trwają </w:t>
            </w:r>
            <w:r w:rsidRPr="004F425A">
              <w:rPr>
                <w:rFonts w:ascii="Lato" w:eastAsia="Lato" w:hAnsi="Lato" w:cs="Lato"/>
                <w:sz w:val="20"/>
                <w:szCs w:val="20"/>
              </w:rPr>
              <w:lastRenderedPageBreak/>
              <w:t xml:space="preserve">18-24 miesiące, co stanowi ryzyko dla inwestora. Proponujemy ustawowy mechanizm „jednego oka”, z 6-miesięcznym SLA dla inwestycji powyżej 500 mln PLN, koordynowany przez pełnomocnika rządu ds. półprzewodników. Dla porównania w Czechach proces ten trwa 12-15 miesięcy, w Niemczech 15-18 miesięcy. Stały i szybszy harmonogram jest warunkiem konkurencyjności wobec tych krajów.  </w:t>
            </w:r>
          </w:p>
        </w:tc>
        <w:tc>
          <w:tcPr>
            <w:tcW w:w="4859" w:type="dxa"/>
            <w:tcBorders>
              <w:top w:val="single" w:sz="4" w:space="0" w:color="auto"/>
              <w:left w:val="single" w:sz="4" w:space="0" w:color="auto"/>
              <w:bottom w:val="single" w:sz="4" w:space="0" w:color="auto"/>
              <w:right w:val="single" w:sz="4" w:space="0" w:color="auto"/>
            </w:tcBorders>
          </w:tcPr>
          <w:p w14:paraId="20F6123B" w14:textId="4600659B" w:rsidR="00F574A2" w:rsidRPr="004F425A" w:rsidRDefault="003B4320" w:rsidP="004F425A">
            <w:pPr>
              <w:spacing w:after="120" w:line="240" w:lineRule="auto"/>
              <w:rPr>
                <w:rFonts w:ascii="Lato" w:eastAsia="Lato" w:hAnsi="Lato" w:cs="Lato"/>
                <w:sz w:val="20"/>
                <w:szCs w:val="20"/>
              </w:rPr>
            </w:pPr>
            <w:r w:rsidRPr="004F425A">
              <w:rPr>
                <w:rStyle w:val="Ppogrubienie"/>
                <w:rFonts w:ascii="Lato" w:hAnsi="Lato"/>
                <w:sz w:val="20"/>
                <w:szCs w:val="20"/>
              </w:rPr>
              <w:lastRenderedPageBreak/>
              <w:t>Uwaga czesiowo uwzględniona.</w:t>
            </w:r>
            <w:r w:rsidRPr="004F425A">
              <w:rPr>
                <w:rFonts w:ascii="Lato" w:hAnsi="Lato"/>
                <w:sz w:val="20"/>
                <w:szCs w:val="20"/>
              </w:rPr>
              <w:t xml:space="preserve"> </w:t>
            </w:r>
            <w:r w:rsidR="00F574A2" w:rsidRPr="004F425A">
              <w:rPr>
                <w:rFonts w:ascii="Lato" w:hAnsi="Lato"/>
                <w:sz w:val="20"/>
                <w:szCs w:val="20"/>
              </w:rPr>
              <w:br/>
            </w:r>
            <w:r w:rsidR="000D2E38" w:rsidRPr="004F425A">
              <w:rPr>
                <w:rFonts w:ascii="Lato" w:eastAsia="Lato" w:hAnsi="Lato" w:cs="Lato"/>
                <w:sz w:val="20"/>
                <w:szCs w:val="20"/>
              </w:rPr>
              <w:t xml:space="preserve">Mechanizm „jednego oka” będzie realizowany przez </w:t>
            </w:r>
            <w:r w:rsidR="00F574A2" w:rsidRPr="004F425A">
              <w:rPr>
                <w:rFonts w:ascii="Lato" w:eastAsia="Lato" w:hAnsi="Lato" w:cs="Lato"/>
                <w:sz w:val="20"/>
                <w:szCs w:val="20"/>
              </w:rPr>
              <w:t>Zesp</w:t>
            </w:r>
            <w:r w:rsidR="000D2E38" w:rsidRPr="004F425A">
              <w:rPr>
                <w:rFonts w:ascii="Lato" w:eastAsia="Lato" w:hAnsi="Lato" w:cs="Lato"/>
                <w:sz w:val="20"/>
                <w:szCs w:val="20"/>
              </w:rPr>
              <w:t>ól</w:t>
            </w:r>
            <w:r w:rsidR="00F574A2" w:rsidRPr="004F425A">
              <w:rPr>
                <w:rFonts w:ascii="Lato" w:eastAsia="Lato" w:hAnsi="Lato" w:cs="Lato"/>
                <w:sz w:val="20"/>
                <w:szCs w:val="20"/>
              </w:rPr>
              <w:t xml:space="preserve"> odpowiedzialnego za koordynowanie i wdrażanie Polityki.</w:t>
            </w:r>
          </w:p>
        </w:tc>
      </w:tr>
      <w:tr w:rsidR="004471C5" w:rsidRPr="004F425A" w14:paraId="66904A9C" w14:textId="77777777" w:rsidTr="79FF9703">
        <w:tc>
          <w:tcPr>
            <w:tcW w:w="1425" w:type="dxa"/>
            <w:tcBorders>
              <w:top w:val="single" w:sz="4" w:space="0" w:color="auto"/>
              <w:left w:val="single" w:sz="4" w:space="0" w:color="auto"/>
              <w:bottom w:val="single" w:sz="4" w:space="0" w:color="auto"/>
              <w:right w:val="single" w:sz="4" w:space="0" w:color="auto"/>
            </w:tcBorders>
          </w:tcPr>
          <w:p w14:paraId="3BA73448" w14:textId="0DD90BFC"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F19D2A1" w14:textId="31E69E2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SEMI Europe</w:t>
            </w:r>
          </w:p>
        </w:tc>
        <w:tc>
          <w:tcPr>
            <w:tcW w:w="5387" w:type="dxa"/>
            <w:tcBorders>
              <w:top w:val="single" w:sz="4" w:space="0" w:color="auto"/>
              <w:left w:val="single" w:sz="4" w:space="0" w:color="auto"/>
              <w:bottom w:val="single" w:sz="4" w:space="0" w:color="auto"/>
              <w:right w:val="single" w:sz="4" w:space="0" w:color="auto"/>
            </w:tcBorders>
          </w:tcPr>
          <w:p w14:paraId="243C866E"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Regularne konsultacje branżowe dwa razy w roku</w:t>
            </w:r>
          </w:p>
          <w:p w14:paraId="7835DEB4" w14:textId="1358102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Rynek półprzewodnikowy jest dynamiczny (rynek wzrośnie z 600 mld w 2024 do 1 bln w 2030). Proponujemy regularne konsultacje z branżą dwa razy rocznie (wiosna/jesień)  organizowane przez Ministerstwo Cyfryzacji z udziałem SEMI, przedsiębiorców i nauki. Celem jest zapewnienie reaktywnej implementacji polityki, adaptującej się do najnowszej wiedzy o trendach (np. AI chips, EU Chips Act) i szybkie dostosowanie do zmian globalnych, co umożliwi skuteczne sterowanie polityką. </w:t>
            </w:r>
          </w:p>
        </w:tc>
        <w:tc>
          <w:tcPr>
            <w:tcW w:w="4859" w:type="dxa"/>
            <w:tcBorders>
              <w:top w:val="single" w:sz="4" w:space="0" w:color="auto"/>
              <w:left w:val="single" w:sz="4" w:space="0" w:color="auto"/>
              <w:bottom w:val="single" w:sz="4" w:space="0" w:color="auto"/>
              <w:right w:val="single" w:sz="4" w:space="0" w:color="auto"/>
            </w:tcBorders>
          </w:tcPr>
          <w:p w14:paraId="79F0F5A3" w14:textId="3518081F" w:rsidR="00482AE5"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częściowo </w:t>
            </w:r>
            <w:r w:rsidR="00482AE5" w:rsidRPr="004F425A">
              <w:rPr>
                <w:rStyle w:val="Ppogrubienie"/>
                <w:rFonts w:ascii="Lato" w:hAnsi="Lato"/>
                <w:sz w:val="20"/>
                <w:szCs w:val="20"/>
              </w:rPr>
              <w:t xml:space="preserve">uwzględniona. </w:t>
            </w:r>
          </w:p>
          <w:p w14:paraId="4BA7D36A" w14:textId="0EF7D309" w:rsidR="00F574A2" w:rsidRPr="004F425A" w:rsidRDefault="00482AE5" w:rsidP="004F425A">
            <w:pPr>
              <w:spacing w:after="120" w:line="240" w:lineRule="auto"/>
              <w:rPr>
                <w:rFonts w:ascii="Lato" w:eastAsia="Lato" w:hAnsi="Lato" w:cs="Lato"/>
                <w:sz w:val="20"/>
                <w:szCs w:val="20"/>
              </w:rPr>
            </w:pPr>
            <w:r w:rsidRPr="004F425A">
              <w:rPr>
                <w:rFonts w:ascii="Lato" w:eastAsia="Lato" w:hAnsi="Lato" w:cs="Lato"/>
                <w:sz w:val="20"/>
                <w:szCs w:val="20"/>
              </w:rPr>
              <w:t xml:space="preserve">Formuła </w:t>
            </w:r>
            <w:r w:rsidR="00F574A2" w:rsidRPr="004F425A">
              <w:rPr>
                <w:rFonts w:ascii="Lato" w:eastAsia="Lato" w:hAnsi="Lato" w:cs="Lato"/>
                <w:sz w:val="20"/>
                <w:szCs w:val="20"/>
              </w:rPr>
              <w:t xml:space="preserve"> Zespołu zadaniowego przewiduje regularne konsultacje branżowe, których częstotliwość może zostać doprecyzowana operacyjnie.</w:t>
            </w:r>
          </w:p>
        </w:tc>
      </w:tr>
      <w:tr w:rsidR="004471C5" w:rsidRPr="004F425A" w14:paraId="2AFD1315" w14:textId="77777777" w:rsidTr="79FF9703">
        <w:tc>
          <w:tcPr>
            <w:tcW w:w="1425" w:type="dxa"/>
            <w:tcBorders>
              <w:top w:val="single" w:sz="4" w:space="0" w:color="auto"/>
              <w:left w:val="single" w:sz="4" w:space="0" w:color="auto"/>
              <w:bottom w:val="single" w:sz="4" w:space="0" w:color="auto"/>
              <w:right w:val="single" w:sz="4" w:space="0" w:color="auto"/>
            </w:tcBorders>
          </w:tcPr>
          <w:p w14:paraId="297E3697" w14:textId="78B67B46"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593D5A78" w14:textId="3496117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672F75B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ramach siedmiu filarow brakuje wyraznego odniesienia do strony popytowej rynku, w tym identyfikacji odbiorcow na poszczegolnych etapach lancucha dostaw, co jest istotne dla zapewnienia trwalosci i oplacalnosci rozwoju sektora. </w:t>
            </w:r>
          </w:p>
          <w:p w14:paraId="34B6FEF9" w14:textId="4537E9E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185FB04F" w14:textId="7185CD0B" w:rsidR="00F574A2" w:rsidRPr="004F425A" w:rsidRDefault="00482AE5"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w:t>
            </w:r>
            <w:r w:rsidR="00E820D8" w:rsidRPr="004F425A">
              <w:rPr>
                <w:rStyle w:val="Ppogrubienie"/>
                <w:rFonts w:ascii="Lato" w:hAnsi="Lato"/>
                <w:sz w:val="20"/>
                <w:szCs w:val="20"/>
              </w:rPr>
              <w:t xml:space="preserve">nieuwzględniona. </w:t>
            </w:r>
          </w:p>
          <w:p w14:paraId="0F433CA1" w14:textId="243B4A46" w:rsidR="00F574A2" w:rsidRPr="004F425A" w:rsidRDefault="0017704A" w:rsidP="004F425A">
            <w:pPr>
              <w:spacing w:after="120" w:line="240" w:lineRule="auto"/>
              <w:rPr>
                <w:rFonts w:ascii="Lato" w:eastAsia="Lato" w:hAnsi="Lato" w:cs="Lato"/>
                <w:sz w:val="20"/>
                <w:szCs w:val="20"/>
                <w:highlight w:val="yellow"/>
              </w:rPr>
            </w:pPr>
            <w:r w:rsidRPr="004F425A">
              <w:rPr>
                <w:rFonts w:ascii="Lato" w:eastAsia="Lato" w:hAnsi="Lato" w:cs="Lato"/>
                <w:sz w:val="20"/>
                <w:szCs w:val="20"/>
              </w:rPr>
              <w:t>W ocenie MC z uwagi na horyzontalny i ogólny charakter dokumentu nie wymaga on modyfikacji w tym zakresie.</w:t>
            </w:r>
          </w:p>
        </w:tc>
      </w:tr>
      <w:tr w:rsidR="004471C5" w:rsidRPr="004F425A" w14:paraId="09FBD2F9" w14:textId="77777777" w:rsidTr="79FF9703">
        <w:tc>
          <w:tcPr>
            <w:tcW w:w="1425" w:type="dxa"/>
            <w:tcBorders>
              <w:top w:val="single" w:sz="4" w:space="0" w:color="auto"/>
              <w:left w:val="single" w:sz="4" w:space="0" w:color="auto"/>
              <w:bottom w:val="single" w:sz="4" w:space="0" w:color="auto"/>
              <w:right w:val="single" w:sz="4" w:space="0" w:color="auto"/>
            </w:tcBorders>
          </w:tcPr>
          <w:p w14:paraId="611FA063" w14:textId="66F26E16"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4B0682ED" w14:textId="3BEA947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4A1F0825" w14:textId="234C1D0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Ograniczenia dla Europy </w:t>
            </w:r>
            <w:r w:rsidR="00412159" w:rsidRPr="004F425A">
              <w:rPr>
                <w:rFonts w:ascii="Lato" w:eastAsia="Lato" w:hAnsi="Lato" w:cs="Lato"/>
                <w:sz w:val="20"/>
                <w:szCs w:val="20"/>
              </w:rPr>
              <w:t>pochodzą</w:t>
            </w:r>
            <w:r w:rsidRPr="004F425A">
              <w:rPr>
                <w:rFonts w:ascii="Lato" w:eastAsia="Lato" w:hAnsi="Lato" w:cs="Lato"/>
                <w:sz w:val="20"/>
                <w:szCs w:val="20"/>
              </w:rPr>
              <w:t xml:space="preserve"> nie tylko z Azji - </w:t>
            </w:r>
            <w:r w:rsidR="00412159" w:rsidRPr="004F425A">
              <w:rPr>
                <w:rFonts w:ascii="Lato" w:eastAsia="Lato" w:hAnsi="Lato" w:cs="Lato"/>
                <w:sz w:val="20"/>
                <w:szCs w:val="20"/>
              </w:rPr>
              <w:t>również</w:t>
            </w:r>
            <w:r w:rsidRPr="004F425A">
              <w:rPr>
                <w:rFonts w:ascii="Lato" w:eastAsia="Lato" w:hAnsi="Lato" w:cs="Lato"/>
                <w:sz w:val="20"/>
                <w:szCs w:val="20"/>
              </w:rPr>
              <w:t xml:space="preserve"> USA ogranicza </w:t>
            </w:r>
            <w:r w:rsidR="00412159" w:rsidRPr="004F425A">
              <w:rPr>
                <w:rFonts w:ascii="Lato" w:eastAsia="Lato" w:hAnsi="Lato" w:cs="Lato"/>
                <w:sz w:val="20"/>
                <w:szCs w:val="20"/>
              </w:rPr>
              <w:t>sprzedaż</w:t>
            </w:r>
            <w:r w:rsidRPr="004F425A">
              <w:rPr>
                <w:rFonts w:ascii="Lato" w:eastAsia="Lato" w:hAnsi="Lato" w:cs="Lato"/>
                <w:sz w:val="20"/>
                <w:szCs w:val="20"/>
              </w:rPr>
              <w:t xml:space="preserve"> strategicznych </w:t>
            </w:r>
            <w:r w:rsidR="00412159" w:rsidRPr="004F425A">
              <w:rPr>
                <w:rFonts w:ascii="Lato" w:eastAsia="Lato" w:hAnsi="Lato" w:cs="Lato"/>
                <w:sz w:val="20"/>
                <w:szCs w:val="20"/>
              </w:rPr>
              <w:t>materiałów</w:t>
            </w:r>
            <w:r w:rsidRPr="004F425A">
              <w:rPr>
                <w:rFonts w:ascii="Lato" w:eastAsia="Lato" w:hAnsi="Lato" w:cs="Lato"/>
                <w:sz w:val="20"/>
                <w:szCs w:val="20"/>
              </w:rPr>
              <w:t xml:space="preserve">, w tym m.in. </w:t>
            </w:r>
            <w:r w:rsidR="00412159" w:rsidRPr="004F425A">
              <w:rPr>
                <w:rFonts w:ascii="Lato" w:eastAsia="Lato" w:hAnsi="Lato" w:cs="Lato"/>
                <w:sz w:val="20"/>
                <w:szCs w:val="20"/>
              </w:rPr>
              <w:t>podłoży</w:t>
            </w:r>
            <w:r w:rsidRPr="004F425A">
              <w:rPr>
                <w:rFonts w:ascii="Lato" w:eastAsia="Lato" w:hAnsi="Lato" w:cs="Lato"/>
                <w:sz w:val="20"/>
                <w:szCs w:val="20"/>
              </w:rPr>
              <w:t xml:space="preserve"> </w:t>
            </w:r>
            <w:r w:rsidR="00412159" w:rsidRPr="004F425A">
              <w:rPr>
                <w:rFonts w:ascii="Lato" w:eastAsia="Lato" w:hAnsi="Lato" w:cs="Lato"/>
                <w:sz w:val="20"/>
                <w:szCs w:val="20"/>
              </w:rPr>
              <w:t>półprzewodnikowych</w:t>
            </w:r>
            <w:r w:rsidRPr="004F425A">
              <w:rPr>
                <w:rFonts w:ascii="Lato" w:eastAsia="Lato" w:hAnsi="Lato" w:cs="Lato"/>
                <w:sz w:val="20"/>
                <w:szCs w:val="20"/>
              </w:rPr>
              <w:t xml:space="preserve">. </w:t>
            </w:r>
          </w:p>
          <w:p w14:paraId="0AD89E4A" w14:textId="02BCE83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40E79D86" w14:textId="77777777" w:rsidR="0017704A" w:rsidRPr="004F425A" w:rsidRDefault="0017704A"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4C470B38" w14:textId="1092E83D" w:rsidR="00F574A2" w:rsidRPr="004F425A" w:rsidRDefault="0017704A" w:rsidP="004F425A">
            <w:pPr>
              <w:spacing w:after="120" w:line="240" w:lineRule="auto"/>
              <w:rPr>
                <w:rFonts w:ascii="Lato" w:eastAsia="Lato" w:hAnsi="Lato" w:cs="Lato"/>
                <w:sz w:val="20"/>
                <w:szCs w:val="20"/>
              </w:rPr>
            </w:pPr>
            <w:r w:rsidRPr="004F425A">
              <w:rPr>
                <w:rFonts w:ascii="Lato" w:eastAsia="Lato" w:hAnsi="Lato" w:cs="Lato"/>
                <w:sz w:val="20"/>
                <w:szCs w:val="20"/>
              </w:rPr>
              <w:t>W ocenie MC z uwagi na horyzontalny i ogólny charakter dokumentu nie wymaga on modyfikacji w tym zakresie.</w:t>
            </w:r>
          </w:p>
        </w:tc>
      </w:tr>
      <w:tr w:rsidR="004471C5" w:rsidRPr="004F425A" w14:paraId="1534586A" w14:textId="77777777" w:rsidTr="79FF9703">
        <w:tc>
          <w:tcPr>
            <w:tcW w:w="1425" w:type="dxa"/>
            <w:tcBorders>
              <w:top w:val="single" w:sz="4" w:space="0" w:color="auto"/>
              <w:left w:val="single" w:sz="4" w:space="0" w:color="auto"/>
              <w:bottom w:val="single" w:sz="4" w:space="0" w:color="auto"/>
              <w:right w:val="single" w:sz="4" w:space="0" w:color="auto"/>
            </w:tcBorders>
          </w:tcPr>
          <w:p w14:paraId="097A2A0E" w14:textId="123D7B43"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100E2EBC" w14:textId="517C927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482C30A6" w14:textId="72B4755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Półprzewodniki to materiały o specyficznych właściwościach fizycznych, wykorzystywane do tworzenia elementów elektronicznych </w:t>
            </w:r>
            <w:r w:rsidRPr="004F425A">
              <w:rPr>
                <w:rFonts w:ascii="Lato" w:eastAsia="Lato" w:hAnsi="Lato" w:cs="Lato"/>
                <w:sz w:val="20"/>
                <w:szCs w:val="20"/>
                <w:u w:val="single"/>
              </w:rPr>
              <w:t>i optoelektronicznych [element dodany w trybie zmian]</w:t>
            </w:r>
            <w:r w:rsidRPr="004F425A">
              <w:rPr>
                <w:rFonts w:ascii="Lato" w:eastAsia="Lato" w:hAnsi="Lato" w:cs="Lato"/>
                <w:sz w:val="20"/>
                <w:szCs w:val="20"/>
              </w:rPr>
              <w:t xml:space="preserve">- takich jak diody czy tranzystory - które umożliwiają kontrolowany przepływ prądu elektrycznego, a tym </w:t>
            </w:r>
            <w:r w:rsidRPr="004F425A">
              <w:rPr>
                <w:rFonts w:ascii="Lato" w:eastAsia="Lato" w:hAnsi="Lato" w:cs="Lato"/>
                <w:sz w:val="20"/>
                <w:szCs w:val="20"/>
              </w:rPr>
              <w:lastRenderedPageBreak/>
              <w:t>samym precyzyjne sterowanie przepływem informacji lub energii.</w:t>
            </w:r>
          </w:p>
          <w:p w14:paraId="7C6F34BC" w14:textId="2765916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odczytany z komentarza naniesionego na tekst w trybie recenzji w dokumencie Word:] Polprzewodniki stosuje sie tez w rozwiazaniach optoelektronicznych i fotonicznych. Warto termin "fotonika" i "optoelektronika" zamieścić w tekście.</w:t>
            </w:r>
          </w:p>
        </w:tc>
        <w:tc>
          <w:tcPr>
            <w:tcW w:w="4859" w:type="dxa"/>
            <w:tcBorders>
              <w:top w:val="single" w:sz="4" w:space="0" w:color="auto"/>
              <w:left w:val="single" w:sz="4" w:space="0" w:color="auto"/>
              <w:bottom w:val="single" w:sz="4" w:space="0" w:color="auto"/>
              <w:right w:val="single" w:sz="4" w:space="0" w:color="auto"/>
            </w:tcBorders>
          </w:tcPr>
          <w:p w14:paraId="5E6C6C02" w14:textId="147F01BA" w:rsidR="00412159" w:rsidRPr="004F425A" w:rsidRDefault="00412159"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 xml:space="preserve">Uwaga nieuwzględniona. </w:t>
            </w:r>
          </w:p>
          <w:p w14:paraId="5E79D229" w14:textId="007873BA" w:rsidR="00F574A2" w:rsidRPr="004F425A" w:rsidRDefault="00412159" w:rsidP="004F425A">
            <w:pPr>
              <w:spacing w:after="120" w:line="240" w:lineRule="auto"/>
              <w:rPr>
                <w:rFonts w:ascii="Lato" w:eastAsia="Lato" w:hAnsi="Lato" w:cs="Lato"/>
                <w:sz w:val="20"/>
                <w:szCs w:val="20"/>
              </w:rPr>
            </w:pPr>
            <w:r w:rsidRPr="004F425A">
              <w:rPr>
                <w:rFonts w:ascii="Lato" w:eastAsia="Lato" w:hAnsi="Lato" w:cs="Lato"/>
                <w:sz w:val="20"/>
                <w:szCs w:val="20"/>
              </w:rPr>
              <w:t>W ocenie MC z uwagi na horyzontalny i ogólny charakter dokumentu nie wymaga on modyfikacji w tym zakresie.</w:t>
            </w:r>
          </w:p>
        </w:tc>
      </w:tr>
      <w:tr w:rsidR="004471C5" w:rsidRPr="004F425A" w14:paraId="508DCC30" w14:textId="77777777" w:rsidTr="79FF9703">
        <w:tc>
          <w:tcPr>
            <w:tcW w:w="1425" w:type="dxa"/>
            <w:tcBorders>
              <w:top w:val="single" w:sz="4" w:space="0" w:color="auto"/>
              <w:left w:val="single" w:sz="4" w:space="0" w:color="auto"/>
              <w:bottom w:val="single" w:sz="4" w:space="0" w:color="auto"/>
              <w:right w:val="single" w:sz="4" w:space="0" w:color="auto"/>
            </w:tcBorders>
          </w:tcPr>
          <w:p w14:paraId="4BCD261B" w14:textId="4B68D81B"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47CEDD4D" w14:textId="38246E9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2BC9EE4C"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Produkcja półprzewodników - rozumiana jako proces wytwarzania gotowych układów scalonych - dzieli się hierarchicznie, zgodnie z poziomem zaawansowania technologicznego i wartością dodaną, na </w:t>
            </w:r>
            <w:r w:rsidRPr="004F425A">
              <w:rPr>
                <w:rFonts w:ascii="Lato" w:eastAsia="Lato" w:hAnsi="Lato" w:cs="Lato"/>
                <w:sz w:val="20"/>
                <w:szCs w:val="20"/>
                <w:u w:val="single"/>
              </w:rPr>
              <w:t>cztery główne etapy: wytwarzanie materiałów półprzewodnikowych (kryształy oraz płytki podłożowe, z ang. substrates), </w:t>
            </w:r>
            <w:r w:rsidRPr="004F425A">
              <w:rPr>
                <w:rFonts w:ascii="Lato" w:eastAsia="Lato" w:hAnsi="Lato" w:cs="Lato"/>
                <w:strike/>
                <w:sz w:val="20"/>
                <w:szCs w:val="20"/>
              </w:rPr>
              <w:t>trzy główne etapy</w:t>
            </w:r>
            <w:r w:rsidRPr="004F425A">
              <w:rPr>
                <w:rFonts w:ascii="Lato" w:eastAsia="Lato" w:hAnsi="Lato" w:cs="Lato"/>
                <w:sz w:val="20"/>
                <w:szCs w:val="20"/>
              </w:rPr>
              <w:t>:</w:t>
            </w:r>
            <w:r w:rsidRPr="004F425A">
              <w:rPr>
                <w:rFonts w:ascii="Lato" w:eastAsia="Lato" w:hAnsi="Lato" w:cs="Lato"/>
                <w:sz w:val="20"/>
                <w:szCs w:val="20"/>
                <w:u w:val="single"/>
              </w:rPr>
              <w:t>,</w:t>
            </w:r>
            <w:r w:rsidRPr="004F425A">
              <w:rPr>
                <w:rFonts w:ascii="Lato" w:eastAsia="Lato" w:hAnsi="Lato" w:cs="Lato"/>
                <w:sz w:val="20"/>
                <w:szCs w:val="20"/>
              </w:rPr>
              <w:t> projektowanie (z ang. design), produkcję struktur (z ang. front-end) oraz montaż i testowanie (z ang. back-end). Za poszczególne etapy może odpowiadać jedna firma - najczęściej jednak wykonują je współpracujący partnerzy. </w:t>
            </w:r>
          </w:p>
          <w:p w14:paraId="7CC7982C" w14:textId="77777777" w:rsidR="00F574A2" w:rsidRPr="004F425A" w:rsidRDefault="00F574A2" w:rsidP="004F425A">
            <w:pPr>
              <w:numPr>
                <w:ilvl w:val="0"/>
                <w:numId w:val="15"/>
              </w:numPr>
              <w:spacing w:after="120" w:line="240" w:lineRule="auto"/>
              <w:rPr>
                <w:rFonts w:ascii="Lato" w:eastAsia="Lato" w:hAnsi="Lato" w:cs="Lato"/>
                <w:sz w:val="20"/>
                <w:szCs w:val="20"/>
              </w:rPr>
            </w:pPr>
            <w:r w:rsidRPr="004F425A">
              <w:rPr>
                <w:rFonts w:ascii="Lato" w:eastAsia="Lato" w:hAnsi="Lato" w:cs="Lato"/>
                <w:sz w:val="20"/>
                <w:szCs w:val="20"/>
                <w:u w:val="single"/>
              </w:rPr>
              <w:t>Wytwarzanie materiałów półprzewodnikowych (kryształów oraz płytek podłożowych) obejmuje produkcję monokryształów półprzewodników a następnie wytwarzanie z nich monokrystalcznych podłoży, stanowiących bazę dla dalszych procesów technologicznych takich jak epitaksja (z ang. epi-ready substrates) i wytwarzanie półprzewodnikowych urządzeń (z ang. devices). Oprócz dominującego krzemu, szczególne znaczenie mają zaawansowane materiały półprzewodnikowe z grupy III-V, tzw. związki półprzewodnikowe takie, jak: fosforek indu (InP), arsenek galu (GaAs), fosforek galu (GaP) czy antymonek galu (GaSb), wykorzystywane m.in. w elektronice wysokich częstotliwości, fotonice oraz technologiach optoelektronicznych. Jakość i parametry tych materiałów mają kluczowy wpływ na wydajność i możliwości końcowych urządzeń.</w:t>
            </w:r>
            <w:r w:rsidRPr="004F425A">
              <w:rPr>
                <w:rFonts w:ascii="Lato" w:eastAsia="Lato" w:hAnsi="Lato" w:cs="Lato"/>
                <w:sz w:val="20"/>
                <w:szCs w:val="20"/>
              </w:rPr>
              <w:t> </w:t>
            </w:r>
          </w:p>
          <w:p w14:paraId="78D3C844" w14:textId="2FD4C90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[Komentarz odczytany z komentarza naniesionego na tekst w trybie recenzji w dokumencie Word:]</w:t>
            </w:r>
          </w:p>
          <w:p w14:paraId="660CACCF" w14:textId="18F698A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Opis wymaga uzupełnienia o etap wytwarzania materiałów półprzewodnikowych (substratów), w tym odniesienia do zaawansowanych kryształów z grupy A3B5 (np. InP, GaAs, GaSb), które stanowią fundament całego łańcucha wartości i są kluczowe dla rozwoju nowoczesnej elektroniki oraz fotoniki. [Uwaga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3FC59D4B" w14:textId="77777777" w:rsidR="001D5B0F" w:rsidRPr="004F425A" w:rsidRDefault="001D5B0F"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 xml:space="preserve">Uwaga nieuwzględniona. </w:t>
            </w:r>
          </w:p>
          <w:p w14:paraId="0F4E793D" w14:textId="671F8E11" w:rsidR="00F574A2" w:rsidRPr="004F425A" w:rsidRDefault="001D5B0F" w:rsidP="004F425A">
            <w:pPr>
              <w:spacing w:after="120" w:line="240" w:lineRule="auto"/>
              <w:rPr>
                <w:rFonts w:ascii="Lato" w:eastAsia="Lato" w:hAnsi="Lato" w:cs="Lato"/>
                <w:sz w:val="20"/>
                <w:szCs w:val="20"/>
                <w:highlight w:val="yellow"/>
              </w:rPr>
            </w:pPr>
            <w:r w:rsidRPr="004F425A">
              <w:rPr>
                <w:rFonts w:ascii="Lato" w:eastAsia="Lato" w:hAnsi="Lato" w:cs="Lato"/>
                <w:sz w:val="20"/>
                <w:szCs w:val="20"/>
              </w:rPr>
              <w:t>W ocenie MC z uwagi na horyzontalny i ogólny charakter dokumentu nie wymaga on modyfikacji w tym zakresie.</w:t>
            </w:r>
          </w:p>
        </w:tc>
      </w:tr>
      <w:tr w:rsidR="004471C5" w:rsidRPr="004F425A" w14:paraId="32709118" w14:textId="77777777" w:rsidTr="79FF9703">
        <w:tc>
          <w:tcPr>
            <w:tcW w:w="1425" w:type="dxa"/>
            <w:tcBorders>
              <w:top w:val="single" w:sz="4" w:space="0" w:color="auto"/>
              <w:left w:val="single" w:sz="4" w:space="0" w:color="auto"/>
              <w:bottom w:val="single" w:sz="4" w:space="0" w:color="auto"/>
              <w:right w:val="single" w:sz="4" w:space="0" w:color="auto"/>
            </w:tcBorders>
          </w:tcPr>
          <w:p w14:paraId="15750342" w14:textId="384650A5"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48A4E95A" w14:textId="54581C4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15F248F6"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Jednym z kierunków rozwoju technologii półprzewodnikowych jest integracja i miniaturyzacja układów fotonicznych (optoelektronicznych), które do transmisji informacji i energii zamiast prądu elektrycznego wykorzystują światło. Podejście to umożliwia szybszy przesył danych oraz otwiera nowe możliwości zastosowań w takich obszarach jak komunikacja, systemy czujnikowe czy komputery kwantowe. Układy fotoniczne zintegrowane z tradycyjnymi strukturami mikroelektronicznymi pozwalają tworzyć rozwiązania hybrydowe, łączące zalety obu technologii. Ich rozwój wymaga jednak zastosowania nowych materiałów i metod produkcji</w:t>
            </w:r>
            <w:r w:rsidRPr="004F425A">
              <w:rPr>
                <w:rFonts w:ascii="Lato" w:eastAsia="Lato" w:hAnsi="Lato" w:cs="Lato"/>
                <w:sz w:val="20"/>
                <w:szCs w:val="20"/>
                <w:u w:val="single"/>
              </w:rPr>
              <w:t>. Ich rozwój wymaga jednak zastosowania nowych materiałów i metod produkcji, w tym w szczególności zaawansowanych związków półprzewodnikowych III-V (np. InP, GaAs, GaSb) oraz materiałów fotonicznych takich jak niobian litu (LiNbO₃), które dzięki swoim właściwościom umożliwiają efektywną emisję, modulację i detekcję światła</w:t>
            </w:r>
            <w:r w:rsidRPr="004F425A">
              <w:rPr>
                <w:rFonts w:ascii="Lato" w:eastAsia="Lato" w:hAnsi="Lato" w:cs="Lato"/>
                <w:sz w:val="20"/>
                <w:szCs w:val="20"/>
              </w:rPr>
              <w:t>.</w:t>
            </w:r>
          </w:p>
          <w:p w14:paraId="0B5B475E" w14:textId="6FC7B2F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uzupełniająca do proponowanej zmiany, odczytana z komentarza naniesionego na tekst w trybie recenzji w dokumencie Word:]</w:t>
            </w:r>
          </w:p>
          <w:p w14:paraId="7998FC81" w14:textId="6C112FC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Proponuję uzupełnienie powyższego opisu o wyraźne wskazanie roli zaawansowanych materiałów półprzewodnikowych i fotonicznych, w szczególności z grupy A3B5 (np. InP, GaAs, GaSb) oraz materiałów takich jak niobian litu (LiNbO₃), które stanowią kluczową bazę dla </w:t>
            </w:r>
            <w:r w:rsidRPr="004F425A">
              <w:rPr>
                <w:rFonts w:ascii="Lato" w:eastAsia="Lato" w:hAnsi="Lato" w:cs="Lato"/>
                <w:sz w:val="20"/>
                <w:szCs w:val="20"/>
              </w:rPr>
              <w:lastRenderedPageBreak/>
              <w:t>wielu fotonicznych układów scalonych. Ich właściwości umożliwiają efektywną emisję, modulację i detekcję światła, co jest fundamentalne dla funkcjonowania technologii PIC. Uwzględnienie tego aspektu pozwoli pełniej oddać znaczenie zaplecza materiałowego w rozwoju fotoniki oraz lepiej odzwierciedlić potencjał specjalizacji w tym obszarze.</w:t>
            </w:r>
          </w:p>
        </w:tc>
        <w:tc>
          <w:tcPr>
            <w:tcW w:w="4859" w:type="dxa"/>
            <w:tcBorders>
              <w:top w:val="single" w:sz="4" w:space="0" w:color="auto"/>
              <w:left w:val="single" w:sz="4" w:space="0" w:color="auto"/>
              <w:bottom w:val="single" w:sz="4" w:space="0" w:color="auto"/>
              <w:right w:val="single" w:sz="4" w:space="0" w:color="auto"/>
            </w:tcBorders>
          </w:tcPr>
          <w:p w14:paraId="0A10E445" w14:textId="28296C86" w:rsidR="00D15FAC" w:rsidRPr="004F425A" w:rsidRDefault="00D15FAC" w:rsidP="004F425A">
            <w:pPr>
              <w:spacing w:after="120" w:line="240" w:lineRule="auto"/>
              <w:rPr>
                <w:rStyle w:val="Ppogrubienie"/>
                <w:rFonts w:ascii="Lato" w:hAnsi="Lato"/>
                <w:sz w:val="20"/>
                <w:szCs w:val="20"/>
              </w:rPr>
            </w:pPr>
            <w:r w:rsidRPr="004F425A">
              <w:rPr>
                <w:rStyle w:val="Ppogrubienie"/>
                <w:rFonts w:ascii="Lato" w:hAnsi="Lato"/>
                <w:sz w:val="20"/>
                <w:szCs w:val="20"/>
              </w:rPr>
              <w:lastRenderedPageBreak/>
              <w:t xml:space="preserve">Uwaga nieuwzględniona. </w:t>
            </w:r>
          </w:p>
          <w:p w14:paraId="7D1BE6C2" w14:textId="4422D833" w:rsidR="00F574A2" w:rsidRPr="004F425A" w:rsidRDefault="00D15FAC" w:rsidP="004F425A">
            <w:pPr>
              <w:spacing w:after="120" w:line="240" w:lineRule="auto"/>
              <w:rPr>
                <w:rFonts w:ascii="Lato" w:eastAsia="Lato" w:hAnsi="Lato" w:cs="Lato"/>
                <w:sz w:val="20"/>
                <w:szCs w:val="20"/>
              </w:rPr>
            </w:pPr>
            <w:r w:rsidRPr="004F425A">
              <w:rPr>
                <w:rFonts w:ascii="Lato" w:eastAsia="Lato" w:hAnsi="Lato" w:cs="Lato"/>
                <w:sz w:val="20"/>
                <w:szCs w:val="20"/>
              </w:rPr>
              <w:t>W ocenie MC z uwagi na horyzontalny i ogólny charakter dokumentu nie wymaga on modyfikacji w tym zakresie.</w:t>
            </w:r>
          </w:p>
        </w:tc>
      </w:tr>
      <w:tr w:rsidR="004471C5" w:rsidRPr="004F425A" w14:paraId="127A0A50" w14:textId="77777777" w:rsidTr="79FF9703">
        <w:tc>
          <w:tcPr>
            <w:tcW w:w="1425" w:type="dxa"/>
            <w:tcBorders>
              <w:top w:val="single" w:sz="4" w:space="0" w:color="auto"/>
              <w:left w:val="single" w:sz="4" w:space="0" w:color="auto"/>
              <w:bottom w:val="single" w:sz="4" w:space="0" w:color="auto"/>
              <w:right w:val="single" w:sz="4" w:space="0" w:color="auto"/>
            </w:tcBorders>
          </w:tcPr>
          <w:p w14:paraId="05503C19" w14:textId="1216B644"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0ACC02B9" w14:textId="18B7A42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101575C7"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Go6 naniesionego na tekst w trybie recenzji w dokumencie Word]</w:t>
            </w:r>
          </w:p>
          <w:p w14:paraId="4F912CD4" w14:textId="3241B4C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może warto jeszcze dopisać tutaj układy FPGA (Field-programmable gate array), czyli programowalną logikę, która jest wykorzystywana np. do prtotypowania ASIC, albo do zastosowań w niskich nakładach gdzie ASIC jest znacznie droższa</w:t>
            </w:r>
          </w:p>
        </w:tc>
        <w:tc>
          <w:tcPr>
            <w:tcW w:w="4859" w:type="dxa"/>
            <w:tcBorders>
              <w:top w:val="single" w:sz="4" w:space="0" w:color="auto"/>
              <w:left w:val="single" w:sz="4" w:space="0" w:color="auto"/>
              <w:bottom w:val="single" w:sz="4" w:space="0" w:color="auto"/>
              <w:right w:val="single" w:sz="4" w:space="0" w:color="auto"/>
            </w:tcBorders>
          </w:tcPr>
          <w:p w14:paraId="3941861D" w14:textId="56CBB16E" w:rsidR="00F574A2" w:rsidRPr="004F425A" w:rsidRDefault="002A67C3"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0F718EA5" w14:textId="24101CEC" w:rsidR="00F574A2" w:rsidRPr="004F425A" w:rsidRDefault="002A67C3"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Postulat wykracza poza zakres Polityki. W ocenie MC z uwagi na horyzontalny i ogólny charakter dokumentu nie wymaga on modyfikacji w tym zakresie. </w:t>
            </w:r>
          </w:p>
        </w:tc>
      </w:tr>
      <w:tr w:rsidR="004471C5" w:rsidRPr="004F425A" w14:paraId="0224357A" w14:textId="77777777" w:rsidTr="79FF9703">
        <w:tc>
          <w:tcPr>
            <w:tcW w:w="1425" w:type="dxa"/>
            <w:tcBorders>
              <w:top w:val="single" w:sz="4" w:space="0" w:color="auto"/>
              <w:left w:val="single" w:sz="4" w:space="0" w:color="auto"/>
              <w:bottom w:val="single" w:sz="4" w:space="0" w:color="auto"/>
              <w:right w:val="single" w:sz="4" w:space="0" w:color="auto"/>
            </w:tcBorders>
          </w:tcPr>
          <w:p w14:paraId="03F66E0B"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02090E7" w14:textId="14AC9BE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474D9DBA" w14:textId="468CB453" w:rsidR="00F574A2" w:rsidRPr="004F425A" w:rsidRDefault="00F574A2" w:rsidP="004F425A">
            <w:pPr>
              <w:numPr>
                <w:ilvl w:val="0"/>
                <w:numId w:val="16"/>
              </w:numPr>
              <w:spacing w:after="120" w:line="240" w:lineRule="auto"/>
              <w:rPr>
                <w:rFonts w:ascii="Lato" w:eastAsia="Lato" w:hAnsi="Lato" w:cs="Lato"/>
                <w:sz w:val="20"/>
                <w:szCs w:val="20"/>
              </w:rPr>
            </w:pPr>
            <w:r w:rsidRPr="004F425A">
              <w:rPr>
                <w:rFonts w:ascii="Lato" w:eastAsia="Lato" w:hAnsi="Lato" w:cs="Lato"/>
                <w:sz w:val="20"/>
                <w:szCs w:val="20"/>
              </w:rPr>
              <w:t>W Polsce projektowanie czipów to jeden z głównych obszarów specjalizacji. </w:t>
            </w:r>
          </w:p>
          <w:p w14:paraId="5932136F" w14:textId="34E4E174" w:rsidR="00F574A2" w:rsidRPr="004F425A" w:rsidRDefault="00F574A2" w:rsidP="004F425A">
            <w:pPr>
              <w:numPr>
                <w:ilvl w:val="0"/>
                <w:numId w:val="17"/>
              </w:numPr>
              <w:spacing w:after="120" w:line="240" w:lineRule="auto"/>
              <w:rPr>
                <w:rFonts w:ascii="Lato" w:eastAsia="Lato" w:hAnsi="Lato" w:cs="Lato"/>
                <w:sz w:val="20"/>
                <w:szCs w:val="20"/>
              </w:rPr>
            </w:pPr>
            <w:r w:rsidRPr="004F425A">
              <w:rPr>
                <w:rFonts w:ascii="Lato" w:eastAsia="Lato" w:hAnsi="Lato" w:cs="Lato"/>
                <w:strike/>
                <w:sz w:val="20"/>
                <w:szCs w:val="20"/>
              </w:rPr>
              <w:t>Półprzewodniki szerokoprzerwowe - Polska rozwija kompetencje w wytwarzaniu materiałów półprzewodnikowych będących uzupełnieniem, a czasem alternatywą, dla dominującego obecnie krzemu. Chodzi zwłaszcza o tzw. materiały III-V, takie jak: azotek galu (GaN), fosforki indu (InP) i galu (GaP) oraz antymonek galu (GaSb), materiały dla fotoniki scalonej oraz węglik krzemu (SiC), który jest doskonałym materiałem dla energoelektroniki</w:t>
            </w:r>
            <w:r w:rsidRPr="004F425A">
              <w:rPr>
                <w:rFonts w:ascii="Lato" w:eastAsia="Lato" w:hAnsi="Lato" w:cs="Lato"/>
                <w:sz w:val="20"/>
                <w:szCs w:val="20"/>
              </w:rPr>
              <w:t>.</w:t>
            </w:r>
            <w:r w:rsidRPr="004F425A">
              <w:rPr>
                <w:rFonts w:ascii="Lato" w:eastAsia="Lato" w:hAnsi="Lato" w:cs="Lato"/>
                <w:sz w:val="20"/>
                <w:szCs w:val="20"/>
                <w:u w:val="single"/>
              </w:rPr>
              <w:t xml:space="preserve">Półprzewodniki szerokoprzerwowe - Polska rozwija kompetencje w wytwarzaniu materiałów półprzewodnikowych będących uzupełnieniem, a czasem alternatywą, dla dominującego obecnie krzemu. Chodzi zwłaszcza o tzw. materiały III-V, takie jak: azotek galu (GaN), , materiały dla fotoniki scalonej oraz węglik krzemu (SiC), który jest doskonałym materiałem dla energoelektroniki. Powstaje też krajowy łańcuch technologiczny GaN-on-GaN. W 2024 roku wartość rynku SiC przekroczyła 2 mld euro, a do 2030 roku może osiągnąć 6-10 mld </w:t>
            </w:r>
            <w:r w:rsidRPr="004F425A">
              <w:rPr>
                <w:rFonts w:ascii="Lato" w:eastAsia="Lato" w:hAnsi="Lato" w:cs="Lato"/>
                <w:sz w:val="20"/>
                <w:szCs w:val="20"/>
                <w:u w:val="single"/>
              </w:rPr>
              <w:lastRenderedPageBreak/>
              <w:t>euro</w:t>
            </w:r>
            <w:hyperlink r:id="rId11" w:anchor="_edn1">
              <w:r w:rsidRPr="004F425A">
                <w:rPr>
                  <w:rStyle w:val="Hipercze"/>
                  <w:rFonts w:ascii="Lato" w:eastAsia="Lato" w:hAnsi="Lato" w:cs="Lato"/>
                  <w:color w:val="auto"/>
                  <w:sz w:val="20"/>
                  <w:szCs w:val="20"/>
                  <w:vertAlign w:val="superscript"/>
                </w:rPr>
                <w:t>[i]</w:t>
              </w:r>
            </w:hyperlink>
            <w:r w:rsidRPr="004F425A">
              <w:rPr>
                <w:rFonts w:ascii="Lato" w:eastAsia="Lato" w:hAnsi="Lato" w:cs="Lato"/>
                <w:sz w:val="20"/>
                <w:szCs w:val="20"/>
                <w:u w:val="single"/>
              </w:rPr>
              <w:t>. W Polsce technologie przyrządów SiC i GaN są jeszcze na poziomie prac rozwojowych, jednak skala i specyfika prognozowanego zapotrzebowania, zwłaszcza w sektorze energetyki, stwarza szansę na zagospodarowanie rynkowej niszy. W Polsce monokryształy SiC wytwarzane są w Ensemble</w:t>
            </w:r>
            <w:r w:rsidRPr="004F425A">
              <w:rPr>
                <w:rFonts w:ascii="Lato" w:eastAsia="Lato" w:hAnsi="Lato" w:cs="Lato"/>
                <w:sz w:val="20"/>
                <w:szCs w:val="20"/>
                <w:u w:val="single"/>
                <w:vertAlign w:val="superscript"/>
              </w:rPr>
              <w:t>3</w:t>
            </w:r>
            <w:r w:rsidRPr="004F425A">
              <w:rPr>
                <w:rFonts w:ascii="Lato" w:eastAsia="Lato" w:hAnsi="Lato" w:cs="Lato"/>
                <w:sz w:val="20"/>
                <w:szCs w:val="20"/>
                <w:u w:val="single"/>
              </w:rPr>
              <w:t>, a monokryształy GaN w instytucie PANUnipress.</w:t>
            </w:r>
            <w:r w:rsidRPr="004F425A">
              <w:rPr>
                <w:rFonts w:ascii="Lato" w:eastAsia="Lato" w:hAnsi="Lato" w:cs="Lato"/>
                <w:sz w:val="20"/>
                <w:szCs w:val="20"/>
              </w:rPr>
              <w:t> </w:t>
            </w:r>
          </w:p>
          <w:p w14:paraId="71207764" w14:textId="77777777" w:rsidR="00F574A2" w:rsidRPr="004F425A" w:rsidRDefault="00F574A2" w:rsidP="004F425A">
            <w:pPr>
              <w:numPr>
                <w:ilvl w:val="0"/>
                <w:numId w:val="18"/>
              </w:numPr>
              <w:spacing w:after="120" w:line="240" w:lineRule="auto"/>
              <w:rPr>
                <w:rFonts w:ascii="Lato" w:eastAsia="Lato" w:hAnsi="Lato" w:cs="Lato"/>
                <w:strike/>
                <w:sz w:val="20"/>
                <w:szCs w:val="20"/>
              </w:rPr>
            </w:pPr>
            <w:r w:rsidRPr="004F425A">
              <w:rPr>
                <w:rFonts w:ascii="Lato" w:eastAsia="Lato" w:hAnsi="Lato" w:cs="Lato"/>
                <w:strike/>
                <w:sz w:val="20"/>
                <w:szCs w:val="20"/>
              </w:rPr>
              <w:t>Istotnym elementem jest działalność Ensemble3, która w Warszawie rozwija i produkuje krysztaly polprzewodnikowe związków III–V, w tym m.in. InP. GaP, czy GaSb wpisując się w budowę lokalnego łańcucha wartości. </w:t>
            </w:r>
          </w:p>
          <w:p w14:paraId="05913104" w14:textId="5E9D0A7C" w:rsidR="00F574A2" w:rsidRPr="004F425A" w:rsidRDefault="00F574A2" w:rsidP="004F425A">
            <w:pPr>
              <w:numPr>
                <w:ilvl w:val="0"/>
                <w:numId w:val="19"/>
              </w:numPr>
              <w:spacing w:after="120" w:line="240" w:lineRule="auto"/>
              <w:rPr>
                <w:rFonts w:ascii="Lato" w:eastAsia="Lato" w:hAnsi="Lato" w:cs="Lato"/>
                <w:sz w:val="20"/>
                <w:szCs w:val="20"/>
              </w:rPr>
            </w:pPr>
            <w:r w:rsidRPr="004F425A">
              <w:rPr>
                <w:rFonts w:ascii="Lato" w:eastAsia="Lato" w:hAnsi="Lato" w:cs="Lato"/>
                <w:strike/>
                <w:sz w:val="20"/>
                <w:szCs w:val="20"/>
              </w:rPr>
              <w:t> Powstaje też krajowy łańcuch technologiczny GaN-on-GaN. W 2024 roku wartość rynku SiC przekroczyła 2 mld euro, a do 2030 roku może osiągnąć 6-10 mld euro. W Polsce technologie przyrządów SiC i GaN są jeszcze na poziomie prac rozwojowych, jednak skala i specyfika prognozowanego zapotrzebowania, zwłaszcza w sektorze energetyki, stwarza szansę  </w:t>
            </w:r>
            <w:r w:rsidRPr="004F425A">
              <w:rPr>
                <w:rFonts w:ascii="Lato" w:hAnsi="Lato"/>
                <w:sz w:val="20"/>
                <w:szCs w:val="20"/>
              </w:rPr>
              <w:br/>
            </w:r>
            <w:r w:rsidRPr="004F425A">
              <w:rPr>
                <w:rFonts w:ascii="Lato" w:eastAsia="Lato" w:hAnsi="Lato" w:cs="Lato"/>
                <w:strike/>
                <w:sz w:val="20"/>
                <w:szCs w:val="20"/>
              </w:rPr>
              <w:t xml:space="preserve">na zagospodarowanie rynkowej niszy. </w:t>
            </w:r>
            <w:r w:rsidRPr="004F425A">
              <w:rPr>
                <w:rFonts w:ascii="Lato" w:eastAsia="Lato" w:hAnsi="Lato" w:cs="Lato"/>
                <w:sz w:val="20"/>
                <w:szCs w:val="20"/>
                <w:u w:val="single"/>
              </w:rPr>
              <w:t xml:space="preserve">Związki półprzewodnikowe III-V - Równolegle rozwijany jest w Polsce łańcuch wartości w obszarze związków półprzewodnikowych III–V (takich jak InP, GaAs, GaSb, GaP), obejmujący cały proces technologiczny – od wzrostu monokryształów poprzez produkcję wysokiej jakości podłoży, aż po ich dalsze przetwarzanie w kierunku struktur i komponentów dla zaawansowanych zastosowań fotonicznych i optoelektronicznych. Kierunek ten jest spójny z europejskimi inicjatywami strategicznymi, w tym IPCEI w obszarze mikroelektroniki czy też zaawansowanych technologii półprzewodnikowych, oraz wpisuje się w rozwój nowoczesnych technologii cyfrowych, energetycznych i obronnych. Materiały III–V odgrywają kluczową rolę w aplikacjach </w:t>
            </w:r>
            <w:r w:rsidRPr="004F425A">
              <w:rPr>
                <w:rFonts w:ascii="Lato" w:eastAsia="Lato" w:hAnsi="Lato" w:cs="Lato"/>
                <w:sz w:val="20"/>
                <w:szCs w:val="20"/>
                <w:u w:val="single"/>
              </w:rPr>
              <w:lastRenderedPageBreak/>
              <w:t>wymagających wysokiej częstotliwości pracy, wysokiej sprawności oraz bezpośredniej emisji i detekcji światła. W szczególności:</w:t>
            </w:r>
            <w:r w:rsidRPr="004F425A">
              <w:rPr>
                <w:rFonts w:ascii="Lato" w:eastAsia="Lato" w:hAnsi="Lato" w:cs="Lato"/>
                <w:sz w:val="20"/>
                <w:szCs w:val="20"/>
              </w:rPr>
              <w:t> </w:t>
            </w:r>
          </w:p>
          <w:p w14:paraId="2E121955" w14:textId="77777777" w:rsidR="00F574A2" w:rsidRPr="004F425A" w:rsidRDefault="00F574A2" w:rsidP="004F425A">
            <w:pPr>
              <w:numPr>
                <w:ilvl w:val="0"/>
                <w:numId w:val="20"/>
              </w:numPr>
              <w:spacing w:after="120" w:line="240" w:lineRule="auto"/>
              <w:rPr>
                <w:rFonts w:ascii="Lato" w:eastAsia="Lato" w:hAnsi="Lato" w:cs="Lato"/>
                <w:sz w:val="20"/>
                <w:szCs w:val="20"/>
              </w:rPr>
            </w:pPr>
            <w:r w:rsidRPr="004F425A">
              <w:rPr>
                <w:rFonts w:ascii="Lato" w:eastAsia="Lato" w:hAnsi="Lato" w:cs="Lato"/>
                <w:sz w:val="20"/>
                <w:szCs w:val="20"/>
                <w:u w:val="single"/>
              </w:rPr>
              <w:t>InP (Ind fosforku) stanowi podstawę fotoniki zintegrowanej oraz ultraszybkiej komunikacji optycznej (transpondery dla centrów danych i infrastruktury chmurowej), kluczowej dla rozwoju systemów sztucznej inteligencji (AI) i przetwarzania wielkoskalowego. </w:t>
            </w:r>
            <w:r w:rsidRPr="004F425A">
              <w:rPr>
                <w:rFonts w:ascii="Lato" w:eastAsia="Lato" w:hAnsi="Lato" w:cs="Lato"/>
                <w:sz w:val="20"/>
                <w:szCs w:val="20"/>
              </w:rPr>
              <w:t> </w:t>
            </w:r>
          </w:p>
          <w:p w14:paraId="0762922C" w14:textId="77777777" w:rsidR="00F574A2" w:rsidRPr="004F425A" w:rsidRDefault="00F574A2" w:rsidP="004F425A">
            <w:pPr>
              <w:numPr>
                <w:ilvl w:val="0"/>
                <w:numId w:val="21"/>
              </w:numPr>
              <w:spacing w:after="120" w:line="240" w:lineRule="auto"/>
              <w:rPr>
                <w:rFonts w:ascii="Lato" w:eastAsia="Lato" w:hAnsi="Lato" w:cs="Lato"/>
                <w:sz w:val="20"/>
                <w:szCs w:val="20"/>
              </w:rPr>
            </w:pPr>
            <w:r w:rsidRPr="004F425A">
              <w:rPr>
                <w:rFonts w:ascii="Lato" w:eastAsia="Lato" w:hAnsi="Lato" w:cs="Lato"/>
                <w:sz w:val="20"/>
                <w:szCs w:val="20"/>
                <w:u w:val="single"/>
              </w:rPr>
              <w:t>GaAs (Arsenek galu) znajduje szerokie zastosowanie w elektronice wysokoczęstotliwościowej (RF, mmWave), m.in. w systemach 5G/6G, radarach oraz w wysokosprawnych ogniwach fotowoltaicznych (w tym dla sektora kosmicznego). </w:t>
            </w:r>
            <w:r w:rsidRPr="004F425A">
              <w:rPr>
                <w:rFonts w:ascii="Lato" w:eastAsia="Lato" w:hAnsi="Lato" w:cs="Lato"/>
                <w:sz w:val="20"/>
                <w:szCs w:val="20"/>
              </w:rPr>
              <w:t> </w:t>
            </w:r>
          </w:p>
          <w:p w14:paraId="6B8E4F9D" w14:textId="77777777" w:rsidR="00F574A2" w:rsidRPr="004F425A" w:rsidRDefault="00F574A2" w:rsidP="004F425A">
            <w:pPr>
              <w:numPr>
                <w:ilvl w:val="0"/>
                <w:numId w:val="22"/>
              </w:numPr>
              <w:spacing w:after="120" w:line="240" w:lineRule="auto"/>
              <w:rPr>
                <w:rFonts w:ascii="Lato" w:eastAsia="Lato" w:hAnsi="Lato" w:cs="Lato"/>
                <w:sz w:val="20"/>
                <w:szCs w:val="20"/>
              </w:rPr>
            </w:pPr>
            <w:r w:rsidRPr="004F425A">
              <w:rPr>
                <w:rFonts w:ascii="Lato" w:eastAsia="Lato" w:hAnsi="Lato" w:cs="Lato"/>
                <w:sz w:val="20"/>
                <w:szCs w:val="20"/>
                <w:u w:val="single"/>
              </w:rPr>
              <w:t>GaSb (Antymonek galu) jest kluczowy dla optoelektroniki średniej podczerwieni (mid-IR), w tym dla systemów detekcji, spektroskopii, monitoringu środowiska oraz zastosowań medycznych i bezpieczeństwa. </w:t>
            </w:r>
            <w:r w:rsidRPr="004F425A">
              <w:rPr>
                <w:rFonts w:ascii="Lato" w:eastAsia="Lato" w:hAnsi="Lato" w:cs="Lato"/>
                <w:sz w:val="20"/>
                <w:szCs w:val="20"/>
              </w:rPr>
              <w:t> </w:t>
            </w:r>
          </w:p>
          <w:p w14:paraId="4D912BA0" w14:textId="77777777" w:rsidR="00F574A2" w:rsidRPr="004F425A" w:rsidRDefault="00F574A2" w:rsidP="004F425A">
            <w:pPr>
              <w:numPr>
                <w:ilvl w:val="0"/>
                <w:numId w:val="23"/>
              </w:numPr>
              <w:spacing w:after="120" w:line="240" w:lineRule="auto"/>
              <w:rPr>
                <w:rFonts w:ascii="Lato" w:eastAsia="Lato" w:hAnsi="Lato" w:cs="Lato"/>
                <w:sz w:val="20"/>
                <w:szCs w:val="20"/>
              </w:rPr>
            </w:pPr>
            <w:r w:rsidRPr="004F425A">
              <w:rPr>
                <w:rFonts w:ascii="Lato" w:eastAsia="Lato" w:hAnsi="Lato" w:cs="Lato"/>
                <w:sz w:val="20"/>
                <w:szCs w:val="20"/>
                <w:u w:val="single"/>
              </w:rPr>
              <w:t>GaP (Fosforek galu) znajduje zastosowanie w fotonice widzialnej, detekcji oraz jako materiał w strukturach heteroepitaksjalnych i zaawansowanych układach optoelektronicznych. </w:t>
            </w:r>
            <w:r w:rsidRPr="004F425A">
              <w:rPr>
                <w:rFonts w:ascii="Lato" w:eastAsia="Lato" w:hAnsi="Lato" w:cs="Lato"/>
                <w:sz w:val="20"/>
                <w:szCs w:val="20"/>
              </w:rPr>
              <w:t> </w:t>
            </w:r>
          </w:p>
          <w:p w14:paraId="6C63C582" w14:textId="0028E0D2" w:rsidR="00F574A2" w:rsidRPr="004F425A" w:rsidRDefault="00F574A2" w:rsidP="004F425A">
            <w:pPr>
              <w:numPr>
                <w:ilvl w:val="0"/>
                <w:numId w:val="24"/>
              </w:numPr>
              <w:spacing w:after="120" w:line="240" w:lineRule="auto"/>
              <w:rPr>
                <w:rFonts w:ascii="Lato" w:eastAsia="Lato" w:hAnsi="Lato" w:cs="Lato"/>
                <w:sz w:val="20"/>
                <w:szCs w:val="20"/>
              </w:rPr>
            </w:pPr>
            <w:r w:rsidRPr="004F425A">
              <w:rPr>
                <w:rFonts w:ascii="Lato" w:eastAsia="Lato" w:hAnsi="Lato" w:cs="Lato"/>
                <w:sz w:val="20"/>
                <w:szCs w:val="20"/>
                <w:u w:val="single"/>
              </w:rPr>
              <w:t xml:space="preserve">Globalny rynek technologii opartych na półprzewodnikach III–V rozwija się dynamicznie i obejmuje zarówno materiały, jak i komponenty oraz systemy końcowe. Szacuje się, że rynek samych materiałów III–V osiąga wartość rzędu kilku miliardów euro rocznie, natomiast powiązane rynki komponentów i systemów – w tym fotoniki, komunikacji optycznej, infrastruktury 5G/6G, systemów radarowych, sensorów oraz zastosowań dla AI i centrów danych – przekraczają wartość kilkuset miliardów euro globalnie i należą do najszybciej rosnących segmentów gospodarki cyfrowej. W szczególności dynamiczny rozwój </w:t>
            </w:r>
            <w:r w:rsidRPr="004F425A">
              <w:rPr>
                <w:rFonts w:ascii="Lato" w:eastAsia="Lato" w:hAnsi="Lato" w:cs="Lato"/>
                <w:sz w:val="20"/>
                <w:szCs w:val="20"/>
                <w:u w:val="single"/>
              </w:rPr>
              <w:lastRenderedPageBreak/>
              <w:t>sztucznej inteligencji i przetwarzania danych generuje gwałtowny wzrost zapotrzebowania na szybkie połączenia optyczne, w których technologie InP i pokrewne odgrywają kluczową rolę. W przeciwieństwie do dominującej elektroniki krzemowej, materiały III–V umożliwiają realizację funkcji optycznych oraz pracę przy bardzo wysokich częstotliwościach, co czyni je niezbędnymi dla przyszłych systemów obliczeniowych, komunikacyjnych i sensorycznych. W tym kontekście działania podejmowane w ENSEMBLE</w:t>
            </w:r>
            <w:r w:rsidRPr="004F425A">
              <w:rPr>
                <w:rFonts w:ascii="Lato" w:eastAsia="Lato" w:hAnsi="Lato" w:cs="Lato"/>
                <w:sz w:val="20"/>
                <w:szCs w:val="20"/>
                <w:u w:val="single"/>
                <w:vertAlign w:val="superscript"/>
              </w:rPr>
              <w:t>3</w:t>
            </w:r>
            <w:r w:rsidRPr="004F425A">
              <w:rPr>
                <w:rFonts w:ascii="Lato" w:eastAsia="Lato" w:hAnsi="Lato" w:cs="Lato"/>
                <w:sz w:val="20"/>
                <w:szCs w:val="20"/>
                <w:u w:val="single"/>
              </w:rPr>
              <w:t> koncentrują się na rozwijaniu kompetencji w zakresie wzrostu kryształów oraz wytwarzaniu podłoży pod epitaksję, co pozwala na budowanie europejskiej suwerenności technologicznej w obszarze zaawansowanych materiałów półprzewodnikowych i ich zastosowań w kluczowych sektorach gospodarki. Kompetencje wytwarzania urządzeń na tych podłożach leżą po stronie Vigo Photonics, Ł-IMiF oraz Politechniki Warszawskiej.</w:t>
            </w:r>
            <w:r w:rsidRPr="004F425A">
              <w:rPr>
                <w:rFonts w:ascii="Lato" w:eastAsia="Lato" w:hAnsi="Lato" w:cs="Lato"/>
                <w:sz w:val="20"/>
                <w:szCs w:val="20"/>
              </w:rPr>
              <w:t> </w:t>
            </w:r>
          </w:p>
        </w:tc>
        <w:tc>
          <w:tcPr>
            <w:tcW w:w="4859" w:type="dxa"/>
            <w:tcBorders>
              <w:top w:val="single" w:sz="4" w:space="0" w:color="auto"/>
              <w:left w:val="single" w:sz="4" w:space="0" w:color="auto"/>
              <w:bottom w:val="single" w:sz="4" w:space="0" w:color="auto"/>
              <w:right w:val="single" w:sz="4" w:space="0" w:color="auto"/>
            </w:tcBorders>
          </w:tcPr>
          <w:p w14:paraId="4A9CF307" w14:textId="4BD1F48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lastRenderedPageBreak/>
              <w:t>Uwaga o charakterze informacyjnym/redakcyjnym - fragment zduplikowany, bez jednoznacznego, odrębnego postulatu zmiany.</w:t>
            </w:r>
          </w:p>
        </w:tc>
      </w:tr>
      <w:tr w:rsidR="004471C5" w:rsidRPr="004F425A" w14:paraId="138AB1CE" w14:textId="77777777" w:rsidTr="79FF9703">
        <w:tc>
          <w:tcPr>
            <w:tcW w:w="1425" w:type="dxa"/>
            <w:tcBorders>
              <w:top w:val="single" w:sz="4" w:space="0" w:color="auto"/>
              <w:left w:val="single" w:sz="4" w:space="0" w:color="auto"/>
              <w:bottom w:val="single" w:sz="4" w:space="0" w:color="auto"/>
              <w:right w:val="single" w:sz="4" w:space="0" w:color="auto"/>
            </w:tcBorders>
          </w:tcPr>
          <w:p w14:paraId="65DCAC1B" w14:textId="0B20E0CD"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lastRenderedPageBreak/>
              <w:t xml:space="preserve"> </w:t>
            </w:r>
          </w:p>
        </w:tc>
        <w:tc>
          <w:tcPr>
            <w:tcW w:w="2363" w:type="dxa"/>
            <w:tcBorders>
              <w:top w:val="single" w:sz="4" w:space="0" w:color="auto"/>
              <w:left w:val="single" w:sz="4" w:space="0" w:color="auto"/>
              <w:bottom w:val="single" w:sz="4" w:space="0" w:color="auto"/>
              <w:right w:val="single" w:sz="4" w:space="0" w:color="auto"/>
            </w:tcBorders>
          </w:tcPr>
          <w:p w14:paraId="2EA50B06" w14:textId="0CFAC71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51BA231B" w14:textId="618920B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 fragmencie dot. fotoniki scalonej {…i globalnym łańcuchu wartości} dodano od firmy Photin fragment:] </w:t>
            </w:r>
          </w:p>
          <w:p w14:paraId="27E14B5B" w14:textId="2BBCC67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Firma Photin we współpracy z Wojskową Akademią Techniczną zademonstrowała opracowanie technologii epitaksji MOCVD i processingu półprzewodników ”Ga-Free”, ”Al-Free”: InAs-InAsSbP na zakres średniej podczerwieni, posiadających lepsze parametry techniczne, niż materiały InAs-InAsSb-AlGaAsSb osadzane w MBE, używane przez inne polskie podmioty. </w:t>
            </w:r>
          </w:p>
          <w:p w14:paraId="0CA4C3D1" w14:textId="6CE1A76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117226AA" w14:textId="387D408A" w:rsidR="00CD0947" w:rsidRPr="004F425A" w:rsidRDefault="00CD0947"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27F8EC37" w14:textId="66200E52" w:rsidR="00F574A2" w:rsidRPr="004F425A" w:rsidRDefault="00CD0947" w:rsidP="004F425A">
            <w:pPr>
              <w:spacing w:after="120" w:line="240" w:lineRule="auto"/>
              <w:rPr>
                <w:rFonts w:ascii="Lato" w:eastAsia="Lato" w:hAnsi="Lato" w:cs="Lato"/>
                <w:sz w:val="20"/>
                <w:szCs w:val="20"/>
              </w:rPr>
            </w:pPr>
            <w:r w:rsidRPr="004F425A">
              <w:rPr>
                <w:rFonts w:ascii="Lato" w:eastAsia="Lato" w:hAnsi="Lato" w:cs="Lato"/>
                <w:sz w:val="20"/>
                <w:szCs w:val="20"/>
              </w:rPr>
              <w:t>W ocenie MC z uwagi na horyzontalny i ogólny charakter dokumentu nie wymaga on modyfikacji w tym zakresie.</w:t>
            </w:r>
          </w:p>
        </w:tc>
      </w:tr>
      <w:tr w:rsidR="004471C5" w:rsidRPr="004F425A" w14:paraId="55B7ACB4" w14:textId="77777777" w:rsidTr="79FF9703">
        <w:tc>
          <w:tcPr>
            <w:tcW w:w="1425" w:type="dxa"/>
            <w:tcBorders>
              <w:top w:val="single" w:sz="4" w:space="0" w:color="auto"/>
              <w:left w:val="single" w:sz="4" w:space="0" w:color="auto"/>
              <w:bottom w:val="single" w:sz="4" w:space="0" w:color="auto"/>
              <w:right w:val="single" w:sz="4" w:space="0" w:color="auto"/>
            </w:tcBorders>
          </w:tcPr>
          <w:p w14:paraId="408404FF" w14:textId="09821DB8"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2B5C515B" w14:textId="1C29348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1E0A765E"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Pomimo ograniczonej skali produkcyjnej warto dodać w tym miejscu, że Ensemble3 produkuje: monokryształy III-V tj. GaSb, GaP, InP. Chyba, że to umieścimy bezpośrednio w sekcji: Półprzewodniki szerokoprzerwowe </w:t>
            </w:r>
          </w:p>
          <w:p w14:paraId="0FA9E182" w14:textId="309729C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 – dodana do podkreślonego fragmentu:</w:t>
            </w:r>
            <w:r w:rsidRPr="004F425A">
              <w:rPr>
                <w:rFonts w:ascii="Lato" w:hAnsi="Lato"/>
                <w:sz w:val="20"/>
                <w:szCs w:val="20"/>
              </w:rPr>
              <w:br/>
            </w:r>
            <w:r w:rsidRPr="004F425A">
              <w:rPr>
                <w:rFonts w:ascii="Lato" w:hAnsi="Lato"/>
                <w:sz w:val="20"/>
                <w:szCs w:val="20"/>
              </w:rPr>
              <w:br/>
            </w:r>
            <w:r w:rsidRPr="004F425A">
              <w:rPr>
                <w:rFonts w:ascii="Lato" w:eastAsia="Lato" w:hAnsi="Lato" w:cs="Lato"/>
                <w:sz w:val="20"/>
                <w:szCs w:val="20"/>
              </w:rPr>
              <w:t>W Polsce, </w:t>
            </w:r>
            <w:r w:rsidRPr="004F425A">
              <w:rPr>
                <w:rFonts w:ascii="Lato" w:eastAsia="Lato" w:hAnsi="Lato" w:cs="Lato"/>
                <w:sz w:val="20"/>
                <w:szCs w:val="20"/>
                <w:u w:val="single"/>
              </w:rPr>
              <w:t>na ograniczoną skalę</w:t>
            </w:r>
            <w:r w:rsidRPr="004F425A">
              <w:rPr>
                <w:rFonts w:ascii="Lato" w:eastAsia="Lato" w:hAnsi="Lato" w:cs="Lato"/>
                <w:sz w:val="20"/>
                <w:szCs w:val="20"/>
              </w:rPr>
              <w:t>, wytwarzane są monokryształy półprzewodnikowe oraz produkowane są urządzenia i systemy wspierające procesy wytwarzania czipów - w tym sprzęt do nanodruku, rozwiązania metrologiczne oraz systemy testowania]</w:t>
            </w:r>
          </w:p>
        </w:tc>
        <w:tc>
          <w:tcPr>
            <w:tcW w:w="4859" w:type="dxa"/>
            <w:tcBorders>
              <w:top w:val="single" w:sz="4" w:space="0" w:color="auto"/>
              <w:left w:val="single" w:sz="4" w:space="0" w:color="auto"/>
              <w:bottom w:val="single" w:sz="4" w:space="0" w:color="auto"/>
              <w:right w:val="single" w:sz="4" w:space="0" w:color="auto"/>
            </w:tcBorders>
          </w:tcPr>
          <w:p w14:paraId="3A43E141" w14:textId="77777777" w:rsidR="00CD0947" w:rsidRPr="004F425A" w:rsidRDefault="00CD0947"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0EF4EC6B" w14:textId="77777777" w:rsidR="00CD0947" w:rsidRPr="004F425A" w:rsidRDefault="00CD0947" w:rsidP="004F425A">
            <w:pPr>
              <w:spacing w:after="120" w:line="240" w:lineRule="auto"/>
              <w:rPr>
                <w:rFonts w:ascii="Lato" w:eastAsia="Lato" w:hAnsi="Lato" w:cs="Lato"/>
                <w:sz w:val="20"/>
                <w:szCs w:val="20"/>
              </w:rPr>
            </w:pPr>
            <w:r w:rsidRPr="004F425A">
              <w:rPr>
                <w:rFonts w:ascii="Lato" w:eastAsia="Lato" w:hAnsi="Lato" w:cs="Lato"/>
                <w:sz w:val="20"/>
                <w:szCs w:val="20"/>
              </w:rPr>
              <w:t>W ocenie MC z uwagi na horyzontalny i ogólny charakter dokumentu nie wymaga on modyfikacji w tym zakresie.</w:t>
            </w:r>
          </w:p>
          <w:p w14:paraId="5BAE13DB" w14:textId="651E77F8" w:rsidR="00F574A2" w:rsidRPr="004F425A" w:rsidRDefault="00F574A2" w:rsidP="004F425A">
            <w:pPr>
              <w:spacing w:after="120" w:line="240" w:lineRule="auto"/>
              <w:rPr>
                <w:rFonts w:ascii="Lato" w:eastAsia="Lato" w:hAnsi="Lato" w:cs="Lato"/>
                <w:sz w:val="20"/>
                <w:szCs w:val="20"/>
              </w:rPr>
            </w:pPr>
          </w:p>
        </w:tc>
      </w:tr>
      <w:tr w:rsidR="004471C5" w:rsidRPr="004F425A" w14:paraId="52C26104" w14:textId="77777777" w:rsidTr="79FF9703">
        <w:tc>
          <w:tcPr>
            <w:tcW w:w="1425" w:type="dxa"/>
            <w:tcBorders>
              <w:top w:val="single" w:sz="4" w:space="0" w:color="auto"/>
              <w:left w:val="single" w:sz="4" w:space="0" w:color="auto"/>
              <w:bottom w:val="single" w:sz="4" w:space="0" w:color="auto"/>
              <w:right w:val="single" w:sz="4" w:space="0" w:color="auto"/>
            </w:tcBorders>
          </w:tcPr>
          <w:p w14:paraId="356F415E"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58E1F79" w14:textId="6B5B0F8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2E0F4573"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dwóch dalszych fazach produkcji półprzewodników: front-endzie oraz procesach back-endowych - krajowe kompetencje są ograniczone i niekompletne. W obszarze front-endu dotychczasowa aktywność ograniczała się głównie do prac badawczych lub niszowych zastosowań technologii starszej generacji. </w:t>
            </w:r>
            <w:r w:rsidRPr="004F425A">
              <w:rPr>
                <w:rFonts w:ascii="Lato" w:eastAsia="Lato" w:hAnsi="Lato" w:cs="Lato"/>
                <w:sz w:val="20"/>
                <w:szCs w:val="20"/>
                <w:u w:val="single"/>
              </w:rPr>
              <w:t>Do niedawna Polska wytwarzała kryształy i płytki krzemowe (Cemat Silicon oraz Ł-IMiF). Obecnie </w:t>
            </w:r>
            <w:r w:rsidRPr="004F425A">
              <w:rPr>
                <w:rFonts w:ascii="Lato" w:eastAsia="Lato" w:hAnsi="Lato" w:cs="Lato"/>
                <w:sz w:val="20"/>
                <w:szCs w:val="20"/>
              </w:rPr>
              <w:t>Polska nie posiada </w:t>
            </w:r>
            <w:r w:rsidRPr="004F425A">
              <w:rPr>
                <w:rFonts w:ascii="Lato" w:eastAsia="Lato" w:hAnsi="Lato" w:cs="Lato"/>
                <w:strike/>
                <w:sz w:val="20"/>
                <w:szCs w:val="20"/>
              </w:rPr>
              <w:t>obecnie</w:t>
            </w:r>
            <w:r w:rsidRPr="004F425A">
              <w:rPr>
                <w:rFonts w:ascii="Lato" w:eastAsia="Lato" w:hAnsi="Lato" w:cs="Lato"/>
                <w:sz w:val="20"/>
                <w:szCs w:val="20"/>
              </w:rPr>
              <w:t> infrastruktury umożliwiającej produkcję płytek i struktur krzemowych w nowoczesnych procesach produkcyjnych.</w:t>
            </w:r>
          </w:p>
          <w:p w14:paraId="385A2625" w14:textId="0F13E4B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dodana w formie uzupełnienia w trybie zmian] </w:t>
            </w:r>
          </w:p>
        </w:tc>
        <w:tc>
          <w:tcPr>
            <w:tcW w:w="4859" w:type="dxa"/>
            <w:tcBorders>
              <w:top w:val="single" w:sz="4" w:space="0" w:color="auto"/>
              <w:left w:val="single" w:sz="4" w:space="0" w:color="auto"/>
              <w:bottom w:val="single" w:sz="4" w:space="0" w:color="auto"/>
              <w:right w:val="single" w:sz="4" w:space="0" w:color="auto"/>
            </w:tcBorders>
          </w:tcPr>
          <w:p w14:paraId="6AA88C53" w14:textId="77777777" w:rsidR="00CD0947" w:rsidRPr="004F425A" w:rsidRDefault="00CD0947"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75763454" w14:textId="5F1C2983" w:rsidR="00F574A2" w:rsidRPr="004F425A" w:rsidRDefault="00CD0947" w:rsidP="004F425A">
            <w:pPr>
              <w:spacing w:after="120" w:line="240" w:lineRule="auto"/>
              <w:rPr>
                <w:rFonts w:ascii="Lato" w:eastAsia="Lato" w:hAnsi="Lato" w:cs="Lato"/>
                <w:sz w:val="20"/>
                <w:szCs w:val="20"/>
              </w:rPr>
            </w:pPr>
            <w:r w:rsidRPr="004F425A">
              <w:rPr>
                <w:rFonts w:ascii="Lato" w:eastAsia="Lato" w:hAnsi="Lato" w:cs="Lato"/>
                <w:sz w:val="20"/>
                <w:szCs w:val="20"/>
              </w:rPr>
              <w:t>W ocenie MC z uwagi na horyzontalny i ogólny charakter dokumentu nie wymaga on modyfikacji w tym zakresie.</w:t>
            </w:r>
          </w:p>
        </w:tc>
      </w:tr>
      <w:tr w:rsidR="004471C5" w:rsidRPr="004F425A" w14:paraId="5169003D" w14:textId="77777777" w:rsidTr="79FF9703">
        <w:tc>
          <w:tcPr>
            <w:tcW w:w="1425" w:type="dxa"/>
            <w:tcBorders>
              <w:top w:val="single" w:sz="4" w:space="0" w:color="auto"/>
              <w:left w:val="single" w:sz="4" w:space="0" w:color="auto"/>
              <w:bottom w:val="single" w:sz="4" w:space="0" w:color="auto"/>
              <w:right w:val="single" w:sz="4" w:space="0" w:color="auto"/>
            </w:tcBorders>
          </w:tcPr>
          <w:p w14:paraId="58E5A794" w14:textId="7CFA045F"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1FC704D7" w14:textId="309509E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3ED680C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Trzon wiedzy i kompetencji technologicznych tworzą instytuty badawcze (m.in. Łukasiewicz - Instytut Mikroelektroniki i Fotoniki, Instytut Wysokich Ciśnień PAN - UNIPRESS, CEZAMAT Politechniki Warszawskiej), uczelnie wyższe w Gdańsku, Krakowie, Łodzi, Poznaniu, Warszawie i Wrocławiu </w:t>
            </w:r>
            <w:r w:rsidRPr="004F425A">
              <w:rPr>
                <w:rFonts w:ascii="Lato" w:eastAsia="Lato" w:hAnsi="Lato" w:cs="Lato"/>
                <w:strike/>
                <w:sz w:val="20"/>
                <w:szCs w:val="20"/>
              </w:rPr>
              <w:t>a także spółka Ensemble3 wywodząca sie z Instytutu Technologii Materiałów Elektronicznych</w:t>
            </w:r>
            <w:r w:rsidRPr="004F425A">
              <w:rPr>
                <w:rFonts w:ascii="Lato" w:eastAsia="Lato" w:hAnsi="Lato" w:cs="Lato"/>
                <w:sz w:val="20"/>
                <w:szCs w:val="20"/>
              </w:rPr>
              <w:t> Jednostki te wspierają rozwój materiałów i zastosowań technologicznych - od detektorów i fotoniki, przez techniki druku, po systemy projektowe. </w:t>
            </w:r>
            <w:r w:rsidRPr="004F425A">
              <w:rPr>
                <w:rFonts w:ascii="Lato" w:eastAsia="Lato" w:hAnsi="Lato" w:cs="Lato"/>
                <w:sz w:val="20"/>
                <w:szCs w:val="20"/>
                <w:u w:val="single"/>
              </w:rPr>
              <w:t>Uzupełnieniem krajowego ekosystemu badawczo-rozwojowego są również nowe inicjatywy o charakterze międzynarodowym, takie jak Centrum Doskonałości ENSEMBLE³ w Warszawie, rozwijane we współpracy z partnerami zagranicznymi w ramach programów Komisji Europejskiej i Fundacji na rzecz Nauki Polskiej czy też Europejskiego Funduszu Obronnego. </w:t>
            </w:r>
            <w:r w:rsidRPr="004F425A">
              <w:rPr>
                <w:rFonts w:ascii="Lato" w:eastAsia="Lato" w:hAnsi="Lato" w:cs="Lato"/>
                <w:sz w:val="20"/>
                <w:szCs w:val="20"/>
              </w:rPr>
              <w:t>Choć ośrodki te współpracują ze sobą, nadal brakuje spójnego planu rozwoju technologii, koordynacji działań i klarownego podziału ról. Potencjał ośrodków regionalnych pozostaje niewykorzystany. </w:t>
            </w:r>
          </w:p>
          <w:p w14:paraId="3111662D" w14:textId="3F33394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 uzupełnienie wprowadzona w trybie zmian – wykreślenie i dodanie tekstu]</w:t>
            </w:r>
          </w:p>
        </w:tc>
        <w:tc>
          <w:tcPr>
            <w:tcW w:w="4859" w:type="dxa"/>
            <w:tcBorders>
              <w:top w:val="single" w:sz="4" w:space="0" w:color="auto"/>
              <w:left w:val="single" w:sz="4" w:space="0" w:color="auto"/>
              <w:bottom w:val="single" w:sz="4" w:space="0" w:color="auto"/>
              <w:right w:val="single" w:sz="4" w:space="0" w:color="auto"/>
            </w:tcBorders>
          </w:tcPr>
          <w:p w14:paraId="39819837" w14:textId="12E7735F"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552C7547" w14:textId="65581A2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REKOMENDACJA WŁASNA (do przemyślenia, nie tylko odniesienie): Warto rozważyć jednak realne uwzględnienie Ensemble3 w liście instytutów (obok CEZAMAT PW, Łukasiewicz-IMiF, IWC PAN) - to nie jest odosobniony postulat pojedynczego respondenta: wraca on w niezależnych uwagach PPTF co najmniej 5-krotnie (poz. 119, 121, 125, 133, 161), dotyczy jednostki o ugruntowanym statusie (spin-off ITME, finansowanej ze środków publicznych), a jej pominięcie - przy jednoczesnym wymienieniu porównywalnych podmiotów - może sprawiać wrażenie przeoczenia, a nie świadomej decyzji o nieprecyzowaniu nazw.</w:t>
            </w:r>
          </w:p>
        </w:tc>
      </w:tr>
      <w:tr w:rsidR="004471C5" w:rsidRPr="004F425A" w14:paraId="50C976C8" w14:textId="77777777" w:rsidTr="79FF9703">
        <w:tc>
          <w:tcPr>
            <w:tcW w:w="1425" w:type="dxa"/>
            <w:tcBorders>
              <w:top w:val="single" w:sz="4" w:space="0" w:color="auto"/>
              <w:left w:val="single" w:sz="4" w:space="0" w:color="auto"/>
              <w:bottom w:val="single" w:sz="4" w:space="0" w:color="auto"/>
              <w:right w:val="single" w:sz="4" w:space="0" w:color="auto"/>
            </w:tcBorders>
          </w:tcPr>
          <w:p w14:paraId="41536C10"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759D1F2" w14:textId="191D14B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6E49B2F4"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jako rozpoznawalny węzeł europejskiego ekosystemu półprzewodników, wykorzystujący lokalne kompetencje w </w:t>
            </w:r>
            <w:r w:rsidRPr="004F425A">
              <w:rPr>
                <w:rFonts w:ascii="Lato" w:eastAsia="Lato" w:hAnsi="Lato" w:cs="Lato"/>
                <w:sz w:val="20"/>
                <w:szCs w:val="20"/>
                <w:u w:val="single"/>
              </w:rPr>
              <w:t>wytwarzaniu materiałów półprzewodnikowych i fotonicznych, </w:t>
            </w:r>
            <w:r w:rsidRPr="004F425A">
              <w:rPr>
                <w:rFonts w:ascii="Lato" w:eastAsia="Lato" w:hAnsi="Lato" w:cs="Lato"/>
                <w:sz w:val="20"/>
                <w:szCs w:val="20"/>
              </w:rPr>
              <w:t>projektowaniu układów scalonych i fotonice do budowania trwałych przewag konkurencyjnych w wybranych niszach technologicznych. </w:t>
            </w:r>
          </w:p>
          <w:p w14:paraId="3BD802F6" w14:textId="5AC6A32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wprowadzona w trybie zmian – uzupełnienie tekstu]</w:t>
            </w:r>
          </w:p>
        </w:tc>
        <w:tc>
          <w:tcPr>
            <w:tcW w:w="4859" w:type="dxa"/>
            <w:tcBorders>
              <w:top w:val="single" w:sz="4" w:space="0" w:color="auto"/>
              <w:left w:val="single" w:sz="4" w:space="0" w:color="auto"/>
              <w:bottom w:val="single" w:sz="4" w:space="0" w:color="auto"/>
              <w:right w:val="single" w:sz="4" w:space="0" w:color="auto"/>
            </w:tcBorders>
          </w:tcPr>
          <w:p w14:paraId="15347C36" w14:textId="1457C5CC" w:rsidR="00F574A2" w:rsidRPr="004F425A" w:rsidRDefault="00F574A2" w:rsidP="004F425A">
            <w:pPr>
              <w:spacing w:after="120" w:line="240" w:lineRule="auto"/>
              <w:rPr>
                <w:rFonts w:ascii="Lato" w:hAnsi="Lato"/>
                <w:sz w:val="20"/>
                <w:szCs w:val="20"/>
              </w:rPr>
            </w:pPr>
            <w:r w:rsidRPr="004F425A">
              <w:rPr>
                <w:rStyle w:val="Ppogrubienie"/>
                <w:rFonts w:ascii="Lato" w:hAnsi="Lato"/>
                <w:sz w:val="20"/>
                <w:szCs w:val="20"/>
              </w:rPr>
              <w:t>Uwaga uwzględniona</w:t>
            </w:r>
            <w:r w:rsidRPr="004F425A">
              <w:rPr>
                <w:rFonts w:ascii="Lato" w:eastAsia="Lato" w:hAnsi="Lato" w:cs="Lato"/>
                <w:sz w:val="20"/>
                <w:szCs w:val="20"/>
              </w:rPr>
              <w:t>.</w:t>
            </w:r>
          </w:p>
          <w:p w14:paraId="68F66D3C" w14:textId="0456564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został uzupełniony zgodnie z propozycja PPTF.</w:t>
            </w:r>
          </w:p>
        </w:tc>
      </w:tr>
      <w:tr w:rsidR="004471C5" w:rsidRPr="004F425A" w14:paraId="4C198F96" w14:textId="77777777" w:rsidTr="79FF9703">
        <w:tc>
          <w:tcPr>
            <w:tcW w:w="1425" w:type="dxa"/>
            <w:tcBorders>
              <w:top w:val="single" w:sz="4" w:space="0" w:color="auto"/>
              <w:left w:val="single" w:sz="4" w:space="0" w:color="auto"/>
              <w:bottom w:val="single" w:sz="4" w:space="0" w:color="auto"/>
              <w:right w:val="single" w:sz="4" w:space="0" w:color="auto"/>
            </w:tcBorders>
          </w:tcPr>
          <w:p w14:paraId="18599758" w14:textId="327FF84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379C867E" w14:textId="174EBF3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2B9FD498" w14:textId="3BC5A09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Sens komentarza: Zaproponowana wartość docelowa (co najmniej 1 linia pilożażowa do końca 2028 r.) jest zbyt niska. </w:t>
            </w:r>
          </w:p>
          <w:p w14:paraId="187A634C" w14:textId="69A6FE1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Proponowana liczba linii pilotażowych:  ≥3</w:t>
            </w:r>
          </w:p>
          <w:p w14:paraId="0AE056CF" w14:textId="6AC68B8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trybu zmian i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7E048753" w14:textId="77777777" w:rsidR="005A53AA"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6AD00CC8" w14:textId="460D0EF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Wskazane wartości mają charakter orientacyjny i - zgodnie z rozdziałem „Wdrażanie, monitorowanie i ewaluacja” - podlegają corocznemu monitorowaniu oraz przeglądowi w ramach ewaluacji śródokresowej w 2028 r. Korekta wskaźnika możliwa na tym etapie bez nowelizacji uchwały.</w:t>
            </w:r>
          </w:p>
        </w:tc>
      </w:tr>
      <w:tr w:rsidR="004471C5" w:rsidRPr="004F425A" w14:paraId="65965AAD" w14:textId="77777777" w:rsidTr="79FF9703">
        <w:tc>
          <w:tcPr>
            <w:tcW w:w="1425" w:type="dxa"/>
            <w:tcBorders>
              <w:top w:val="single" w:sz="4" w:space="0" w:color="auto"/>
              <w:left w:val="single" w:sz="4" w:space="0" w:color="auto"/>
              <w:bottom w:val="single" w:sz="4" w:space="0" w:color="auto"/>
              <w:right w:val="single" w:sz="4" w:space="0" w:color="auto"/>
            </w:tcBorders>
          </w:tcPr>
          <w:p w14:paraId="75C958E8" w14:textId="6ACE7580"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57CE5EC3" w14:textId="4C14041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0D782B5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Sens komentarza: Wskazane kwoty (800 mln zł CAPEX i 300 mln zł OPEX) są za małe. </w:t>
            </w:r>
          </w:p>
          <w:p w14:paraId="2A978D3A" w14:textId="6FDEDEA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Przykładowo 1 urządzenie do otrzymywania kryształów InP (4-6 cali) to ok. 3 mln EUR (12 mln PLN). </w:t>
            </w:r>
          </w:p>
          <w:p w14:paraId="23165348" w14:textId="5411AA1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7362FA13"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09785C45" w14:textId="63C09D0C" w:rsidR="00F574A2" w:rsidRPr="004F425A" w:rsidRDefault="005A53AA" w:rsidP="004F425A">
            <w:pPr>
              <w:spacing w:after="120" w:line="240" w:lineRule="auto"/>
              <w:rPr>
                <w:rFonts w:ascii="Lato" w:eastAsia="Lato" w:hAnsi="Lato" w:cs="Lato"/>
                <w:sz w:val="20"/>
                <w:szCs w:val="20"/>
              </w:rPr>
            </w:pPr>
            <w:r w:rsidRPr="004F425A">
              <w:rPr>
                <w:rFonts w:ascii="Lato" w:eastAsia="Lato" w:hAnsi="Lato" w:cs="Lato"/>
                <w:sz w:val="20"/>
                <w:szCs w:val="20"/>
              </w:rPr>
              <w:t>Wskazane wartości mają charakter orientacyjny i - zgodnie z rozdziałem „Wdrażanie, monitorowanie i ewaluacja” - podlegają corocznemu monitorowaniu oraz przeglądowi w ramach ewaluacji śródokresowej w 2028 r. Korekta wskaźnika możliwa na tym etapie bez nowelizacji uchwały.</w:t>
            </w:r>
          </w:p>
        </w:tc>
      </w:tr>
      <w:tr w:rsidR="004471C5" w:rsidRPr="004F425A" w14:paraId="2FF2BC57" w14:textId="77777777" w:rsidTr="79FF9703">
        <w:tc>
          <w:tcPr>
            <w:tcW w:w="1425" w:type="dxa"/>
            <w:tcBorders>
              <w:top w:val="single" w:sz="4" w:space="0" w:color="auto"/>
              <w:left w:val="single" w:sz="4" w:space="0" w:color="auto"/>
              <w:bottom w:val="single" w:sz="4" w:space="0" w:color="auto"/>
              <w:right w:val="single" w:sz="4" w:space="0" w:color="auto"/>
            </w:tcBorders>
          </w:tcPr>
          <w:p w14:paraId="4E27E428" w14:textId="5FB24828"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2C588B47" w14:textId="391477F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5BE3E268" w14:textId="14FF733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Zaproponowano możliwość wpisania nowych inicjatyw, takich jak Centrum Doskonałości Ensemble3, na mapę drogową. [Uwaga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7335075C" w14:textId="01575D1A"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7D98D32B" w14:textId="5B1C996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modyfikacji w tym zakresie. </w:t>
            </w:r>
          </w:p>
          <w:p w14:paraId="32BB8B32" w14:textId="3E0A3639" w:rsidR="00F574A2" w:rsidRPr="004F425A" w:rsidRDefault="00F574A2" w:rsidP="004F425A">
            <w:pPr>
              <w:spacing w:after="120" w:line="240" w:lineRule="auto"/>
              <w:rPr>
                <w:rFonts w:ascii="Lato" w:eastAsia="Lato" w:hAnsi="Lato" w:cs="Lato"/>
                <w:sz w:val="20"/>
                <w:szCs w:val="20"/>
              </w:rPr>
            </w:pPr>
          </w:p>
        </w:tc>
      </w:tr>
      <w:tr w:rsidR="004471C5" w:rsidRPr="004F425A" w14:paraId="24E93125" w14:textId="77777777" w:rsidTr="79FF9703">
        <w:tc>
          <w:tcPr>
            <w:tcW w:w="1425" w:type="dxa"/>
            <w:tcBorders>
              <w:top w:val="single" w:sz="4" w:space="0" w:color="auto"/>
              <w:left w:val="single" w:sz="4" w:space="0" w:color="auto"/>
              <w:bottom w:val="single" w:sz="4" w:space="0" w:color="auto"/>
              <w:right w:val="single" w:sz="4" w:space="0" w:color="auto"/>
            </w:tcBorders>
          </w:tcPr>
          <w:p w14:paraId="38E52938" w14:textId="5C2288B9"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087CD2EB" w14:textId="4D9E3BF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32A34CD2" w14:textId="387DF32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Państwo jako odbiorca - liczba pilotażowych wdrożeń polskich technologii półprzewodnikowych w administracji lub spółkach SP (cel: min. 2 projekty pilotażowe rocznie, np. w elektronice</w:t>
            </w:r>
            <w:r w:rsidRPr="004F425A">
              <w:rPr>
                <w:rFonts w:ascii="Lato" w:eastAsia="Lato" w:hAnsi="Lato" w:cs="Lato"/>
                <w:sz w:val="20"/>
                <w:szCs w:val="20"/>
                <w:u w:val="single"/>
              </w:rPr>
              <w:t>/optoelektronice/fotonice</w:t>
            </w:r>
            <w:r w:rsidRPr="004F425A">
              <w:rPr>
                <w:rFonts w:ascii="Lato" w:eastAsia="Lato" w:hAnsi="Lato" w:cs="Lato"/>
                <w:sz w:val="20"/>
                <w:szCs w:val="20"/>
              </w:rPr>
              <w:t> dla energetyki lub obronności).  </w:t>
            </w:r>
          </w:p>
          <w:p w14:paraId="012976F9"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[Treść komentarza:] </w:t>
            </w:r>
          </w:p>
          <w:p w14:paraId="7A50CA49" w14:textId="74C8717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Proponuję nie skupiać się tylko na elektronice. W dużej mierze układy zawierające półprzewodniki to układy zawierające kompotent elektroniczny i optyczny.</w:t>
            </w:r>
          </w:p>
          <w:p w14:paraId="37B43021" w14:textId="6326FAC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32772D31" w14:textId="0824B87C"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28D0B509"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modyfikacji w tym zakresie. </w:t>
            </w:r>
          </w:p>
          <w:p w14:paraId="64AC3166" w14:textId="77777777" w:rsidR="00F574A2" w:rsidRPr="004F425A" w:rsidRDefault="00F574A2" w:rsidP="004F425A">
            <w:pPr>
              <w:spacing w:after="120" w:line="240" w:lineRule="auto"/>
              <w:rPr>
                <w:rFonts w:ascii="Lato" w:hAnsi="Lato"/>
                <w:sz w:val="20"/>
                <w:szCs w:val="20"/>
              </w:rPr>
            </w:pPr>
          </w:p>
          <w:p w14:paraId="16A722A7" w14:textId="15C0DBCB" w:rsidR="00F574A2" w:rsidRPr="004F425A" w:rsidRDefault="00F574A2" w:rsidP="004F425A">
            <w:pPr>
              <w:spacing w:after="120" w:line="240" w:lineRule="auto"/>
              <w:rPr>
                <w:rFonts w:ascii="Lato" w:eastAsia="Lato" w:hAnsi="Lato" w:cs="Lato"/>
                <w:sz w:val="20"/>
                <w:szCs w:val="20"/>
              </w:rPr>
            </w:pPr>
          </w:p>
        </w:tc>
      </w:tr>
      <w:tr w:rsidR="004471C5" w:rsidRPr="004F425A" w14:paraId="293D59CB" w14:textId="77777777" w:rsidTr="79FF9703">
        <w:tc>
          <w:tcPr>
            <w:tcW w:w="1425" w:type="dxa"/>
            <w:tcBorders>
              <w:top w:val="single" w:sz="4" w:space="0" w:color="auto"/>
              <w:left w:val="single" w:sz="4" w:space="0" w:color="auto"/>
              <w:bottom w:val="single" w:sz="4" w:space="0" w:color="auto"/>
              <w:right w:val="single" w:sz="4" w:space="0" w:color="auto"/>
            </w:tcBorders>
          </w:tcPr>
          <w:p w14:paraId="2A914B60" w14:textId="29E52434"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2484ABDC" w14:textId="6CFF60C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4A04E924" w14:textId="77777777" w:rsidR="00F574A2" w:rsidRPr="004F425A" w:rsidRDefault="00F574A2" w:rsidP="004F425A">
            <w:pPr>
              <w:numPr>
                <w:ilvl w:val="0"/>
                <w:numId w:val="25"/>
              </w:numPr>
              <w:spacing w:after="120" w:line="240" w:lineRule="auto"/>
              <w:rPr>
                <w:rFonts w:ascii="Lato" w:eastAsia="Lato" w:hAnsi="Lato" w:cs="Lato"/>
                <w:sz w:val="20"/>
                <w:szCs w:val="20"/>
              </w:rPr>
            </w:pPr>
            <w:r w:rsidRPr="004F425A">
              <w:rPr>
                <w:rFonts w:ascii="Lato" w:eastAsia="Lato" w:hAnsi="Lato" w:cs="Lato"/>
                <w:sz w:val="20"/>
                <w:szCs w:val="20"/>
              </w:rPr>
              <w:t>Członkostwo w inicjatywach UE - przystąpienie polskich podmiotów do Europejskiego Sojuszu na rzecz Półprzewodników ESRA (cel: Polska członkiem ESRA do końca 2026 roku) oraz aktywny udział w programach Chips JU (liczba projektów z dofinansowaniem Chips JU z PL udziałem - cel: wzrost o 50% do 2030 roku).</w:t>
            </w:r>
            <w:r w:rsidRPr="004F425A">
              <w:rPr>
                <w:rFonts w:ascii="Lato" w:eastAsia="Lato" w:hAnsi="Lato" w:cs="Lato"/>
                <w:sz w:val="20"/>
                <w:szCs w:val="20"/>
                <w:u w:val="single"/>
              </w:rPr>
              <w:t> oraz IPCEI w tym IPCEI Advanced Semiconductor Technologies czy też projektach Europejskiego Funduszu Obronnego. </w:t>
            </w:r>
            <w:r w:rsidRPr="004F425A">
              <w:rPr>
                <w:rFonts w:ascii="Lato" w:eastAsia="Lato" w:hAnsi="Lato" w:cs="Lato"/>
                <w:sz w:val="20"/>
                <w:szCs w:val="20"/>
              </w:rPr>
              <w:t> </w:t>
            </w:r>
          </w:p>
          <w:p w14:paraId="3970DEAC" w14:textId="7A49A4B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 uzupełnienie, odczytana z komentarza i trybu zmian w dokumencie Word]</w:t>
            </w:r>
          </w:p>
          <w:p w14:paraId="10C1ED78" w14:textId="5DACD219" w:rsidR="00F574A2" w:rsidRPr="004F425A" w:rsidRDefault="00F574A2" w:rsidP="004F425A">
            <w:pPr>
              <w:spacing w:after="120" w:line="240" w:lineRule="auto"/>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0A0067F2"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08EBFEF5" w14:textId="07C0D4E2" w:rsidR="00F574A2" w:rsidRPr="004F425A" w:rsidRDefault="00F574A2" w:rsidP="004F425A">
            <w:pPr>
              <w:spacing w:after="120" w:line="240" w:lineRule="auto"/>
              <w:rPr>
                <w:rFonts w:ascii="Lato" w:hAnsi="Lato"/>
                <w:sz w:val="20"/>
                <w:szCs w:val="20"/>
              </w:rPr>
            </w:pPr>
            <w:r w:rsidRPr="004F425A">
              <w:rPr>
                <w:rFonts w:ascii="Lato" w:eastAsia="Lato" w:hAnsi="Lato" w:cs="Lato"/>
                <w:sz w:val="20"/>
                <w:szCs w:val="20"/>
              </w:rPr>
              <w:t>Dokument został doprecyzowany zgodnie z propozycją PPTF.</w:t>
            </w:r>
          </w:p>
          <w:p w14:paraId="7AF35B93" w14:textId="5CE9A19E" w:rsidR="00F574A2" w:rsidRPr="004F425A" w:rsidRDefault="00F574A2" w:rsidP="004F425A">
            <w:pPr>
              <w:spacing w:after="120" w:line="240" w:lineRule="auto"/>
              <w:rPr>
                <w:rFonts w:ascii="Lato" w:eastAsia="Lato" w:hAnsi="Lato" w:cs="Lato"/>
                <w:strike/>
                <w:sz w:val="20"/>
                <w:szCs w:val="20"/>
              </w:rPr>
            </w:pPr>
          </w:p>
        </w:tc>
      </w:tr>
      <w:tr w:rsidR="004471C5" w:rsidRPr="004F425A" w14:paraId="103D8D9C" w14:textId="77777777" w:rsidTr="79FF9703">
        <w:tc>
          <w:tcPr>
            <w:tcW w:w="1425" w:type="dxa"/>
            <w:tcBorders>
              <w:top w:val="single" w:sz="4" w:space="0" w:color="auto"/>
              <w:left w:val="single" w:sz="4" w:space="0" w:color="auto"/>
              <w:bottom w:val="single" w:sz="4" w:space="0" w:color="auto"/>
              <w:right w:val="single" w:sz="4" w:space="0" w:color="auto"/>
            </w:tcBorders>
          </w:tcPr>
          <w:p w14:paraId="0E7DD4C9"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7717493" w14:textId="7B6F51C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00B4425A"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Strategia koncentruje się na dwóch uzupełniających się ścieżkach. Po pierwsze, zakłada rozwój krajowych kompetencji - zarówno przełomowych (fotonika scalona, materiały szerokoprzerwowe,</w:t>
            </w:r>
            <w:r w:rsidRPr="004F425A">
              <w:rPr>
                <w:rFonts w:ascii="Lato" w:eastAsia="Lato" w:hAnsi="Lato" w:cs="Lato"/>
                <w:sz w:val="20"/>
                <w:szCs w:val="20"/>
                <w:u w:val="single"/>
              </w:rPr>
              <w:t> związki półprzewodnikowe III-V,</w:t>
            </w:r>
            <w:r w:rsidRPr="004F425A">
              <w:rPr>
                <w:rFonts w:ascii="Lato" w:eastAsia="Lato" w:hAnsi="Lato" w:cs="Lato"/>
                <w:sz w:val="20"/>
                <w:szCs w:val="20"/>
              </w:rPr>
              <w:t> mikrosystemy), jak i tych umożliwiających integrację z europejskimi i globalnymi łańcuchami wartości (</w:t>
            </w:r>
            <w:r w:rsidRPr="004F425A">
              <w:rPr>
                <w:rFonts w:ascii="Lato" w:eastAsia="Lato" w:hAnsi="Lato" w:cs="Lato"/>
                <w:sz w:val="20"/>
                <w:szCs w:val="20"/>
                <w:u w:val="single"/>
              </w:rPr>
              <w:t>wytwarzanie monokryształów i podłoży, </w:t>
            </w:r>
            <w:r w:rsidRPr="004F425A">
              <w:rPr>
                <w:rFonts w:ascii="Lato" w:eastAsia="Lato" w:hAnsi="Lato" w:cs="Lato"/>
                <w:sz w:val="20"/>
                <w:szCs w:val="20"/>
              </w:rPr>
              <w:t>projektowanie, technologie produkcyjne, kontrola jakości, komponenty specjalizowane). Po drugie, przewiduje tworzenie przewidywalnego, atrakcyjnego i współdzielonego otoczenia inwestycyjnego, obejmującego infrastrukturę, zasoby ludzkie, instrumenty internacjonalizacji oraz systemy współpracy przemysłowej. </w:t>
            </w:r>
          </w:p>
          <w:p w14:paraId="669210DA" w14:textId="5DB193E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[Dodano w trybie zmian uzupełnienia do akapitu w ramach sekcji]</w:t>
            </w:r>
          </w:p>
        </w:tc>
        <w:tc>
          <w:tcPr>
            <w:tcW w:w="4859" w:type="dxa"/>
            <w:tcBorders>
              <w:top w:val="single" w:sz="4" w:space="0" w:color="auto"/>
              <w:left w:val="single" w:sz="4" w:space="0" w:color="auto"/>
              <w:bottom w:val="single" w:sz="4" w:space="0" w:color="auto"/>
              <w:right w:val="single" w:sz="4" w:space="0" w:color="auto"/>
            </w:tcBorders>
          </w:tcPr>
          <w:p w14:paraId="118E52A7"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0C9D7927" w14:textId="30E95DE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został doprecyzowany zgodnie z propozycją PPTF.</w:t>
            </w:r>
          </w:p>
        </w:tc>
      </w:tr>
      <w:tr w:rsidR="004471C5" w:rsidRPr="004F425A" w14:paraId="40374B86" w14:textId="77777777" w:rsidTr="79FF9703">
        <w:tc>
          <w:tcPr>
            <w:tcW w:w="1425" w:type="dxa"/>
            <w:tcBorders>
              <w:top w:val="single" w:sz="4" w:space="0" w:color="auto"/>
              <w:left w:val="single" w:sz="4" w:space="0" w:color="auto"/>
              <w:bottom w:val="single" w:sz="4" w:space="0" w:color="auto"/>
              <w:right w:val="single" w:sz="4" w:space="0" w:color="auto"/>
            </w:tcBorders>
          </w:tcPr>
          <w:p w14:paraId="2B92888C"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87B2F68" w14:textId="7578935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2F659955" w14:textId="77777777" w:rsidR="00F574A2" w:rsidRPr="004F425A" w:rsidRDefault="00F574A2" w:rsidP="004F425A">
            <w:pPr>
              <w:numPr>
                <w:ilvl w:val="0"/>
                <w:numId w:val="26"/>
              </w:numPr>
              <w:spacing w:after="120" w:line="240" w:lineRule="auto"/>
              <w:rPr>
                <w:rFonts w:ascii="Lato" w:eastAsia="Lato" w:hAnsi="Lato" w:cs="Lato"/>
                <w:sz w:val="20"/>
                <w:szCs w:val="20"/>
              </w:rPr>
            </w:pPr>
            <w:r w:rsidRPr="004F425A">
              <w:rPr>
                <w:rFonts w:ascii="Lato" w:eastAsia="Lato" w:hAnsi="Lato" w:cs="Lato"/>
                <w:sz w:val="20"/>
                <w:szCs w:val="20"/>
              </w:rPr>
              <w:t>Umożliwienie przełomowych innowacji - takich jak fotonika scalona na zakres średniej podczerwieni, materiały szerokoprzerwowe i mikrosystemy</w:t>
            </w:r>
            <w:r w:rsidRPr="004F425A">
              <w:rPr>
                <w:rFonts w:ascii="Lato" w:eastAsia="Lato" w:hAnsi="Lato" w:cs="Lato"/>
                <w:sz w:val="20"/>
                <w:szCs w:val="20"/>
                <w:u w:val="single"/>
              </w:rPr>
              <w:t>, związki półprzewodnikowe III-V;</w:t>
            </w:r>
            <w:r w:rsidRPr="004F425A">
              <w:rPr>
                <w:rFonts w:ascii="Lato" w:eastAsia="Lato" w:hAnsi="Lato" w:cs="Lato"/>
                <w:sz w:val="20"/>
                <w:szCs w:val="20"/>
              </w:rPr>
              <w:t>; </w:t>
            </w:r>
          </w:p>
          <w:p w14:paraId="67B817EF" w14:textId="77777777" w:rsidR="00F574A2" w:rsidRPr="004F425A" w:rsidRDefault="00F574A2" w:rsidP="004F425A">
            <w:pPr>
              <w:numPr>
                <w:ilvl w:val="0"/>
                <w:numId w:val="27"/>
              </w:numPr>
              <w:spacing w:after="120" w:line="240" w:lineRule="auto"/>
              <w:rPr>
                <w:rFonts w:ascii="Lato" w:eastAsia="Lato" w:hAnsi="Lato" w:cs="Lato"/>
                <w:sz w:val="20"/>
                <w:szCs w:val="20"/>
              </w:rPr>
            </w:pPr>
            <w:r w:rsidRPr="004F425A">
              <w:rPr>
                <w:rFonts w:ascii="Lato" w:eastAsia="Lato" w:hAnsi="Lato" w:cs="Lato"/>
                <w:sz w:val="20"/>
                <w:szCs w:val="20"/>
              </w:rPr>
              <w:t>Integracja Polski w globalne i europejskie łańcuchy wartości - obejmująca</w:t>
            </w:r>
            <w:r w:rsidRPr="004F425A">
              <w:rPr>
                <w:rFonts w:ascii="Lato" w:eastAsia="Lato" w:hAnsi="Lato" w:cs="Lato"/>
                <w:sz w:val="20"/>
                <w:szCs w:val="20"/>
                <w:u w:val="single"/>
              </w:rPr>
              <w:t> wytwarzanie monokryształów i podłoży,</w:t>
            </w:r>
            <w:r w:rsidRPr="004F425A">
              <w:rPr>
                <w:rFonts w:ascii="Lato" w:eastAsia="Lato" w:hAnsi="Lato" w:cs="Lato"/>
                <w:sz w:val="20"/>
                <w:szCs w:val="20"/>
              </w:rPr>
              <w:t> projektowanie układów, wyspecjalizowane komponenty, narzędzia i systemy produkcyjne; </w:t>
            </w:r>
          </w:p>
          <w:p w14:paraId="1C7B25A9" w14:textId="77777777" w:rsidR="00F574A2" w:rsidRPr="004F425A" w:rsidRDefault="00F574A2" w:rsidP="004F425A">
            <w:pPr>
              <w:numPr>
                <w:ilvl w:val="0"/>
                <w:numId w:val="28"/>
              </w:numPr>
              <w:spacing w:after="120" w:line="240" w:lineRule="auto"/>
              <w:rPr>
                <w:rFonts w:ascii="Lato" w:eastAsia="Lato" w:hAnsi="Lato" w:cs="Lato"/>
                <w:sz w:val="20"/>
                <w:szCs w:val="20"/>
              </w:rPr>
            </w:pPr>
            <w:r w:rsidRPr="004F425A">
              <w:rPr>
                <w:rFonts w:ascii="Lato" w:eastAsia="Lato" w:hAnsi="Lato" w:cs="Lato"/>
                <w:sz w:val="20"/>
                <w:szCs w:val="20"/>
              </w:rPr>
              <w:t>Zapewnienie krajowych zdolności strategicznych - takich jak bezpieczeństwo cyfrowe, transformacja sieci energetycznej, bezpieczna komunikacja i technologie obronne. </w:t>
            </w:r>
          </w:p>
          <w:p w14:paraId="08D67F54" w14:textId="3B53B83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[Dodano w trybie zmian uzupełnienia do akapitu w ramach sekcji]</w:t>
            </w:r>
          </w:p>
        </w:tc>
        <w:tc>
          <w:tcPr>
            <w:tcW w:w="4859" w:type="dxa"/>
            <w:tcBorders>
              <w:top w:val="single" w:sz="4" w:space="0" w:color="auto"/>
              <w:left w:val="single" w:sz="4" w:space="0" w:color="auto"/>
              <w:bottom w:val="single" w:sz="4" w:space="0" w:color="auto"/>
              <w:right w:val="single" w:sz="4" w:space="0" w:color="auto"/>
            </w:tcBorders>
          </w:tcPr>
          <w:p w14:paraId="7F68ED9D"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38E24DD2" w14:textId="2E90970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został doprecyzowany zgodnie z propozycją PPTF</w:t>
            </w:r>
          </w:p>
          <w:p w14:paraId="27DF6520" w14:textId="0B75AA2E" w:rsidR="00F574A2" w:rsidRPr="004F425A" w:rsidRDefault="00F574A2" w:rsidP="004F425A">
            <w:pPr>
              <w:spacing w:after="120" w:line="240" w:lineRule="auto"/>
              <w:rPr>
                <w:rFonts w:ascii="Lato" w:eastAsia="Lato" w:hAnsi="Lato" w:cs="Lato"/>
                <w:sz w:val="20"/>
                <w:szCs w:val="20"/>
              </w:rPr>
            </w:pPr>
          </w:p>
        </w:tc>
      </w:tr>
      <w:tr w:rsidR="004471C5" w:rsidRPr="004F425A" w14:paraId="33D5C958" w14:textId="77777777" w:rsidTr="79FF9703">
        <w:tc>
          <w:tcPr>
            <w:tcW w:w="1425" w:type="dxa"/>
            <w:tcBorders>
              <w:top w:val="single" w:sz="4" w:space="0" w:color="auto"/>
              <w:left w:val="single" w:sz="4" w:space="0" w:color="auto"/>
              <w:bottom w:val="single" w:sz="4" w:space="0" w:color="auto"/>
              <w:right w:val="single" w:sz="4" w:space="0" w:color="auto"/>
            </w:tcBorders>
          </w:tcPr>
          <w:p w14:paraId="72AAC49F" w14:textId="1D58784B"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44A9AC1E" w14:textId="63F62DF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37BDED35" w14:textId="77777777" w:rsidR="00F574A2" w:rsidRPr="004F425A" w:rsidRDefault="00F574A2" w:rsidP="004F425A">
            <w:pPr>
              <w:spacing w:after="120" w:line="240" w:lineRule="auto"/>
              <w:rPr>
                <w:rFonts w:ascii="Lato" w:eastAsia="Lato" w:hAnsi="Lato" w:cs="Lato"/>
                <w:sz w:val="20"/>
                <w:szCs w:val="20"/>
                <w:lang w:val="en-GB"/>
              </w:rPr>
            </w:pPr>
            <w:r w:rsidRPr="004F425A">
              <w:rPr>
                <w:rFonts w:ascii="Lato" w:eastAsia="Lato" w:hAnsi="Lato" w:cs="Lato"/>
                <w:sz w:val="20"/>
                <w:szCs w:val="20"/>
              </w:rPr>
              <w:t>Komentarz do podpunktu 2. (W ramach działań priorytetowych planuje się […] Zbudowanie systemu ułatwiającego małym firmom dostęp do narzędzi projektowania układów scalonych (EDA, z ang. </w:t>
            </w:r>
            <w:r w:rsidRPr="004F425A">
              <w:rPr>
                <w:rFonts w:ascii="Lato" w:eastAsia="Lato" w:hAnsi="Lato" w:cs="Lato"/>
                <w:sz w:val="20"/>
                <w:szCs w:val="20"/>
                <w:lang w:val="en-GB"/>
              </w:rPr>
              <w:t>Electronic Design Automation) i bibliotek procesowych (PDK, z ang. Process Design Kit). </w:t>
            </w:r>
          </w:p>
          <w:p w14:paraId="56E654E6" w14:textId="207016C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do podpunktu 3. (pis. oryg.): Rzad juz wsparł i kupił dla IMIF 4 reaktory MOCVD, ale stoja one nieuzywane. (Brak inzynierow). Photin posiada 6 reaktorów MOCVD, ale uzywa obecnie tylko jednego. Jak widac nie wystarczy, kupic sprzetu. Trzeba jeszcze zapewnic srodki na ludzi, prowadzenie badan i zapewnienie ciaglego doskonalenia technologii produkcji.</w:t>
            </w:r>
          </w:p>
          <w:p w14:paraId="5D53D79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VIGO + WAT i Unipress + TopGan, to ponad 20 lat ciaglego finansowania doskonalenia technologii. </w:t>
            </w:r>
          </w:p>
          <w:p w14:paraId="3B32D91F" w14:textId="40E8CF0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Dopiero po tylu latach, technologie przez nich opracowywane zaczynaja skutecznie konkurowac na rynkach zagranicznych, w mniej niszowych zastosowaniach</w:t>
            </w:r>
          </w:p>
          <w:p w14:paraId="532688F0" w14:textId="13AA30D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p.4.: Zapewnienie długofalowego udziału Polski w europejskich liniach pilotażowych.</w:t>
            </w:r>
            <w:r w:rsidRPr="004F425A">
              <w:rPr>
                <w:rFonts w:ascii="Lato" w:eastAsia="Lato" w:hAnsi="Lato" w:cs="Lato"/>
                <w:sz w:val="20"/>
                <w:szCs w:val="20"/>
                <w:u w:val="single"/>
              </w:rPr>
              <w:t>i innych strategicznych programach.</w:t>
            </w:r>
            <w:r w:rsidRPr="004F425A">
              <w:rPr>
                <w:rFonts w:ascii="Lato" w:eastAsia="Lato" w:hAnsi="Lato" w:cs="Lato"/>
                <w:sz w:val="20"/>
                <w:szCs w:val="20"/>
              </w:rPr>
              <w:t> </w:t>
            </w:r>
          </w:p>
          <w:p w14:paraId="2E49D61E" w14:textId="4B81222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Sens kolejnego komentarza: Zaproponowano, by rząd wspierał budowanie i promowanie PDK firm i uczelni polskich oraz narzędzi EDA open source, zamiast skupiać się wyłącznie na systemach licencji komercyjnych. </w:t>
            </w:r>
          </w:p>
          <w:p w14:paraId="27D833BE"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p w14:paraId="2DD2DD22"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Komentarz po p. 5: Jest juz kilka parkow technologicznych: IMIF, WAT, FUW.. Dlaczego nie ma mozliwosci dostepu do sprzetu w Instytutach i Uczelniach dla SME? </w:t>
            </w:r>
          </w:p>
          <w:p w14:paraId="0D7A3C8B" w14:textId="2BE7BFE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Czy na bazie istniejacych juz podmiotow nie mozna stworzyc: </w:t>
            </w:r>
            <w:hyperlink r:id="rId12">
              <w:r w:rsidRPr="004F425A">
                <w:rPr>
                  <w:rStyle w:val="Hipercze"/>
                  <w:rFonts w:ascii="Lato" w:eastAsia="Lato" w:hAnsi="Lato" w:cs="Lato"/>
                  <w:color w:val="auto"/>
                  <w:sz w:val="20"/>
                  <w:szCs w:val="20"/>
                </w:rPr>
                <w:t>https://www.nano.lu.se/labs/lund-nano-lab/access</w:t>
              </w:r>
            </w:hyperlink>
          </w:p>
          <w:p w14:paraId="3C3CCE85" w14:textId="677BFC5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Na Zachodzie SME dostaja vouchery XXXX EUR na korzystanie z laboratoriow uczelni. </w:t>
            </w:r>
          </w:p>
        </w:tc>
        <w:tc>
          <w:tcPr>
            <w:tcW w:w="4859" w:type="dxa"/>
            <w:tcBorders>
              <w:top w:val="single" w:sz="4" w:space="0" w:color="auto"/>
              <w:left w:val="single" w:sz="4" w:space="0" w:color="auto"/>
              <w:bottom w:val="single" w:sz="4" w:space="0" w:color="auto"/>
              <w:right w:val="single" w:sz="4" w:space="0" w:color="auto"/>
            </w:tcBorders>
          </w:tcPr>
          <w:p w14:paraId="2BE85861" w14:textId="77777777" w:rsidR="00F574A2" w:rsidRPr="004F425A" w:rsidRDefault="00F574A2" w:rsidP="004F425A">
            <w:pPr>
              <w:spacing w:after="120" w:line="240" w:lineRule="auto"/>
              <w:rPr>
                <w:rFonts w:ascii="Lato" w:eastAsia="Lato" w:hAnsi="Lato" w:cs="Lato"/>
                <w:sz w:val="20"/>
                <w:szCs w:val="20"/>
              </w:rPr>
            </w:pPr>
            <w:r w:rsidRPr="004F425A">
              <w:rPr>
                <w:rStyle w:val="Ppogrubienie"/>
                <w:rFonts w:ascii="Lato" w:hAnsi="Lato"/>
                <w:sz w:val="20"/>
                <w:szCs w:val="20"/>
              </w:rPr>
              <w:t>Uwaga nieuwzględniona.</w:t>
            </w:r>
            <w:r w:rsidRPr="004F425A">
              <w:rPr>
                <w:rFonts w:ascii="Lato" w:eastAsia="Lato" w:hAnsi="Lato" w:cs="Lato"/>
                <w:sz w:val="20"/>
                <w:szCs w:val="20"/>
              </w:rPr>
              <w:t xml:space="preserve"> </w:t>
            </w:r>
          </w:p>
          <w:p w14:paraId="1E1F848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modyfikacji w tym zakresie. </w:t>
            </w:r>
          </w:p>
          <w:p w14:paraId="03CB9312" w14:textId="1AD46655" w:rsidR="00F574A2" w:rsidRPr="004F425A" w:rsidRDefault="00F574A2" w:rsidP="004F425A">
            <w:pPr>
              <w:spacing w:after="120" w:line="240" w:lineRule="auto"/>
              <w:rPr>
                <w:rFonts w:ascii="Lato" w:eastAsia="Lato" w:hAnsi="Lato" w:cs="Lato"/>
                <w:sz w:val="20"/>
                <w:szCs w:val="20"/>
              </w:rPr>
            </w:pPr>
          </w:p>
        </w:tc>
      </w:tr>
      <w:tr w:rsidR="004471C5" w:rsidRPr="004F425A" w14:paraId="055C59D2" w14:textId="77777777" w:rsidTr="79FF9703">
        <w:tc>
          <w:tcPr>
            <w:tcW w:w="1425" w:type="dxa"/>
            <w:tcBorders>
              <w:top w:val="single" w:sz="4" w:space="0" w:color="auto"/>
              <w:left w:val="single" w:sz="4" w:space="0" w:color="auto"/>
              <w:bottom w:val="single" w:sz="4" w:space="0" w:color="auto"/>
              <w:right w:val="single" w:sz="4" w:space="0" w:color="auto"/>
            </w:tcBorders>
          </w:tcPr>
          <w:p w14:paraId="2213E196" w14:textId="485438C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7E48D349" w14:textId="0E08643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1DD4FD9F"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Wskazano problem praktyczny: firma Photin próbowała uzyskać od uczelni i instytutów pomoc w pomiarach XRD i otrzymała oferty 10-krotnie przekraczające stawki rynkowe (wyjątek stanowił IFPAN). Dostęp na zasadach usługowych pozostaje na papierze. </w:t>
            </w:r>
          </w:p>
          <w:p w14:paraId="4ADEA2D0" w14:textId="2FDB371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33F4C7B1"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668ABB56"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modyfikacji w tym zakresie. </w:t>
            </w:r>
          </w:p>
          <w:p w14:paraId="5A18D2D0" w14:textId="67AF96BA" w:rsidR="00F574A2" w:rsidRPr="004F425A" w:rsidRDefault="00F574A2" w:rsidP="004F425A">
            <w:pPr>
              <w:spacing w:after="120" w:line="240" w:lineRule="auto"/>
              <w:rPr>
                <w:rFonts w:ascii="Lato" w:eastAsia="Lato" w:hAnsi="Lato" w:cs="Lato"/>
                <w:sz w:val="20"/>
                <w:szCs w:val="20"/>
              </w:rPr>
            </w:pPr>
          </w:p>
        </w:tc>
      </w:tr>
      <w:tr w:rsidR="004471C5" w:rsidRPr="004F425A" w14:paraId="06AF494A" w14:textId="77777777" w:rsidTr="79FF9703">
        <w:tc>
          <w:tcPr>
            <w:tcW w:w="1425" w:type="dxa"/>
            <w:tcBorders>
              <w:top w:val="single" w:sz="4" w:space="0" w:color="auto"/>
              <w:left w:val="single" w:sz="4" w:space="0" w:color="auto"/>
              <w:bottom w:val="single" w:sz="4" w:space="0" w:color="auto"/>
              <w:right w:val="single" w:sz="4" w:space="0" w:color="auto"/>
            </w:tcBorders>
          </w:tcPr>
          <w:p w14:paraId="5B21CEC6" w14:textId="5F9BFABE"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7E576219" w14:textId="5CD2E80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71AA4AE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Wskazano, że InnoSemi to same publiczne jednostki, a po półtora roku działalności brak widocznych efektów programu. </w:t>
            </w:r>
          </w:p>
          <w:p w14:paraId="795B480C" w14:textId="22A4CFA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Komentarz uzupełniono linkiem: </w:t>
            </w:r>
            <w:hyperlink r:id="rId13">
              <w:r w:rsidRPr="004F425A">
                <w:rPr>
                  <w:rStyle w:val="Hipercze"/>
                  <w:rFonts w:ascii="Lato" w:eastAsia="Lato" w:hAnsi="Lato" w:cs="Lato"/>
                  <w:color w:val="auto"/>
                  <w:sz w:val="20"/>
                  <w:szCs w:val="20"/>
                </w:rPr>
                <w:t>https://tek.info.pl/article/4268/centrum_kompetencji_polprzewodnikowych_innosemi_zatwierdzone_do_finansowania</w:t>
              </w:r>
            </w:hyperlink>
            <w:r w:rsidRPr="004F425A">
              <w:rPr>
                <w:rFonts w:ascii="Lato" w:eastAsia="Lato" w:hAnsi="Lato" w:cs="Lato"/>
                <w:sz w:val="20"/>
                <w:szCs w:val="20"/>
              </w:rPr>
              <w:t xml:space="preserve"> </w:t>
            </w:r>
            <w:r w:rsidRPr="004F425A">
              <w:rPr>
                <w:rFonts w:ascii="Lato" w:hAnsi="Lato"/>
                <w:sz w:val="20"/>
                <w:szCs w:val="20"/>
              </w:rPr>
              <w:br/>
            </w:r>
            <w:r w:rsidRPr="004F425A">
              <w:rPr>
                <w:rFonts w:ascii="Lato" w:hAnsi="Lato"/>
                <w:sz w:val="20"/>
                <w:szCs w:val="20"/>
              </w:rPr>
              <w:br/>
            </w: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3E67A23B" w14:textId="4A71D4DB" w:rsidR="00F574A2" w:rsidRPr="004F425A" w:rsidRDefault="00F574A2" w:rsidP="004F425A">
            <w:pPr>
              <w:spacing w:after="120" w:line="240" w:lineRule="auto"/>
              <w:rPr>
                <w:rFonts w:ascii="Lato" w:eastAsia="Lato" w:hAnsi="Lato" w:cs="Lato"/>
                <w:sz w:val="20"/>
                <w:szCs w:val="20"/>
              </w:rPr>
            </w:pPr>
            <w:r w:rsidRPr="004F425A">
              <w:rPr>
                <w:rStyle w:val="Ppogrubienie"/>
                <w:rFonts w:ascii="Lato" w:hAnsi="Lato"/>
                <w:sz w:val="20"/>
                <w:szCs w:val="20"/>
              </w:rPr>
              <w:t>Uwaga nieuwzględniona</w:t>
            </w:r>
            <w:r w:rsidRPr="004F425A">
              <w:rPr>
                <w:rFonts w:ascii="Lato" w:eastAsia="Lato" w:hAnsi="Lato" w:cs="Lato"/>
                <w:sz w:val="20"/>
                <w:szCs w:val="20"/>
              </w:rPr>
              <w:t>.</w:t>
            </w:r>
          </w:p>
          <w:p w14:paraId="3DE7F503" w14:textId="68F0652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Skuteczność programu będzie podlegać ocenie w ramach corocznego monitoringu.</w:t>
            </w:r>
          </w:p>
        </w:tc>
      </w:tr>
      <w:tr w:rsidR="004471C5" w:rsidRPr="004F425A" w14:paraId="560B2547" w14:textId="77777777" w:rsidTr="79FF9703">
        <w:tc>
          <w:tcPr>
            <w:tcW w:w="1425" w:type="dxa"/>
            <w:tcBorders>
              <w:top w:val="single" w:sz="4" w:space="0" w:color="auto"/>
              <w:left w:val="single" w:sz="4" w:space="0" w:color="auto"/>
              <w:bottom w:val="single" w:sz="4" w:space="0" w:color="auto"/>
              <w:right w:val="single" w:sz="4" w:space="0" w:color="auto"/>
            </w:tcBorders>
          </w:tcPr>
          <w:p w14:paraId="6A2DCC0A"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7973584" w14:textId="54D3A79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09BB57EB"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Istniejące w Polsce ośrodki badawcze (m.in. CEZAMAT PW, Łukasiewicz-IMiF</w:t>
            </w:r>
            <w:r w:rsidRPr="004F425A">
              <w:rPr>
                <w:rFonts w:ascii="Lato" w:eastAsia="Lato" w:hAnsi="Lato" w:cs="Lato"/>
                <w:sz w:val="20"/>
                <w:szCs w:val="20"/>
                <w:u w:val="single"/>
              </w:rPr>
              <w:t>, </w:t>
            </w:r>
            <w:r w:rsidRPr="004F425A">
              <w:rPr>
                <w:rFonts w:ascii="Lato" w:eastAsia="Lato" w:hAnsi="Lato" w:cs="Lato"/>
                <w:sz w:val="20"/>
                <w:szCs w:val="20"/>
              </w:rPr>
              <w:t> </w:t>
            </w:r>
            <w:r w:rsidRPr="004F425A">
              <w:rPr>
                <w:rFonts w:ascii="Lato" w:eastAsia="Lato" w:hAnsi="Lato" w:cs="Lato"/>
                <w:sz w:val="20"/>
                <w:szCs w:val="20"/>
                <w:u w:val="single"/>
              </w:rPr>
              <w:t>Ensemble</w:t>
            </w:r>
            <w:r w:rsidRPr="004F425A">
              <w:rPr>
                <w:rFonts w:ascii="Lato" w:eastAsia="Lato" w:hAnsi="Lato" w:cs="Lato"/>
                <w:sz w:val="20"/>
                <w:szCs w:val="20"/>
                <w:u w:val="single"/>
                <w:vertAlign w:val="superscript"/>
              </w:rPr>
              <w:t>3</w:t>
            </w:r>
            <w:r w:rsidRPr="004F425A">
              <w:rPr>
                <w:rFonts w:ascii="Lato" w:eastAsia="Lato" w:hAnsi="Lato" w:cs="Lato"/>
                <w:sz w:val="20"/>
                <w:szCs w:val="20"/>
                <w:u w:val="single"/>
              </w:rPr>
              <w:t> </w:t>
            </w:r>
            <w:r w:rsidRPr="004F425A">
              <w:rPr>
                <w:rFonts w:ascii="Lato" w:eastAsia="Lato" w:hAnsi="Lato" w:cs="Lato"/>
                <w:sz w:val="20"/>
                <w:szCs w:val="20"/>
              </w:rPr>
              <w:t>czy IWC PAN) […]</w:t>
            </w:r>
          </w:p>
          <w:p w14:paraId="7EECF8AB" w14:textId="597E7AF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naniesiona w trybie zmian]</w:t>
            </w:r>
          </w:p>
        </w:tc>
        <w:tc>
          <w:tcPr>
            <w:tcW w:w="4859" w:type="dxa"/>
            <w:tcBorders>
              <w:top w:val="single" w:sz="4" w:space="0" w:color="auto"/>
              <w:left w:val="single" w:sz="4" w:space="0" w:color="auto"/>
              <w:bottom w:val="single" w:sz="4" w:space="0" w:color="auto"/>
              <w:right w:val="single" w:sz="4" w:space="0" w:color="auto"/>
            </w:tcBorders>
          </w:tcPr>
          <w:p w14:paraId="13CA496F" w14:textId="2931A360"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31B7DAC6"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modyfikacji w tym zakresie. </w:t>
            </w:r>
          </w:p>
          <w:p w14:paraId="3F2833DE" w14:textId="21960065" w:rsidR="00F574A2" w:rsidRPr="004F425A" w:rsidRDefault="00F574A2" w:rsidP="004F425A">
            <w:pPr>
              <w:spacing w:after="120" w:line="240" w:lineRule="auto"/>
              <w:rPr>
                <w:rFonts w:ascii="Lato" w:eastAsia="Lato" w:hAnsi="Lato" w:cs="Lato"/>
                <w:sz w:val="20"/>
                <w:szCs w:val="20"/>
              </w:rPr>
            </w:pPr>
          </w:p>
        </w:tc>
      </w:tr>
      <w:tr w:rsidR="004471C5" w:rsidRPr="004F425A" w14:paraId="3D31C69B" w14:textId="77777777" w:rsidTr="79FF9703">
        <w:tc>
          <w:tcPr>
            <w:tcW w:w="1425" w:type="dxa"/>
            <w:tcBorders>
              <w:top w:val="single" w:sz="4" w:space="0" w:color="auto"/>
              <w:left w:val="single" w:sz="4" w:space="0" w:color="auto"/>
              <w:bottom w:val="single" w:sz="4" w:space="0" w:color="auto"/>
              <w:right w:val="single" w:sz="4" w:space="0" w:color="auto"/>
            </w:tcBorders>
          </w:tcPr>
          <w:p w14:paraId="0E0C6417"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166D769" w14:textId="0FCD2CA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560F9A29" w14:textId="77777777" w:rsidR="00F574A2" w:rsidRPr="004F425A" w:rsidRDefault="00F574A2" w:rsidP="004F425A">
            <w:pPr>
              <w:spacing w:after="120" w:line="240" w:lineRule="auto"/>
              <w:rPr>
                <w:rFonts w:ascii="Lato" w:eastAsia="Lato" w:hAnsi="Lato" w:cs="Lato"/>
                <w:sz w:val="20"/>
                <w:szCs w:val="20"/>
                <w:u w:val="single"/>
              </w:rPr>
            </w:pPr>
            <w:r w:rsidRPr="004F425A">
              <w:rPr>
                <w:rFonts w:ascii="Lato" w:eastAsia="Lato" w:hAnsi="Lato" w:cs="Lato"/>
                <w:sz w:val="20"/>
                <w:szCs w:val="20"/>
              </w:rPr>
              <w:t>Brak dostępu w Polsce do kompletnej infrastruktury stanowi istotną barierę zarówno dla środowisk akademickich, jak i przemysłowych. Uzupełnienie tej luki pozwoliłoby na rozwój </w:t>
            </w:r>
            <w:r w:rsidRPr="004F425A">
              <w:rPr>
                <w:rFonts w:ascii="Lato" w:eastAsia="Lato" w:hAnsi="Lato" w:cs="Lato"/>
                <w:strike/>
                <w:sz w:val="20"/>
                <w:szCs w:val="20"/>
              </w:rPr>
              <w:t>układów scalonych</w:t>
            </w:r>
            <w:r w:rsidRPr="004F425A">
              <w:rPr>
                <w:rFonts w:ascii="Lato" w:eastAsia="Lato" w:hAnsi="Lato" w:cs="Lato"/>
                <w:sz w:val="20"/>
                <w:szCs w:val="20"/>
                <w:u w:val="single"/>
              </w:rPr>
              <w:t> produkcji zawansowanych materiałów, układów scalonych</w:t>
            </w:r>
          </w:p>
          <w:p w14:paraId="0162AB98" w14:textId="52ED6D5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proponowana w trybie zmian]</w:t>
            </w:r>
          </w:p>
        </w:tc>
        <w:tc>
          <w:tcPr>
            <w:tcW w:w="4859" w:type="dxa"/>
            <w:tcBorders>
              <w:top w:val="single" w:sz="4" w:space="0" w:color="auto"/>
              <w:left w:val="single" w:sz="4" w:space="0" w:color="auto"/>
              <w:bottom w:val="single" w:sz="4" w:space="0" w:color="auto"/>
              <w:right w:val="single" w:sz="4" w:space="0" w:color="auto"/>
            </w:tcBorders>
          </w:tcPr>
          <w:p w14:paraId="11FD09CE"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74F2BE32" w14:textId="4E0CEB8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Dokument został doprecyzowany zgodnie z propozycją PPTF z modyfikacją w zakresie układów scalonych. </w:t>
            </w:r>
          </w:p>
          <w:p w14:paraId="415D8E88" w14:textId="12BA479B" w:rsidR="00F574A2" w:rsidRPr="004F425A" w:rsidRDefault="00F574A2" w:rsidP="004F425A">
            <w:pPr>
              <w:spacing w:after="120" w:line="240" w:lineRule="auto"/>
              <w:rPr>
                <w:rFonts w:ascii="Lato" w:eastAsia="Lato" w:hAnsi="Lato" w:cs="Lato"/>
                <w:sz w:val="20"/>
                <w:szCs w:val="20"/>
              </w:rPr>
            </w:pPr>
          </w:p>
        </w:tc>
      </w:tr>
      <w:tr w:rsidR="004471C5" w:rsidRPr="004F425A" w14:paraId="456AD794" w14:textId="77777777" w:rsidTr="79FF9703">
        <w:tc>
          <w:tcPr>
            <w:tcW w:w="1425" w:type="dxa"/>
            <w:tcBorders>
              <w:top w:val="single" w:sz="4" w:space="0" w:color="auto"/>
              <w:left w:val="single" w:sz="4" w:space="0" w:color="auto"/>
              <w:bottom w:val="single" w:sz="4" w:space="0" w:color="auto"/>
              <w:right w:val="single" w:sz="4" w:space="0" w:color="auto"/>
            </w:tcBorders>
          </w:tcPr>
          <w:p w14:paraId="20C85A85"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F9A7728" w14:textId="44A344C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0503445C"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Planowana platforma krajowa powinna uzupełniać istniejące rozwiązania europejskie - takie jak Europractice, </w:t>
            </w:r>
            <w:r w:rsidRPr="004F425A">
              <w:rPr>
                <w:rFonts w:ascii="Lato" w:eastAsia="Lato" w:hAnsi="Lato" w:cs="Lato"/>
                <w:strike/>
                <w:sz w:val="20"/>
                <w:szCs w:val="20"/>
              </w:rPr>
              <w:t>CMP France czy imec.IC-link - dostosowując je do specyficznych potrzeb i poziomu rozwoju polskiego ekosystemu. Może przyjąć formę konsorcjum uczelni i instytutów badawczo-rozwojowych</w:t>
            </w:r>
            <w:r w:rsidRPr="004F425A">
              <w:rPr>
                <w:rFonts w:ascii="Lato" w:eastAsia="Lato" w:hAnsi="Lato" w:cs="Lato"/>
                <w:sz w:val="20"/>
                <w:szCs w:val="20"/>
                <w:u w:val="single"/>
              </w:rPr>
              <w:t> CMP France, imec.IC-link czy IPCEI Advanced Semiconductor Technologies - dostosowując je do specyficznych potrzeb i poziomu rozwoju polskiego ekosystemu. Może przyjąć formę konsorcjum uczelni, instytutów badawczo-rozwojowych oraz firm,</w:t>
            </w:r>
            <w:r w:rsidRPr="004F425A">
              <w:rPr>
                <w:rFonts w:ascii="Lato" w:eastAsia="Lato" w:hAnsi="Lato" w:cs="Lato"/>
                <w:sz w:val="20"/>
                <w:szCs w:val="20"/>
              </w:rPr>
              <w:t>, z udziałem operatora infrastruktury cyfrowej oraz instytucji wspierających innowacje. Taki model - funkcjonujący z powodzeniem w wielu państwach UE - pozwala na wspólne korzystanie z zasobów projektowych, narzędzi EDA i usług MPW/MLM w sposób skoordynowany i dostępny także dla MŚP. Osadzenie tej funkcji w ramach centrów kompetencji lub parków technologicznych umożliwiłoby płynną integrację z krajowymi instrumentami wsparcia i infrastrukturą badawczo-produkcyjną. </w:t>
            </w:r>
          </w:p>
          <w:p w14:paraId="03D9FBFF" w14:textId="1ECA0DE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dodana w trybie zmian]</w:t>
            </w:r>
          </w:p>
        </w:tc>
        <w:tc>
          <w:tcPr>
            <w:tcW w:w="4859" w:type="dxa"/>
            <w:tcBorders>
              <w:top w:val="single" w:sz="4" w:space="0" w:color="auto"/>
              <w:left w:val="single" w:sz="4" w:space="0" w:color="auto"/>
              <w:bottom w:val="single" w:sz="4" w:space="0" w:color="auto"/>
              <w:right w:val="single" w:sz="4" w:space="0" w:color="auto"/>
            </w:tcBorders>
          </w:tcPr>
          <w:p w14:paraId="481353F9" w14:textId="77777777" w:rsidR="00F574A2" w:rsidRPr="004F425A" w:rsidRDefault="00F574A2" w:rsidP="004F425A">
            <w:pPr>
              <w:spacing w:after="120" w:line="240" w:lineRule="auto"/>
              <w:rPr>
                <w:rStyle w:val="Ppogrubienie"/>
                <w:rFonts w:ascii="Lato" w:hAnsi="Lato"/>
                <w:sz w:val="20"/>
                <w:szCs w:val="20"/>
                <w:highlight w:val="yellow"/>
              </w:rPr>
            </w:pPr>
            <w:r w:rsidRPr="004F425A">
              <w:rPr>
                <w:rStyle w:val="Ppogrubienie"/>
                <w:rFonts w:ascii="Lato" w:hAnsi="Lato"/>
                <w:sz w:val="20"/>
                <w:szCs w:val="20"/>
              </w:rPr>
              <w:t>Uwaga nieuwzględniona.</w:t>
            </w:r>
          </w:p>
          <w:p w14:paraId="1EC5499C"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modyfikacji w tym zakresie. </w:t>
            </w:r>
          </w:p>
          <w:p w14:paraId="5CA51D88" w14:textId="3A31ECED" w:rsidR="00F574A2" w:rsidRPr="004F425A" w:rsidRDefault="00F574A2" w:rsidP="004F425A">
            <w:pPr>
              <w:spacing w:after="120" w:line="240" w:lineRule="auto"/>
              <w:rPr>
                <w:rFonts w:ascii="Lato" w:eastAsia="Lato" w:hAnsi="Lato" w:cs="Lato"/>
                <w:sz w:val="20"/>
                <w:szCs w:val="20"/>
                <w:highlight w:val="yellow"/>
              </w:rPr>
            </w:pPr>
          </w:p>
        </w:tc>
      </w:tr>
      <w:tr w:rsidR="004471C5" w:rsidRPr="004F425A" w14:paraId="3B5D0864" w14:textId="77777777" w:rsidTr="79FF9703">
        <w:tc>
          <w:tcPr>
            <w:tcW w:w="1425" w:type="dxa"/>
            <w:tcBorders>
              <w:top w:val="single" w:sz="4" w:space="0" w:color="auto"/>
              <w:left w:val="single" w:sz="4" w:space="0" w:color="auto"/>
              <w:bottom w:val="single" w:sz="4" w:space="0" w:color="auto"/>
              <w:right w:val="single" w:sz="4" w:space="0" w:color="auto"/>
            </w:tcBorders>
          </w:tcPr>
          <w:p w14:paraId="55F0B5A6"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EE1F678" w14:textId="4691696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599FFF3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Linie pilotażowe (z ang. pilot lines) stanowią fundament procesu innowacji w sektorze półprzewodników. Są to mniejsze, elastyczne linie produkcyjne, które umożliwiają szybkie prototypowanie, walidację projektów oraz testowanie nowych technologii</w:t>
            </w:r>
            <w:r w:rsidRPr="004F425A">
              <w:rPr>
                <w:rFonts w:ascii="Lato" w:eastAsia="Lato" w:hAnsi="Lato" w:cs="Lato"/>
                <w:sz w:val="20"/>
                <w:szCs w:val="20"/>
                <w:u w:val="single"/>
              </w:rPr>
              <w:t> i materiałów, w tym zaawansowanych półprzewodników typu III-V (GaAs, InP, GaSb, GaP)</w:t>
            </w:r>
            <w:r w:rsidRPr="004F425A">
              <w:rPr>
                <w:rFonts w:ascii="Lato" w:eastAsia="Lato" w:hAnsi="Lato" w:cs="Lato"/>
                <w:sz w:val="20"/>
                <w:szCs w:val="20"/>
              </w:rPr>
              <w:t>. Przykłady miejsc, w których istnieją linie pilotażowe, to m.in. IMEC w Belgii, CEA-Leti we Francji, Instytuty Fraunhofera w Niemczech, VTT w Finlandii czy Tyndall w Irlandii. Koszt ich uruchomienia jest niższy niż pełnych fabryk, ale nadal stanowi istotną inwestycję, zwłaszcza w przypadku zaawansowanych technologii. W kontekście planowania takiej inwestycji ważnym aspektem są również koszty operacyjne takiej linii (z ang. OPEX). </w:t>
            </w:r>
          </w:p>
          <w:p w14:paraId="6A0DC7FA"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mimo rosnącego potencjału, nie dysponuje obecnie żadną linią pilotażową dla technologii półprzewodnikowych. Brak takiej infrastruktury ogranicza rozwój projektów i zmusza do korzystania z drogich usług zagranicznych, co opóźnia proces wprowadzania produktów na rynek. Z tego względu uruchomienie krajowej infrastruktury pilotażowych linii produkcyjnych jest niezbędne, zwłaszcza w kontekście rozwijanych nowych technologii, takich jak przyrządy GaN oraz fotonika scalona na zakres średniej podczerwieni</w:t>
            </w:r>
            <w:r w:rsidRPr="004F425A">
              <w:rPr>
                <w:rFonts w:ascii="Lato" w:eastAsia="Lato" w:hAnsi="Lato" w:cs="Lato"/>
                <w:sz w:val="20"/>
                <w:szCs w:val="20"/>
                <w:u w:val="single"/>
              </w:rPr>
              <w:t> podczerwieni, czy układy oparte na materiałach III-V oraz innych materiałach fotonicznych, </w:t>
            </w:r>
            <w:r w:rsidRPr="004F425A">
              <w:rPr>
                <w:rFonts w:ascii="Lato" w:eastAsia="Lato" w:hAnsi="Lato" w:cs="Lato"/>
                <w:sz w:val="20"/>
                <w:szCs w:val="20"/>
              </w:rPr>
              <w:t> </w:t>
            </w:r>
          </w:p>
          <w:p w14:paraId="2AD120E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 ostatniego akapitu dodano uwagę:]</w:t>
            </w:r>
          </w:p>
          <w:p w14:paraId="4DB93E26" w14:textId="11E7623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Dlatego nalezy rozdzielic calkowicie krzem i polprzewodniki III-N, III-V w tym dokumencie. To rozne bajki. W fotonice, linie pilotazowe ma VIGO/WAT, PWr, IMIF, FUW, Unipress. </w:t>
            </w:r>
          </w:p>
        </w:tc>
        <w:tc>
          <w:tcPr>
            <w:tcW w:w="4859" w:type="dxa"/>
            <w:tcBorders>
              <w:top w:val="single" w:sz="4" w:space="0" w:color="auto"/>
              <w:left w:val="single" w:sz="4" w:space="0" w:color="auto"/>
              <w:bottom w:val="single" w:sz="4" w:space="0" w:color="auto"/>
              <w:right w:val="single" w:sz="4" w:space="0" w:color="auto"/>
            </w:tcBorders>
          </w:tcPr>
          <w:p w14:paraId="52E24802" w14:textId="77777777" w:rsidR="00F574A2" w:rsidRPr="004F425A" w:rsidRDefault="00F574A2" w:rsidP="004F425A">
            <w:pPr>
              <w:spacing w:after="120" w:line="240" w:lineRule="auto"/>
              <w:rPr>
                <w:rFonts w:ascii="Lato" w:eastAsia="Lato" w:hAnsi="Lato" w:cs="Lato"/>
                <w:sz w:val="20"/>
                <w:szCs w:val="20"/>
              </w:rPr>
            </w:pPr>
            <w:r w:rsidRPr="004F425A">
              <w:rPr>
                <w:rStyle w:val="Ppogrubienie"/>
                <w:rFonts w:ascii="Lato" w:hAnsi="Lato"/>
                <w:sz w:val="20"/>
                <w:szCs w:val="20"/>
              </w:rPr>
              <w:t>Uwaga nieuwzględniona</w:t>
            </w:r>
            <w:r w:rsidRPr="004F425A">
              <w:rPr>
                <w:rFonts w:ascii="Lato" w:eastAsia="Lato" w:hAnsi="Lato" w:cs="Lato"/>
                <w:sz w:val="20"/>
                <w:szCs w:val="20"/>
              </w:rPr>
              <w:t xml:space="preserve">. </w:t>
            </w:r>
          </w:p>
          <w:p w14:paraId="7355753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modyfikacji w tym zakresie. </w:t>
            </w:r>
          </w:p>
          <w:p w14:paraId="56920880" w14:textId="1DCB5628" w:rsidR="00F574A2" w:rsidRPr="004F425A" w:rsidRDefault="00F574A2" w:rsidP="004F425A">
            <w:pPr>
              <w:spacing w:after="120" w:line="240" w:lineRule="auto"/>
              <w:rPr>
                <w:rFonts w:ascii="Lato" w:eastAsia="Lato" w:hAnsi="Lato" w:cs="Lato"/>
                <w:sz w:val="20"/>
                <w:szCs w:val="20"/>
              </w:rPr>
            </w:pPr>
          </w:p>
        </w:tc>
      </w:tr>
      <w:tr w:rsidR="004471C5" w:rsidRPr="004F425A" w14:paraId="79F3E85E" w14:textId="77777777" w:rsidTr="79FF9703">
        <w:tc>
          <w:tcPr>
            <w:tcW w:w="1425" w:type="dxa"/>
            <w:tcBorders>
              <w:top w:val="single" w:sz="4" w:space="0" w:color="auto"/>
              <w:left w:val="single" w:sz="4" w:space="0" w:color="auto"/>
              <w:bottom w:val="single" w:sz="4" w:space="0" w:color="auto"/>
              <w:right w:val="single" w:sz="4" w:space="0" w:color="auto"/>
            </w:tcBorders>
          </w:tcPr>
          <w:p w14:paraId="506118F5"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BC449A9" w14:textId="10D6C8A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6A07C302"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Przeprowadzenie analizy funkcjonalnej linii pilotażowej - określenie typów użytkowników, potrzeb technologicznych, możliwych modeli operacyjnych oraz zakresu zastosowań (w tym przemysłowych, akademickich i dla</w:t>
            </w:r>
            <w:r w:rsidRPr="004F425A">
              <w:rPr>
                <w:rFonts w:ascii="Lato" w:eastAsia="Lato" w:hAnsi="Lato" w:cs="Lato"/>
                <w:sz w:val="20"/>
                <w:szCs w:val="20"/>
                <w:u w:val="single"/>
              </w:rPr>
              <w:t> firm w tym</w:t>
            </w:r>
            <w:r w:rsidRPr="004F425A">
              <w:rPr>
                <w:rFonts w:ascii="Lato" w:eastAsia="Lato" w:hAnsi="Lato" w:cs="Lato"/>
                <w:sz w:val="20"/>
                <w:szCs w:val="20"/>
              </w:rPr>
              <w:t> MŚP). </w:t>
            </w:r>
          </w:p>
          <w:p w14:paraId="044A8A3A" w14:textId="1E494FF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dodana w trybie zmian]</w:t>
            </w:r>
          </w:p>
        </w:tc>
        <w:tc>
          <w:tcPr>
            <w:tcW w:w="4859" w:type="dxa"/>
            <w:tcBorders>
              <w:top w:val="single" w:sz="4" w:space="0" w:color="auto"/>
              <w:left w:val="single" w:sz="4" w:space="0" w:color="auto"/>
              <w:bottom w:val="single" w:sz="4" w:space="0" w:color="auto"/>
              <w:right w:val="single" w:sz="4" w:space="0" w:color="auto"/>
            </w:tcBorders>
          </w:tcPr>
          <w:p w14:paraId="32F1718D"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3AA57E88" w14:textId="51F246F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został doprecyzowany zgodnie z propozycją PPTF</w:t>
            </w:r>
            <w:r w:rsidR="005D467F" w:rsidRPr="004F425A">
              <w:rPr>
                <w:rFonts w:ascii="Lato" w:eastAsia="Lato" w:hAnsi="Lato" w:cs="Lato"/>
                <w:sz w:val="20"/>
                <w:szCs w:val="20"/>
              </w:rPr>
              <w:t>.</w:t>
            </w:r>
          </w:p>
        </w:tc>
      </w:tr>
      <w:tr w:rsidR="004471C5" w:rsidRPr="004F425A" w14:paraId="4C1A72DC" w14:textId="77777777" w:rsidTr="79FF9703">
        <w:tc>
          <w:tcPr>
            <w:tcW w:w="1425" w:type="dxa"/>
            <w:tcBorders>
              <w:top w:val="single" w:sz="4" w:space="0" w:color="auto"/>
              <w:left w:val="single" w:sz="4" w:space="0" w:color="auto"/>
              <w:bottom w:val="single" w:sz="4" w:space="0" w:color="auto"/>
              <w:right w:val="single" w:sz="4" w:space="0" w:color="auto"/>
            </w:tcBorders>
          </w:tcPr>
          <w:p w14:paraId="17E291E8" w14:textId="5EC8DD9B"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3FF27AD2" w14:textId="6FB601E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758F5DB4"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Zadania linii pilotażowych: </w:t>
            </w:r>
          </w:p>
          <w:p w14:paraId="180AB928" w14:textId="77777777" w:rsidR="00F574A2" w:rsidRPr="004F425A" w:rsidRDefault="00F574A2" w:rsidP="004F425A">
            <w:pPr>
              <w:numPr>
                <w:ilvl w:val="0"/>
                <w:numId w:val="29"/>
              </w:numPr>
              <w:spacing w:after="120" w:line="240" w:lineRule="auto"/>
              <w:rPr>
                <w:rFonts w:ascii="Lato" w:eastAsia="Lato" w:hAnsi="Lato" w:cs="Lato"/>
                <w:sz w:val="20"/>
                <w:szCs w:val="20"/>
              </w:rPr>
            </w:pPr>
            <w:r w:rsidRPr="004F425A">
              <w:rPr>
                <w:rFonts w:ascii="Lato" w:eastAsia="Lato" w:hAnsi="Lato" w:cs="Lato"/>
                <w:sz w:val="20"/>
                <w:szCs w:val="20"/>
              </w:rPr>
              <w:t>Umożliwić krajowym projektantom walidację własności intelektualnej (z ang. silicon-proven); </w:t>
            </w:r>
          </w:p>
          <w:p w14:paraId="6E6DE342" w14:textId="77777777" w:rsidR="00F574A2" w:rsidRPr="004F425A" w:rsidRDefault="00F574A2" w:rsidP="004F425A">
            <w:pPr>
              <w:numPr>
                <w:ilvl w:val="0"/>
                <w:numId w:val="30"/>
              </w:numPr>
              <w:spacing w:after="120" w:line="240" w:lineRule="auto"/>
              <w:rPr>
                <w:rFonts w:ascii="Lato" w:eastAsia="Lato" w:hAnsi="Lato" w:cs="Lato"/>
                <w:sz w:val="20"/>
                <w:szCs w:val="20"/>
              </w:rPr>
            </w:pPr>
            <w:r w:rsidRPr="004F425A">
              <w:rPr>
                <w:rFonts w:ascii="Lato" w:eastAsia="Lato" w:hAnsi="Lato" w:cs="Lato"/>
                <w:sz w:val="20"/>
                <w:szCs w:val="20"/>
              </w:rPr>
              <w:t>Zapewnić krajową produkcję bezpiecznych układów dla projektów w obszarach strategicznych; </w:t>
            </w:r>
          </w:p>
          <w:p w14:paraId="08B44FDE" w14:textId="77777777" w:rsidR="00F574A2" w:rsidRPr="004F425A" w:rsidRDefault="00F574A2" w:rsidP="004F425A">
            <w:pPr>
              <w:numPr>
                <w:ilvl w:val="0"/>
                <w:numId w:val="31"/>
              </w:numPr>
              <w:spacing w:after="120" w:line="240" w:lineRule="auto"/>
              <w:rPr>
                <w:rFonts w:ascii="Lato" w:eastAsia="Lato" w:hAnsi="Lato" w:cs="Lato"/>
                <w:sz w:val="20"/>
                <w:szCs w:val="20"/>
              </w:rPr>
            </w:pPr>
            <w:r w:rsidRPr="004F425A">
              <w:rPr>
                <w:rFonts w:ascii="Lato" w:eastAsia="Lato" w:hAnsi="Lato" w:cs="Lato"/>
                <w:sz w:val="20"/>
                <w:szCs w:val="20"/>
              </w:rPr>
              <w:t>Rozwijać i testować technologie montażu i integracji układów, w tym hybrydowych oraz o podwyższonej odporności środowiskowej. </w:t>
            </w:r>
          </w:p>
          <w:p w14:paraId="0868B8EA" w14:textId="77777777" w:rsidR="00F574A2" w:rsidRPr="004F425A" w:rsidRDefault="00F574A2" w:rsidP="004F425A">
            <w:pPr>
              <w:numPr>
                <w:ilvl w:val="0"/>
                <w:numId w:val="32"/>
              </w:numPr>
              <w:spacing w:after="120" w:line="240" w:lineRule="auto"/>
              <w:rPr>
                <w:rFonts w:ascii="Lato" w:eastAsia="Lato" w:hAnsi="Lato" w:cs="Lato"/>
                <w:sz w:val="20"/>
                <w:szCs w:val="20"/>
              </w:rPr>
            </w:pPr>
            <w:r w:rsidRPr="004F425A">
              <w:rPr>
                <w:rFonts w:ascii="Lato" w:eastAsia="Lato" w:hAnsi="Lato" w:cs="Lato"/>
                <w:sz w:val="20"/>
                <w:szCs w:val="20"/>
                <w:u w:val="single"/>
              </w:rPr>
              <w:t>Wytwarzać, opracowywać i testować materiały półprzewodnikowe, w tym materiały III-V (GaAs, InP, GaSb, GaP), w celu ich integracji w zaawansowanych układach elektronicznych i fotonicznych.</w:t>
            </w:r>
            <w:r w:rsidRPr="004F425A">
              <w:rPr>
                <w:rFonts w:ascii="Lato" w:eastAsia="Lato" w:hAnsi="Lato" w:cs="Lato"/>
                <w:sz w:val="20"/>
                <w:szCs w:val="20"/>
              </w:rPr>
              <w:t> </w:t>
            </w:r>
          </w:p>
          <w:p w14:paraId="545E9DE8" w14:textId="5513D99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[Uwagi odczytane z komentarzy i naniesionych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5C158B58"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1E0CC285" w14:textId="6EE1F8A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został doprecyzowany zgodnie z propozycją PPTF.</w:t>
            </w:r>
          </w:p>
          <w:p w14:paraId="4CDCC265" w14:textId="448C1FA2" w:rsidR="00F574A2" w:rsidRPr="004F425A" w:rsidRDefault="00F574A2" w:rsidP="004F425A">
            <w:pPr>
              <w:spacing w:after="120" w:line="240" w:lineRule="auto"/>
              <w:rPr>
                <w:rFonts w:ascii="Lato" w:eastAsia="Lato" w:hAnsi="Lato" w:cs="Lato"/>
                <w:sz w:val="20"/>
                <w:szCs w:val="20"/>
              </w:rPr>
            </w:pPr>
          </w:p>
        </w:tc>
      </w:tr>
      <w:tr w:rsidR="004471C5" w:rsidRPr="004F425A" w14:paraId="17543582" w14:textId="77777777" w:rsidTr="79FF9703">
        <w:tc>
          <w:tcPr>
            <w:tcW w:w="1425" w:type="dxa"/>
            <w:tcBorders>
              <w:top w:val="single" w:sz="4" w:space="0" w:color="auto"/>
              <w:left w:val="single" w:sz="4" w:space="0" w:color="auto"/>
              <w:bottom w:val="single" w:sz="4" w:space="0" w:color="auto"/>
              <w:right w:val="single" w:sz="4" w:space="0" w:color="auto"/>
            </w:tcBorders>
          </w:tcPr>
          <w:p w14:paraId="4567A7A9"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2FB68B0" w14:textId="6BCAC6E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418B0B1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Polsce istnieją już fundamenty infrastrukturalne, które mogą zostać wykorzystane do rozwoju linii pilotażowych. Przykładem są zasoby CEZAMAT PW oraz projekty prowadzone przez Łukasiewicz-IMiF i IWC PAN w zakresie technologii GaN, stanowiące potencjalną bazę dla wdrożeń w obszarze energoelektroniki i innych zaawansowanych zastosowań. </w:t>
            </w:r>
            <w:r w:rsidRPr="004F425A">
              <w:rPr>
                <w:rFonts w:ascii="Lato" w:eastAsia="Lato" w:hAnsi="Lato" w:cs="Lato"/>
                <w:strike/>
                <w:sz w:val="20"/>
                <w:szCs w:val="20"/>
              </w:rPr>
              <w:t>Zgodnie z informacjami CEZAMAT PW, możliwe jest uruchomienie produkcji rzędu do 100 tys. układów rocznie w kilku technologiach, pozwalających na produkcję unikatowych produktów do wyspecjalizowanych zastosowań. Istniejące zasoby należy potraktować jako punkt wyjścia do dalszego rozwoju i skoordynowanego wykorzystania potencjału infrastruktury krajowej.</w:t>
            </w:r>
            <w:r w:rsidRPr="004F425A">
              <w:rPr>
                <w:rFonts w:ascii="Lato" w:eastAsia="Lato" w:hAnsi="Lato" w:cs="Lato"/>
                <w:sz w:val="20"/>
                <w:szCs w:val="20"/>
                <w:u w:val="single"/>
              </w:rPr>
              <w:t> Ponadto, istotnym elementem krajowej infrastruktury jest Centrum Doskonałości ENSEMBLE³ (Ensemble3 Sp. z o.o.) w którym prowadzone są prace nad rozwojem i wytwarzaniem materiałów półprzewodnikowych typu III-V, takich jak GaAs, InP, GaSb i GaP. Centrum to umożliwia badania nad wzrostem kryształów oraz wytwarzaniem podłoży o dedykowanych właściwościach. Zgodnie z informacjami CEZAMAT PW, możliwe jest uruchomienie produkcji rzędu do 100 tys. układów rocznie w kilku technologiach, pozwalających na produkcję unikatowych produktów do wyspecjalizowanych zastosowań. Istniejące zasoby należy potraktować jako punkt wyjścia do dalszego rozwoju i skoordynowanego wykorzystania potencjału infrastruktury krajowej, w tym do integracji technologii materiałowych III-V rozwijanych w ENSEMBLE³. </w:t>
            </w:r>
            <w:r w:rsidRPr="004F425A">
              <w:rPr>
                <w:rFonts w:ascii="Lato" w:eastAsia="Lato" w:hAnsi="Lato" w:cs="Lato"/>
                <w:sz w:val="20"/>
                <w:szCs w:val="20"/>
              </w:rPr>
              <w:t> </w:t>
            </w:r>
          </w:p>
          <w:p w14:paraId="41EC11F6" w14:textId="52991BB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dodana w trybie zmian]</w:t>
            </w:r>
          </w:p>
        </w:tc>
        <w:tc>
          <w:tcPr>
            <w:tcW w:w="4859" w:type="dxa"/>
            <w:tcBorders>
              <w:top w:val="single" w:sz="4" w:space="0" w:color="auto"/>
              <w:left w:val="single" w:sz="4" w:space="0" w:color="auto"/>
              <w:bottom w:val="single" w:sz="4" w:space="0" w:color="auto"/>
              <w:right w:val="single" w:sz="4" w:space="0" w:color="auto"/>
            </w:tcBorders>
          </w:tcPr>
          <w:p w14:paraId="013FB8BB" w14:textId="04E4E9D0"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5202598A"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modyfikacji w tym zakresie. </w:t>
            </w:r>
          </w:p>
          <w:p w14:paraId="2CC9BA71" w14:textId="77777777" w:rsidR="00F574A2" w:rsidRPr="004F425A" w:rsidRDefault="00F574A2" w:rsidP="004F425A">
            <w:pPr>
              <w:spacing w:after="120" w:line="240" w:lineRule="auto"/>
              <w:rPr>
                <w:rFonts w:ascii="Lato" w:eastAsia="Lato" w:hAnsi="Lato" w:cs="Lato"/>
                <w:sz w:val="20"/>
                <w:szCs w:val="20"/>
              </w:rPr>
            </w:pPr>
          </w:p>
          <w:p w14:paraId="1879E508" w14:textId="4CC43356" w:rsidR="00F574A2" w:rsidRPr="004F425A" w:rsidRDefault="00F574A2" w:rsidP="004F425A">
            <w:pPr>
              <w:spacing w:after="120" w:line="240" w:lineRule="auto"/>
              <w:rPr>
                <w:rFonts w:ascii="Lato" w:eastAsia="Lato" w:hAnsi="Lato" w:cs="Lato"/>
                <w:sz w:val="20"/>
                <w:szCs w:val="20"/>
              </w:rPr>
            </w:pPr>
          </w:p>
        </w:tc>
      </w:tr>
      <w:tr w:rsidR="004471C5" w:rsidRPr="004F425A" w14:paraId="501EA064" w14:textId="77777777" w:rsidTr="79FF9703">
        <w:tc>
          <w:tcPr>
            <w:tcW w:w="1425" w:type="dxa"/>
            <w:tcBorders>
              <w:top w:val="single" w:sz="4" w:space="0" w:color="auto"/>
              <w:left w:val="single" w:sz="4" w:space="0" w:color="auto"/>
              <w:bottom w:val="single" w:sz="4" w:space="0" w:color="auto"/>
              <w:right w:val="single" w:sz="4" w:space="0" w:color="auto"/>
            </w:tcBorders>
          </w:tcPr>
          <w:p w14:paraId="006C13C7" w14:textId="719F2CDC"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1713FE08" w14:textId="59669FC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1CAE3442" w14:textId="2479F2A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Linie pilotażowe w ramach UE, takie jak te realizowane w programie Wspólne Przedsięwzięcie na rzecz Czipów, to zaawansowane infrastruktury badawczo-rozwojowe, które umożliwiają międzynarodową współpracę w zakresie testowania i walidacji nowych technologii.  </w:t>
            </w:r>
            <w:r w:rsidRPr="004F425A">
              <w:rPr>
                <w:rFonts w:ascii="Lato" w:hAnsi="Lato"/>
                <w:sz w:val="20"/>
                <w:szCs w:val="20"/>
              </w:rPr>
              <w:br/>
            </w:r>
            <w:r w:rsidRPr="004F425A">
              <w:rPr>
                <w:rFonts w:ascii="Lato" w:eastAsia="Lato" w:hAnsi="Lato" w:cs="Lato"/>
                <w:sz w:val="20"/>
                <w:szCs w:val="20"/>
              </w:rPr>
              <w:t>W przeciwieństwie do krajowych linii pilotażowych, które są skoncentrowane na lokalnych potrzebach, infrastruktura tych europejskich linii jest współdzielona przez uczestniczące państwa (a nawet ma charakter rozproszony), co pozwala na szeroką wymianę wiedzy oraz rozwój technologii w skali międzynarodowej. </w:t>
            </w:r>
          </w:p>
          <w:p w14:paraId="6217821F" w14:textId="77777777" w:rsidR="00F574A2" w:rsidRPr="004F425A" w:rsidRDefault="00F574A2" w:rsidP="004F425A">
            <w:pPr>
              <w:spacing w:after="120" w:line="240" w:lineRule="auto"/>
              <w:rPr>
                <w:rFonts w:ascii="Lato" w:eastAsia="Lato" w:hAnsi="Lato" w:cs="Lato"/>
                <w:strike/>
                <w:sz w:val="20"/>
                <w:szCs w:val="20"/>
              </w:rPr>
            </w:pPr>
            <w:r w:rsidRPr="004F425A">
              <w:rPr>
                <w:rFonts w:ascii="Lato" w:eastAsia="Lato" w:hAnsi="Lato" w:cs="Lato"/>
                <w:strike/>
                <w:sz w:val="20"/>
                <w:szCs w:val="20"/>
              </w:rPr>
              <w:t>Polska już uczestniczy w europejskich projektach takich jak PIXEurope, FAMES i WBG. Projekty te umożliwiają rozwój fotoniki scalonej w zakresie średniej podczerwieni (VIGO Photonics, Ł-IMiF), półprzewodników szerokoprzerwowych (GaN, SiC) oraz układów niskomocowych (FD-SOI). Korzyścią z tych projektów jest udział polskich podmiotów w rozwoju najnowszych technologii, dostęp do infrastruktury o wysokiej gotowości technologicznej oraz możliwość transferu wiedzy i personelu. </w:t>
            </w:r>
          </w:p>
          <w:p w14:paraId="3AE7B74E"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trike/>
                <w:sz w:val="20"/>
                <w:szCs w:val="20"/>
              </w:rPr>
              <w:t>Należy aktywnie dążyć do zwiększenia udziału polskich podmiotów w kolejnych europejskich liniach pilotażowych, a także do wykorzystania w tych liniach technologii rozwijanych przez polskie firmy (np. systemy nanodruku</w:t>
            </w:r>
            <w:r w:rsidRPr="004F425A">
              <w:rPr>
                <w:rFonts w:ascii="Lato" w:eastAsia="Lato" w:hAnsi="Lato" w:cs="Lato"/>
                <w:sz w:val="20"/>
                <w:szCs w:val="20"/>
                <w:u w:val="single"/>
              </w:rPr>
              <w:t> Niezbędne jest także wsparcie prac badawczych i wdrożenia w ramach struktur europejskich takich, jak IPCEI AST.</w:t>
            </w:r>
            <w:r w:rsidRPr="004F425A">
              <w:rPr>
                <w:rFonts w:ascii="Lato" w:eastAsia="Lato" w:hAnsi="Lato" w:cs="Lato"/>
                <w:sz w:val="20"/>
                <w:szCs w:val="20"/>
              </w:rPr>
              <w:t> </w:t>
            </w:r>
          </w:p>
          <w:p w14:paraId="666FEF38"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u w:val="single"/>
              </w:rPr>
              <w:t>Polska już uczestniczy w europejskich projektach takich jak PIXEurope, FAMES i WBG oraz ECOSYSTEM (European COmonSupplYchain for Sovereign T2SL and infrarEdModules). Projekty te umożliwiają rozwój fotoniki scalonej w zakresie średniej podczerwieni (VIGO Photonics, Ł-IMiF), półprzewodników szerokoprzerwowych (GaN, SiC) oraz układów niskomocowych (FD-SOI). Korzyścią z tych projektów jest udział polskich podmiotów w rozwoju najnowszych technologii, dostęp do infrastruktury o wysokiej gotowości technologicznej oraz możliwość transferu wiedzy i personelu. Szczególnym przykładem jest projekt ECOSYSTEM, realizowany przez Centrum Doskonałości ENSEMBLE³, ioraz Ł-IMiF, który koncentruje się na wzroście kryształów GaSb, obejmując budowę europejskiego łańcucha dostaw dla podłoży antymonku galu (GaSb) oraz rozwój łańcucha technologii detektorów podczerwieni.Należy aktywnie dążyć do zwiększenia udziału polskich podmiotów w kolejnych europejskich liniach pilotażowych, a także do wykorzystania w tych liniach technologii rozwijanych przez polskie firmy (np. technologie wzrostu kryształów, systemy nanodruku</w:t>
            </w:r>
            <w:r w:rsidRPr="004F425A">
              <w:rPr>
                <w:rFonts w:ascii="Lato" w:eastAsia="Lato" w:hAnsi="Lato" w:cs="Lato"/>
                <w:sz w:val="20"/>
                <w:szCs w:val="20"/>
              </w:rPr>
              <w:t> czy urządzenia do automatyzacji montażu) w tych projektach. Ważnym elementem jest również zapewnienie mechanizmów transferu wyników do krajowego przemysłu, np. poprzez centra kompetencji. </w:t>
            </w:r>
          </w:p>
          <w:p w14:paraId="75054614" w14:textId="4E32D3D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37BDA916" w14:textId="77777777" w:rsidR="00F574A2" w:rsidRPr="004F425A" w:rsidRDefault="00F574A2" w:rsidP="004F425A">
            <w:pPr>
              <w:spacing w:after="120" w:line="240" w:lineRule="auto"/>
              <w:rPr>
                <w:rFonts w:ascii="Lato" w:eastAsia="Lato" w:hAnsi="Lato" w:cs="Lato"/>
                <w:sz w:val="20"/>
                <w:szCs w:val="20"/>
              </w:rPr>
            </w:pPr>
            <w:r w:rsidRPr="004F425A">
              <w:rPr>
                <w:rStyle w:val="Ppogrubienie"/>
                <w:rFonts w:ascii="Lato" w:hAnsi="Lato"/>
                <w:sz w:val="20"/>
                <w:szCs w:val="20"/>
              </w:rPr>
              <w:t>Uwaga nieuwzględniona</w:t>
            </w:r>
            <w:r w:rsidRPr="004F425A">
              <w:rPr>
                <w:rFonts w:ascii="Lato" w:eastAsia="Lato" w:hAnsi="Lato" w:cs="Lato"/>
                <w:sz w:val="20"/>
                <w:szCs w:val="20"/>
              </w:rPr>
              <w:t xml:space="preserve">. </w:t>
            </w:r>
          </w:p>
          <w:p w14:paraId="0DFFD4AB"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modyfikacji w tym zakresie. </w:t>
            </w:r>
          </w:p>
          <w:p w14:paraId="665E70EA" w14:textId="5EEDA69D" w:rsidR="00F574A2" w:rsidRPr="004F425A" w:rsidRDefault="00F574A2" w:rsidP="004F425A">
            <w:pPr>
              <w:spacing w:after="120" w:line="240" w:lineRule="auto"/>
              <w:rPr>
                <w:rFonts w:ascii="Lato" w:eastAsia="Lato" w:hAnsi="Lato" w:cs="Lato"/>
                <w:sz w:val="20"/>
                <w:szCs w:val="20"/>
              </w:rPr>
            </w:pPr>
          </w:p>
        </w:tc>
      </w:tr>
      <w:tr w:rsidR="004471C5" w:rsidRPr="004F425A" w14:paraId="6C362D6A" w14:textId="77777777" w:rsidTr="79FF9703">
        <w:tc>
          <w:tcPr>
            <w:tcW w:w="1425" w:type="dxa"/>
            <w:tcBorders>
              <w:top w:val="single" w:sz="4" w:space="0" w:color="auto"/>
              <w:left w:val="single" w:sz="4" w:space="0" w:color="auto"/>
              <w:bottom w:val="single" w:sz="4" w:space="0" w:color="auto"/>
              <w:right w:val="single" w:sz="4" w:space="0" w:color="auto"/>
            </w:tcBorders>
          </w:tcPr>
          <w:p w14:paraId="2330DDA3"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4154404" w14:textId="435618D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525595FA" w14:textId="41FC025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dodany do paragrafu „Park technologiczny pełniłby rolę platformy integrującej różne elementy[…]”]</w:t>
            </w:r>
          </w:p>
          <w:p w14:paraId="0EDF0ABF" w14:textId="4A5F96D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Rolę takiego Parku technologicznego do niedawna pełnił rolę teren przy ul Wólczyńskie 133 w Warszawie, dawna siedziba Instytutu Technologii Materiałów Elektronicznych (obecnie Ł-IMIF oraz Ensemble3) oraz CEMAT (w sumie 16 hektarów). Była to ‘Polska Dolina Krzemowa’.</w:t>
            </w:r>
          </w:p>
        </w:tc>
        <w:tc>
          <w:tcPr>
            <w:tcW w:w="4859" w:type="dxa"/>
            <w:tcBorders>
              <w:top w:val="single" w:sz="4" w:space="0" w:color="auto"/>
              <w:left w:val="single" w:sz="4" w:space="0" w:color="auto"/>
              <w:bottom w:val="single" w:sz="4" w:space="0" w:color="auto"/>
              <w:right w:val="single" w:sz="4" w:space="0" w:color="auto"/>
            </w:tcBorders>
          </w:tcPr>
          <w:p w14:paraId="6F13B222" w14:textId="4768C992"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6E4C96CC"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modyfikacji w tym zakresie. </w:t>
            </w:r>
          </w:p>
          <w:p w14:paraId="5D51E57E" w14:textId="6DB69336" w:rsidR="00F574A2" w:rsidRPr="004F425A" w:rsidRDefault="00F574A2" w:rsidP="004F425A">
            <w:pPr>
              <w:spacing w:after="120" w:line="240" w:lineRule="auto"/>
              <w:rPr>
                <w:rFonts w:ascii="Lato" w:eastAsia="Lato" w:hAnsi="Lato" w:cs="Lato"/>
                <w:sz w:val="20"/>
                <w:szCs w:val="20"/>
              </w:rPr>
            </w:pPr>
          </w:p>
        </w:tc>
      </w:tr>
      <w:tr w:rsidR="004471C5" w:rsidRPr="004F425A" w14:paraId="7EC51B09" w14:textId="77777777" w:rsidTr="79FF9703">
        <w:tc>
          <w:tcPr>
            <w:tcW w:w="1425" w:type="dxa"/>
            <w:tcBorders>
              <w:top w:val="single" w:sz="4" w:space="0" w:color="auto"/>
              <w:left w:val="single" w:sz="4" w:space="0" w:color="auto"/>
              <w:bottom w:val="single" w:sz="4" w:space="0" w:color="auto"/>
              <w:right w:val="single" w:sz="4" w:space="0" w:color="auto"/>
            </w:tcBorders>
          </w:tcPr>
          <w:p w14:paraId="2BE9D6A6" w14:textId="1B48B0AE"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587E5AAC" w14:textId="1EC8D97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66C144D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Rekomendowane funkcje parku to m.in.: </w:t>
            </w:r>
          </w:p>
          <w:p w14:paraId="1F7A83DC" w14:textId="77777777" w:rsidR="00F574A2" w:rsidRPr="004F425A" w:rsidRDefault="00F574A2" w:rsidP="004F425A">
            <w:pPr>
              <w:numPr>
                <w:ilvl w:val="0"/>
                <w:numId w:val="33"/>
              </w:numPr>
              <w:spacing w:after="120" w:line="240" w:lineRule="auto"/>
              <w:rPr>
                <w:rFonts w:ascii="Lato" w:eastAsia="Lato" w:hAnsi="Lato" w:cs="Lato"/>
                <w:sz w:val="20"/>
                <w:szCs w:val="20"/>
              </w:rPr>
            </w:pPr>
            <w:r w:rsidRPr="004F425A">
              <w:rPr>
                <w:rFonts w:ascii="Lato" w:eastAsia="Lato" w:hAnsi="Lato" w:cs="Lato"/>
                <w:sz w:val="20"/>
                <w:szCs w:val="20"/>
              </w:rPr>
              <w:t>Przestrzenie wspólne do prowadzenia prac projektowych i walidacyjnych, w tym dostęp do narzędzi do projektowania układów scalonych, pomieszczeń czystych (cleanroom) i procesów końcowych; </w:t>
            </w:r>
          </w:p>
          <w:p w14:paraId="3A2158A7" w14:textId="77777777" w:rsidR="00F574A2" w:rsidRPr="004F425A" w:rsidRDefault="00F574A2" w:rsidP="004F425A">
            <w:pPr>
              <w:numPr>
                <w:ilvl w:val="0"/>
                <w:numId w:val="34"/>
              </w:numPr>
              <w:spacing w:after="120" w:line="240" w:lineRule="auto"/>
              <w:rPr>
                <w:rFonts w:ascii="Lato" w:eastAsia="Lato" w:hAnsi="Lato" w:cs="Lato"/>
                <w:sz w:val="20"/>
                <w:szCs w:val="20"/>
              </w:rPr>
            </w:pPr>
            <w:r w:rsidRPr="004F425A">
              <w:rPr>
                <w:rFonts w:ascii="Lato" w:eastAsia="Lato" w:hAnsi="Lato" w:cs="Lato"/>
                <w:sz w:val="20"/>
                <w:szCs w:val="20"/>
              </w:rPr>
              <w:t>Infrastruktura umożliwiająca testowanie i niezależną walidację technologii (np. testy środowiskowe, elektromagnetyczne, niezawodnościowe); </w:t>
            </w:r>
          </w:p>
          <w:p w14:paraId="2C52CE51" w14:textId="77777777" w:rsidR="00F574A2" w:rsidRPr="004F425A" w:rsidRDefault="00F574A2" w:rsidP="004F425A">
            <w:pPr>
              <w:numPr>
                <w:ilvl w:val="0"/>
                <w:numId w:val="35"/>
              </w:numPr>
              <w:spacing w:after="120" w:line="240" w:lineRule="auto"/>
              <w:rPr>
                <w:rFonts w:ascii="Lato" w:eastAsia="Lato" w:hAnsi="Lato" w:cs="Lato"/>
                <w:sz w:val="20"/>
                <w:szCs w:val="20"/>
              </w:rPr>
            </w:pPr>
            <w:r w:rsidRPr="004F425A">
              <w:rPr>
                <w:rFonts w:ascii="Lato" w:eastAsia="Lato" w:hAnsi="Lato" w:cs="Lato"/>
                <w:sz w:val="20"/>
                <w:szCs w:val="20"/>
              </w:rPr>
              <w:t>Przestrzeń do wsparcia wdrażania innowacji sprzętowych - w tym inkubacja, demonstracja i wspólne projekty rozwojowe; </w:t>
            </w:r>
          </w:p>
          <w:p w14:paraId="7FC1D67C" w14:textId="77777777" w:rsidR="00F574A2" w:rsidRPr="004F425A" w:rsidRDefault="00F574A2" w:rsidP="004F425A">
            <w:pPr>
              <w:numPr>
                <w:ilvl w:val="0"/>
                <w:numId w:val="36"/>
              </w:numPr>
              <w:spacing w:after="120" w:line="240" w:lineRule="auto"/>
              <w:rPr>
                <w:rFonts w:ascii="Lato" w:eastAsia="Lato" w:hAnsi="Lato" w:cs="Lato"/>
                <w:sz w:val="20"/>
                <w:szCs w:val="20"/>
              </w:rPr>
            </w:pPr>
            <w:r w:rsidRPr="004F425A">
              <w:rPr>
                <w:rFonts w:ascii="Lato" w:eastAsia="Lato" w:hAnsi="Lato" w:cs="Lato"/>
                <w:sz w:val="20"/>
                <w:szCs w:val="20"/>
              </w:rPr>
              <w:t>Współpraca z sektorem edukacji i nauki, np. poprzez wspólne programy kształcenia, staże, inżynierię aplikacyjną i mentoring, ale także organizację branżowych wydarzeń i networking; </w:t>
            </w:r>
          </w:p>
          <w:p w14:paraId="4A4E43D0" w14:textId="77777777" w:rsidR="00F574A2" w:rsidRPr="004F425A" w:rsidRDefault="00F574A2" w:rsidP="004F425A">
            <w:pPr>
              <w:numPr>
                <w:ilvl w:val="0"/>
                <w:numId w:val="37"/>
              </w:numPr>
              <w:spacing w:after="120" w:line="240" w:lineRule="auto"/>
              <w:rPr>
                <w:rFonts w:ascii="Lato" w:eastAsia="Lato" w:hAnsi="Lato" w:cs="Lato"/>
                <w:sz w:val="20"/>
                <w:szCs w:val="20"/>
              </w:rPr>
            </w:pPr>
            <w:r w:rsidRPr="004F425A">
              <w:rPr>
                <w:rFonts w:ascii="Lato" w:eastAsia="Lato" w:hAnsi="Lato" w:cs="Lato"/>
                <w:sz w:val="20"/>
                <w:szCs w:val="20"/>
              </w:rPr>
              <w:t>Usługi wspólne dla MŚP i start-upów z sektora półprzewodników oraz przemysłów pokrewnych (np. dostęp do sprzętu, wsparcie IP, platformy testowe). </w:t>
            </w:r>
          </w:p>
          <w:p w14:paraId="378C6AA4" w14:textId="77777777" w:rsidR="00F574A2" w:rsidRPr="004F425A" w:rsidRDefault="00F574A2" w:rsidP="004F425A">
            <w:pPr>
              <w:numPr>
                <w:ilvl w:val="0"/>
                <w:numId w:val="38"/>
              </w:numPr>
              <w:spacing w:after="120" w:line="240" w:lineRule="auto"/>
              <w:rPr>
                <w:rFonts w:ascii="Lato" w:eastAsia="Lato" w:hAnsi="Lato" w:cs="Lato"/>
                <w:sz w:val="20"/>
                <w:szCs w:val="20"/>
              </w:rPr>
            </w:pPr>
            <w:r w:rsidRPr="004F425A">
              <w:rPr>
                <w:rFonts w:ascii="Lato" w:eastAsia="Lato" w:hAnsi="Lato" w:cs="Lato"/>
                <w:sz w:val="20"/>
                <w:szCs w:val="20"/>
                <w:u w:val="single"/>
              </w:rPr>
              <w:t>Wsparcie badań, rozwoju i wytwarzania nowych materiałów półprzewodnikowych, w tym materiałów III-V (GaAs, InP, GaSb, GaP), oraz ich integracji w prototypowych i pilotażowych układach elektronicznych i fotonicznych.</w:t>
            </w:r>
            <w:r w:rsidRPr="004F425A">
              <w:rPr>
                <w:rFonts w:ascii="Lato" w:eastAsia="Lato" w:hAnsi="Lato" w:cs="Lato"/>
                <w:sz w:val="20"/>
                <w:szCs w:val="20"/>
              </w:rPr>
              <w:t> </w:t>
            </w:r>
          </w:p>
          <w:p w14:paraId="548B50F1" w14:textId="10EA7E87" w:rsidR="00F574A2" w:rsidRPr="004F425A" w:rsidRDefault="00F574A2" w:rsidP="004F425A">
            <w:pPr>
              <w:numPr>
                <w:ilvl w:val="0"/>
                <w:numId w:val="39"/>
              </w:numPr>
              <w:spacing w:after="120" w:line="240" w:lineRule="auto"/>
              <w:rPr>
                <w:rFonts w:ascii="Lato" w:eastAsia="Lato" w:hAnsi="Lato" w:cs="Lato"/>
                <w:sz w:val="20"/>
                <w:szCs w:val="20"/>
              </w:rPr>
            </w:pPr>
            <w:r w:rsidRPr="004F425A">
              <w:rPr>
                <w:rFonts w:ascii="Lato" w:eastAsia="Lato" w:hAnsi="Lato" w:cs="Lato"/>
                <w:sz w:val="20"/>
                <w:szCs w:val="20"/>
                <w:u w:val="single"/>
              </w:rPr>
              <w:t>Uzbrojony w odpowiednie media teren gdzie mogą się lokować firmy działające w dziedzinie półprzewodników oraz fotoniki.</w:t>
            </w:r>
            <w:r w:rsidRPr="004F425A">
              <w:rPr>
                <w:rFonts w:ascii="Lato" w:eastAsia="Lato" w:hAnsi="Lato" w:cs="Lato"/>
                <w:sz w:val="20"/>
                <w:szCs w:val="20"/>
              </w:rPr>
              <w:t> </w:t>
            </w:r>
          </w:p>
          <w:p w14:paraId="026969A1" w14:textId="7FACFEB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1E5E332A"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3DEE3A07" w14:textId="3E66F00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zapis został doprecyzowany zgodnie z propozycją PPTF.</w:t>
            </w:r>
          </w:p>
          <w:p w14:paraId="2106039B" w14:textId="13C1774E" w:rsidR="00F574A2" w:rsidRPr="004F425A" w:rsidRDefault="00F574A2" w:rsidP="004F425A">
            <w:pPr>
              <w:spacing w:after="120" w:line="240" w:lineRule="auto"/>
              <w:rPr>
                <w:rFonts w:ascii="Lato" w:eastAsia="Lato" w:hAnsi="Lato" w:cs="Lato"/>
                <w:sz w:val="20"/>
                <w:szCs w:val="20"/>
              </w:rPr>
            </w:pPr>
          </w:p>
        </w:tc>
      </w:tr>
      <w:tr w:rsidR="004471C5" w:rsidRPr="004F425A" w14:paraId="18B66CE1" w14:textId="77777777" w:rsidTr="79FF9703">
        <w:tc>
          <w:tcPr>
            <w:tcW w:w="1425" w:type="dxa"/>
            <w:tcBorders>
              <w:top w:val="single" w:sz="4" w:space="0" w:color="auto"/>
              <w:left w:val="single" w:sz="4" w:space="0" w:color="auto"/>
              <w:bottom w:val="single" w:sz="4" w:space="0" w:color="auto"/>
              <w:right w:val="single" w:sz="4" w:space="0" w:color="auto"/>
            </w:tcBorders>
          </w:tcPr>
          <w:p w14:paraId="7457A8C3" w14:textId="5EB8545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2299D8A5" w14:textId="6E98D3B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0318E98B" w14:textId="77FE23A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Zaproponowano wyraźne rozdzielenie technologii krzemowych i III-N/III-V w dokumencie. Wskazano, że w fotonice linie pilożażowe posiadają już: VIGO/WAT, PWr, IMiF, FUW, Unipress - stwierdzenie dokumentu o braku linii pilożażowych w Polsce jest nieaktualne w obszarze fotoniki. [Uwaga odczytana z komentarza Go25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6EE99E3F" w14:textId="212DEB8F"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00555B9C"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modyfikacji w tym zakresie. </w:t>
            </w:r>
          </w:p>
          <w:p w14:paraId="6DC4246D" w14:textId="55875543" w:rsidR="00F574A2" w:rsidRPr="004F425A" w:rsidRDefault="00F574A2" w:rsidP="004F425A">
            <w:pPr>
              <w:spacing w:after="120" w:line="240" w:lineRule="auto"/>
              <w:rPr>
                <w:rFonts w:ascii="Lato" w:eastAsia="Lato" w:hAnsi="Lato" w:cs="Lato"/>
                <w:sz w:val="20"/>
                <w:szCs w:val="20"/>
              </w:rPr>
            </w:pPr>
          </w:p>
        </w:tc>
      </w:tr>
      <w:tr w:rsidR="004471C5" w:rsidRPr="004F425A" w14:paraId="3C4C99FA" w14:textId="77777777" w:rsidTr="79FF9703">
        <w:tc>
          <w:tcPr>
            <w:tcW w:w="1425" w:type="dxa"/>
            <w:tcBorders>
              <w:top w:val="single" w:sz="4" w:space="0" w:color="auto"/>
              <w:left w:val="single" w:sz="4" w:space="0" w:color="auto"/>
              <w:bottom w:val="single" w:sz="4" w:space="0" w:color="auto"/>
              <w:right w:val="single" w:sz="4" w:space="0" w:color="auto"/>
            </w:tcBorders>
          </w:tcPr>
          <w:p w14:paraId="075DA196" w14:textId="13DB7AD8"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3458BCAD" w14:textId="50E2B37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117ABAAB" w14:textId="7CB65BF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Wskazano – przy punkcie Warszawa, że rolę parku technologicznego do niedawna pełnił teren przy ul. Wólczyńskiej 133 w Warszawie (dawna siedziba ITME, obecnie Ł-IMiF, Ensemble3 i Cemat - łącznie 16 ha - "Polska Dolina Krzemowa"). </w:t>
            </w:r>
          </w:p>
          <w:p w14:paraId="18C8BF9A" w14:textId="1023F67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Warszawa (silne kompetencje w fotonice, mikroelektronice, </w:t>
            </w:r>
            <w:r w:rsidRPr="004F425A">
              <w:rPr>
                <w:rFonts w:ascii="Lato" w:eastAsia="Lato" w:hAnsi="Lato" w:cs="Lato"/>
                <w:strike/>
                <w:sz w:val="20"/>
                <w:szCs w:val="20"/>
              </w:rPr>
              <w:t>projektowaniu, istniejąca infrastruktura pomieszczeń typu cleanroom</w:t>
            </w:r>
            <w:r w:rsidRPr="004F425A">
              <w:rPr>
                <w:rFonts w:ascii="Lato" w:eastAsia="Lato" w:hAnsi="Lato" w:cs="Lato"/>
                <w:sz w:val="20"/>
                <w:szCs w:val="20"/>
              </w:rPr>
              <w:t xml:space="preserve"> </w:t>
            </w:r>
            <w:r w:rsidRPr="004F425A">
              <w:rPr>
                <w:rFonts w:ascii="Lato" w:eastAsia="Lato" w:hAnsi="Lato" w:cs="Lato"/>
                <w:sz w:val="20"/>
                <w:szCs w:val="20"/>
                <w:u w:val="single"/>
              </w:rPr>
              <w:t>wytwarzaniu materiałów półprzewodnikowych i fotonicznych, projektowaniu, istniejąca infrastruktura pomieszczeń typu cleanroom); do niedawna teren przy ul. Wólczyńskiej 133 działający jako Polska Dolina Krzemowa</w:t>
            </w:r>
            <w:r w:rsidRPr="004F425A">
              <w:rPr>
                <w:rFonts w:ascii="Lato" w:eastAsia="Lato" w:hAnsi="Lato" w:cs="Lato"/>
                <w:sz w:val="20"/>
                <w:szCs w:val="20"/>
              </w:rPr>
              <w:t>); </w:t>
            </w:r>
          </w:p>
          <w:p w14:paraId="4B4B05B9" w14:textId="3C9087D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5702772C" w14:textId="7A282DA0"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częściowo uwzględniona. </w:t>
            </w:r>
          </w:p>
          <w:p w14:paraId="053A189E" w14:textId="16238B3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został zmodyfikowany zgodnie z brzemieniem zaproponowanym przez PPTF, bez wskazania na konkretne podmioty, tj. "Polską Dolinę Krzemową".</w:t>
            </w:r>
          </w:p>
          <w:p w14:paraId="6B1633BA" w14:textId="456F3AA9" w:rsidR="00F574A2" w:rsidRPr="004F425A" w:rsidRDefault="00F574A2" w:rsidP="004F425A">
            <w:pPr>
              <w:spacing w:after="120" w:line="240" w:lineRule="auto"/>
              <w:rPr>
                <w:rFonts w:ascii="Lato" w:eastAsia="Lato" w:hAnsi="Lato" w:cs="Lato"/>
                <w:strike/>
                <w:sz w:val="20"/>
                <w:szCs w:val="20"/>
              </w:rPr>
            </w:pPr>
          </w:p>
        </w:tc>
      </w:tr>
      <w:tr w:rsidR="004471C5" w:rsidRPr="004F425A" w14:paraId="4B427293" w14:textId="77777777" w:rsidTr="79FF9703">
        <w:tc>
          <w:tcPr>
            <w:tcW w:w="1425" w:type="dxa"/>
            <w:tcBorders>
              <w:top w:val="single" w:sz="4" w:space="0" w:color="auto"/>
              <w:left w:val="single" w:sz="4" w:space="0" w:color="auto"/>
              <w:bottom w:val="single" w:sz="4" w:space="0" w:color="auto"/>
              <w:right w:val="single" w:sz="4" w:space="0" w:color="auto"/>
            </w:tcBorders>
          </w:tcPr>
          <w:p w14:paraId="0E345A94" w14:textId="031139DB"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18A03898" w14:textId="63F5D12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2CF2B69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Zaproponowano uzupełnienie:</w:t>
            </w:r>
          </w:p>
          <w:p w14:paraId="536A9F3A" w14:textId="2F06241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Wspieranie ekspansji i sprzedaży </w:t>
            </w:r>
          </w:p>
          <w:p w14:paraId="035340A3"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Równolegle państwo powinno konsekwentnie wspierać zdolności sprzedażowe firm technologicznych. Chodzi zarówno o pomoc w wejściu na rynki zagraniczne, jak i w budowaniu trwałych relacji z partnerami przemysłowymi. Działania te realizują już instytucje takie jak Polska Agencja Inwestycji i Handlu czy, w wybranych aspektach, Ministerstwo Spraw Zagranicznych - ich rola powinna zostać wzmocniona i lepiej zintegrowana z celami polityki przemysłowej. Warto rozważyć utworzenie ekspozycyjnych przestrzeni demonstracyjnych technologii półprzewodnikowych (z ang. showroomów) na wybranych rynkach zagranicznych, które mogłyby prezentować krajowe rozwiązania i ułatwiać nawiązywanie kontaktów biznesowych. Zaleca się także badanie najlepszych praktyk z innych krajów UE, które skutecznie wykorzystują tego typu przestrzenie w celu zwiększenia eksportu technologii, co mogłoby stanowić inspirację i podstawę do wdrożenia analogicznych działań w Polsce. W tym kontekście warto również rozważyć wykorzystanie instrumentów unijnych - takich jak Global Gateway - jako platformy wspierającej obecność polskich rozwiązań technologicznych w projektach realizowanych poza granicami UE. </w:t>
            </w:r>
            <w:r w:rsidRPr="004F425A">
              <w:rPr>
                <w:rFonts w:ascii="Lato" w:eastAsia="Lato" w:hAnsi="Lato" w:cs="Lato"/>
                <w:sz w:val="20"/>
                <w:szCs w:val="20"/>
                <w:u w:val="single"/>
              </w:rPr>
              <w:t>Równolegle państwo powinno aktywnie wykorzystywać inwestycje zagraniczne polskich firm jako punkt wyjścia do budowania współpracy międzynarodowej. Przykładem są inwestycje ORLEN na Litwie, które stwarzają możliwość, aby litewskie firmy laserowe, takie jak Light Conversion czy EKSPLA, współpracowały z polskimi przedsiębiorstwami w zakresie wykorzystania kryształów do budowy laserów, tworząc realne powiązania w ramach europejskiego ekosystemu technologicznego.</w:t>
            </w:r>
            <w:r w:rsidRPr="004F425A">
              <w:rPr>
                <w:rFonts w:ascii="Lato" w:eastAsia="Lato" w:hAnsi="Lato" w:cs="Lato"/>
                <w:sz w:val="20"/>
                <w:szCs w:val="20"/>
              </w:rPr>
              <w:t xml:space="preserve"> Wymaga to dalszej analizy możliwości organizacyjnych i koordynacji z agendami dyplomacji gospodarczej, a także rzeczywistego włączenia w realizację tych działań organizacji branżowych, które z powodzeniem korzystają z takich mechanizmów w innych krajach członkowskich.</w:t>
            </w:r>
          </w:p>
          <w:p w14:paraId="55A7D996" w14:textId="0843548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z trybu zmian]</w:t>
            </w:r>
          </w:p>
        </w:tc>
        <w:tc>
          <w:tcPr>
            <w:tcW w:w="4859" w:type="dxa"/>
            <w:tcBorders>
              <w:top w:val="single" w:sz="4" w:space="0" w:color="auto"/>
              <w:left w:val="single" w:sz="4" w:space="0" w:color="auto"/>
              <w:bottom w:val="single" w:sz="4" w:space="0" w:color="auto"/>
              <w:right w:val="single" w:sz="4" w:space="0" w:color="auto"/>
            </w:tcBorders>
          </w:tcPr>
          <w:p w14:paraId="75770C5B"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23533C71" w14:textId="7C0C0DB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 charakterze informacyjnym - treść przywołana pokrywa się z już istniejącym zapisem dokumentu (rozdz. Impuls państwa, „Wspieranie ekspansji i sprzedaży”), bez odrębnego postulatu zmiany.</w:t>
            </w:r>
          </w:p>
        </w:tc>
      </w:tr>
      <w:tr w:rsidR="004471C5" w:rsidRPr="004F425A" w14:paraId="04DAA76A" w14:textId="77777777" w:rsidTr="79FF9703">
        <w:tc>
          <w:tcPr>
            <w:tcW w:w="1425" w:type="dxa"/>
            <w:tcBorders>
              <w:top w:val="single" w:sz="4" w:space="0" w:color="auto"/>
              <w:left w:val="single" w:sz="4" w:space="0" w:color="auto"/>
              <w:bottom w:val="single" w:sz="4" w:space="0" w:color="auto"/>
              <w:right w:val="single" w:sz="4" w:space="0" w:color="auto"/>
            </w:tcBorders>
          </w:tcPr>
          <w:p w14:paraId="0B3E4796" w14:textId="2F9211BA"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782BA5ED" w14:textId="61E52F7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1E97643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Wskazano, że Holandia bardzo rozwija się w półprzewodnikach, Francja jest również korzystnym partnerem. Ograniczenie tylko do Czech i Niemiec jest zbyt wąskie. </w:t>
            </w:r>
          </w:p>
          <w:p w14:paraId="3D8961F8" w14:textId="30EC1A6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295C7D12"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5C36F03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modyfikacji w tym zakresie. </w:t>
            </w:r>
          </w:p>
          <w:p w14:paraId="7807722C" w14:textId="0DB68F2B" w:rsidR="00F574A2" w:rsidRPr="004F425A" w:rsidRDefault="00F574A2" w:rsidP="004F425A">
            <w:pPr>
              <w:spacing w:after="120" w:line="240" w:lineRule="auto"/>
              <w:rPr>
                <w:rFonts w:ascii="Lato" w:eastAsia="Lato" w:hAnsi="Lato" w:cs="Lato"/>
                <w:sz w:val="20"/>
                <w:szCs w:val="20"/>
              </w:rPr>
            </w:pPr>
          </w:p>
        </w:tc>
      </w:tr>
      <w:tr w:rsidR="004471C5" w:rsidRPr="004F425A" w14:paraId="25B56483" w14:textId="77777777" w:rsidTr="79FF9703">
        <w:tc>
          <w:tcPr>
            <w:tcW w:w="1425" w:type="dxa"/>
            <w:tcBorders>
              <w:top w:val="single" w:sz="4" w:space="0" w:color="auto"/>
              <w:left w:val="single" w:sz="4" w:space="0" w:color="auto"/>
              <w:bottom w:val="single" w:sz="4" w:space="0" w:color="auto"/>
              <w:right w:val="single" w:sz="4" w:space="0" w:color="auto"/>
            </w:tcBorders>
          </w:tcPr>
          <w:p w14:paraId="74AB96EE" w14:textId="5602C955"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67309762" w14:textId="4EE7C10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66F9F1C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Zapytano, czy mikroregion technologiczny Polska-Czechy-Niemcy dotyczy tylko technologii krzemowych.</w:t>
            </w:r>
          </w:p>
          <w:p w14:paraId="6B949349" w14:textId="05D5F7C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kolejnym komentarzu zasugerowano myślenie w kategoriach całej Unii Europejskiej zamiast zawaszącego się do mikroregionu - w różnych krajach UE są różne kompetencje.</w:t>
            </w:r>
          </w:p>
          <w:p w14:paraId="4E2C7393" w14:textId="55E2A35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661E329F"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402C092B" w14:textId="079C2EA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modyfikacji w tym zakresie. </w:t>
            </w:r>
          </w:p>
          <w:p w14:paraId="3ABE8C33" w14:textId="4B98CE38" w:rsidR="00F574A2" w:rsidRPr="004F425A" w:rsidRDefault="00F574A2" w:rsidP="004F425A">
            <w:pPr>
              <w:spacing w:after="120" w:line="240" w:lineRule="auto"/>
              <w:rPr>
                <w:rFonts w:ascii="Lato" w:hAnsi="Lato"/>
                <w:sz w:val="20"/>
                <w:szCs w:val="20"/>
              </w:rPr>
            </w:pPr>
          </w:p>
          <w:p w14:paraId="1A5ABA9A" w14:textId="36703B0B" w:rsidR="00F574A2" w:rsidRPr="004F425A" w:rsidRDefault="00F574A2" w:rsidP="004F425A">
            <w:pPr>
              <w:spacing w:after="120" w:line="240" w:lineRule="auto"/>
              <w:rPr>
                <w:rFonts w:ascii="Lato" w:eastAsia="Lato" w:hAnsi="Lato" w:cs="Lato"/>
                <w:sz w:val="20"/>
                <w:szCs w:val="20"/>
              </w:rPr>
            </w:pPr>
          </w:p>
        </w:tc>
      </w:tr>
      <w:tr w:rsidR="004471C5" w:rsidRPr="004F425A" w14:paraId="7FA942CE" w14:textId="77777777" w:rsidTr="79FF9703">
        <w:tc>
          <w:tcPr>
            <w:tcW w:w="1425" w:type="dxa"/>
            <w:tcBorders>
              <w:top w:val="single" w:sz="4" w:space="0" w:color="auto"/>
              <w:left w:val="single" w:sz="4" w:space="0" w:color="auto"/>
              <w:bottom w:val="single" w:sz="4" w:space="0" w:color="auto"/>
              <w:right w:val="single" w:sz="4" w:space="0" w:color="auto"/>
            </w:tcBorders>
          </w:tcPr>
          <w:p w14:paraId="3506E919" w14:textId="544B8F99"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7B084F17" w14:textId="6E19C39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68F60C34"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Zaproponowano uzupełnienie opisu europejskiego wymiaru współpracy:</w:t>
            </w:r>
          </w:p>
          <w:p w14:paraId="63225E1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Włączenie Litwy, Holandii</w:t>
            </w:r>
            <w:r w:rsidRPr="004F425A">
              <w:rPr>
                <w:rFonts w:ascii="Lato" w:eastAsia="Lato" w:hAnsi="Lato" w:cs="Lato"/>
                <w:strike/>
                <w:sz w:val="20"/>
                <w:szCs w:val="20"/>
                <w:u w:val="single"/>
              </w:rPr>
              <w:t>,</w:t>
            </w:r>
            <w:r w:rsidRPr="004F425A">
              <w:rPr>
                <w:rFonts w:ascii="Lato" w:eastAsia="Lato" w:hAnsi="Lato" w:cs="Lato"/>
                <w:strike/>
                <w:sz w:val="20"/>
                <w:szCs w:val="20"/>
              </w:rPr>
              <w:t> i</w:t>
            </w:r>
            <w:r w:rsidRPr="004F425A">
              <w:rPr>
                <w:rFonts w:ascii="Lato" w:eastAsia="Lato" w:hAnsi="Lato" w:cs="Lato"/>
                <w:sz w:val="20"/>
                <w:szCs w:val="20"/>
              </w:rPr>
              <w:t> Belgii</w:t>
            </w:r>
            <w:r w:rsidRPr="004F425A">
              <w:rPr>
                <w:rFonts w:ascii="Lato" w:eastAsia="Lato" w:hAnsi="Lato" w:cs="Lato"/>
                <w:sz w:val="20"/>
                <w:szCs w:val="20"/>
                <w:u w:val="single"/>
              </w:rPr>
              <w:t> oraz Francji</w:t>
            </w:r>
            <w:r w:rsidRPr="004F425A">
              <w:rPr>
                <w:rFonts w:ascii="Lato" w:eastAsia="Lato" w:hAnsi="Lato" w:cs="Lato"/>
                <w:sz w:val="20"/>
                <w:szCs w:val="20"/>
              </w:rPr>
              <w:t> </w:t>
            </w:r>
          </w:p>
          <w:p w14:paraId="38816C28" w14:textId="053E3DE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Niezależnie od tworzenia mikroregionu należy rozwijać współpracę z komplementarnymi partnerami, np. Holandia (wiodący ekosystem w zakresie litografii, projektowania i fotoniki), Litwą (silny ekosystem laserów i ich zastosowań) czy Belgią (IMEC jako wiodący ośrodek badań nad układami scalonymi i systemami)</w:t>
            </w:r>
            <w:r w:rsidRPr="004F425A">
              <w:rPr>
                <w:rFonts w:ascii="Lato" w:eastAsia="Lato" w:hAnsi="Lato" w:cs="Lato"/>
                <w:sz w:val="20"/>
                <w:szCs w:val="20"/>
                <w:u w:val="single"/>
              </w:rPr>
              <w:t>, a także Francją</w:t>
            </w:r>
            <w:r w:rsidRPr="004F425A">
              <w:rPr>
                <w:rFonts w:ascii="Lato" w:eastAsia="Lato" w:hAnsi="Lato" w:cs="Lato"/>
                <w:sz w:val="20"/>
                <w:szCs w:val="20"/>
              </w:rPr>
              <w:t>. Ich udział nie osłabia rdzenia mikroregionu, </w:t>
            </w:r>
            <w:r w:rsidRPr="004F425A">
              <w:rPr>
                <w:rFonts w:ascii="Lato" w:hAnsi="Lato"/>
                <w:sz w:val="20"/>
                <w:szCs w:val="20"/>
              </w:rPr>
              <w:br/>
            </w:r>
            <w:r w:rsidRPr="004F425A">
              <w:rPr>
                <w:rFonts w:ascii="Lato" w:eastAsia="Lato" w:hAnsi="Lato" w:cs="Lato"/>
                <w:sz w:val="20"/>
                <w:szCs w:val="20"/>
              </w:rPr>
              <w:t>lecz wzmacnia go technologicznie i organizacyjnie. Współpraca powinna koncentrować się na konkretnych tematach, np. fotonika podczerwieni, lasery impulsowe czy integracja optoelektroniki z systemami sztucznej inteligencji.</w:t>
            </w:r>
            <w:r w:rsidRPr="004F425A">
              <w:rPr>
                <w:rFonts w:ascii="Lato" w:eastAsia="Lato" w:hAnsi="Lato" w:cs="Lato"/>
                <w:sz w:val="20"/>
                <w:szCs w:val="20"/>
                <w:u w:val="single"/>
              </w:rPr>
              <w:t> Przykładem synergii przemysłowo-badawczej jest inwestycja ORLEN w rafinerię Możejki na Litwie, która stwarza okazję, aby litewskie firmy laserowe, takie jak Light Conversion czy EKSPLA, w zamian nawiązały współpracę z polskimi przedsiębiorstwami, np. Centrum Doskonałości ENSEMBLE³ jako producentem i dostawcą kryształów do laserów, wspólnie rozwijając zaawansowane systemy laserowe i wzmacniając polski ekosystem materiałów półprzewodnikowych.</w:t>
            </w:r>
          </w:p>
          <w:p w14:paraId="08CF2F4D" w14:textId="781363F9" w:rsidR="00F574A2" w:rsidRPr="004F425A" w:rsidRDefault="00F574A2" w:rsidP="004F425A">
            <w:pPr>
              <w:spacing w:after="120" w:line="240" w:lineRule="auto"/>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65895F84" w14:textId="09D53F02"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622231E7"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dookreślenia w tym zakresie. </w:t>
            </w:r>
          </w:p>
          <w:p w14:paraId="02662B18" w14:textId="6513C293" w:rsidR="00F574A2" w:rsidRPr="004F425A" w:rsidRDefault="00F574A2" w:rsidP="004F425A">
            <w:pPr>
              <w:spacing w:after="120" w:line="240" w:lineRule="auto"/>
              <w:rPr>
                <w:rFonts w:ascii="Lato" w:eastAsia="Lato" w:hAnsi="Lato" w:cs="Lato"/>
                <w:sz w:val="20"/>
                <w:szCs w:val="20"/>
              </w:rPr>
            </w:pPr>
          </w:p>
        </w:tc>
      </w:tr>
      <w:tr w:rsidR="004471C5" w:rsidRPr="004F425A" w14:paraId="410EEBE5" w14:textId="77777777" w:rsidTr="79FF9703">
        <w:tc>
          <w:tcPr>
            <w:tcW w:w="1425" w:type="dxa"/>
            <w:tcBorders>
              <w:top w:val="single" w:sz="4" w:space="0" w:color="auto"/>
              <w:left w:val="single" w:sz="4" w:space="0" w:color="auto"/>
              <w:bottom w:val="single" w:sz="4" w:space="0" w:color="auto"/>
              <w:right w:val="single" w:sz="4" w:space="0" w:color="auto"/>
            </w:tcBorders>
          </w:tcPr>
          <w:p w14:paraId="2D231527" w14:textId="417AB81B"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346DDDA8" w14:textId="3D87BA5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06E608A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Zaproponowano dwa uzupełnienia opisów:</w:t>
            </w:r>
          </w:p>
          <w:p w14:paraId="16FDF507" w14:textId="5B4077F0" w:rsidR="00F574A2" w:rsidRPr="004F425A" w:rsidRDefault="00F574A2" w:rsidP="004F425A">
            <w:pPr>
              <w:pStyle w:val="Akapitzlist"/>
              <w:numPr>
                <w:ilvl w:val="1"/>
                <w:numId w:val="39"/>
              </w:numPr>
              <w:spacing w:after="120" w:line="240" w:lineRule="auto"/>
              <w:contextualSpacing w:val="0"/>
              <w:rPr>
                <w:rFonts w:ascii="Lato" w:eastAsia="Lato" w:hAnsi="Lato" w:cs="Lato"/>
                <w:sz w:val="20"/>
                <w:szCs w:val="20"/>
              </w:rPr>
            </w:pPr>
            <w:r w:rsidRPr="004F425A">
              <w:rPr>
                <w:rFonts w:ascii="Lato" w:eastAsia="Lato" w:hAnsi="Lato" w:cs="Lato"/>
                <w:sz w:val="20"/>
                <w:szCs w:val="20"/>
              </w:rPr>
              <w:t>EUROPEJSKI WYMIAR WSPÓŁPRACY</w:t>
            </w:r>
            <w:r w:rsidRPr="004F425A">
              <w:rPr>
                <w:rFonts w:ascii="Lato" w:hAnsi="Lato"/>
                <w:sz w:val="20"/>
                <w:szCs w:val="20"/>
              </w:rPr>
              <w:br/>
            </w:r>
            <w:r w:rsidRPr="004F425A">
              <w:rPr>
                <w:rFonts w:ascii="Lato" w:eastAsia="Lato" w:hAnsi="Lato" w:cs="Lato"/>
                <w:sz w:val="20"/>
                <w:szCs w:val="20"/>
              </w:rPr>
              <w:t>[…] Uzupełnieniem tych partnerstw powinna być aktywna obecność Polski w europejskich mechanizmach współpracy: takich jak Chips JU, </w:t>
            </w:r>
            <w:r w:rsidRPr="004F425A">
              <w:rPr>
                <w:rFonts w:ascii="Lato" w:eastAsia="Lato" w:hAnsi="Lato" w:cs="Lato"/>
                <w:sz w:val="20"/>
                <w:szCs w:val="20"/>
                <w:u w:val="single"/>
              </w:rPr>
              <w:t>IPCEI AST, </w:t>
            </w:r>
            <w:r w:rsidRPr="004F425A">
              <w:rPr>
                <w:rFonts w:ascii="Lato" w:eastAsia="Lato" w:hAnsi="Lato" w:cs="Lato"/>
                <w:sz w:val="20"/>
                <w:szCs w:val="20"/>
              </w:rPr>
              <w:t>ChipsAcademy czy Europejska Rada Półprzewodników. […]</w:t>
            </w:r>
          </w:p>
          <w:p w14:paraId="3651FC38" w14:textId="68CF69D2" w:rsidR="00F574A2" w:rsidRPr="004F425A" w:rsidRDefault="00F574A2" w:rsidP="004F425A">
            <w:pPr>
              <w:pStyle w:val="Akapitzlist"/>
              <w:numPr>
                <w:ilvl w:val="1"/>
                <w:numId w:val="39"/>
              </w:numPr>
              <w:spacing w:after="120" w:line="240" w:lineRule="auto"/>
              <w:contextualSpacing w:val="0"/>
              <w:rPr>
                <w:rFonts w:ascii="Lato" w:eastAsia="Lato" w:hAnsi="Lato" w:cs="Lato"/>
                <w:sz w:val="20"/>
                <w:szCs w:val="20"/>
              </w:rPr>
            </w:pPr>
            <w:r w:rsidRPr="004F425A">
              <w:rPr>
                <w:rFonts w:ascii="Lato" w:eastAsia="Lato" w:hAnsi="Lato" w:cs="Lato"/>
                <w:sz w:val="20"/>
                <w:szCs w:val="20"/>
              </w:rPr>
              <w:t>FOTONIKA JAKO SPECJALIZACJA GLOBALNA</w:t>
            </w:r>
          </w:p>
          <w:p w14:paraId="551CCBF7" w14:textId="7BDC3DB0" w:rsidR="00F574A2" w:rsidRPr="004F425A" w:rsidRDefault="00F574A2" w:rsidP="004F425A">
            <w:pPr>
              <w:pStyle w:val="Akapitzlist"/>
              <w:spacing w:after="120" w:line="240" w:lineRule="auto"/>
              <w:ind w:left="1440"/>
              <w:contextualSpacing w:val="0"/>
              <w:rPr>
                <w:rFonts w:ascii="Lato" w:eastAsia="Lato" w:hAnsi="Lato" w:cs="Lato"/>
                <w:sz w:val="20"/>
                <w:szCs w:val="20"/>
              </w:rPr>
            </w:pPr>
            <w:r w:rsidRPr="004F425A">
              <w:rPr>
                <w:rFonts w:ascii="Lato" w:eastAsia="Lato" w:hAnsi="Lato" w:cs="Lato"/>
                <w:sz w:val="20"/>
                <w:szCs w:val="20"/>
              </w:rPr>
              <w:t>Udział w projektach o znaczeniu europejskim, takich jak IPCEI HyperPIC</w:t>
            </w:r>
            <w:r w:rsidRPr="004F425A">
              <w:rPr>
                <w:rFonts w:ascii="Lato" w:eastAsia="Lato" w:hAnsi="Lato" w:cs="Lato"/>
                <w:sz w:val="20"/>
                <w:szCs w:val="20"/>
                <w:u w:val="single"/>
              </w:rPr>
              <w:t>,</w:t>
            </w:r>
            <w:r w:rsidRPr="004F425A">
              <w:rPr>
                <w:rFonts w:ascii="Lato" w:eastAsia="Lato" w:hAnsi="Lato" w:cs="Lato"/>
                <w:sz w:val="20"/>
                <w:szCs w:val="20"/>
              </w:rPr>
              <w:t> </w:t>
            </w:r>
            <w:r w:rsidRPr="004F425A">
              <w:rPr>
                <w:rFonts w:ascii="Lato" w:eastAsia="Lato" w:hAnsi="Lato" w:cs="Lato"/>
                <w:strike/>
                <w:sz w:val="20"/>
                <w:szCs w:val="20"/>
              </w:rPr>
              <w:t>czy</w:t>
            </w:r>
            <w:r w:rsidRPr="004F425A">
              <w:rPr>
                <w:rFonts w:ascii="Lato" w:eastAsia="Lato" w:hAnsi="Lato" w:cs="Lato"/>
                <w:sz w:val="20"/>
                <w:szCs w:val="20"/>
              </w:rPr>
              <w:t> linia pilotażowa PIXEurope,</w:t>
            </w:r>
            <w:r w:rsidRPr="004F425A">
              <w:rPr>
                <w:rFonts w:ascii="Lato" w:eastAsia="Lato" w:hAnsi="Lato" w:cs="Lato"/>
                <w:sz w:val="20"/>
                <w:szCs w:val="20"/>
                <w:u w:val="single"/>
              </w:rPr>
              <w:t> czy ECOSYSTEM,</w:t>
            </w:r>
            <w:r w:rsidRPr="004F425A">
              <w:rPr>
                <w:rFonts w:ascii="Lato" w:eastAsia="Lato" w:hAnsi="Lato" w:cs="Lato"/>
                <w:sz w:val="20"/>
                <w:szCs w:val="20"/>
              </w:rPr>
              <w:t> potwierdza zdolność krajowych podmiotów do odgrywania roli koordynatorów złożonych przedsięwzięć i współtwórców kluczowych technologii. </w:t>
            </w:r>
          </w:p>
          <w:p w14:paraId="75DD4501" w14:textId="611F955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2B47290C" w14:textId="0D9B57C0"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17A71771" w14:textId="1B821F9E" w:rsidR="00F574A2" w:rsidRPr="004F425A" w:rsidRDefault="00F574A2" w:rsidP="004F425A">
            <w:pPr>
              <w:spacing w:after="120" w:line="240" w:lineRule="auto"/>
              <w:rPr>
                <w:rFonts w:ascii="Lato" w:hAnsi="Lato"/>
                <w:sz w:val="20"/>
                <w:szCs w:val="20"/>
              </w:rPr>
            </w:pPr>
            <w:r w:rsidRPr="004F425A">
              <w:rPr>
                <w:rFonts w:ascii="Lato" w:eastAsia="Lato" w:hAnsi="Lato" w:cs="Lato"/>
                <w:sz w:val="20"/>
                <w:szCs w:val="20"/>
              </w:rPr>
              <w:t>Dokument został doprecyzowany zgodnie z propozycją PPTF.</w:t>
            </w:r>
          </w:p>
          <w:p w14:paraId="44AD2270" w14:textId="6D7CF4E0" w:rsidR="00F574A2" w:rsidRPr="004F425A" w:rsidRDefault="00F574A2" w:rsidP="004F425A">
            <w:pPr>
              <w:spacing w:after="120" w:line="240" w:lineRule="auto"/>
              <w:rPr>
                <w:rFonts w:ascii="Lato" w:eastAsia="Lato" w:hAnsi="Lato" w:cs="Lato"/>
                <w:sz w:val="20"/>
                <w:szCs w:val="20"/>
              </w:rPr>
            </w:pPr>
          </w:p>
        </w:tc>
      </w:tr>
      <w:tr w:rsidR="004471C5" w:rsidRPr="004F425A" w14:paraId="199763C5" w14:textId="77777777" w:rsidTr="79FF9703">
        <w:tc>
          <w:tcPr>
            <w:tcW w:w="1425" w:type="dxa"/>
            <w:tcBorders>
              <w:top w:val="single" w:sz="4" w:space="0" w:color="auto"/>
              <w:left w:val="single" w:sz="4" w:space="0" w:color="auto"/>
              <w:bottom w:val="single" w:sz="4" w:space="0" w:color="auto"/>
              <w:right w:val="single" w:sz="4" w:space="0" w:color="auto"/>
            </w:tcBorders>
          </w:tcPr>
          <w:p w14:paraId="6A2EFA39"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8012BA9" w14:textId="02630C6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7D921B0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Zaproponowano uzupełnienie:</w:t>
            </w:r>
          </w:p>
          <w:p w14:paraId="52B53759"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Polskie instytucje badawcze, przykładowo CEZAMAT PW, Łukasiewicz-IMiF</w:t>
            </w:r>
            <w:r w:rsidRPr="004F425A">
              <w:rPr>
                <w:rFonts w:ascii="Lato" w:eastAsia="Lato" w:hAnsi="Lato" w:cs="Lato"/>
                <w:sz w:val="20"/>
                <w:szCs w:val="20"/>
                <w:u w:val="single"/>
              </w:rPr>
              <w:t>, Ensemble</w:t>
            </w:r>
            <w:r w:rsidRPr="004F425A">
              <w:rPr>
                <w:rFonts w:ascii="Lato" w:eastAsia="Lato" w:hAnsi="Lato" w:cs="Lato"/>
                <w:sz w:val="20"/>
                <w:szCs w:val="20"/>
                <w:u w:val="single"/>
                <w:vertAlign w:val="superscript"/>
              </w:rPr>
              <w:t>3</w:t>
            </w:r>
            <w:r w:rsidRPr="004F425A">
              <w:rPr>
                <w:rFonts w:ascii="Lato" w:eastAsia="Lato" w:hAnsi="Lato" w:cs="Lato"/>
                <w:sz w:val="20"/>
                <w:szCs w:val="20"/>
              </w:rPr>
              <w:t> czy IWC-PAN mają już doświadczenie we współpracy z partnerami z Tajwanu. Tego rodzaju relacje należy przekładać na trwałe partnerstwa i udział we projektach współpracy badawczej lub edukacyjnej.  </w:t>
            </w:r>
          </w:p>
          <w:p w14:paraId="1FF4B515" w14:textId="042D0CA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434FFAD0" w14:textId="3CFADE01"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060FCFDA" w14:textId="07C06E2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ocenie MC z uwagi na strategiczny i ogólny charakter dokumentu nie wymaga on dookreślenia w tym zakresie. </w:t>
            </w:r>
          </w:p>
          <w:p w14:paraId="53EE0F57" w14:textId="203399B5" w:rsidR="00F574A2" w:rsidRPr="004F425A" w:rsidRDefault="00F574A2" w:rsidP="004F425A">
            <w:pPr>
              <w:spacing w:after="120" w:line="240" w:lineRule="auto"/>
              <w:rPr>
                <w:rFonts w:ascii="Lato" w:eastAsia="Lato" w:hAnsi="Lato" w:cs="Lato"/>
                <w:sz w:val="20"/>
                <w:szCs w:val="20"/>
              </w:rPr>
            </w:pPr>
          </w:p>
        </w:tc>
      </w:tr>
      <w:tr w:rsidR="004471C5" w:rsidRPr="004F425A" w14:paraId="75FD103E" w14:textId="77777777" w:rsidTr="79FF9703">
        <w:tc>
          <w:tcPr>
            <w:tcW w:w="1425" w:type="dxa"/>
            <w:tcBorders>
              <w:top w:val="single" w:sz="4" w:space="0" w:color="auto"/>
              <w:left w:val="single" w:sz="4" w:space="0" w:color="auto"/>
              <w:bottom w:val="single" w:sz="4" w:space="0" w:color="auto"/>
              <w:right w:val="single" w:sz="4" w:space="0" w:color="auto"/>
            </w:tcBorders>
          </w:tcPr>
          <w:p w14:paraId="09D08028" w14:textId="49A37D1B"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58C35C0E" w14:textId="3CF804E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6A02D20E" w14:textId="71694B7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Zaproponowano uzupełnienie:</w:t>
            </w:r>
          </w:p>
          <w:p w14:paraId="3DAC2E89" w14:textId="150AF80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kontekście zwiększenia dostępności i skuteczności instrumentów wsparcia istotne byłoby także wdrożenie szybkiej ścieżki rozpatrywania wniosków o pomoc publiczną dla projektów półprzewodnikowych, poprzez powołanie dedykowanego zespołu ds. notyfikacji oraz uzgodnienie przyspieszonej procedury dla inwestycji strategicznych. Celem jest skrócenie czasu oczekiwania na decyzje (obecnie nawet 10-24 miesięcy) i zwiększenie przewidywalności procesów administracyjnych. </w:t>
            </w:r>
            <w:r w:rsidRPr="004F425A">
              <w:rPr>
                <w:rFonts w:ascii="Lato" w:eastAsia="Lato" w:hAnsi="Lato" w:cs="Lato"/>
                <w:sz w:val="20"/>
                <w:szCs w:val="20"/>
                <w:u w:val="single"/>
              </w:rPr>
              <w:t>Istotne jest również wzięcie pod uwagę faktu, że firmom z dużych miast np. Warszawa bardzo trudno uzyskać dofinansowanie na wysokim poziomie. Jak również spin-offy czy start-upy, których właścicielem większościowym jest instytucja typu instytut czy uczelnia, są traktowane jako duże przedsiębiorstwa co w praktyce uniemożliwia bezpieczne korzystanie z funduszy strukturalnych. Tego typu przeszkody powinny być pilnie zdiagnozowane oraz powinny zostać wdrożone rozwiązania gwarantujące bezpieczny rozwój.</w:t>
            </w:r>
            <w:r w:rsidRPr="004F425A">
              <w:rPr>
                <w:rFonts w:ascii="Lato" w:eastAsia="Lato" w:hAnsi="Lato" w:cs="Lato"/>
                <w:sz w:val="20"/>
                <w:szCs w:val="20"/>
              </w:rPr>
              <w:t> </w:t>
            </w:r>
          </w:p>
          <w:p w14:paraId="59AF6B10" w14:textId="0D2B783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537861DA" w14:textId="333405E2"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33ED9D35" w14:textId="77777777" w:rsidR="00F574A2" w:rsidRPr="004F425A" w:rsidRDefault="00F574A2" w:rsidP="004F425A">
            <w:pPr>
              <w:spacing w:after="120" w:line="240" w:lineRule="auto"/>
              <w:rPr>
                <w:rFonts w:ascii="Lato" w:hAnsi="Lato"/>
                <w:sz w:val="20"/>
                <w:szCs w:val="20"/>
              </w:rPr>
            </w:pPr>
            <w:r w:rsidRPr="004F425A">
              <w:rPr>
                <w:rFonts w:ascii="Lato" w:eastAsia="Lato" w:hAnsi="Lato" w:cs="Lato"/>
                <w:sz w:val="20"/>
                <w:szCs w:val="20"/>
              </w:rPr>
              <w:t>Postulat dotyczy zagadnień wykraczających poza poziom ogólności dokumentu strategicznego. Właściwym miejscem jego uwzględnienia są akty wykonawcze i dokumenty wdrożeniowe.</w:t>
            </w:r>
          </w:p>
          <w:p w14:paraId="39AB26D2" w14:textId="6AB76F56" w:rsidR="00F574A2" w:rsidRPr="004F425A" w:rsidRDefault="00F574A2" w:rsidP="004F425A">
            <w:pPr>
              <w:spacing w:after="120" w:line="240" w:lineRule="auto"/>
              <w:rPr>
                <w:rFonts w:ascii="Lato" w:eastAsia="Lato" w:hAnsi="Lato" w:cs="Lato"/>
                <w:sz w:val="20"/>
                <w:szCs w:val="20"/>
              </w:rPr>
            </w:pPr>
          </w:p>
        </w:tc>
      </w:tr>
      <w:tr w:rsidR="004471C5" w:rsidRPr="004F425A" w14:paraId="552083A0" w14:textId="77777777" w:rsidTr="79FF9703">
        <w:tc>
          <w:tcPr>
            <w:tcW w:w="1425" w:type="dxa"/>
            <w:tcBorders>
              <w:top w:val="single" w:sz="4" w:space="0" w:color="auto"/>
              <w:left w:val="single" w:sz="4" w:space="0" w:color="auto"/>
              <w:bottom w:val="single" w:sz="4" w:space="0" w:color="auto"/>
              <w:right w:val="single" w:sz="4" w:space="0" w:color="auto"/>
            </w:tcBorders>
          </w:tcPr>
          <w:p w14:paraId="6C7ECAC8"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663340E" w14:textId="6CB87A4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7EF60D29"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Zaproponowano uzupełnienie: </w:t>
            </w:r>
          </w:p>
          <w:p w14:paraId="69C8605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Program powinien również premiować modele partnerstw - w tym spółki z kapitałem mieszanym (z ang. joint ventures) - w których uczestniczy polska firma. Obecność krajowego partnera powinna stanowić warunek preferencyjny lub obowiązkowy w przypadku ubiegania się o wsparcie, analogicznie jak dziś obecność partnera naukowego. Celem jest zwiększenie lokalnej wartości dodanej, rozwój kompetencji oraz zapewnienie trwałości efektów inwestycji.</w:t>
            </w:r>
            <w:r w:rsidRPr="004F425A">
              <w:rPr>
                <w:rFonts w:ascii="Lato" w:eastAsia="Lato" w:hAnsi="Lato" w:cs="Lato"/>
                <w:sz w:val="20"/>
                <w:szCs w:val="20"/>
                <w:u w:val="single"/>
              </w:rPr>
              <w:t> Program powinien również premiować udział polskich instytucji badawczych w projektach.</w:t>
            </w:r>
            <w:r w:rsidRPr="004F425A">
              <w:rPr>
                <w:rFonts w:ascii="Lato" w:eastAsia="Lato" w:hAnsi="Lato" w:cs="Lato"/>
                <w:sz w:val="20"/>
                <w:szCs w:val="20"/>
              </w:rPr>
              <w:t> </w:t>
            </w:r>
          </w:p>
          <w:p w14:paraId="36D0D727" w14:textId="45E3DD69" w:rsidR="00F574A2" w:rsidRPr="004F425A" w:rsidRDefault="00F574A2" w:rsidP="004F425A">
            <w:pPr>
              <w:numPr>
                <w:ilvl w:val="0"/>
                <w:numId w:val="40"/>
              </w:numPr>
              <w:spacing w:after="120" w:line="240" w:lineRule="auto"/>
              <w:rPr>
                <w:rFonts w:ascii="Lato" w:eastAsia="Lato" w:hAnsi="Lato" w:cs="Lato"/>
                <w:sz w:val="20"/>
                <w:szCs w:val="20"/>
              </w:rPr>
            </w:pPr>
            <w:r w:rsidRPr="004F425A">
              <w:rPr>
                <w:rFonts w:ascii="Lato" w:eastAsia="Lato" w:hAnsi="Lato" w:cs="Lato"/>
                <w:sz w:val="20"/>
                <w:szCs w:val="20"/>
              </w:rPr>
              <w:t>Za podstawowy cel na najbliższe lata należy uznać przyciągnięcie do końca 2030 roku 2-3 inwestycji przemysłowych, w szczególności w obszarach takich jak back-end produkcji półprzewodników lub </w:t>
            </w:r>
            <w:r w:rsidRPr="004F425A">
              <w:rPr>
                <w:rFonts w:ascii="Lato" w:eastAsia="Lato" w:hAnsi="Lato" w:cs="Lato"/>
                <w:strike/>
                <w:sz w:val="20"/>
                <w:szCs w:val="20"/>
              </w:rPr>
              <w:t>materiały</w:t>
            </w:r>
            <w:r w:rsidRPr="004F425A">
              <w:rPr>
                <w:rFonts w:ascii="Lato" w:eastAsia="Lato" w:hAnsi="Lato" w:cs="Lato"/>
                <w:sz w:val="20"/>
                <w:szCs w:val="20"/>
              </w:rPr>
              <w:t xml:space="preserve"> </w:t>
            </w:r>
            <w:r w:rsidRPr="004F425A">
              <w:rPr>
                <w:rFonts w:ascii="Lato" w:eastAsia="Lato" w:hAnsi="Lato" w:cs="Lato"/>
                <w:sz w:val="20"/>
                <w:szCs w:val="20"/>
                <w:u w:val="single"/>
              </w:rPr>
              <w:t>produkcji materiałów półprzewodnikowych w tym kryształów i podłoży</w:t>
            </w:r>
            <w:r w:rsidRPr="004F425A">
              <w:rPr>
                <w:rFonts w:ascii="Lato" w:eastAsia="Lato" w:hAnsi="Lato" w:cs="Lato"/>
                <w:sz w:val="20"/>
                <w:szCs w:val="20"/>
              </w:rPr>
              <w:t>, o wartości dodanej rzędu 300-600 mln euro każda, przy jednoczesnym wzmocnieniu krajowego ekosystemu przedsiębiorstw, w tym firm działających w modelu fabless. </w:t>
            </w:r>
          </w:p>
        </w:tc>
        <w:tc>
          <w:tcPr>
            <w:tcW w:w="4859" w:type="dxa"/>
            <w:tcBorders>
              <w:top w:val="single" w:sz="4" w:space="0" w:color="auto"/>
              <w:left w:val="single" w:sz="4" w:space="0" w:color="auto"/>
              <w:bottom w:val="single" w:sz="4" w:space="0" w:color="auto"/>
              <w:right w:val="single" w:sz="4" w:space="0" w:color="auto"/>
            </w:tcBorders>
          </w:tcPr>
          <w:p w14:paraId="1F2E0675" w14:textId="66F1235F"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7E798EC1" w14:textId="77777777" w:rsidR="00F574A2" w:rsidRPr="004F425A" w:rsidRDefault="00F574A2" w:rsidP="004F425A">
            <w:pPr>
              <w:spacing w:after="120" w:line="240" w:lineRule="auto"/>
              <w:rPr>
                <w:rFonts w:ascii="Lato" w:hAnsi="Lato"/>
                <w:sz w:val="20"/>
                <w:szCs w:val="20"/>
              </w:rPr>
            </w:pPr>
            <w:r w:rsidRPr="004F425A">
              <w:rPr>
                <w:rFonts w:ascii="Lato" w:eastAsia="Lato" w:hAnsi="Lato" w:cs="Lato"/>
                <w:sz w:val="20"/>
                <w:szCs w:val="20"/>
              </w:rPr>
              <w:t>Postulat dotyczy zagadnień wykraczających poza poziom ogólności dokumentu strategicznego. Właściwym miejscem jego uwzględnienia są akty wykonawcze i dokumenty wdrożeniowe.</w:t>
            </w:r>
          </w:p>
          <w:p w14:paraId="020FAD71" w14:textId="0686BDB3" w:rsidR="00F574A2" w:rsidRPr="004F425A" w:rsidRDefault="00F574A2" w:rsidP="004F425A">
            <w:pPr>
              <w:spacing w:after="120" w:line="240" w:lineRule="auto"/>
              <w:rPr>
                <w:rFonts w:ascii="Lato" w:eastAsia="Lato" w:hAnsi="Lato" w:cs="Lato"/>
                <w:sz w:val="20"/>
                <w:szCs w:val="20"/>
              </w:rPr>
            </w:pPr>
          </w:p>
          <w:p w14:paraId="04DAB363" w14:textId="2667E7F8" w:rsidR="00F574A2" w:rsidRPr="004F425A" w:rsidRDefault="00F574A2" w:rsidP="004F425A">
            <w:pPr>
              <w:spacing w:after="120" w:line="240" w:lineRule="auto"/>
              <w:rPr>
                <w:rFonts w:ascii="Lato" w:eastAsia="Lato" w:hAnsi="Lato" w:cs="Lato"/>
                <w:sz w:val="20"/>
                <w:szCs w:val="20"/>
              </w:rPr>
            </w:pPr>
          </w:p>
        </w:tc>
      </w:tr>
      <w:tr w:rsidR="004471C5" w:rsidRPr="004F425A" w14:paraId="76E2A086" w14:textId="77777777" w:rsidTr="79FF9703">
        <w:tc>
          <w:tcPr>
            <w:tcW w:w="1425" w:type="dxa"/>
            <w:tcBorders>
              <w:top w:val="single" w:sz="4" w:space="0" w:color="auto"/>
              <w:left w:val="single" w:sz="4" w:space="0" w:color="auto"/>
              <w:bottom w:val="single" w:sz="4" w:space="0" w:color="auto"/>
              <w:right w:val="single" w:sz="4" w:space="0" w:color="auto"/>
            </w:tcBorders>
          </w:tcPr>
          <w:p w14:paraId="681B0896"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42B8523" w14:textId="1BEFA06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35077912"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Zaproponowano uzupełnienie:</w:t>
            </w:r>
          </w:p>
          <w:p w14:paraId="749F8187" w14:textId="4B76D9B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zdobywa już doświadczenie jako lider projektu IPCEI HyperPIC, co potwierdza,  </w:t>
            </w:r>
            <w:r w:rsidRPr="004F425A">
              <w:rPr>
                <w:rFonts w:ascii="Lato" w:hAnsi="Lato"/>
                <w:sz w:val="20"/>
                <w:szCs w:val="20"/>
              </w:rPr>
              <w:br/>
            </w:r>
            <w:r w:rsidRPr="004F425A">
              <w:rPr>
                <w:rFonts w:ascii="Lato" w:eastAsia="Lato" w:hAnsi="Lato" w:cs="Lato"/>
                <w:sz w:val="20"/>
                <w:szCs w:val="20"/>
              </w:rPr>
              <w:t>że krajowe firmy mogą skutecznie uczestniczyć w złożonych inicjatywach o zasięgu ponadnarodowym. Dotychczasowe doświadczenia wskazują jednak na szereg barier, w tym wielostopniowy proces aplikacyjny wymagający licznych przeglądów i walidacji oraz ograniczony udział MŚP.</w:t>
            </w:r>
            <w:r w:rsidRPr="004F425A">
              <w:rPr>
                <w:rFonts w:ascii="Lato" w:eastAsia="Lato" w:hAnsi="Lato" w:cs="Lato"/>
                <w:sz w:val="20"/>
                <w:szCs w:val="20"/>
                <w:u w:val="single"/>
              </w:rPr>
              <w:t> Widać niezbędną potrzebę ułatwienia polskim podmiotom na bezpieczne uzyskiwanie wkładu własnego do tego typu projektów, jak również dostosowanie krajowych reguł w celu ułatwienia realizacji tak dużych projektów. Dodatkowo tego typu projekty jak IPCEI często rozciągające się na szereg lat (np. 7) wymagają często łączonego finansowania z różnych źródeł, które powinno być zapewnione w sposób bezpieczny i umożliwiający realizację tego typu projektów.</w:t>
            </w:r>
            <w:r w:rsidRPr="004F425A">
              <w:rPr>
                <w:rFonts w:ascii="Lato" w:eastAsia="Lato" w:hAnsi="Lato" w:cs="Lato"/>
                <w:sz w:val="20"/>
                <w:szCs w:val="20"/>
              </w:rPr>
              <w:t> </w:t>
            </w:r>
          </w:p>
        </w:tc>
        <w:tc>
          <w:tcPr>
            <w:tcW w:w="4859" w:type="dxa"/>
            <w:tcBorders>
              <w:top w:val="single" w:sz="4" w:space="0" w:color="auto"/>
              <w:left w:val="single" w:sz="4" w:space="0" w:color="auto"/>
              <w:bottom w:val="single" w:sz="4" w:space="0" w:color="auto"/>
              <w:right w:val="single" w:sz="4" w:space="0" w:color="auto"/>
            </w:tcBorders>
          </w:tcPr>
          <w:p w14:paraId="511E53CE"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częściowo uwzględniona. </w:t>
            </w:r>
          </w:p>
          <w:p w14:paraId="4C035FF2" w14:textId="0196E829" w:rsidR="00F574A2" w:rsidRPr="004F425A" w:rsidRDefault="00F574A2" w:rsidP="004F425A">
            <w:pPr>
              <w:spacing w:after="120" w:line="240" w:lineRule="auto"/>
              <w:jc w:val="both"/>
              <w:rPr>
                <w:rFonts w:ascii="Lato" w:eastAsia="Yu Gothic Light" w:hAnsi="Lato" w:cs="Arial"/>
                <w:spacing w:val="-10"/>
                <w:kern w:val="28"/>
                <w:sz w:val="20"/>
                <w:szCs w:val="20"/>
              </w:rPr>
            </w:pPr>
            <w:r w:rsidRPr="004F425A">
              <w:rPr>
                <w:rFonts w:ascii="Lato" w:eastAsia="Lato" w:hAnsi="Lato" w:cs="Lato"/>
                <w:sz w:val="20"/>
                <w:szCs w:val="20"/>
              </w:rPr>
              <w:t>W dokumencie zawarto doprecyzowanie dotyczące  rozważenia wprowadzenia mechanizmów ułatwiających polskim podmiotom uzyskiwanie wkładu własnego do tego typu projektów, jak również dostosowanie krajowych reguł w celu ułatwienia ich realizacji.</w:t>
            </w:r>
            <w:r w:rsidRPr="004F425A">
              <w:rPr>
                <w:rFonts w:ascii="Lato" w:eastAsia="Yu Gothic Light" w:hAnsi="Lato" w:cs="Arial"/>
                <w:sz w:val="20"/>
                <w:szCs w:val="20"/>
                <w:u w:val="single"/>
              </w:rPr>
              <w:t xml:space="preserve"> </w:t>
            </w:r>
          </w:p>
          <w:p w14:paraId="263914E0" w14:textId="6C282C4A" w:rsidR="00F574A2" w:rsidRPr="004F425A" w:rsidRDefault="00F574A2" w:rsidP="004F425A">
            <w:pPr>
              <w:spacing w:after="120" w:line="240" w:lineRule="auto"/>
              <w:rPr>
                <w:rFonts w:ascii="Lato" w:eastAsia="Lato" w:hAnsi="Lato" w:cs="Lato"/>
                <w:sz w:val="20"/>
                <w:szCs w:val="20"/>
              </w:rPr>
            </w:pPr>
          </w:p>
        </w:tc>
      </w:tr>
      <w:tr w:rsidR="004471C5" w:rsidRPr="004F425A" w14:paraId="6836BD37" w14:textId="77777777" w:rsidTr="79FF9703">
        <w:tc>
          <w:tcPr>
            <w:tcW w:w="1425" w:type="dxa"/>
            <w:tcBorders>
              <w:top w:val="single" w:sz="4" w:space="0" w:color="auto"/>
              <w:left w:val="single" w:sz="4" w:space="0" w:color="auto"/>
              <w:bottom w:val="single" w:sz="4" w:space="0" w:color="auto"/>
              <w:right w:val="single" w:sz="4" w:space="0" w:color="auto"/>
            </w:tcBorders>
          </w:tcPr>
          <w:p w14:paraId="78DD8975" w14:textId="53B04B38"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290C0480" w14:textId="6B42005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644B73F3"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Wskazano, że liczba studentów półprzewodników jest już wyższa niż zapotrzebowanie rynku krajowego i część absolwentów wyjeżdża. Bez rozwiniętego ekosystemu (firm, startupów, linii produkcyjnych) nacisk na kształcenie spowoduje zalanie rynku ludzi bez perspektyw. </w:t>
            </w:r>
          </w:p>
          <w:p w14:paraId="4D156197" w14:textId="3DAC14E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4F8F3926" w14:textId="49A44C40"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częściowo uwzględniona.</w:t>
            </w:r>
          </w:p>
          <w:p w14:paraId="484DB572" w14:textId="689C6CB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MC dostrzega ryzyko niedopasowania podaży i popytu na kadry, ale ocenia, że rozwój ekosystemu (linie pilotażowe, park technologiczny, impuls popytowy) jest planowany równolegle; kwestia będzie monitorowana wskaźnikiem zatrudnienia w branży.</w:t>
            </w:r>
          </w:p>
        </w:tc>
      </w:tr>
      <w:tr w:rsidR="004471C5" w:rsidRPr="004F425A" w14:paraId="30C6868A" w14:textId="77777777" w:rsidTr="79FF9703">
        <w:tc>
          <w:tcPr>
            <w:tcW w:w="1425" w:type="dxa"/>
            <w:tcBorders>
              <w:top w:val="single" w:sz="4" w:space="0" w:color="auto"/>
              <w:left w:val="single" w:sz="4" w:space="0" w:color="auto"/>
              <w:bottom w:val="single" w:sz="4" w:space="0" w:color="auto"/>
              <w:right w:val="single" w:sz="4" w:space="0" w:color="auto"/>
            </w:tcBorders>
          </w:tcPr>
          <w:p w14:paraId="5329E963" w14:textId="0FC0A071"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27CD2A38" w14:textId="4F26488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22230050" w14:textId="5D8DD4B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Zaproponowano uzupełnienia:</w:t>
            </w:r>
          </w:p>
          <w:p w14:paraId="0E1C00B3"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Dostęp do wysokiej jakości materiałów i surowców, takich jak krzem, gal, german, ind, </w:t>
            </w:r>
            <w:r w:rsidRPr="004F425A">
              <w:rPr>
                <w:rFonts w:ascii="Lato" w:eastAsia="Lato" w:hAnsi="Lato" w:cs="Lato"/>
                <w:strike/>
                <w:sz w:val="20"/>
                <w:szCs w:val="20"/>
              </w:rPr>
              <w:t>metale ziem rzadkich, a także specjalistyczne substraty (np. fosforek indu, antymonek galu, węglik krzemu, azotek galu), jest warunkiem rozwoju nowoczesnych technologii półprzewodnikowych</w:t>
            </w:r>
            <w:r w:rsidRPr="004F425A">
              <w:rPr>
                <w:rFonts w:ascii="Lato" w:eastAsia="Lato" w:hAnsi="Lato" w:cs="Lato"/>
                <w:sz w:val="20"/>
                <w:szCs w:val="20"/>
                <w:u w:val="single"/>
              </w:rPr>
              <w:t> antymon, metale ziem rzadkich, a także specjalistyczne podłoża (np. fosforek indu, antymonek galu, fosforek galu, węglik krzemu, azotek galu), jest warunkiem rozwoju nowoczesnych technologii półprzewodnikowych. Polska posiada jedyną firmę w EU o zdolnościach wytwarzania podłoży z GaSb czy GaP. Jak również obok firmy Freiberger w Niemczech Polska posiada know-how wytwarzania podłoży fosforku indu i w efekcie znaczących zmian w sytuacji geopolitycznej Polska może w przyszłości pełnić ważną rolę w łańcuchu dostaw, dostarczania tego typu podłoży do Europejskich firm</w:t>
            </w:r>
            <w:r w:rsidRPr="004F425A">
              <w:rPr>
                <w:rFonts w:ascii="Lato" w:eastAsia="Lato" w:hAnsi="Lato" w:cs="Lato"/>
                <w:sz w:val="20"/>
                <w:szCs w:val="20"/>
              </w:rPr>
              <w:t>. Polska jako jedyny kraj w UE rozwijający natywne podłoża GaN (dla docelowej architektury przyrządów GaN-on-GaN), powinna wykorzystać tę pozycję do budowy niszowej przewagi w dziedzinach wymagających najwyższej jakości parametrów strukturalnych.  </w:t>
            </w:r>
          </w:p>
          <w:p w14:paraId="146A8AE9" w14:textId="637EB47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p>
          <w:p w14:paraId="58858766" w14:textId="46E2E7C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powinna rozwijać zdolności do odzysku i przetwarzania surowców  </w:t>
            </w:r>
            <w:r w:rsidRPr="004F425A">
              <w:rPr>
                <w:rFonts w:ascii="Lato" w:hAnsi="Lato"/>
                <w:sz w:val="20"/>
                <w:szCs w:val="20"/>
              </w:rPr>
              <w:br/>
            </w:r>
            <w:r w:rsidRPr="004F425A">
              <w:rPr>
                <w:rFonts w:ascii="Lato" w:eastAsia="Lato" w:hAnsi="Lato" w:cs="Lato"/>
                <w:sz w:val="20"/>
                <w:szCs w:val="20"/>
              </w:rPr>
              <w:t>dla przemysłu półprzewodnikowego w oparciu o istniejący potencjał przemysłowy Śląska i kompetencje naukowe instytucji takich jak CEZAMAT PW, Łukasiewicz-IMiF,</w:t>
            </w:r>
            <w:r w:rsidRPr="004F425A">
              <w:rPr>
                <w:rFonts w:ascii="Lato" w:eastAsia="Lato" w:hAnsi="Lato" w:cs="Lato"/>
                <w:sz w:val="20"/>
                <w:szCs w:val="20"/>
                <w:u w:val="single"/>
              </w:rPr>
              <w:t> Ensemble</w:t>
            </w:r>
            <w:r w:rsidRPr="004F425A">
              <w:rPr>
                <w:rFonts w:ascii="Lato" w:eastAsia="Lato" w:hAnsi="Lato" w:cs="Lato"/>
                <w:sz w:val="20"/>
                <w:szCs w:val="20"/>
                <w:u w:val="single"/>
                <w:vertAlign w:val="superscript"/>
              </w:rPr>
              <w:t>3</w:t>
            </w:r>
            <w:r w:rsidRPr="004F425A">
              <w:rPr>
                <w:rFonts w:ascii="Lato" w:eastAsia="Lato" w:hAnsi="Lato" w:cs="Lato"/>
                <w:sz w:val="20"/>
                <w:szCs w:val="20"/>
              </w:rPr>
              <w:t> </w:t>
            </w:r>
            <w:r w:rsidRPr="004F425A">
              <w:rPr>
                <w:rFonts w:ascii="Lato" w:eastAsia="Lato" w:hAnsi="Lato" w:cs="Lato"/>
                <w:sz w:val="20"/>
                <w:szCs w:val="20"/>
                <w:u w:val="single"/>
              </w:rPr>
              <w:t>, </w:t>
            </w:r>
            <w:r w:rsidRPr="004F425A">
              <w:rPr>
                <w:rFonts w:ascii="Lato" w:eastAsia="Lato" w:hAnsi="Lato" w:cs="Lato"/>
                <w:sz w:val="20"/>
                <w:szCs w:val="20"/>
              </w:rPr>
              <w:t>Łukasiewicz-IMN i Główny Instytut Górnictwa. Należy wspierać projekty hydrometalurgiczne, pilotażowe instalacje recyklingu oraz tworzenie nowych centrów kompetencji w zakresie analizy jakości, kontroli defektów i oceny parametrów technicznych surowców. </w:t>
            </w:r>
          </w:p>
          <w:p w14:paraId="04D97ADE" w14:textId="565FD61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5894EAE9"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2F11D56A" w14:textId="423536B2" w:rsidR="00F574A2" w:rsidRPr="004F425A" w:rsidRDefault="00F574A2" w:rsidP="004F425A">
            <w:pPr>
              <w:spacing w:after="120" w:line="240" w:lineRule="auto"/>
              <w:rPr>
                <w:rFonts w:ascii="Lato" w:hAnsi="Lato"/>
                <w:sz w:val="20"/>
                <w:szCs w:val="20"/>
              </w:rPr>
            </w:pPr>
            <w:r w:rsidRPr="004F425A">
              <w:rPr>
                <w:rFonts w:ascii="Lato" w:eastAsia="Lato" w:hAnsi="Lato" w:cs="Lato"/>
                <w:sz w:val="20"/>
                <w:szCs w:val="20"/>
              </w:rPr>
              <w:t>Postulat dotyczy zagadnień wykraczających poza poziom ogólności dokumentu strategicznego. Właściwym miejscem jego uwzględnienia są akty wykonawcze i dokumenty wdrożeniowe.</w:t>
            </w:r>
          </w:p>
          <w:p w14:paraId="24047CB0" w14:textId="3BFCD83C" w:rsidR="00F574A2" w:rsidRPr="004F425A" w:rsidRDefault="00F574A2" w:rsidP="004F425A">
            <w:pPr>
              <w:spacing w:after="120" w:line="240" w:lineRule="auto"/>
              <w:rPr>
                <w:rFonts w:ascii="Lato" w:eastAsia="Lato" w:hAnsi="Lato" w:cs="Lato"/>
                <w:sz w:val="20"/>
                <w:szCs w:val="20"/>
              </w:rPr>
            </w:pPr>
          </w:p>
        </w:tc>
      </w:tr>
      <w:tr w:rsidR="004471C5" w:rsidRPr="004F425A" w14:paraId="6A43CB2E" w14:textId="77777777" w:rsidTr="79FF9703">
        <w:tc>
          <w:tcPr>
            <w:tcW w:w="1425" w:type="dxa"/>
            <w:tcBorders>
              <w:top w:val="single" w:sz="4" w:space="0" w:color="auto"/>
              <w:left w:val="single" w:sz="4" w:space="0" w:color="auto"/>
              <w:bottom w:val="single" w:sz="4" w:space="0" w:color="auto"/>
              <w:right w:val="single" w:sz="4" w:space="0" w:color="auto"/>
            </w:tcBorders>
          </w:tcPr>
          <w:p w14:paraId="7E8F4E55" w14:textId="5A52A8BF"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242FCBC1" w14:textId="6AF6152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3BBBB3E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Termin 2028 r. jest nierealny dla uruchomienia linii pilożażowych - minimum to 2,5 roku od momentu pełnego porozumienia między ministerstwami, uruchomienia funduszy i posiadania planu technologicznego. </w:t>
            </w:r>
          </w:p>
          <w:p w14:paraId="58A8797D" w14:textId="2AF25DF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5ABF32D9"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1414BECC" w14:textId="040F51B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Wskazane wartości mają charakter orientacyjny i - zgodnie z rozdziałem „Wdrażanie, monitorowanie i ewaluacja” - podlegają corocznemu monitorowaniu oraz przeglądowi w ramach ewaluacji śródokresowej w 2028 r. </w:t>
            </w:r>
          </w:p>
        </w:tc>
      </w:tr>
      <w:tr w:rsidR="004471C5" w:rsidRPr="004F425A" w14:paraId="5E5DC975" w14:textId="77777777" w:rsidTr="79FF9703">
        <w:tc>
          <w:tcPr>
            <w:tcW w:w="1425" w:type="dxa"/>
            <w:tcBorders>
              <w:top w:val="single" w:sz="4" w:space="0" w:color="auto"/>
              <w:left w:val="single" w:sz="4" w:space="0" w:color="auto"/>
              <w:bottom w:val="single" w:sz="4" w:space="0" w:color="auto"/>
              <w:right w:val="single" w:sz="4" w:space="0" w:color="auto"/>
            </w:tcBorders>
          </w:tcPr>
          <w:p w14:paraId="1582EAD0" w14:textId="52A40140"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1F253CFA" w14:textId="015BED8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4ADB916E"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Krajowa infrastruktura to jedynie infrastruktura badawcza, niezdolna do pokrycia zapotrzebowania polskich firm półprzewodnikowych. Badania to nie to samo co powtarzalny proces produkcji. </w:t>
            </w:r>
          </w:p>
          <w:p w14:paraId="72A10D12" w14:textId="7226857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696BC773" w14:textId="66CF7C1D"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277F6BF8" w14:textId="40110EA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Rozróżnienie między zdolnością badawczą a powtarzalną produkcją przemysłową nie zostało wprost doprecyzowane, choć wynika pośrednio z rozróżnienia linii pilotażowych od pełnoskalowych fabów.</w:t>
            </w:r>
          </w:p>
        </w:tc>
      </w:tr>
      <w:tr w:rsidR="004471C5" w:rsidRPr="004F425A" w14:paraId="71422456" w14:textId="77777777" w:rsidTr="79FF9703">
        <w:tc>
          <w:tcPr>
            <w:tcW w:w="1425" w:type="dxa"/>
            <w:tcBorders>
              <w:top w:val="single" w:sz="4" w:space="0" w:color="auto"/>
              <w:left w:val="single" w:sz="4" w:space="0" w:color="auto"/>
              <w:bottom w:val="single" w:sz="4" w:space="0" w:color="auto"/>
              <w:right w:val="single" w:sz="4" w:space="0" w:color="auto"/>
            </w:tcBorders>
          </w:tcPr>
          <w:p w14:paraId="0DFC2D13" w14:textId="00C616A9"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7948D157" w14:textId="5ED605A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5569C88E"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Narzędzia EDA to nie infrastruktura. Brakuje w filarach zapewnienia dostępu do kosztownych komercyjnych narzędzi EDA dla małych firm i startupów. </w:t>
            </w:r>
          </w:p>
          <w:p w14:paraId="7993E39F" w14:textId="563FE0B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7B9CEE39"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74C59DC2" w14:textId="73A2732E" w:rsidR="00F574A2" w:rsidRPr="004F425A" w:rsidRDefault="00F574A2" w:rsidP="004F425A">
            <w:pPr>
              <w:spacing w:after="120" w:line="240" w:lineRule="auto"/>
              <w:rPr>
                <w:rFonts w:ascii="Lato" w:hAnsi="Lato"/>
                <w:sz w:val="20"/>
                <w:szCs w:val="20"/>
              </w:rPr>
            </w:pPr>
            <w:r w:rsidRPr="004F425A">
              <w:rPr>
                <w:rFonts w:ascii="Lato" w:eastAsia="Lato" w:hAnsi="Lato" w:cs="Lato"/>
                <w:sz w:val="20"/>
                <w:szCs w:val="20"/>
              </w:rPr>
              <w:t>Postulat dotyczy zagadnień wykraczających poza poziom ogólności dokumentu strategicznego. Właściwym miejscem jego uwzględnienia są akty wykonawcze i dokumenty wdrożeniowe.</w:t>
            </w:r>
          </w:p>
          <w:p w14:paraId="3990560E" w14:textId="4DDCB3EE" w:rsidR="00F574A2" w:rsidRPr="004F425A" w:rsidRDefault="00F574A2" w:rsidP="004F425A">
            <w:pPr>
              <w:spacing w:after="120" w:line="240" w:lineRule="auto"/>
              <w:rPr>
                <w:rFonts w:ascii="Lato" w:eastAsia="Lato" w:hAnsi="Lato" w:cs="Lato"/>
                <w:sz w:val="20"/>
                <w:szCs w:val="20"/>
              </w:rPr>
            </w:pPr>
          </w:p>
        </w:tc>
      </w:tr>
      <w:tr w:rsidR="004471C5" w:rsidRPr="004F425A" w14:paraId="6DB8E840" w14:textId="77777777" w:rsidTr="79FF9703">
        <w:tc>
          <w:tcPr>
            <w:tcW w:w="1425" w:type="dxa"/>
            <w:tcBorders>
              <w:top w:val="single" w:sz="4" w:space="0" w:color="auto"/>
              <w:left w:val="single" w:sz="4" w:space="0" w:color="auto"/>
              <w:bottom w:val="single" w:sz="4" w:space="0" w:color="auto"/>
              <w:right w:val="single" w:sz="4" w:space="0" w:color="auto"/>
            </w:tcBorders>
          </w:tcPr>
          <w:p w14:paraId="11CEF42F" w14:textId="245B0141"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308B33C0" w14:textId="4202D07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067CD07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Wskazane kwoty CAPEX (800 mln zł) i OPEX (300 mln zł) są za małe. </w:t>
            </w:r>
          </w:p>
          <w:p w14:paraId="674D1A60" w14:textId="7D55C1C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475D8152"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563BB125" w14:textId="51DA864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Wskazane wartości mają charakter orientacyjny i - zgodnie z rozdziałem „Wdrażanie, monitorowanie i ewaluacja” - podlegają corocznemu monitorowaniu oraz przeglądowi w ramach ewaluacji śródokresowej w 2028 r.</w:t>
            </w:r>
          </w:p>
        </w:tc>
      </w:tr>
      <w:tr w:rsidR="004471C5" w:rsidRPr="004F425A" w14:paraId="38873C51" w14:textId="77777777" w:rsidTr="79FF9703">
        <w:tc>
          <w:tcPr>
            <w:tcW w:w="1425" w:type="dxa"/>
            <w:tcBorders>
              <w:top w:val="single" w:sz="4" w:space="0" w:color="auto"/>
              <w:left w:val="single" w:sz="4" w:space="0" w:color="auto"/>
              <w:bottom w:val="single" w:sz="4" w:space="0" w:color="auto"/>
              <w:right w:val="single" w:sz="4" w:space="0" w:color="auto"/>
            </w:tcBorders>
          </w:tcPr>
          <w:p w14:paraId="200EE554" w14:textId="13D24A71"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3CC9D39D" w14:textId="62C2F44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19FA54E8"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Prośba o zadbanie, by wszystkie podmioty działające w dziedzinie półprzewodników i fotoniki (w tym Ensemble3) mogły znaleźć się na mapie drogowej. </w:t>
            </w:r>
          </w:p>
          <w:p w14:paraId="25C80CF9" w14:textId="33980DB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27CC5426"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03A2D353" w14:textId="675C951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Uwaga na przyszłość dotyczy mapy drogowej. . </w:t>
            </w:r>
          </w:p>
        </w:tc>
      </w:tr>
      <w:tr w:rsidR="004471C5" w:rsidRPr="004F425A" w14:paraId="1BF769F6" w14:textId="77777777" w:rsidTr="79FF9703">
        <w:tc>
          <w:tcPr>
            <w:tcW w:w="1425" w:type="dxa"/>
            <w:tcBorders>
              <w:top w:val="single" w:sz="4" w:space="0" w:color="auto"/>
              <w:left w:val="single" w:sz="4" w:space="0" w:color="auto"/>
              <w:bottom w:val="single" w:sz="4" w:space="0" w:color="auto"/>
              <w:right w:val="single" w:sz="4" w:space="0" w:color="auto"/>
            </w:tcBorders>
          </w:tcPr>
          <w:p w14:paraId="4D09C28D" w14:textId="7CA19555"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71CEA9FF" w14:textId="16C6B86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0EC8B7F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Mikroregion Polska-Czechy-Niemcy nie wydaje się korzystny jako jedyny kierunek współpracy regionalnej. </w:t>
            </w:r>
          </w:p>
          <w:p w14:paraId="205C9A31" w14:textId="4545E72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4C487686" w14:textId="77777777" w:rsidR="00F574A2" w:rsidRPr="004F425A" w:rsidRDefault="00F574A2" w:rsidP="004F425A">
            <w:pPr>
              <w:spacing w:after="120" w:line="240" w:lineRule="auto"/>
              <w:rPr>
                <w:rFonts w:ascii="Lato" w:eastAsia="Lato" w:hAnsi="Lato" w:cs="Lato"/>
                <w:sz w:val="20"/>
                <w:szCs w:val="20"/>
              </w:rPr>
            </w:pPr>
            <w:r w:rsidRPr="004F425A">
              <w:rPr>
                <w:rStyle w:val="Ppogrubienie"/>
                <w:rFonts w:ascii="Lato" w:hAnsi="Lato"/>
                <w:sz w:val="20"/>
                <w:szCs w:val="20"/>
              </w:rPr>
              <w:t>Uwaga nieuwzględniona</w:t>
            </w:r>
            <w:r w:rsidRPr="004F425A">
              <w:rPr>
                <w:rFonts w:ascii="Lato" w:eastAsia="Lato" w:hAnsi="Lato" w:cs="Lato"/>
                <w:sz w:val="20"/>
                <w:szCs w:val="20"/>
              </w:rPr>
              <w:t>.</w:t>
            </w:r>
          </w:p>
          <w:p w14:paraId="1B941BB3" w14:textId="06C5B0E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Rdzeń mikroregionu Polska-Czechy-Niemcy nie wymaga zmian, przy równoległym, szerszym wątku współpracy z Holandią, Litwą i Belgią.</w:t>
            </w:r>
          </w:p>
        </w:tc>
      </w:tr>
      <w:tr w:rsidR="004471C5" w:rsidRPr="004F425A" w14:paraId="5F7B48FC" w14:textId="77777777" w:rsidTr="79FF9703">
        <w:tc>
          <w:tcPr>
            <w:tcW w:w="1425" w:type="dxa"/>
            <w:tcBorders>
              <w:top w:val="single" w:sz="4" w:space="0" w:color="auto"/>
              <w:left w:val="single" w:sz="4" w:space="0" w:color="auto"/>
              <w:bottom w:val="single" w:sz="4" w:space="0" w:color="auto"/>
              <w:right w:val="single" w:sz="4" w:space="0" w:color="auto"/>
            </w:tcBorders>
          </w:tcPr>
          <w:p w14:paraId="5C31BC6A" w14:textId="1AA780A4"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1972F72D" w14:textId="1A12942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3921D2A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Cel 3 mld PLN inwestycji do 2030 roku to za mała suma. </w:t>
            </w:r>
          </w:p>
          <w:p w14:paraId="6A813AE8" w14:textId="619A499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1D5B0E64"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463A8EF2" w14:textId="1C55A9A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Wskazane wartości mają charakter orientacyjny i - zgodnie z rozdziałem „Wdrażanie, monitorowanie i ewaluacja” - podlegają corocznemu monitorowaniu oraz przeglądowi w ramach ewaluacji śródokresowej w 2028 r.</w:t>
            </w:r>
          </w:p>
        </w:tc>
      </w:tr>
      <w:tr w:rsidR="004471C5" w:rsidRPr="004F425A" w14:paraId="015AFD96" w14:textId="77777777" w:rsidTr="79FF9703">
        <w:tc>
          <w:tcPr>
            <w:tcW w:w="1425" w:type="dxa"/>
            <w:tcBorders>
              <w:top w:val="single" w:sz="4" w:space="0" w:color="auto"/>
              <w:left w:val="single" w:sz="4" w:space="0" w:color="auto"/>
              <w:bottom w:val="single" w:sz="4" w:space="0" w:color="auto"/>
              <w:right w:val="single" w:sz="4" w:space="0" w:color="auto"/>
            </w:tcBorders>
          </w:tcPr>
          <w:p w14:paraId="3619C1C4" w14:textId="6C862F10"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36D0A0DD" w14:textId="0FC900E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Polska Platforma Technologiczna Fotoniki (PPTF)</w:t>
            </w:r>
          </w:p>
        </w:tc>
        <w:tc>
          <w:tcPr>
            <w:tcW w:w="5387" w:type="dxa"/>
            <w:tcBorders>
              <w:top w:val="single" w:sz="4" w:space="0" w:color="auto"/>
              <w:left w:val="single" w:sz="4" w:space="0" w:color="auto"/>
              <w:bottom w:val="single" w:sz="4" w:space="0" w:color="auto"/>
              <w:right w:val="single" w:sz="4" w:space="0" w:color="auto"/>
            </w:tcBorders>
          </w:tcPr>
          <w:p w14:paraId="7E79F0F8"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Każdy duży kraj UE ma ten sam problem z przyciągnięciem dużego inwestora zagranicznego; zdolności negocjacyjne Niemiec są znacznie większe. Jedyna nadzieja - wracający Polacy. </w:t>
            </w:r>
          </w:p>
          <w:p w14:paraId="7CB81307" w14:textId="53F5242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odczytana z komentarza naniesionego na tekst w trybie recenzji w dokumencie Word]</w:t>
            </w:r>
          </w:p>
        </w:tc>
        <w:tc>
          <w:tcPr>
            <w:tcW w:w="4859" w:type="dxa"/>
            <w:tcBorders>
              <w:top w:val="single" w:sz="4" w:space="0" w:color="auto"/>
              <w:left w:val="single" w:sz="4" w:space="0" w:color="auto"/>
              <w:bottom w:val="single" w:sz="4" w:space="0" w:color="auto"/>
              <w:right w:val="single" w:sz="4" w:space="0" w:color="auto"/>
            </w:tcBorders>
          </w:tcPr>
          <w:p w14:paraId="798CD0FA" w14:textId="172F9FA1"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3CBEDE17" w14:textId="5FC98EA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Uwaga o charakterze ogólnym/obserwacyjnym - nie zawiera konkretnego postulatu zmiany treści dokumentu.</w:t>
            </w:r>
          </w:p>
        </w:tc>
      </w:tr>
      <w:tr w:rsidR="004471C5" w:rsidRPr="004F425A" w14:paraId="1206DCD9" w14:textId="77777777" w:rsidTr="79FF9703">
        <w:tc>
          <w:tcPr>
            <w:tcW w:w="1425" w:type="dxa"/>
            <w:tcBorders>
              <w:top w:val="single" w:sz="4" w:space="0" w:color="auto"/>
              <w:left w:val="single" w:sz="4" w:space="0" w:color="auto"/>
              <w:bottom w:val="single" w:sz="4" w:space="0" w:color="auto"/>
              <w:right w:val="single" w:sz="4" w:space="0" w:color="auto"/>
            </w:tcBorders>
          </w:tcPr>
          <w:p w14:paraId="2D0CEDAB" w14:textId="54EA8C6A"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6818FD61" w14:textId="535F382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7D422339"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Inżynieria materiałowa nie jest elementem projektowania układów scalonych, ale elementem rozwoju technologii.</w:t>
            </w:r>
          </w:p>
          <w:p w14:paraId="21BD52C0" w14:textId="6D4E2D2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do fragmentu „Szczególnym aspektem projektowania jest inżynieria materiałowa...”. W trybie zmian śledzonych: usunięcie całego zdania o inżynierii materiałowej jako aspekcie projektowania.]</w:t>
            </w:r>
          </w:p>
        </w:tc>
        <w:tc>
          <w:tcPr>
            <w:tcW w:w="4859" w:type="dxa"/>
            <w:tcBorders>
              <w:top w:val="single" w:sz="4" w:space="0" w:color="auto"/>
              <w:left w:val="single" w:sz="4" w:space="0" w:color="auto"/>
              <w:bottom w:val="single" w:sz="4" w:space="0" w:color="auto"/>
              <w:right w:val="single" w:sz="4" w:space="0" w:color="auto"/>
            </w:tcBorders>
          </w:tcPr>
          <w:p w14:paraId="7D5C5AEE"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1BB2A2DE" w14:textId="4336ECF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został skorygowany zgodnie z propozycją AGH.</w:t>
            </w:r>
          </w:p>
          <w:p w14:paraId="771C416D" w14:textId="457898DA" w:rsidR="00F574A2" w:rsidRPr="004F425A" w:rsidRDefault="00F574A2" w:rsidP="004F425A">
            <w:pPr>
              <w:spacing w:after="120" w:line="240" w:lineRule="auto"/>
              <w:rPr>
                <w:rFonts w:ascii="Lato" w:eastAsia="Lato" w:hAnsi="Lato" w:cs="Lato"/>
                <w:sz w:val="20"/>
                <w:szCs w:val="20"/>
              </w:rPr>
            </w:pPr>
          </w:p>
        </w:tc>
      </w:tr>
      <w:tr w:rsidR="004471C5" w:rsidRPr="004F425A" w14:paraId="41EF60C5" w14:textId="77777777" w:rsidTr="79FF9703">
        <w:tc>
          <w:tcPr>
            <w:tcW w:w="1425" w:type="dxa"/>
            <w:tcBorders>
              <w:top w:val="single" w:sz="4" w:space="0" w:color="auto"/>
              <w:left w:val="single" w:sz="4" w:space="0" w:color="auto"/>
              <w:bottom w:val="single" w:sz="4" w:space="0" w:color="auto"/>
              <w:right w:val="single" w:sz="4" w:space="0" w:color="auto"/>
            </w:tcBorders>
          </w:tcPr>
          <w:p w14:paraId="4654E6D2" w14:textId="5A0B1658"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115D862D" w14:textId="6B30A8D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1103886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Nie ma żadnego merytorycznego powodu wyróżniania fotonicznych układów scalonych jako osobnej sekcji.</w:t>
            </w:r>
          </w:p>
          <w:p w14:paraId="4BF132DB" w14:textId="764618B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do sekcji „Jednym z kierunków rozwoju…”. W trybie zmian śledzonych: usunięcie całego nagłówka „Fotoniczne układy scalone” i całego akapitu opisującego tę technologię.]</w:t>
            </w:r>
          </w:p>
        </w:tc>
        <w:tc>
          <w:tcPr>
            <w:tcW w:w="4859" w:type="dxa"/>
            <w:tcBorders>
              <w:top w:val="single" w:sz="4" w:space="0" w:color="auto"/>
              <w:left w:val="single" w:sz="4" w:space="0" w:color="auto"/>
              <w:bottom w:val="single" w:sz="4" w:space="0" w:color="auto"/>
              <w:right w:val="single" w:sz="4" w:space="0" w:color="auto"/>
            </w:tcBorders>
          </w:tcPr>
          <w:p w14:paraId="287AC0B9"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399FA5B7" w14:textId="0ADF02CA" w:rsidR="00F574A2" w:rsidRPr="004F425A" w:rsidRDefault="00F574A2" w:rsidP="004F425A">
            <w:pPr>
              <w:spacing w:after="120" w:line="240" w:lineRule="auto"/>
              <w:rPr>
                <w:rFonts w:ascii="Lato" w:hAnsi="Lato"/>
                <w:sz w:val="20"/>
                <w:szCs w:val="20"/>
              </w:rPr>
            </w:pPr>
            <w:r w:rsidRPr="004F425A">
              <w:rPr>
                <w:rFonts w:ascii="Lato" w:eastAsia="Lato" w:hAnsi="Lato" w:cs="Lato"/>
                <w:sz w:val="20"/>
                <w:szCs w:val="20"/>
              </w:rPr>
              <w:t xml:space="preserve">Fotoniczne układy scalone stanowią odrębny technologicznie segment sektora półprzewodników, wykorzystujący inne zjawiska fizyczne, materiały i procesy produkcyjne niż klasyczna mikroelektronika. W dokumencie fotonika scalona została wskazana jako jedna z kluczowych specjalizacji Polski oraz obszar o istotnym potencjale rozwojowym i strategicznym. </w:t>
            </w:r>
          </w:p>
          <w:p w14:paraId="7F38D279" w14:textId="2417AC34" w:rsidR="00F574A2" w:rsidRPr="004F425A" w:rsidRDefault="00F574A2" w:rsidP="004F425A">
            <w:pPr>
              <w:spacing w:after="120" w:line="240" w:lineRule="auto"/>
              <w:rPr>
                <w:rFonts w:ascii="Lato" w:eastAsia="Lato" w:hAnsi="Lato" w:cs="Lato"/>
                <w:sz w:val="20"/>
                <w:szCs w:val="20"/>
              </w:rPr>
            </w:pPr>
          </w:p>
        </w:tc>
      </w:tr>
      <w:tr w:rsidR="004471C5" w:rsidRPr="004F425A" w14:paraId="6381010E" w14:textId="77777777" w:rsidTr="79FF9703">
        <w:tc>
          <w:tcPr>
            <w:tcW w:w="1425" w:type="dxa"/>
            <w:tcBorders>
              <w:top w:val="single" w:sz="4" w:space="0" w:color="auto"/>
              <w:left w:val="single" w:sz="4" w:space="0" w:color="auto"/>
              <w:bottom w:val="single" w:sz="4" w:space="0" w:color="auto"/>
              <w:right w:val="single" w:sz="4" w:space="0" w:color="auto"/>
            </w:tcBorders>
          </w:tcPr>
          <w:p w14:paraId="357713AE" w14:textId="0AB2395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4E089DDD" w14:textId="713C0CE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4AD3A07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Nie należy ograniczać się tylko do wymienionych elementów.</w:t>
            </w:r>
          </w:p>
          <w:p w14:paraId="082D7C40" w14:textId="0821083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[Naniesione uwagi;]</w:t>
            </w:r>
          </w:p>
          <w:p w14:paraId="540461D0" w14:textId="77777777" w:rsidR="00F574A2" w:rsidRPr="004F425A" w:rsidRDefault="00F574A2" w:rsidP="004F425A">
            <w:pPr>
              <w:spacing w:after="120" w:line="240" w:lineRule="auto"/>
              <w:jc w:val="both"/>
              <w:rPr>
                <w:rFonts w:ascii="Lato" w:eastAsia="Lato" w:hAnsi="Lato" w:cs="Lato"/>
                <w:spacing w:val="-10"/>
                <w:kern w:val="28"/>
                <w:sz w:val="20"/>
                <w:szCs w:val="20"/>
              </w:rPr>
            </w:pPr>
            <w:r w:rsidRPr="004F425A">
              <w:rPr>
                <w:rFonts w:ascii="Lato" w:eastAsia="Lato" w:hAnsi="Lato" w:cs="Lato"/>
                <w:spacing w:val="-10"/>
                <w:kern w:val="28"/>
                <w:sz w:val="20"/>
                <w:szCs w:val="20"/>
              </w:rPr>
              <w:t xml:space="preserve">Polski przemysł półprzewodnikowy rozwija się w trzech komplementarnych ścieżkach kompetencyjnych: </w:t>
            </w:r>
          </w:p>
          <w:p w14:paraId="47295C1A" w14:textId="77777777" w:rsidR="00F574A2" w:rsidRPr="004F425A" w:rsidRDefault="00F574A2" w:rsidP="004F425A">
            <w:pPr>
              <w:pStyle w:val="Akapitzlist"/>
              <w:numPr>
                <w:ilvl w:val="0"/>
                <w:numId w:val="42"/>
              </w:numPr>
              <w:spacing w:after="120" w:line="240" w:lineRule="auto"/>
              <w:contextualSpacing w:val="0"/>
              <w:jc w:val="both"/>
              <w:rPr>
                <w:rFonts w:ascii="Lato" w:eastAsia="Lato" w:hAnsi="Lato" w:cs="Lato"/>
                <w:spacing w:val="-10"/>
                <w:kern w:val="28"/>
                <w:sz w:val="20"/>
                <w:szCs w:val="20"/>
              </w:rPr>
            </w:pPr>
            <w:r w:rsidRPr="004F425A">
              <w:rPr>
                <w:rFonts w:ascii="Lato" w:eastAsia="Lato" w:hAnsi="Lato" w:cs="Lato"/>
                <w:sz w:val="20"/>
                <w:szCs w:val="20"/>
              </w:rPr>
              <w:t xml:space="preserve">Przełomowe innowacje – </w:t>
            </w:r>
            <w:r w:rsidRPr="004F425A">
              <w:rPr>
                <w:rFonts w:ascii="Lato" w:eastAsia="Lato" w:hAnsi="Lato" w:cs="Lato"/>
                <w:sz w:val="20"/>
                <w:szCs w:val="20"/>
                <w:u w:val="single"/>
              </w:rPr>
              <w:t>przykładem mogą być</w:t>
            </w:r>
            <w:r w:rsidRPr="004F425A">
              <w:rPr>
                <w:rFonts w:ascii="Lato" w:eastAsia="Lato" w:hAnsi="Lato" w:cs="Lato"/>
                <w:sz w:val="20"/>
                <w:szCs w:val="20"/>
              </w:rPr>
              <w:t xml:space="preserve">: fotonika scalona, materiały szerokoprzerwowe i mikrosystemy, </w:t>
            </w:r>
            <w:r w:rsidRPr="004F425A">
              <w:rPr>
                <w:rFonts w:ascii="Lato" w:eastAsia="Lato" w:hAnsi="Lato" w:cs="Lato"/>
                <w:sz w:val="20"/>
                <w:szCs w:val="20"/>
                <w:u w:val="single"/>
              </w:rPr>
              <w:t>półprzewodnikowe technologie termoelektryczne i inne</w:t>
            </w:r>
          </w:p>
          <w:p w14:paraId="18BF2EBC" w14:textId="77777777" w:rsidR="00F574A2" w:rsidRPr="004F425A" w:rsidRDefault="00F574A2" w:rsidP="004F425A">
            <w:pPr>
              <w:pStyle w:val="Akapitzlist"/>
              <w:numPr>
                <w:ilvl w:val="0"/>
                <w:numId w:val="42"/>
              </w:numPr>
              <w:spacing w:after="120" w:line="240" w:lineRule="auto"/>
              <w:contextualSpacing w:val="0"/>
              <w:jc w:val="both"/>
              <w:rPr>
                <w:rFonts w:ascii="Lato" w:eastAsia="Lato" w:hAnsi="Lato" w:cs="Lato"/>
                <w:spacing w:val="-10"/>
                <w:kern w:val="28"/>
                <w:sz w:val="20"/>
                <w:szCs w:val="20"/>
              </w:rPr>
            </w:pPr>
            <w:r w:rsidRPr="004F425A">
              <w:rPr>
                <w:rFonts w:ascii="Lato" w:eastAsia="Lato" w:hAnsi="Lato" w:cs="Lato"/>
                <w:spacing w:val="-10"/>
                <w:kern w:val="28"/>
                <w:sz w:val="20"/>
                <w:szCs w:val="20"/>
              </w:rPr>
              <w:t xml:space="preserve">Integracja z globalnymi łańcuchami wartości – projektowanie </w:t>
            </w:r>
            <w:r w:rsidRPr="004F425A">
              <w:rPr>
                <w:rFonts w:ascii="Lato" w:eastAsia="Lato" w:hAnsi="Lato" w:cs="Lato"/>
                <w:spacing w:val="-10"/>
                <w:kern w:val="28"/>
                <w:sz w:val="20"/>
                <w:szCs w:val="20"/>
                <w:u w:val="single"/>
              </w:rPr>
              <w:t>układów scalonych</w:t>
            </w:r>
            <w:r w:rsidRPr="004F425A">
              <w:rPr>
                <w:rFonts w:ascii="Lato" w:eastAsia="Lato" w:hAnsi="Lato" w:cs="Lato"/>
                <w:spacing w:val="-10"/>
                <w:kern w:val="28"/>
                <w:sz w:val="20"/>
                <w:szCs w:val="20"/>
              </w:rPr>
              <w:t>, wyspecjalizowane komponenty, narzędzia i systemy;</w:t>
            </w:r>
          </w:p>
          <w:p w14:paraId="18572E25" w14:textId="79709B3D" w:rsidR="00F574A2" w:rsidRPr="004F425A" w:rsidRDefault="00F574A2" w:rsidP="004F425A">
            <w:pPr>
              <w:spacing w:after="120" w:line="240" w:lineRule="auto"/>
              <w:rPr>
                <w:rFonts w:ascii="Lato" w:eastAsia="Lato" w:hAnsi="Lato" w:cs="Lato"/>
                <w:sz w:val="20"/>
                <w:szCs w:val="20"/>
              </w:rPr>
            </w:pPr>
          </w:p>
          <w:p w14:paraId="3B9CFA3B" w14:textId="33BF8A5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[Komentarze 18 i 19 przy liście przełomowych innowacji. W trybie zmian śledzonych: zmiana sformułowania z „– fotonika scalona, materiały szerokoprzerwowe i mikrosystemy” na „– przykładem mogą być: fotonika scalona, materiały szerokoprzerwowe i mikrosystemy [...] i inne”.]</w:t>
            </w:r>
          </w:p>
        </w:tc>
        <w:tc>
          <w:tcPr>
            <w:tcW w:w="4859" w:type="dxa"/>
            <w:tcBorders>
              <w:top w:val="single" w:sz="4" w:space="0" w:color="auto"/>
              <w:left w:val="single" w:sz="4" w:space="0" w:color="auto"/>
              <w:bottom w:val="single" w:sz="4" w:space="0" w:color="auto"/>
              <w:right w:val="single" w:sz="4" w:space="0" w:color="auto"/>
            </w:tcBorders>
          </w:tcPr>
          <w:p w14:paraId="103D3DD6"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1A0290B2" w14:textId="36F2F87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Modyfikacja wskazanego fragmentu obniżyłoby czytelność i informacyjność dokumentu dla odbiorców spoza środowiska naukowego (m.in. parlamentu, inwestorów, opinii publicznej). MC pozostawia opis, uznając przyjęty poziom szczegółowości za adekwatny do rangi i funkcji dokumentu.</w:t>
            </w:r>
          </w:p>
        </w:tc>
      </w:tr>
      <w:tr w:rsidR="004471C5" w:rsidRPr="004F425A" w14:paraId="6C217F4D" w14:textId="77777777" w:rsidTr="79FF9703">
        <w:tc>
          <w:tcPr>
            <w:tcW w:w="1425" w:type="dxa"/>
            <w:tcBorders>
              <w:top w:val="single" w:sz="4" w:space="0" w:color="auto"/>
              <w:left w:val="single" w:sz="4" w:space="0" w:color="auto"/>
              <w:bottom w:val="single" w:sz="4" w:space="0" w:color="auto"/>
              <w:right w:val="single" w:sz="4" w:space="0" w:color="auto"/>
            </w:tcBorders>
          </w:tcPr>
          <w:p w14:paraId="579FD794" w14:textId="4654ED01"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635B8C5F" w14:textId="72CAD1F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24309ED2" w14:textId="4CFBF3E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Takie wyróżnianie instytutów nie jest potrzebne; </w:t>
            </w:r>
          </w:p>
          <w:p w14:paraId="6A61E183" w14:textId="7C90ACB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Zaproponowana kolejność miast bardziej oddaje zaangażowanie ośrodków w obszar, którego dotyczy dokument.</w:t>
            </w:r>
          </w:p>
          <w:p w14:paraId="748A9226" w14:textId="462E467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Trzon wiedzy i kompetencji technologicznych tworzą instytuty badawcze (</w:t>
            </w:r>
            <w:r w:rsidRPr="004F425A">
              <w:rPr>
                <w:rFonts w:ascii="Lato" w:eastAsia="Lato" w:hAnsi="Lato" w:cs="Lato"/>
                <w:strike/>
                <w:sz w:val="20"/>
                <w:szCs w:val="20"/>
              </w:rPr>
              <w:t>m.in. Łukasiewicz - Instytut Mikroelektroniki i Fotoniki, Instytut Wysokich Ciśnień PAN - UNIPRESS, CEZAMAT Politechniki Warszawskiej)</w:t>
            </w:r>
            <w:r w:rsidRPr="004F425A">
              <w:rPr>
                <w:rFonts w:ascii="Lato" w:eastAsia="Lato" w:hAnsi="Lato" w:cs="Lato"/>
                <w:sz w:val="20"/>
                <w:szCs w:val="20"/>
              </w:rPr>
              <w:t xml:space="preserve"> oraz uczelnie wyższe w </w:t>
            </w:r>
            <w:r w:rsidRPr="004F425A">
              <w:rPr>
                <w:rFonts w:ascii="Lato" w:eastAsia="Lato" w:hAnsi="Lato" w:cs="Lato"/>
                <w:sz w:val="20"/>
                <w:szCs w:val="20"/>
                <w:u w:val="single"/>
              </w:rPr>
              <w:t>Warszawie, Krakowie, Wrocławiu</w:t>
            </w:r>
            <w:r w:rsidRPr="004F425A">
              <w:rPr>
                <w:rFonts w:ascii="Lato" w:eastAsia="Lato" w:hAnsi="Lato" w:cs="Lato"/>
                <w:sz w:val="20"/>
                <w:szCs w:val="20"/>
              </w:rPr>
              <w:t xml:space="preserve">, Gdańsku, </w:t>
            </w:r>
            <w:r w:rsidRPr="004F425A">
              <w:rPr>
                <w:rFonts w:ascii="Lato" w:eastAsia="Lato" w:hAnsi="Lato" w:cs="Lato"/>
                <w:strike/>
                <w:sz w:val="20"/>
                <w:szCs w:val="20"/>
              </w:rPr>
              <w:t>Krakowie</w:t>
            </w:r>
            <w:r w:rsidRPr="004F425A">
              <w:rPr>
                <w:rFonts w:ascii="Lato" w:eastAsia="Lato" w:hAnsi="Lato" w:cs="Lato"/>
                <w:sz w:val="20"/>
                <w:szCs w:val="20"/>
              </w:rPr>
              <w:t xml:space="preserve">, Łodzi, Poznaniu., </w:t>
            </w:r>
            <w:r w:rsidRPr="004F425A">
              <w:rPr>
                <w:rFonts w:ascii="Lato" w:eastAsia="Lato" w:hAnsi="Lato" w:cs="Lato"/>
                <w:strike/>
                <w:sz w:val="20"/>
                <w:szCs w:val="20"/>
              </w:rPr>
              <w:t>Warszawie i Wrocławiu</w:t>
            </w:r>
            <w:r w:rsidRPr="004F425A">
              <w:rPr>
                <w:rFonts w:ascii="Lato" w:eastAsia="Lato" w:hAnsi="Lato" w:cs="Lato"/>
                <w:sz w:val="20"/>
                <w:szCs w:val="20"/>
              </w:rPr>
              <w:t>. Jednostki te wspierają rozwój materiałów i zastosowań technologicznych - od detektorów i fotoniki, przez techniki druku, po systemy projektowe. Choć ośrodki te współpracują ze sobą, nadal brakuje spójnego planu rozwoju technologii, koordynacji działań i klarownego podziału ról. Potencjał ośrodków regionalnych pozostaje niewykorzystany.</w:t>
            </w:r>
          </w:p>
          <w:p w14:paraId="4A250DED" w14:textId="7849B44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do fragmentu wymieniającego z nazwy instytuty badawcze: Łukasiewicz-IMiF, UNIPRESS, CEZAMAT PW. W trybie zmian śledzonych: usunięcie nawiasów z nazwami konkretnych instytutów, pozostawienie ogólnego sformułowania „instytuty badawcze”.]</w:t>
            </w:r>
          </w:p>
        </w:tc>
        <w:tc>
          <w:tcPr>
            <w:tcW w:w="4859" w:type="dxa"/>
            <w:tcBorders>
              <w:top w:val="single" w:sz="4" w:space="0" w:color="auto"/>
              <w:left w:val="single" w:sz="4" w:space="0" w:color="auto"/>
              <w:bottom w:val="single" w:sz="4" w:space="0" w:color="auto"/>
              <w:right w:val="single" w:sz="4" w:space="0" w:color="auto"/>
            </w:tcBorders>
          </w:tcPr>
          <w:p w14:paraId="35D661D4"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7B0CA2B8" w14:textId="0BF0717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Usunięcie/modyfikacja wskazanego fragmentu obniżyłoby czytelność i informacyjność dokumentu dla odbiorców spoza środowiska naukowego (m.in. parlamentu, inwestorów, opinii publicznej). MC pozostawia opis, uznając przyjęty poziom szczegółowości za adekwatny do rangi i funkcji dokumentu.</w:t>
            </w:r>
          </w:p>
          <w:p w14:paraId="169D2DD7" w14:textId="087E1EB9" w:rsidR="00F574A2" w:rsidRPr="004F425A" w:rsidRDefault="00F574A2" w:rsidP="004F425A">
            <w:pPr>
              <w:spacing w:after="120" w:line="240" w:lineRule="auto"/>
              <w:rPr>
                <w:rFonts w:ascii="Lato" w:eastAsia="Lato" w:hAnsi="Lato" w:cs="Lato"/>
                <w:sz w:val="20"/>
                <w:szCs w:val="20"/>
              </w:rPr>
            </w:pPr>
          </w:p>
        </w:tc>
      </w:tr>
      <w:tr w:rsidR="004471C5" w:rsidRPr="004F425A" w14:paraId="7EBF9836" w14:textId="77777777" w:rsidTr="79FF9703">
        <w:tc>
          <w:tcPr>
            <w:tcW w:w="1425" w:type="dxa"/>
            <w:tcBorders>
              <w:top w:val="single" w:sz="4" w:space="0" w:color="auto"/>
              <w:left w:val="single" w:sz="4" w:space="0" w:color="auto"/>
              <w:bottom w:val="single" w:sz="4" w:space="0" w:color="auto"/>
              <w:right w:val="single" w:sz="4" w:space="0" w:color="auto"/>
            </w:tcBorders>
          </w:tcPr>
          <w:p w14:paraId="219EB931" w14:textId="6E1BB1D8"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0ACA80B4" w14:textId="6022C14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0B0C4C72"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Doprecyzowanie sformułowania.</w:t>
            </w:r>
          </w:p>
          <w:p w14:paraId="58B9CD55" w14:textId="6C62C87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[Naniesiona poprawka:]</w:t>
            </w:r>
          </w:p>
          <w:p w14:paraId="1FD4808C" w14:textId="451F8542" w:rsidR="00F574A2" w:rsidRPr="004F425A" w:rsidRDefault="00F574A2" w:rsidP="004F425A">
            <w:pPr>
              <w:spacing w:after="120" w:line="240" w:lineRule="auto"/>
              <w:jc w:val="both"/>
              <w:rPr>
                <w:rFonts w:ascii="Lato" w:eastAsia="Lato" w:hAnsi="Lato" w:cs="Lato"/>
                <w:spacing w:val="-10"/>
                <w:kern w:val="28"/>
                <w:sz w:val="20"/>
                <w:szCs w:val="20"/>
              </w:rPr>
            </w:pPr>
            <w:r w:rsidRPr="004F425A">
              <w:rPr>
                <w:rFonts w:ascii="Lato" w:eastAsia="Lato" w:hAnsi="Lato" w:cs="Lato"/>
                <w:sz w:val="20"/>
                <w:szCs w:val="20"/>
              </w:rPr>
              <w:t xml:space="preserve">Polska dysponuje realnymi atutami w obszarze półprzewodników - obejmującymi </w:t>
            </w:r>
            <w:r w:rsidRPr="004F425A">
              <w:rPr>
                <w:rFonts w:ascii="Lato" w:eastAsia="Lato" w:hAnsi="Lato" w:cs="Lato"/>
                <w:sz w:val="20"/>
                <w:szCs w:val="20"/>
                <w:u w:val="single"/>
              </w:rPr>
              <w:t>możliwościami rozwoju kompetencji</w:t>
            </w:r>
            <w:r w:rsidRPr="004F425A">
              <w:rPr>
                <w:rFonts w:ascii="Lato" w:eastAsia="Lato" w:hAnsi="Lato" w:cs="Lato"/>
                <w:sz w:val="20"/>
                <w:szCs w:val="20"/>
              </w:rPr>
              <w:t xml:space="preserve">  </w:t>
            </w:r>
            <w:r w:rsidRPr="004F425A">
              <w:rPr>
                <w:rFonts w:ascii="Lato" w:eastAsia="Lato" w:hAnsi="Lato" w:cs="Lato"/>
                <w:strike/>
                <w:sz w:val="20"/>
                <w:szCs w:val="20"/>
              </w:rPr>
              <w:t>kompetencje</w:t>
            </w:r>
            <w:r w:rsidRPr="004F425A">
              <w:rPr>
                <w:rFonts w:ascii="Lato" w:eastAsia="Lato" w:hAnsi="Lato" w:cs="Lato"/>
                <w:sz w:val="20"/>
                <w:szCs w:val="20"/>
              </w:rPr>
              <w:t xml:space="preserve"> w projektowaniu, specjalistycznych materiałach, fotonice scalonej oraz rozwijającą się bazą przemysłową i akademicką. Jednocześnie krajowy ekosystem nie obejmuje pełnego łańcucha wartości: procesy back-endowe są słabo rozwinięte, a infrastruktura front-endowa pozostaje niewykształcona. Brakuje również jednolitego zestawu danych i statystyk dotyczących sektora - powyższa diagnoza opiera się na dostępnej wiedzy eksperckiej oraz materiałach źródłowych zebranych w toku przeglądu branży.</w:t>
            </w:r>
          </w:p>
          <w:p w14:paraId="4285BDF0" w14:textId="77777777" w:rsidR="00F574A2" w:rsidRPr="004F425A" w:rsidRDefault="00F574A2" w:rsidP="004F425A">
            <w:pPr>
              <w:spacing w:after="120" w:line="240" w:lineRule="auto"/>
              <w:rPr>
                <w:rFonts w:ascii="Lato" w:eastAsia="Lato" w:hAnsi="Lato" w:cs="Lato"/>
                <w:sz w:val="20"/>
                <w:szCs w:val="20"/>
              </w:rPr>
            </w:pPr>
          </w:p>
          <w:p w14:paraId="15B83303" w14:textId="0EBFAD7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przy fragmencie „Polska dysponuje realnymi atutami...”. W trybie zmian śledzonych: zamiana „kompetencje w projektowaniu” na „możliwościami rozwoju kompetencji w projektowaniu”.]</w:t>
            </w:r>
          </w:p>
        </w:tc>
        <w:tc>
          <w:tcPr>
            <w:tcW w:w="4859" w:type="dxa"/>
            <w:tcBorders>
              <w:top w:val="single" w:sz="4" w:space="0" w:color="auto"/>
              <w:left w:val="single" w:sz="4" w:space="0" w:color="auto"/>
              <w:bottom w:val="single" w:sz="4" w:space="0" w:color="auto"/>
              <w:right w:val="single" w:sz="4" w:space="0" w:color="auto"/>
            </w:tcBorders>
          </w:tcPr>
          <w:p w14:paraId="48607B18"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603B688A" w14:textId="367FE6A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dokumencie wprowadzono zmianę zgodnie z propozycją AGH .</w:t>
            </w:r>
          </w:p>
          <w:p w14:paraId="5689C7B7" w14:textId="5659462A" w:rsidR="00F574A2" w:rsidRPr="004F425A" w:rsidRDefault="00F574A2" w:rsidP="004F425A">
            <w:pPr>
              <w:spacing w:after="120" w:line="240" w:lineRule="auto"/>
              <w:rPr>
                <w:rFonts w:ascii="Lato" w:eastAsia="Lato" w:hAnsi="Lato" w:cs="Lato"/>
                <w:sz w:val="20"/>
                <w:szCs w:val="20"/>
              </w:rPr>
            </w:pPr>
          </w:p>
        </w:tc>
      </w:tr>
      <w:tr w:rsidR="004471C5" w:rsidRPr="004F425A" w14:paraId="15267C01" w14:textId="77777777" w:rsidTr="79FF9703">
        <w:tc>
          <w:tcPr>
            <w:tcW w:w="1425" w:type="dxa"/>
            <w:tcBorders>
              <w:top w:val="single" w:sz="4" w:space="0" w:color="auto"/>
              <w:left w:val="single" w:sz="4" w:space="0" w:color="auto"/>
              <w:bottom w:val="single" w:sz="4" w:space="0" w:color="auto"/>
              <w:right w:val="single" w:sz="4" w:space="0" w:color="auto"/>
            </w:tcBorders>
          </w:tcPr>
          <w:p w14:paraId="2F786A22" w14:textId="19D84B49"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5BFEF139" w14:textId="3B29108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14AC6CF5" w14:textId="63B5F31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Na całym świecie to uczelnie wyższe są głównym ośrodkiem kształcącym projektantów układów scalonych.</w:t>
            </w:r>
          </w:p>
          <w:p w14:paraId="32C69DCF" w14:textId="0858346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[Naniesiona zmiana:]</w:t>
            </w:r>
          </w:p>
          <w:p w14:paraId="48C84277" w14:textId="77777777" w:rsidR="00F574A2" w:rsidRPr="004F425A" w:rsidRDefault="00F574A2" w:rsidP="004F425A">
            <w:pPr>
              <w:spacing w:after="120" w:line="240" w:lineRule="auto"/>
              <w:jc w:val="both"/>
              <w:rPr>
                <w:rFonts w:ascii="Lato" w:eastAsia="Lato" w:hAnsi="Lato" w:cs="Lato"/>
                <w:sz w:val="20"/>
                <w:szCs w:val="20"/>
                <w:u w:val="single"/>
              </w:rPr>
            </w:pPr>
            <w:r w:rsidRPr="004F425A">
              <w:rPr>
                <w:rFonts w:ascii="Lato" w:eastAsia="Lato" w:hAnsi="Lato" w:cs="Lato"/>
                <w:sz w:val="20"/>
                <w:szCs w:val="20"/>
                <w:u w:val="single"/>
              </w:rPr>
              <w:t>Cel 1: Rozwój krajowej bazy technologicznej i badawczej</w:t>
            </w:r>
          </w:p>
          <w:p w14:paraId="45AAA087"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Cel ten realizowany będzie poprzez działania w ramach Filaru I (Infrastruktura) oraz Filaru V (Kadry i edukacja). Obejmuje budowę infrastruktury pilotażowej, wzmocnienie centrów kompetencji oraz rozwój specjalistycznych programów kształcenia </w:t>
            </w:r>
            <w:r w:rsidRPr="004F425A">
              <w:rPr>
                <w:rFonts w:ascii="Lato" w:eastAsia="Lato" w:hAnsi="Lato" w:cs="Lato"/>
                <w:sz w:val="20"/>
                <w:szCs w:val="20"/>
                <w:u w:val="single"/>
              </w:rPr>
              <w:t>na uczelniach wyższych</w:t>
            </w:r>
            <w:r w:rsidRPr="004F425A">
              <w:rPr>
                <w:rFonts w:ascii="Lato" w:eastAsia="Lato" w:hAnsi="Lato" w:cs="Lato"/>
                <w:sz w:val="20"/>
                <w:szCs w:val="20"/>
              </w:rPr>
              <w:t xml:space="preserve">. </w:t>
            </w:r>
          </w:p>
          <w:p w14:paraId="327B8C75" w14:textId="77777777" w:rsidR="00F574A2" w:rsidRPr="004F425A" w:rsidRDefault="00F574A2" w:rsidP="004F425A">
            <w:pPr>
              <w:spacing w:after="120" w:line="240" w:lineRule="auto"/>
              <w:rPr>
                <w:rFonts w:ascii="Lato" w:eastAsia="Lato" w:hAnsi="Lato" w:cs="Lato"/>
                <w:sz w:val="20"/>
                <w:szCs w:val="20"/>
              </w:rPr>
            </w:pPr>
          </w:p>
          <w:p w14:paraId="5E78F584" w14:textId="1FCC68D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w trybie zmian śledzonych: dodanie sformułowania „na uczelniach wyższych” do opisu celów edukacyjnych w Celu 1.]</w:t>
            </w:r>
          </w:p>
        </w:tc>
        <w:tc>
          <w:tcPr>
            <w:tcW w:w="4859" w:type="dxa"/>
            <w:tcBorders>
              <w:top w:val="single" w:sz="4" w:space="0" w:color="auto"/>
              <w:left w:val="single" w:sz="4" w:space="0" w:color="auto"/>
              <w:bottom w:val="single" w:sz="4" w:space="0" w:color="auto"/>
              <w:right w:val="single" w:sz="4" w:space="0" w:color="auto"/>
            </w:tcBorders>
          </w:tcPr>
          <w:p w14:paraId="3AB8EF02"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616FB2AD" w14:textId="64C3412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dokumencie wprowadzono zmianę zgodnie z propozycją AGH.</w:t>
            </w:r>
          </w:p>
        </w:tc>
      </w:tr>
      <w:tr w:rsidR="004471C5" w:rsidRPr="004F425A" w14:paraId="1ECFFCAD" w14:textId="77777777" w:rsidTr="79FF9703">
        <w:tc>
          <w:tcPr>
            <w:tcW w:w="1425" w:type="dxa"/>
            <w:tcBorders>
              <w:top w:val="single" w:sz="4" w:space="0" w:color="auto"/>
              <w:left w:val="single" w:sz="4" w:space="0" w:color="auto"/>
              <w:bottom w:val="single" w:sz="4" w:space="0" w:color="auto"/>
              <w:right w:val="single" w:sz="4" w:space="0" w:color="auto"/>
            </w:tcBorders>
          </w:tcPr>
          <w:p w14:paraId="44E5AA07" w14:textId="3CF71BB5"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7C686609" w14:textId="2BDE07E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68DB2F4E" w14:textId="358C980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Podane liczby są nieprawdziwe. Biorąc pod uwagę wykwalifikowanych projektantów układów scalonych, ich liczba w Polsce nie przekracza 500 osób. Osiągnięcie 3000 wykwalifikowanych projekt antów jest nierealne, chyba że znacznie obniżymy kwalifikacje projektantów.</w:t>
            </w:r>
          </w:p>
          <w:p w14:paraId="4C1F7316" w14:textId="6DB2290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47 przy wskaźniku „wzrost z ~1,5 tys. do 3 tys. projektantów czipów”.]</w:t>
            </w:r>
          </w:p>
        </w:tc>
        <w:tc>
          <w:tcPr>
            <w:tcW w:w="4859" w:type="dxa"/>
            <w:tcBorders>
              <w:top w:val="single" w:sz="4" w:space="0" w:color="auto"/>
              <w:left w:val="single" w:sz="4" w:space="0" w:color="auto"/>
              <w:bottom w:val="single" w:sz="4" w:space="0" w:color="auto"/>
              <w:right w:val="single" w:sz="4" w:space="0" w:color="auto"/>
            </w:tcBorders>
          </w:tcPr>
          <w:p w14:paraId="53A168EC"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47EC25A4" w14:textId="2F8D1D1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Wskazane wartości mają charakter orientacyjny i - zgodnie z rozdziałem „Wdrażanie, monitorowanie i ewaluacja” - podlegają corocznemu monitorowaniu oraz przeglądowi w ramach ewaluacji śródokresowej w 2028 r.</w:t>
            </w:r>
          </w:p>
        </w:tc>
      </w:tr>
      <w:tr w:rsidR="004471C5" w:rsidRPr="004F425A" w14:paraId="1704EECE" w14:textId="77777777" w:rsidTr="79FF9703">
        <w:tc>
          <w:tcPr>
            <w:tcW w:w="1425" w:type="dxa"/>
            <w:tcBorders>
              <w:top w:val="single" w:sz="4" w:space="0" w:color="auto"/>
              <w:left w:val="single" w:sz="4" w:space="0" w:color="auto"/>
              <w:bottom w:val="single" w:sz="4" w:space="0" w:color="auto"/>
              <w:right w:val="single" w:sz="4" w:space="0" w:color="auto"/>
            </w:tcBorders>
          </w:tcPr>
          <w:p w14:paraId="429B5BBC" w14:textId="53EB38A2"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74234495" w14:textId="1DB2F11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2E3B4BEC"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Technologia ciągle się rozwija i należy uwzględnić inne możliwości.</w:t>
            </w:r>
          </w:p>
          <w:p w14:paraId="21CDED05" w14:textId="06465B6A" w:rsidR="00F574A2" w:rsidRPr="004F425A" w:rsidRDefault="00F574A2" w:rsidP="004F425A">
            <w:pPr>
              <w:pStyle w:val="Akapitzlist"/>
              <w:numPr>
                <w:ilvl w:val="0"/>
                <w:numId w:val="43"/>
              </w:numPr>
              <w:spacing w:after="120" w:line="240" w:lineRule="auto"/>
              <w:contextualSpacing w:val="0"/>
              <w:rPr>
                <w:rFonts w:ascii="Lato" w:eastAsia="Lato" w:hAnsi="Lato" w:cs="Lato"/>
                <w:spacing w:val="-10"/>
                <w:kern w:val="28"/>
                <w:sz w:val="20"/>
                <w:szCs w:val="20"/>
                <w:u w:val="single"/>
              </w:rPr>
            </w:pPr>
            <w:r w:rsidRPr="004F425A">
              <w:rPr>
                <w:rFonts w:ascii="Lato" w:eastAsia="Lato" w:hAnsi="Lato" w:cs="Lato"/>
                <w:sz w:val="20"/>
                <w:szCs w:val="20"/>
              </w:rPr>
              <w:t xml:space="preserve">Umożliwienie przełomowych innowacji -  np. fotonika scalona na zakres średniej podczerwieni, materiały szerokoprzerwowe i mikrosystemy, </w:t>
            </w:r>
            <w:r w:rsidRPr="004F425A">
              <w:rPr>
                <w:rFonts w:ascii="Lato" w:eastAsia="Lato" w:hAnsi="Lato" w:cs="Lato"/>
                <w:sz w:val="20"/>
                <w:szCs w:val="20"/>
                <w:u w:val="single"/>
              </w:rPr>
              <w:t>technologie termoelektryczne, wielofunkcyjne nieorganiczne materiały półprzewodnikowe o zróżnicowanych właściwościach transportowych i aplikacyjnych i innych</w:t>
            </w:r>
          </w:p>
          <w:p w14:paraId="080AEF89" w14:textId="4118373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przy liście typów przełomowych innowacji. W trybie zmian śledzonych: dodanie „technologie termoelektryczne, wielofunkcyjne nieorganiczne materiały półprzewodnikowe [...]” do listy innowacji infrastruktury.]</w:t>
            </w:r>
          </w:p>
        </w:tc>
        <w:tc>
          <w:tcPr>
            <w:tcW w:w="4859" w:type="dxa"/>
            <w:tcBorders>
              <w:top w:val="single" w:sz="4" w:space="0" w:color="auto"/>
              <w:left w:val="single" w:sz="4" w:space="0" w:color="auto"/>
              <w:bottom w:val="single" w:sz="4" w:space="0" w:color="auto"/>
              <w:right w:val="single" w:sz="4" w:space="0" w:color="auto"/>
            </w:tcBorders>
          </w:tcPr>
          <w:p w14:paraId="09166531" w14:textId="3A0A2222"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3A1B6870" w14:textId="02ED63F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dokumencie wprowadzono zmianę zgodnie z propozycją AGH. </w:t>
            </w:r>
          </w:p>
          <w:p w14:paraId="2694015C" w14:textId="00830623" w:rsidR="00F574A2" w:rsidRPr="004F425A" w:rsidRDefault="00F574A2" w:rsidP="004F425A">
            <w:pPr>
              <w:spacing w:after="120" w:line="240" w:lineRule="auto"/>
              <w:rPr>
                <w:rFonts w:ascii="Lato" w:eastAsia="Lato" w:hAnsi="Lato" w:cs="Lato"/>
                <w:sz w:val="20"/>
                <w:szCs w:val="20"/>
              </w:rPr>
            </w:pPr>
          </w:p>
        </w:tc>
      </w:tr>
      <w:tr w:rsidR="004471C5" w:rsidRPr="004F425A" w14:paraId="406DB350" w14:textId="77777777" w:rsidTr="79FF9703">
        <w:tc>
          <w:tcPr>
            <w:tcW w:w="1425" w:type="dxa"/>
            <w:tcBorders>
              <w:top w:val="single" w:sz="4" w:space="0" w:color="auto"/>
              <w:left w:val="single" w:sz="4" w:space="0" w:color="auto"/>
              <w:bottom w:val="single" w:sz="4" w:space="0" w:color="auto"/>
              <w:right w:val="single" w:sz="4" w:space="0" w:color="auto"/>
            </w:tcBorders>
          </w:tcPr>
          <w:p w14:paraId="7C729ACC" w14:textId="0D083FF9"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28264FBE" w14:textId="12C35DB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30FBE9E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Obie jednostki (instytuty badawcze i uczelnie wyższe) są dobrym zalążkiem rozwoju kompetencji.</w:t>
            </w:r>
          </w:p>
          <w:p w14:paraId="4154CFE9" w14:textId="19ACED3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[Naniesiona poprawka:]</w:t>
            </w:r>
          </w:p>
          <w:p w14:paraId="394074B3"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ramach działań priorytetowych planuje się:</w:t>
            </w:r>
          </w:p>
          <w:p w14:paraId="0B1AD607" w14:textId="517585E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1.</w:t>
            </w:r>
            <w:r w:rsidRPr="004F425A">
              <w:rPr>
                <w:rFonts w:ascii="Lato" w:hAnsi="Lato"/>
                <w:sz w:val="20"/>
                <w:szCs w:val="20"/>
              </w:rPr>
              <w:tab/>
            </w:r>
            <w:r w:rsidRPr="004F425A">
              <w:rPr>
                <w:rFonts w:ascii="Lato" w:eastAsia="Lato" w:hAnsi="Lato" w:cs="Lato"/>
                <w:sz w:val="20"/>
                <w:szCs w:val="20"/>
              </w:rPr>
              <w:t xml:space="preserve">Rozbudowę infrastruktury badawczej </w:t>
            </w:r>
            <w:r w:rsidRPr="004F425A">
              <w:rPr>
                <w:rFonts w:ascii="Lato" w:eastAsia="Lato" w:hAnsi="Lato" w:cs="Lato"/>
                <w:sz w:val="20"/>
                <w:szCs w:val="20"/>
                <w:u w:val="single"/>
              </w:rPr>
              <w:t>w instytutach badawczych i na wyższych uczelniach</w:t>
            </w:r>
            <w:r w:rsidRPr="004F425A">
              <w:rPr>
                <w:rFonts w:ascii="Lato" w:eastAsia="Lato" w:hAnsi="Lato" w:cs="Lato"/>
                <w:sz w:val="20"/>
                <w:szCs w:val="20"/>
              </w:rPr>
              <w:t xml:space="preserve">. </w:t>
            </w:r>
            <w:r w:rsidRPr="004F425A">
              <w:rPr>
                <w:rFonts w:ascii="Lato" w:eastAsia="Lato" w:hAnsi="Lato" w:cs="Lato"/>
                <w:strike/>
                <w:sz w:val="20"/>
                <w:szCs w:val="20"/>
              </w:rPr>
              <w:t>i centrów kompetencji</w:t>
            </w:r>
            <w:r w:rsidRPr="004F425A">
              <w:rPr>
                <w:rFonts w:ascii="Lato" w:eastAsia="Lato" w:hAnsi="Lato" w:cs="Lato"/>
                <w:sz w:val="20"/>
                <w:szCs w:val="20"/>
              </w:rPr>
              <w:t>.</w:t>
            </w:r>
          </w:p>
          <w:p w14:paraId="60CE027D" w14:textId="7910C29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przy nazwie działania. W trybie zmian śledzonych: usunięcie „i centrów kompetencji” z nazwy działania, zastrzenie do „rozbudowy infrastruktury badawczej w instytutach badawczych i na wyższych uczelniach”.]</w:t>
            </w:r>
          </w:p>
        </w:tc>
        <w:tc>
          <w:tcPr>
            <w:tcW w:w="4859" w:type="dxa"/>
            <w:tcBorders>
              <w:top w:val="single" w:sz="4" w:space="0" w:color="auto"/>
              <w:left w:val="single" w:sz="4" w:space="0" w:color="auto"/>
              <w:bottom w:val="single" w:sz="4" w:space="0" w:color="auto"/>
              <w:right w:val="single" w:sz="4" w:space="0" w:color="auto"/>
            </w:tcBorders>
          </w:tcPr>
          <w:p w14:paraId="409248E7"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508E00FC" w14:textId="5F7AD0C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dokumencie wprowadzono zmianę zgodnie z propozycją AGH.</w:t>
            </w:r>
          </w:p>
        </w:tc>
      </w:tr>
      <w:tr w:rsidR="004471C5" w:rsidRPr="004F425A" w14:paraId="06A29F54" w14:textId="77777777" w:rsidTr="79FF9703">
        <w:tc>
          <w:tcPr>
            <w:tcW w:w="1425" w:type="dxa"/>
            <w:tcBorders>
              <w:top w:val="single" w:sz="4" w:space="0" w:color="auto"/>
              <w:left w:val="single" w:sz="4" w:space="0" w:color="auto"/>
              <w:bottom w:val="single" w:sz="4" w:space="0" w:color="auto"/>
              <w:right w:val="single" w:sz="4" w:space="0" w:color="auto"/>
            </w:tcBorders>
          </w:tcPr>
          <w:p w14:paraId="290F8783" w14:textId="5D4D5834"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32E5E298" w14:textId="7125701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0309983A"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Nie ma potrzeby wyróżniania jednego kierunku badawczego w dokumencie tej rangi.</w:t>
            </w:r>
          </w:p>
          <w:p w14:paraId="4875B41F" w14:textId="780318FE" w:rsidR="00F574A2" w:rsidRPr="004F425A" w:rsidRDefault="00F574A2" w:rsidP="004F425A">
            <w:pPr>
              <w:spacing w:after="120" w:line="240" w:lineRule="auto"/>
              <w:rPr>
                <w:rFonts w:ascii="Lato" w:eastAsia="Lato" w:hAnsi="Lato" w:cs="Lato"/>
                <w:strike/>
                <w:sz w:val="20"/>
                <w:szCs w:val="20"/>
              </w:rPr>
            </w:pPr>
            <w:r w:rsidRPr="004F425A">
              <w:rPr>
                <w:rFonts w:ascii="Lato" w:eastAsia="Lato" w:hAnsi="Lato" w:cs="Lato"/>
                <w:sz w:val="20"/>
                <w:szCs w:val="20"/>
              </w:rPr>
              <w:t xml:space="preserve">Rozbudowa infrastruktury badawczej w instytucjach badawczych i na wyższych uczelniach. </w:t>
            </w:r>
            <w:r w:rsidRPr="004F425A">
              <w:rPr>
                <w:rFonts w:ascii="Lato" w:eastAsia="Lato" w:hAnsi="Lato" w:cs="Lato"/>
                <w:strike/>
                <w:sz w:val="20"/>
                <w:szCs w:val="20"/>
              </w:rPr>
              <w:t>i centrów kompetencji</w:t>
            </w:r>
          </w:p>
          <w:p w14:paraId="668BDEE7" w14:textId="77777777" w:rsidR="00F574A2" w:rsidRPr="004F425A" w:rsidRDefault="00F574A2" w:rsidP="004F425A">
            <w:pPr>
              <w:spacing w:after="120" w:line="240" w:lineRule="auto"/>
              <w:rPr>
                <w:rFonts w:ascii="Lato" w:eastAsia="Lato" w:hAnsi="Lato" w:cs="Lato"/>
                <w:strike/>
                <w:sz w:val="20"/>
                <w:szCs w:val="20"/>
              </w:rPr>
            </w:pPr>
            <w:r w:rsidRPr="004F425A">
              <w:rPr>
                <w:rFonts w:ascii="Lato" w:eastAsia="Lato" w:hAnsi="Lato" w:cs="Lato"/>
                <w:sz w:val="20"/>
                <w:szCs w:val="20"/>
              </w:rPr>
              <w:t xml:space="preserve">Infrastruktura badawcza stanowi fundament ekosystemu technologicznego wspierającego rozwój sektora półprzewodników. </w:t>
            </w:r>
            <w:r w:rsidRPr="004F425A">
              <w:rPr>
                <w:rFonts w:ascii="Lato" w:eastAsia="Lato" w:hAnsi="Lato" w:cs="Lato"/>
                <w:strike/>
                <w:sz w:val="20"/>
                <w:szCs w:val="20"/>
              </w:rPr>
              <w:t xml:space="preserve">Centra kompetencji pełnią rolę węzłów, które integrują zaplecze badawcze, infrastrukturę inżynieryjną i wiedzę ekspercką wokół wybranych obszarów technologii. Uruchomiono je w ramach Europejskiego aktu o czipach, aby umożliwić dostęp do infrastruktury w celach przemysłowych, edukacyjnych i wdrożeniowych oraz wspierać rozwój technologii. Pierwszym z takich centrów kompetencji jest przygotowywane </w:t>
            </w:r>
          </w:p>
          <w:p w14:paraId="1D7F9DDB" w14:textId="2F9EA76A" w:rsidR="00F574A2" w:rsidRPr="004F425A" w:rsidRDefault="00F574A2" w:rsidP="004F425A">
            <w:pPr>
              <w:spacing w:after="120" w:line="240" w:lineRule="auto"/>
              <w:rPr>
                <w:rFonts w:ascii="Lato" w:eastAsia="Lato" w:hAnsi="Lato" w:cs="Lato"/>
                <w:strike/>
                <w:sz w:val="20"/>
                <w:szCs w:val="20"/>
              </w:rPr>
            </w:pPr>
            <w:r w:rsidRPr="004F425A">
              <w:rPr>
                <w:rFonts w:ascii="Lato" w:eastAsia="Lato" w:hAnsi="Lato" w:cs="Lato"/>
                <w:strike/>
                <w:sz w:val="20"/>
                <w:szCs w:val="20"/>
              </w:rPr>
              <w:t>Centrum Kompetencji Półprzewodnikowych „InnoSemi”. W miarę potrzeb jego działalność może być uzupełniana przez kolejne podobne inicjatywy wspierające rozwój sektora półprzewodników w Polsce</w:t>
            </w:r>
          </w:p>
          <w:p w14:paraId="38329F2F" w14:textId="05296B4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przy treści sekcji o rozbudowie infrastruktury. W trybie zmian śledzonych: usunięcie całego akapitu o centrach kompetencji jako węzłach integrujących i akapitu o InnoSemi; usunięcie nazw konkretnych ośrodków CEZAMAT PW, Łukasiewicz-IMiF, IWC PAN; usunięcie rozbudowanego opisu o dostępie usługowym i braku infrastruktury.]</w:t>
            </w:r>
          </w:p>
        </w:tc>
        <w:tc>
          <w:tcPr>
            <w:tcW w:w="4859" w:type="dxa"/>
            <w:tcBorders>
              <w:top w:val="single" w:sz="4" w:space="0" w:color="auto"/>
              <w:left w:val="single" w:sz="4" w:space="0" w:color="auto"/>
              <w:bottom w:val="single" w:sz="4" w:space="0" w:color="auto"/>
              <w:right w:val="single" w:sz="4" w:space="0" w:color="auto"/>
            </w:tcBorders>
          </w:tcPr>
          <w:p w14:paraId="7ECE5600"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0227F250" w14:textId="23DD80F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Usunięcie/modyfikacja wskazanego fragmentu obniżyłoby czytelność i informacyjność dokumentu dla odbiorców spoza środowiska naukowego (m.in. parlamentu, inwestorów, opinii publicznej). MC pozostawia opis, uznając przyjęty poziom szczegółowości za adekwatny do rangi i funkcji dokumentu.</w:t>
            </w:r>
          </w:p>
          <w:p w14:paraId="751AC3AF" w14:textId="10CFB4B7" w:rsidR="00F574A2" w:rsidRPr="004F425A" w:rsidRDefault="00F574A2" w:rsidP="004F425A">
            <w:pPr>
              <w:spacing w:after="120" w:line="240" w:lineRule="auto"/>
              <w:rPr>
                <w:rFonts w:ascii="Lato" w:eastAsia="Lato" w:hAnsi="Lato" w:cs="Lato"/>
                <w:sz w:val="20"/>
                <w:szCs w:val="20"/>
              </w:rPr>
            </w:pPr>
          </w:p>
        </w:tc>
      </w:tr>
      <w:tr w:rsidR="004471C5" w:rsidRPr="004F425A" w14:paraId="7BAC0996" w14:textId="77777777" w:rsidTr="79FF9703">
        <w:tc>
          <w:tcPr>
            <w:tcW w:w="1425" w:type="dxa"/>
            <w:tcBorders>
              <w:top w:val="single" w:sz="4" w:space="0" w:color="auto"/>
              <w:left w:val="single" w:sz="4" w:space="0" w:color="auto"/>
              <w:bottom w:val="single" w:sz="4" w:space="0" w:color="auto"/>
              <w:right w:val="single" w:sz="4" w:space="0" w:color="auto"/>
            </w:tcBorders>
          </w:tcPr>
          <w:p w14:paraId="06002412" w14:textId="06C85F4B"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644ECA93" w14:textId="758821A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4395E2E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Nie ma powodu w dokumencie będącym uchwałą Rady Ministrów wprost wskazywać beneficjenta.</w:t>
            </w:r>
          </w:p>
          <w:p w14:paraId="3DBE4963" w14:textId="1BFDDCE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w trybie zmian śledzonych: usunięcie rozbudowanego opisu funkcji centrów kompetencji jako zintegrowanych punktów dostępu do infrastruktury oraz akapitu o analizach rynkowych prowadzonych przez centra.]</w:t>
            </w:r>
          </w:p>
        </w:tc>
        <w:tc>
          <w:tcPr>
            <w:tcW w:w="4859" w:type="dxa"/>
            <w:tcBorders>
              <w:top w:val="single" w:sz="4" w:space="0" w:color="auto"/>
              <w:left w:val="single" w:sz="4" w:space="0" w:color="auto"/>
              <w:bottom w:val="single" w:sz="4" w:space="0" w:color="auto"/>
              <w:right w:val="single" w:sz="4" w:space="0" w:color="auto"/>
            </w:tcBorders>
          </w:tcPr>
          <w:p w14:paraId="365F7703"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7F8ADC33" w14:textId="28B10A8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Usunięcie/modyfikacja wskazanego fragmentu obniżyłoby czytelność i informacyjność dokumentu dla odbiorców spoza środowiska naukowego (m.in. parlamentu, inwestorów, opinii publicznej). MC pozostawia opis, uznając przyjęty poziom szczegółowości za adekwatny do rangi i funkcji dokumentu.</w:t>
            </w:r>
          </w:p>
        </w:tc>
      </w:tr>
      <w:tr w:rsidR="004471C5" w:rsidRPr="004F425A" w14:paraId="44C1891C" w14:textId="77777777" w:rsidTr="79FF9703">
        <w:tc>
          <w:tcPr>
            <w:tcW w:w="1425" w:type="dxa"/>
            <w:tcBorders>
              <w:top w:val="single" w:sz="4" w:space="0" w:color="auto"/>
              <w:left w:val="single" w:sz="4" w:space="0" w:color="auto"/>
              <w:bottom w:val="single" w:sz="4" w:space="0" w:color="auto"/>
              <w:right w:val="single" w:sz="4" w:space="0" w:color="auto"/>
            </w:tcBorders>
          </w:tcPr>
          <w:p w14:paraId="0900A895" w14:textId="412F2136"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0CECBC15" w14:textId="2965C69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2002F802"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Nie ma powodu w dokumencie będącym uchwałą Rady Ministrów wprost wskazywać beneficjenta.</w:t>
            </w:r>
          </w:p>
          <w:p w14:paraId="2F9D743C" w14:textId="169D58E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[Naniesiona poprawka:]</w:t>
            </w:r>
            <w:r w:rsidRPr="004F425A">
              <w:rPr>
                <w:rFonts w:ascii="Lato" w:hAnsi="Lato"/>
                <w:sz w:val="20"/>
                <w:szCs w:val="20"/>
              </w:rPr>
              <w:br/>
            </w:r>
            <w:r w:rsidRPr="004F425A">
              <w:rPr>
                <w:rFonts w:ascii="Lato" w:hAnsi="Lato"/>
                <w:sz w:val="20"/>
                <w:szCs w:val="20"/>
              </w:rPr>
              <w:br/>
            </w:r>
            <w:r w:rsidRPr="004F425A">
              <w:rPr>
                <w:rFonts w:ascii="Lato" w:eastAsia="Lato" w:hAnsi="Lato" w:cs="Lato"/>
                <w:sz w:val="20"/>
                <w:szCs w:val="20"/>
              </w:rPr>
              <w:t xml:space="preserve"> Istniejące w Polsce ośrodki badawcze i uczelnie wyższe </w:t>
            </w:r>
            <w:r w:rsidRPr="004F425A">
              <w:rPr>
                <w:rFonts w:ascii="Lato" w:eastAsia="Lato" w:hAnsi="Lato" w:cs="Lato"/>
                <w:strike/>
                <w:sz w:val="20"/>
                <w:szCs w:val="20"/>
              </w:rPr>
              <w:t>(m.in. CEZAMAT PW, Łukasiewicz-IMiF czy IWC PAN</w:t>
            </w:r>
            <w:r w:rsidRPr="004F425A">
              <w:rPr>
                <w:rFonts w:ascii="Lato" w:eastAsia="Lato" w:hAnsi="Lato" w:cs="Lato"/>
                <w:sz w:val="20"/>
                <w:szCs w:val="20"/>
              </w:rPr>
              <w:t>) dysponują kompetencjami i zasobami</w:t>
            </w:r>
          </w:p>
          <w:p w14:paraId="0926834E" w14:textId="6CDF4E6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p>
          <w:p w14:paraId="63F4A99C" w14:textId="77777777" w:rsidR="00F574A2" w:rsidRPr="004F425A" w:rsidRDefault="00F574A2" w:rsidP="004F425A">
            <w:pPr>
              <w:spacing w:after="120" w:line="240" w:lineRule="auto"/>
              <w:rPr>
                <w:rFonts w:ascii="Lato" w:eastAsia="Lato" w:hAnsi="Lato" w:cs="Lato"/>
                <w:strike/>
                <w:sz w:val="20"/>
                <w:szCs w:val="20"/>
              </w:rPr>
            </w:pPr>
            <w:r w:rsidRPr="004F425A">
              <w:rPr>
                <w:rFonts w:ascii="Lato" w:eastAsia="Lato" w:hAnsi="Lato" w:cs="Lato"/>
                <w:sz w:val="20"/>
                <w:szCs w:val="20"/>
              </w:rPr>
              <w:t xml:space="preserve">Dla zapewnienia trwałości inwestycji szczególną uwagę należy poświęcić projektom wspieranym z Krajowego Planu Odbudowy (KPO), </w:t>
            </w:r>
            <w:r w:rsidRPr="004F425A">
              <w:rPr>
                <w:rFonts w:ascii="Lato" w:eastAsia="Lato" w:hAnsi="Lato" w:cs="Lato"/>
                <w:strike/>
                <w:sz w:val="20"/>
                <w:szCs w:val="20"/>
              </w:rPr>
              <w:t xml:space="preserve">korzystając jednocześnie z możliwości jakie daje Polsce uczestnistwo w różnych inicjatywach Uniii Europejskiej.  takim jak Centrum Kompetencji Mikroelektronika i Fotonika oraz Centrum Mikroelektroniki Krzemowej </w:t>
            </w:r>
          </w:p>
          <w:p w14:paraId="3C1BC4E7" w14:textId="3242C52B" w:rsidR="00F574A2" w:rsidRPr="004F425A" w:rsidRDefault="00F574A2" w:rsidP="004F425A">
            <w:pPr>
              <w:spacing w:after="120" w:line="240" w:lineRule="auto"/>
              <w:rPr>
                <w:rFonts w:ascii="Lato" w:eastAsia="Lato" w:hAnsi="Lato" w:cs="Lato"/>
                <w:strike/>
                <w:sz w:val="20"/>
                <w:szCs w:val="20"/>
              </w:rPr>
            </w:pPr>
            <w:r w:rsidRPr="004F425A">
              <w:rPr>
                <w:rFonts w:ascii="Lato" w:eastAsia="Lato" w:hAnsi="Lato" w:cs="Lato"/>
                <w:strike/>
                <w:sz w:val="20"/>
                <w:szCs w:val="20"/>
              </w:rPr>
              <w:t>i Mikromontażu.</w:t>
            </w:r>
          </w:p>
          <w:p w14:paraId="175BA06B" w14:textId="5968C994" w:rsidR="00F574A2" w:rsidRPr="004F425A" w:rsidRDefault="00F574A2" w:rsidP="004F425A">
            <w:pPr>
              <w:spacing w:after="120" w:line="240" w:lineRule="auto"/>
              <w:rPr>
                <w:rFonts w:ascii="Lato" w:eastAsia="Lato" w:hAnsi="Lato" w:cs="Lato"/>
                <w:strike/>
                <w:sz w:val="20"/>
                <w:szCs w:val="20"/>
              </w:rPr>
            </w:pPr>
            <w:r w:rsidRPr="004F425A">
              <w:rPr>
                <w:rFonts w:ascii="Lato" w:eastAsia="Lato" w:hAnsi="Lato" w:cs="Lato"/>
                <w:strike/>
                <w:sz w:val="20"/>
                <w:szCs w:val="20"/>
              </w:rPr>
              <w:t>Istniejąca infrastruktura laboratoryjna w Polsce, choć często dobrze wyposażona, pozostaje rozproszona i trudno dostępna dla podmiotów spoza środowiska akademickiego. Brakuje instytucji pełniących funkcję pośrednika lub operatora, który umożliwiałby systemowe wykorzystanie tych zasobów przez firmy i instytucje publiczne. Centra kompetencji powinny pełnić funkcję zintegrowanych punktów dostępu do infrastruktury badawczej, prototypowej i walidacyjnej. Ich zadaniem powinno być zapewnienie dostępu do wspólnych przestrzeni eksperymentowania - takich jak laboratoria urządzeń, platformy testowe, pomieszczenia czyste (z ang. cleanroom), stanowiska pomiarowe i narzędzia do weryfikacji parametrów fizycznych oraz środowiskowych - w modelu usługowym, z jasno określonymi zasadami dostępu i harmonogramowania. Centra te powinny również wspierać koordynację pomiędzy instytucjami naukowymi a przemysłem, prowadzić wspólne projekty oraz oferować wsparcie techniczne dla podmiotów wdrażających technologie, w tym MŚP i start-upów.</w:t>
            </w:r>
          </w:p>
          <w:p w14:paraId="3125F54D" w14:textId="4090423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p>
          <w:p w14:paraId="184048F1" w14:textId="77777777" w:rsidR="00F574A2" w:rsidRPr="004F425A" w:rsidRDefault="00F574A2" w:rsidP="004F425A">
            <w:pPr>
              <w:spacing w:after="120" w:line="240" w:lineRule="auto"/>
              <w:rPr>
                <w:rFonts w:ascii="Lato" w:eastAsia="Lato" w:hAnsi="Lato" w:cs="Lato"/>
                <w:strike/>
                <w:sz w:val="20"/>
                <w:szCs w:val="20"/>
              </w:rPr>
            </w:pPr>
            <w:r w:rsidRPr="004F425A">
              <w:rPr>
                <w:rFonts w:ascii="Lato" w:eastAsia="Lato" w:hAnsi="Lato" w:cs="Lato"/>
                <w:strike/>
                <w:sz w:val="20"/>
                <w:szCs w:val="20"/>
              </w:rPr>
              <w:t xml:space="preserve">Centra kompetencji powinny również prowadzić i regularnie udostępniać analizy rynkowe, gromadząc dane o zapotrzebowaniu technologicznym firm, barierach wdrożeniowych oraz potencjale komercjalizacyjnym nowych technologii. Tego typu dane są niezbędne </w:t>
            </w:r>
          </w:p>
          <w:p w14:paraId="5E35F8BC" w14:textId="753B0157" w:rsidR="00F574A2" w:rsidRPr="004F425A" w:rsidRDefault="00F574A2" w:rsidP="004F425A">
            <w:pPr>
              <w:spacing w:after="120" w:line="240" w:lineRule="auto"/>
              <w:rPr>
                <w:rFonts w:ascii="Lato" w:eastAsia="Lato" w:hAnsi="Lato" w:cs="Lato"/>
                <w:strike/>
                <w:sz w:val="20"/>
                <w:szCs w:val="20"/>
              </w:rPr>
            </w:pPr>
            <w:r w:rsidRPr="004F425A">
              <w:rPr>
                <w:rFonts w:ascii="Lato" w:eastAsia="Lato" w:hAnsi="Lato" w:cs="Lato"/>
                <w:strike/>
                <w:sz w:val="20"/>
                <w:szCs w:val="20"/>
              </w:rPr>
              <w:t>dla planowania publicznych inwestycji oraz projektowania instrumentów wsparcia sektora.</w:t>
            </w:r>
          </w:p>
          <w:p w14:paraId="70F82B3F" w14:textId="7C80852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przy fragmencie o KPO i „Centrum Kompetencji Mikroelektronika i Fotonika”. W trybie zmian śledzonych: usunięcie akapitu o braku dostępu do infrastruktury jako bariery oraz akapitu o infrastrukturze laboratoryjnej; usunięcie wzmianki o projektach KPO.]</w:t>
            </w:r>
          </w:p>
        </w:tc>
        <w:tc>
          <w:tcPr>
            <w:tcW w:w="4859" w:type="dxa"/>
            <w:tcBorders>
              <w:top w:val="single" w:sz="4" w:space="0" w:color="auto"/>
              <w:left w:val="single" w:sz="4" w:space="0" w:color="auto"/>
              <w:bottom w:val="single" w:sz="4" w:space="0" w:color="auto"/>
              <w:right w:val="single" w:sz="4" w:space="0" w:color="auto"/>
            </w:tcBorders>
          </w:tcPr>
          <w:p w14:paraId="44004FA2"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33F78B4B" w14:textId="56FD0E1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Usunięcie/modyfikacja wskazanego fragmentu obniżyłoby czytelność i informacyjność dokumentu dla odbiorców spoza środowiska naukowego (m.in. parlamentu, inwestorów, opinii publicznej). MC pozostawia opis, uznając przyjęty poziom szczegółowości za adekwatny do rangi i funkcji dokumentu.</w:t>
            </w:r>
          </w:p>
          <w:p w14:paraId="26BFE67F" w14:textId="497BD3FF" w:rsidR="00F574A2" w:rsidRPr="004F425A" w:rsidRDefault="00F574A2" w:rsidP="004F425A">
            <w:pPr>
              <w:spacing w:after="120" w:line="240" w:lineRule="auto"/>
              <w:rPr>
                <w:rFonts w:ascii="Lato" w:eastAsia="Lato" w:hAnsi="Lato" w:cs="Lato"/>
                <w:sz w:val="20"/>
                <w:szCs w:val="20"/>
              </w:rPr>
            </w:pPr>
          </w:p>
        </w:tc>
      </w:tr>
      <w:tr w:rsidR="004471C5" w:rsidRPr="004F425A" w14:paraId="2F0DBC5E" w14:textId="77777777" w:rsidTr="79FF9703">
        <w:tc>
          <w:tcPr>
            <w:tcW w:w="1425" w:type="dxa"/>
            <w:tcBorders>
              <w:top w:val="single" w:sz="4" w:space="0" w:color="auto"/>
              <w:left w:val="single" w:sz="4" w:space="0" w:color="auto"/>
              <w:bottom w:val="single" w:sz="4" w:space="0" w:color="auto"/>
              <w:right w:val="single" w:sz="4" w:space="0" w:color="auto"/>
            </w:tcBorders>
          </w:tcPr>
          <w:p w14:paraId="1AF3C0BC" w14:textId="1C8EE5FF"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6C2D5356" w14:textId="297142B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40C62BA5" w14:textId="2A0CFA6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Uczelnie i instytuty badawcze posiadają dostęp do licencji, PDK, MPW – należy je tylko wesprzeć finansowo i to rozwiąże problem.</w:t>
            </w:r>
          </w:p>
          <w:p w14:paraId="4AA38CB3" w14:textId="12FE519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[Naniesiona zmiana:]</w:t>
            </w:r>
          </w:p>
          <w:p w14:paraId="6C453987"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ramach tej analizy, rozważone zostaną następujące elementy:</w:t>
            </w:r>
          </w:p>
          <w:p w14:paraId="36BCDBA4" w14:textId="77777777" w:rsidR="00F574A2" w:rsidRPr="004F425A" w:rsidRDefault="00F574A2" w:rsidP="004F425A">
            <w:pPr>
              <w:spacing w:after="120" w:line="240" w:lineRule="auto"/>
              <w:rPr>
                <w:rFonts w:ascii="Lato" w:eastAsia="Lato" w:hAnsi="Lato" w:cs="Lato"/>
                <w:strike/>
                <w:sz w:val="20"/>
                <w:szCs w:val="20"/>
              </w:rPr>
            </w:pPr>
            <w:r w:rsidRPr="004F425A">
              <w:rPr>
                <w:rFonts w:ascii="Lato" w:eastAsia="Lato" w:hAnsi="Lato" w:cs="Lato"/>
                <w:strike/>
                <w:sz w:val="20"/>
                <w:szCs w:val="20"/>
              </w:rPr>
              <w:t>•</w:t>
            </w:r>
            <w:r w:rsidRPr="004F425A">
              <w:rPr>
                <w:rFonts w:ascii="Lato" w:hAnsi="Lato"/>
                <w:sz w:val="20"/>
                <w:szCs w:val="20"/>
              </w:rPr>
              <w:tab/>
            </w:r>
            <w:r w:rsidRPr="004F425A">
              <w:rPr>
                <w:rFonts w:ascii="Lato" w:eastAsia="Lato" w:hAnsi="Lato" w:cs="Lato"/>
                <w:strike/>
                <w:sz w:val="20"/>
                <w:szCs w:val="20"/>
              </w:rPr>
              <w:t>Ocena możliwości utworzenia centralnie zarządzanego systemu licencji, który zapewni dostęp na zasadzie sublicencji lub dostępu zdalnego dla uczelni i MŚP.</w:t>
            </w:r>
          </w:p>
          <w:p w14:paraId="0642F621" w14:textId="77777777" w:rsidR="00F574A2" w:rsidRPr="004F425A" w:rsidRDefault="00F574A2" w:rsidP="004F425A">
            <w:pPr>
              <w:spacing w:after="120" w:line="240" w:lineRule="auto"/>
              <w:rPr>
                <w:rFonts w:ascii="Lato" w:eastAsia="Lato" w:hAnsi="Lato" w:cs="Lato"/>
                <w:strike/>
                <w:sz w:val="20"/>
                <w:szCs w:val="20"/>
              </w:rPr>
            </w:pPr>
            <w:r w:rsidRPr="004F425A">
              <w:rPr>
                <w:rFonts w:ascii="Lato" w:eastAsia="Lato" w:hAnsi="Lato" w:cs="Lato"/>
                <w:strike/>
                <w:sz w:val="20"/>
                <w:szCs w:val="20"/>
              </w:rPr>
              <w:t>•</w:t>
            </w:r>
            <w:r w:rsidRPr="004F425A">
              <w:rPr>
                <w:rFonts w:ascii="Lato" w:hAnsi="Lato"/>
                <w:sz w:val="20"/>
                <w:szCs w:val="20"/>
              </w:rPr>
              <w:tab/>
            </w:r>
            <w:r w:rsidRPr="004F425A">
              <w:rPr>
                <w:rFonts w:ascii="Lato" w:eastAsia="Lato" w:hAnsi="Lato" w:cs="Lato"/>
                <w:strike/>
                <w:sz w:val="20"/>
                <w:szCs w:val="20"/>
              </w:rPr>
              <w:t>Przygotowanie koncepcji repozytorium bibliotek PDK (w tym model open-source), które będzie zawierać dokumentację oraz wsparcie wdrożeniowe.</w:t>
            </w:r>
          </w:p>
          <w:p w14:paraId="51E8F168" w14:textId="77777777" w:rsidR="00F574A2" w:rsidRPr="004F425A" w:rsidRDefault="00F574A2" w:rsidP="004F425A">
            <w:pPr>
              <w:spacing w:after="120" w:line="240" w:lineRule="auto"/>
              <w:rPr>
                <w:rFonts w:ascii="Lato" w:eastAsia="Lato" w:hAnsi="Lato" w:cs="Lato"/>
                <w:strike/>
                <w:sz w:val="20"/>
                <w:szCs w:val="20"/>
              </w:rPr>
            </w:pPr>
            <w:r w:rsidRPr="004F425A">
              <w:rPr>
                <w:rFonts w:ascii="Lato" w:eastAsia="Lato" w:hAnsi="Lato" w:cs="Lato"/>
                <w:strike/>
                <w:sz w:val="20"/>
                <w:szCs w:val="20"/>
              </w:rPr>
              <w:t>•</w:t>
            </w:r>
            <w:r w:rsidRPr="004F425A">
              <w:rPr>
                <w:rFonts w:ascii="Lato" w:hAnsi="Lato"/>
                <w:sz w:val="20"/>
                <w:szCs w:val="20"/>
              </w:rPr>
              <w:tab/>
            </w:r>
            <w:r w:rsidRPr="004F425A">
              <w:rPr>
                <w:rFonts w:ascii="Lato" w:eastAsia="Lato" w:hAnsi="Lato" w:cs="Lato"/>
                <w:strike/>
                <w:sz w:val="20"/>
                <w:szCs w:val="20"/>
              </w:rPr>
              <w:t xml:space="preserve">Analiza opcji organizacji pul wieloprojektowych płytek (z ang. Multi-Project Wafer, MPW) oraz masek wielowarstwowych (z ang. Multi-Layer Mask, MLM) dla firm, </w:t>
            </w:r>
          </w:p>
          <w:p w14:paraId="7081FD11" w14:textId="24B44A6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 możliwością dofinansowania tzw. tape-outu dla małych podmiotów.</w:t>
            </w:r>
          </w:p>
          <w:p w14:paraId="45D670A8"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Ewaluacja integracji z europejskimi i międzynarodowymi programami dostępu do fabryk, takimi jak Wspólne Przedsięwzięcie na rzecz czipów (z ang. Chips JU), GlobalFoundries czy SkyWater.</w:t>
            </w:r>
          </w:p>
          <w:p w14:paraId="4EACC40F"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Ocena potrzeb inżynierskich w zakresie wsparcia wdrożenia, walidacji i symulacji własności intelektualnych (z ang. IP).</w:t>
            </w:r>
          </w:p>
          <w:p w14:paraId="54EA43EC"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Propozycja systemu rejestracji i monitorowania korzystania z zasobów oraz cyklicznego raportowania efektów.</w:t>
            </w:r>
          </w:p>
          <w:p w14:paraId="5803B4B1" w14:textId="3A3C91B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t>
            </w:r>
            <w:r w:rsidRPr="004F425A">
              <w:rPr>
                <w:rFonts w:ascii="Lato" w:hAnsi="Lato"/>
                <w:sz w:val="20"/>
                <w:szCs w:val="20"/>
              </w:rPr>
              <w:tab/>
            </w:r>
            <w:r w:rsidRPr="004F425A">
              <w:rPr>
                <w:rFonts w:ascii="Lato" w:eastAsia="Lato" w:hAnsi="Lato" w:cs="Lato"/>
                <w:sz w:val="20"/>
                <w:szCs w:val="20"/>
              </w:rPr>
              <w:t>Określenie metod wsparcia dla firm i jednostek B+R w zakresie ochrony innowacji wypracowanych w ramach współpracy z platformą.</w:t>
            </w:r>
          </w:p>
          <w:p w14:paraId="21E2F312" w14:textId="6E8AE4A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w trybie zmian śledzonych: usunięcie trzech punktów z analizy do przeprowadzenia: o centralnym systemie licencji, repozytorium PDK open-source i pulach MPW/MLM.]</w:t>
            </w:r>
          </w:p>
        </w:tc>
        <w:tc>
          <w:tcPr>
            <w:tcW w:w="4859" w:type="dxa"/>
            <w:tcBorders>
              <w:top w:val="single" w:sz="4" w:space="0" w:color="auto"/>
              <w:left w:val="single" w:sz="4" w:space="0" w:color="auto"/>
              <w:bottom w:val="single" w:sz="4" w:space="0" w:color="auto"/>
              <w:right w:val="single" w:sz="4" w:space="0" w:color="auto"/>
            </w:tcBorders>
          </w:tcPr>
          <w:p w14:paraId="0932B500"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69D327AD" w14:textId="739674D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Usunięcie/modyfikacja wskazanego fragmentu obniżyłoby czytelność i informacyjność dokumentu dla odbiorców spoza środowiska naukowego (m.in. parlamentu, inwestorów, opinii publicznej). MC pozostawia opis, uznając przyjęty poziom szczegółowości za adekwatny do rangi i funkcji dokumentu.</w:t>
            </w:r>
          </w:p>
          <w:p w14:paraId="2BF3368D" w14:textId="188EA4DA" w:rsidR="00F574A2" w:rsidRPr="004F425A" w:rsidRDefault="00F574A2" w:rsidP="004F425A">
            <w:pPr>
              <w:spacing w:after="120" w:line="240" w:lineRule="auto"/>
              <w:rPr>
                <w:rFonts w:ascii="Lato" w:eastAsia="Lato" w:hAnsi="Lato" w:cs="Lato"/>
                <w:sz w:val="20"/>
                <w:szCs w:val="20"/>
              </w:rPr>
            </w:pPr>
          </w:p>
        </w:tc>
      </w:tr>
      <w:tr w:rsidR="004471C5" w:rsidRPr="004F425A" w14:paraId="075BF414" w14:textId="77777777" w:rsidTr="79FF9703">
        <w:tc>
          <w:tcPr>
            <w:tcW w:w="1425" w:type="dxa"/>
            <w:tcBorders>
              <w:top w:val="single" w:sz="4" w:space="0" w:color="auto"/>
              <w:left w:val="single" w:sz="4" w:space="0" w:color="auto"/>
              <w:bottom w:val="single" w:sz="4" w:space="0" w:color="auto"/>
              <w:right w:val="single" w:sz="4" w:space="0" w:color="auto"/>
            </w:tcBorders>
          </w:tcPr>
          <w:p w14:paraId="581E2232" w14:textId="6D672E7F"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42EA860B" w14:textId="62C9681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10C28CE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Uczelnie, instytuty badawcze i firmy mają bezpośredni dostęp do instytucji takich jak Europractice, CMP France czy imec.IC-link, zatem tworzenie dodatkowych instytucji pośredniczących jest niecelowe zarówno merytorycznie, jak i finansowo.</w:t>
            </w:r>
          </w:p>
          <w:p w14:paraId="0DC214A8" w14:textId="7F0298B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[Naniesiona zmiana:]</w:t>
            </w:r>
          </w:p>
          <w:p w14:paraId="7B723D93"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Planowana platforma krajowa powinna uzupełniać istniejące rozwiązania europejskie - takie jak Europractice, CMP France czy imec.IC-link - dostosowując je do specyficznych potrzeb </w:t>
            </w:r>
          </w:p>
          <w:p w14:paraId="61E62981" w14:textId="29AA22E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i poziomu rozwoju polskiego ekosystemu. Może przyjąć formę konsorcjum uczelni i instytutów badawczo-rozwojowych, z udziałem operatora infrastruktury cyfrowej oraz instytucji wspierających innowacje. Taki model - funkcjonujący z powodzeniem w wielu państwach UE - pozwala na wspólne korzystanie z zasobów projektowych, narzędzi EDA i usług MPW/MLM w sposób skoordynowany i dostępny także dla MŚP. </w:t>
            </w:r>
            <w:r w:rsidRPr="004F425A">
              <w:rPr>
                <w:rFonts w:ascii="Lato" w:eastAsia="Lato" w:hAnsi="Lato" w:cs="Lato"/>
                <w:strike/>
                <w:sz w:val="20"/>
                <w:szCs w:val="20"/>
              </w:rPr>
              <w:t>Osadzenie tej funkcji w ramach centrów kompetencji lub parków technologicznych umożliwiłoby płynną integrację z krajowymi instrumentami wsparcia i infrastrukturą badawczo-produkcyjną</w:t>
            </w:r>
          </w:p>
          <w:p w14:paraId="3A253A0D" w14:textId="17D2732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W trybie zmian śledzonych: usunięcie całego akapitu o planowanej platformie krajowej jako uzupełnieniu istniejących rozwiązań europejskich.]</w:t>
            </w:r>
          </w:p>
        </w:tc>
        <w:tc>
          <w:tcPr>
            <w:tcW w:w="4859" w:type="dxa"/>
            <w:tcBorders>
              <w:top w:val="single" w:sz="4" w:space="0" w:color="auto"/>
              <w:left w:val="single" w:sz="4" w:space="0" w:color="auto"/>
              <w:bottom w:val="single" w:sz="4" w:space="0" w:color="auto"/>
              <w:right w:val="single" w:sz="4" w:space="0" w:color="auto"/>
            </w:tcBorders>
          </w:tcPr>
          <w:p w14:paraId="17FB46DF"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2252CB73" w14:textId="6AFB1E7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Usunięcie/modyfikacja wskazanego fragmentu obniżyłoby czytelność i informacyjność dokumentu dla odbiorców spoza środowiska naukowego (m.in. parlamentu, inwestorów, opinii publicznej). MC pozostawia opis, uznając przyjęty poziom szczegółowości za adekwatny do rangi i funkcji dokumentu.</w:t>
            </w:r>
          </w:p>
          <w:p w14:paraId="4643B455" w14:textId="2BB1C4C6" w:rsidR="00F574A2" w:rsidRPr="004F425A" w:rsidRDefault="00F574A2" w:rsidP="004F425A">
            <w:pPr>
              <w:spacing w:after="120" w:line="240" w:lineRule="auto"/>
              <w:rPr>
                <w:rFonts w:ascii="Lato" w:eastAsia="Lato" w:hAnsi="Lato" w:cs="Lato"/>
                <w:sz w:val="20"/>
                <w:szCs w:val="20"/>
              </w:rPr>
            </w:pPr>
          </w:p>
        </w:tc>
      </w:tr>
      <w:tr w:rsidR="004471C5" w:rsidRPr="004F425A" w14:paraId="47CDFD90" w14:textId="77777777" w:rsidTr="79FF9703">
        <w:tc>
          <w:tcPr>
            <w:tcW w:w="1425" w:type="dxa"/>
            <w:tcBorders>
              <w:top w:val="single" w:sz="4" w:space="0" w:color="auto"/>
              <w:left w:val="single" w:sz="4" w:space="0" w:color="auto"/>
              <w:bottom w:val="single" w:sz="4" w:space="0" w:color="auto"/>
              <w:right w:val="single" w:sz="4" w:space="0" w:color="auto"/>
            </w:tcBorders>
          </w:tcPr>
          <w:p w14:paraId="2F84835B" w14:textId="1D48EA86"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3E9722AA" w14:textId="476EC1D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27A97B97" w14:textId="60E5F1C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[Wykreślono cały segment „Fotonika jako specjalizacja globalna”]</w:t>
            </w:r>
          </w:p>
          <w:p w14:paraId="4719A91A" w14:textId="17BCB57D" w:rsidR="00F574A2" w:rsidRPr="004F425A" w:rsidRDefault="00F574A2" w:rsidP="004F425A">
            <w:pPr>
              <w:spacing w:after="120" w:line="240" w:lineRule="auto"/>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357F2CFD"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7A8FDF34" w14:textId="1CE4F7A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Usunięcie/modyfikacja wskazanego fragmentu obniżyłoby czytelność i informacyjność dokumentu dla odbiorców spoza środowiska naukowego (m.in. parlamentu, inwestorów, opinii publicznej). MC pozostawia opis, uznając przyjęty poziom szczegółowości za adekwatny do rangi i funkcji dokumentu.</w:t>
            </w:r>
          </w:p>
          <w:p w14:paraId="663DA318" w14:textId="74C1B7D3" w:rsidR="00F574A2" w:rsidRPr="004F425A" w:rsidRDefault="00F574A2" w:rsidP="004F425A">
            <w:pPr>
              <w:spacing w:after="120" w:line="240" w:lineRule="auto"/>
              <w:rPr>
                <w:rFonts w:ascii="Lato" w:eastAsia="Lato" w:hAnsi="Lato" w:cs="Lato"/>
                <w:sz w:val="20"/>
                <w:szCs w:val="20"/>
              </w:rPr>
            </w:pPr>
          </w:p>
        </w:tc>
      </w:tr>
      <w:tr w:rsidR="004471C5" w:rsidRPr="004F425A" w14:paraId="5883EAA1" w14:textId="77777777" w:rsidTr="79FF9703">
        <w:tc>
          <w:tcPr>
            <w:tcW w:w="1425" w:type="dxa"/>
            <w:tcBorders>
              <w:top w:val="single" w:sz="4" w:space="0" w:color="auto"/>
              <w:left w:val="single" w:sz="4" w:space="0" w:color="auto"/>
              <w:bottom w:val="single" w:sz="4" w:space="0" w:color="auto"/>
              <w:right w:val="single" w:sz="4" w:space="0" w:color="auto"/>
            </w:tcBorders>
          </w:tcPr>
          <w:p w14:paraId="7B152DC6" w14:textId="7C91A10F"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27C2DD60" w14:textId="599E79D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2E7D0D3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Należy jedynie przedłużyć ten program, zachowując go dla dużego inwestora strategicznego.</w:t>
            </w:r>
          </w:p>
          <w:p w14:paraId="43663E91" w14:textId="64DD0F9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[Naniesione zmiany:]</w:t>
            </w:r>
          </w:p>
          <w:p w14:paraId="0EBA0D7B"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Krajowe Ramy Wspierania Strategicznych Inwestycji Półprzewodnikowych</w:t>
            </w:r>
          </w:p>
          <w:p w14:paraId="7A9B613C" w14:textId="7F16871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Obecnie głównym instrumentem krajowego wsparcia sektora jest program z budżetem 1,5 mld euro na lata 2024-2026. Należy rozważyć jego przedłużenie </w:t>
            </w:r>
            <w:r w:rsidRPr="004F425A">
              <w:rPr>
                <w:rFonts w:ascii="Lato" w:eastAsia="Lato" w:hAnsi="Lato" w:cs="Lato"/>
                <w:strike/>
                <w:sz w:val="20"/>
                <w:szCs w:val="20"/>
              </w:rPr>
              <w:t>oraz zwiększenie elastyczności zasad przyznawania pomocy, w tym potencjalne wykorzystanie części tych środków na sektorowy park technologiczny. Jako możliwy kierunek reformy warto rozpatrzyć obniżenie progu wejścia (obecnie 750 mln zł) dla projektów, aby umożliwić udział firm z polskim kapitałem - nawet przy inwestycjach rzędu 10-20 mln zł rozłożonych w czasie. Wsparcie takie mogłoby dotyczyć projektów o wysokim znaczeniu strategicznym, także w formule pilotażowej</w:t>
            </w:r>
          </w:p>
          <w:p w14:paraId="79B3663E" w14:textId="10B1369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W trybie zmian śledzonych: usunięcie całego akapitu o obniżeniu progu wejścia (750 mln zł) i pilotażowym wsparciu małych firm.]</w:t>
            </w:r>
          </w:p>
        </w:tc>
        <w:tc>
          <w:tcPr>
            <w:tcW w:w="4859" w:type="dxa"/>
            <w:tcBorders>
              <w:top w:val="single" w:sz="4" w:space="0" w:color="auto"/>
              <w:left w:val="single" w:sz="4" w:space="0" w:color="auto"/>
              <w:bottom w:val="single" w:sz="4" w:space="0" w:color="auto"/>
              <w:right w:val="single" w:sz="4" w:space="0" w:color="auto"/>
            </w:tcBorders>
          </w:tcPr>
          <w:p w14:paraId="058DB2A4"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50A283FD" w14:textId="33A117C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Usunięcie/modyfikacja wskazanego fragmentu obniżyłoby czytelność i informacyjność dokumentu dla odbiorców spoza środowiska naukowego (m.in. parlamentu, inwestorów, opinii publicznej). MC pozostawia opis w obecnym brzmieniu, uznając przyjęty poziom szczegółowości za adekwatny do rangi i funkcji dokumentu.</w:t>
            </w:r>
          </w:p>
          <w:p w14:paraId="27F320F2" w14:textId="0C0AFB9D" w:rsidR="00F574A2" w:rsidRPr="004F425A" w:rsidRDefault="00F574A2" w:rsidP="004F425A">
            <w:pPr>
              <w:spacing w:after="120" w:line="240" w:lineRule="auto"/>
              <w:rPr>
                <w:rFonts w:ascii="Lato" w:eastAsia="Lato" w:hAnsi="Lato" w:cs="Lato"/>
                <w:sz w:val="20"/>
                <w:szCs w:val="20"/>
              </w:rPr>
            </w:pPr>
          </w:p>
        </w:tc>
      </w:tr>
      <w:tr w:rsidR="004471C5" w:rsidRPr="004F425A" w14:paraId="0C273E18" w14:textId="77777777" w:rsidTr="79FF9703">
        <w:tc>
          <w:tcPr>
            <w:tcW w:w="1425" w:type="dxa"/>
            <w:tcBorders>
              <w:top w:val="single" w:sz="4" w:space="0" w:color="auto"/>
              <w:left w:val="single" w:sz="4" w:space="0" w:color="auto"/>
              <w:bottom w:val="single" w:sz="4" w:space="0" w:color="auto"/>
              <w:right w:val="single" w:sz="4" w:space="0" w:color="auto"/>
            </w:tcBorders>
          </w:tcPr>
          <w:p w14:paraId="4AD06E88" w14:textId="08B88D34"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17062135" w14:textId="7A46CF5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0AE66E0D" w14:textId="5ECB8C1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Na AGH w Krakowie od ponad 10 lat istnieje dedykowany kierunek studiów koncentrujący się na kształceniu projektantów układów scalonych: MIKROELEKTRONIKA W TECHNICE I MEDYCYNIE. Kierunek ten ukończyło na I stopniu ponad 250 absolwentów (inż.) i ponad 100 na II stopniu (mgr.).</w:t>
            </w:r>
          </w:p>
          <w:p w14:paraId="21202816" w14:textId="28A9B78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[Naniesiona zmiana:]</w:t>
            </w:r>
          </w:p>
          <w:p w14:paraId="31A66910" w14:textId="4AF440F9" w:rsidR="00F574A2" w:rsidRPr="004F425A" w:rsidRDefault="00F574A2" w:rsidP="004F425A">
            <w:pPr>
              <w:spacing w:after="120" w:line="240" w:lineRule="auto"/>
              <w:rPr>
                <w:rFonts w:ascii="Lato" w:eastAsia="Lato" w:hAnsi="Lato" w:cs="Lato"/>
                <w:strike/>
                <w:sz w:val="20"/>
                <w:szCs w:val="20"/>
              </w:rPr>
            </w:pPr>
            <w:r w:rsidRPr="004F425A">
              <w:rPr>
                <w:rFonts w:ascii="Lato" w:eastAsia="Lato" w:hAnsi="Lato" w:cs="Lato"/>
                <w:sz w:val="20"/>
                <w:szCs w:val="20"/>
              </w:rPr>
              <w:t xml:space="preserve">Szczególną uwagę należy poświęcić </w:t>
            </w:r>
            <w:r w:rsidRPr="004F425A">
              <w:rPr>
                <w:rFonts w:ascii="Lato" w:eastAsia="Lato" w:hAnsi="Lato" w:cs="Lato"/>
                <w:strike/>
                <w:sz w:val="20"/>
                <w:szCs w:val="20"/>
              </w:rPr>
              <w:t>brakowi</w:t>
            </w:r>
            <w:r w:rsidRPr="004F425A">
              <w:rPr>
                <w:rFonts w:ascii="Lato" w:eastAsia="Lato" w:hAnsi="Lato" w:cs="Lato"/>
                <w:sz w:val="20"/>
                <w:szCs w:val="20"/>
              </w:rPr>
              <w:t xml:space="preserve"> </w:t>
            </w:r>
            <w:r w:rsidRPr="004F425A">
              <w:rPr>
                <w:rFonts w:ascii="Lato" w:eastAsia="Lato" w:hAnsi="Lato" w:cs="Lato"/>
                <w:sz w:val="20"/>
                <w:szCs w:val="20"/>
                <w:u w:val="single"/>
              </w:rPr>
              <w:t>rozwojowi</w:t>
            </w:r>
            <w:r w:rsidRPr="004F425A">
              <w:rPr>
                <w:rFonts w:ascii="Lato" w:eastAsia="Lato" w:hAnsi="Lato" w:cs="Lato"/>
                <w:sz w:val="20"/>
                <w:szCs w:val="20"/>
              </w:rPr>
              <w:t xml:space="preserve"> programów kształcenia w zakresie projektowania układów scalonych. Programy te powinny zostać intensywnie rozwinięte jako fundament obecności kraju w globalnym łańcuchu wartości półprzewodników. Dzięki temu będą one mogły stanowić jedną z głównych przewag kompetencyjnych Polski. Zaleca się utworzenie międzyuczelnianych centrów kompetencji, wspierających rozwój wspólnych programów dydaktycznych i ułatwiających dostęp do infrastruktury specjalistycznej. Centra te powinny również stanowić platformę współpracy z inwestorami technologicznymi oraz małymi i średnimi przedsiębiorstwami. </w:t>
            </w:r>
            <w:r w:rsidRPr="004F425A">
              <w:rPr>
                <w:rFonts w:ascii="Lato" w:eastAsia="Lato" w:hAnsi="Lato" w:cs="Lato"/>
                <w:strike/>
                <w:sz w:val="20"/>
                <w:szCs w:val="20"/>
              </w:rPr>
              <w:t>Centra kompetencji powinny w pierwszej kolejności wykorzystywać istniejące struktury instytucjonalne, w tym powstałe w 2024 roku Centrum Kompetencji Półprzewodnikowych InnoSemi. Ewentualne tworzenie nowych jednostek organizacyjnych będzie poprzedzone szczegółową analizą możliwości realizacji zakładanych zadań w ramach istniejących struktur oraz oceną zasadności i kosztów powołania dodatkowych podmiotów.</w:t>
            </w:r>
          </w:p>
          <w:p w14:paraId="6134A433" w14:textId="066CBC0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124. W trybie zmian śledzonych: usunięcie zdania o „szczególnej uwadze wobec braku programów kształcenia projektantów” (jako niezgodnego ze stanem faktycznym); dodanie wzmianki o AGH i kierunku MIKROELEKTRONIKA W TECHNICE I MEDYCYNIE.]</w:t>
            </w:r>
          </w:p>
        </w:tc>
        <w:tc>
          <w:tcPr>
            <w:tcW w:w="4859" w:type="dxa"/>
            <w:tcBorders>
              <w:top w:val="single" w:sz="4" w:space="0" w:color="auto"/>
              <w:left w:val="single" w:sz="4" w:space="0" w:color="auto"/>
              <w:bottom w:val="single" w:sz="4" w:space="0" w:color="auto"/>
              <w:right w:val="single" w:sz="4" w:space="0" w:color="auto"/>
            </w:tcBorders>
          </w:tcPr>
          <w:p w14:paraId="53741981" w14:textId="250336BC" w:rsidR="00F574A2" w:rsidRPr="004F425A" w:rsidRDefault="00F574A2" w:rsidP="004F425A">
            <w:pPr>
              <w:spacing w:after="120" w:line="240" w:lineRule="auto"/>
              <w:rPr>
                <w:rStyle w:val="Ppogrubienie"/>
                <w:rFonts w:ascii="Lato" w:hAnsi="Lato"/>
                <w:sz w:val="20"/>
                <w:szCs w:val="20"/>
              </w:rPr>
            </w:pPr>
            <w:r w:rsidRPr="004F425A">
              <w:rPr>
                <w:rFonts w:ascii="Lato" w:eastAsia="Lato" w:hAnsi="Lato" w:cs="Lato"/>
                <w:sz w:val="20"/>
                <w:szCs w:val="20"/>
              </w:rPr>
              <w:t xml:space="preserve"> </w:t>
            </w:r>
            <w:r w:rsidRPr="004F425A">
              <w:rPr>
                <w:rStyle w:val="Ppogrubienie"/>
                <w:rFonts w:ascii="Lato" w:hAnsi="Lato"/>
                <w:sz w:val="20"/>
                <w:szCs w:val="20"/>
              </w:rPr>
              <w:t xml:space="preserve">Uwaga częściowo uwzględniona. </w:t>
            </w:r>
          </w:p>
          <w:p w14:paraId="3B8C3057" w14:textId="77C4518B" w:rsidR="00F574A2" w:rsidRPr="004F425A" w:rsidRDefault="00F574A2" w:rsidP="004F425A">
            <w:pPr>
              <w:spacing w:after="120" w:line="240" w:lineRule="auto"/>
              <w:rPr>
                <w:rFonts w:ascii="Lato" w:eastAsia="Lato" w:hAnsi="Lato" w:cs="Lato"/>
                <w:sz w:val="20"/>
                <w:szCs w:val="20"/>
              </w:rPr>
            </w:pPr>
            <w:r w:rsidRPr="004F425A">
              <w:rPr>
                <w:rFonts w:ascii="Lato" w:hAnsi="Lato"/>
                <w:sz w:val="20"/>
                <w:szCs w:val="20"/>
              </w:rPr>
              <w:t xml:space="preserve">Dokument częściowo uwzględnia uwagę w zakresie centrów kompetencji. Fragment  ten został jednak dodatkowo zmodyfikowany na bazie innych uwag. </w:t>
            </w:r>
            <w:r w:rsidRPr="004F425A">
              <w:rPr>
                <w:rFonts w:ascii="Lato" w:hAnsi="Lato"/>
                <w:sz w:val="20"/>
                <w:szCs w:val="20"/>
              </w:rPr>
              <w:br/>
            </w:r>
          </w:p>
          <w:p w14:paraId="51A08EE7" w14:textId="611F4E60" w:rsidR="00F574A2" w:rsidRPr="004F425A" w:rsidRDefault="00F574A2" w:rsidP="004F425A">
            <w:pPr>
              <w:spacing w:after="120" w:line="240" w:lineRule="auto"/>
              <w:rPr>
                <w:rFonts w:ascii="Lato" w:eastAsia="Lato" w:hAnsi="Lato" w:cs="Lato"/>
                <w:sz w:val="20"/>
                <w:szCs w:val="20"/>
              </w:rPr>
            </w:pPr>
          </w:p>
        </w:tc>
      </w:tr>
      <w:tr w:rsidR="004471C5" w:rsidRPr="004F425A" w14:paraId="42E06433" w14:textId="77777777" w:rsidTr="79FF9703">
        <w:tc>
          <w:tcPr>
            <w:tcW w:w="1425" w:type="dxa"/>
            <w:tcBorders>
              <w:top w:val="single" w:sz="4" w:space="0" w:color="auto"/>
              <w:left w:val="single" w:sz="4" w:space="0" w:color="auto"/>
              <w:bottom w:val="single" w:sz="4" w:space="0" w:color="auto"/>
              <w:right w:val="single" w:sz="4" w:space="0" w:color="auto"/>
            </w:tcBorders>
          </w:tcPr>
          <w:p w14:paraId="577B4944" w14:textId="639110A2"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0A1AD442" w14:textId="7AEA6F0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AGH w Krakowie </w:t>
            </w:r>
          </w:p>
        </w:tc>
        <w:tc>
          <w:tcPr>
            <w:tcW w:w="5387" w:type="dxa"/>
            <w:tcBorders>
              <w:top w:val="single" w:sz="4" w:space="0" w:color="auto"/>
              <w:left w:val="single" w:sz="4" w:space="0" w:color="auto"/>
              <w:bottom w:val="single" w:sz="4" w:space="0" w:color="auto"/>
              <w:right w:val="single" w:sz="4" w:space="0" w:color="auto"/>
            </w:tcBorders>
          </w:tcPr>
          <w:p w14:paraId="386D75EC"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Zarówno PW, jak i AGH posiadają doświadczenie w tym zakresie.</w:t>
            </w:r>
          </w:p>
          <w:p w14:paraId="637DB386" w14:textId="095E0FF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[Naniesiona poprawka:]</w:t>
            </w:r>
          </w:p>
          <w:p w14:paraId="4ED28852" w14:textId="1225EC0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Programy stypendialne, w tym współfinansowane przez przemysł, mogą zwiększyć atrakcyjność studiów technicznych. Rekomenduje się uruchomienie szeroko zakrojonej inicjatywy edukacyjnej obejmującej programy stypendialne i staże przemysłowe dla studentów mikroelektroniki, mikrooptoelektroniki oraz projektowania układów scalonych. Program ten może być oparty na doświadczeniach Politechniki Warszawskiej </w:t>
            </w:r>
            <w:r w:rsidRPr="004F425A">
              <w:rPr>
                <w:rFonts w:ascii="Lato" w:eastAsia="Lato" w:hAnsi="Lato" w:cs="Lato"/>
                <w:sz w:val="20"/>
                <w:szCs w:val="20"/>
                <w:u w:val="single"/>
              </w:rPr>
              <w:t>oraz Akademii-Górniczo Hutniczej w Krakowie</w:t>
            </w:r>
            <w:r w:rsidRPr="004F425A">
              <w:rPr>
                <w:rFonts w:ascii="Lato" w:eastAsia="Lato" w:hAnsi="Lato" w:cs="Lato"/>
                <w:sz w:val="20"/>
                <w:szCs w:val="20"/>
              </w:rPr>
              <w:t xml:space="preserve">. </w:t>
            </w:r>
            <w:r w:rsidRPr="004F425A">
              <w:rPr>
                <w:rFonts w:ascii="Lato" w:eastAsia="Lato" w:hAnsi="Lato" w:cs="Lato"/>
                <w:strike/>
                <w:sz w:val="20"/>
                <w:szCs w:val="20"/>
              </w:rPr>
              <w:t>z realizacji projektu Akademia MOEMS - inicjatywy skierowanej do studentów ostatnich lat studiów I stopnia oraz studentów II stopnia, zwłaszcza z kierunków takich jak elektronika, fotonika, inżynieria materiałowa czy chemiczna</w:t>
            </w:r>
            <w:r w:rsidRPr="004F425A">
              <w:rPr>
                <w:rFonts w:ascii="Lato" w:eastAsia="Lato" w:hAnsi="Lato" w:cs="Lato"/>
                <w:sz w:val="20"/>
                <w:szCs w:val="20"/>
              </w:rPr>
              <w:t>. Wdrażanie programu powinno rozpocząć się od I kwartału 2027 roku.</w:t>
            </w:r>
          </w:p>
          <w:p w14:paraId="424D97DB" w14:textId="5A51BF3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[Komentarz 132. W trybie zmian śledzonych: usunięcie wzmianki o Akademii MOEMS (inicjatywy PW) jako wzorcu dla programów stypendialnych; dodanie ogólnego odniesienia do obu uczelni – PW i AGH.]</w:t>
            </w:r>
          </w:p>
        </w:tc>
        <w:tc>
          <w:tcPr>
            <w:tcW w:w="4859" w:type="dxa"/>
            <w:tcBorders>
              <w:top w:val="single" w:sz="4" w:space="0" w:color="auto"/>
              <w:left w:val="single" w:sz="4" w:space="0" w:color="auto"/>
              <w:bottom w:val="single" w:sz="4" w:space="0" w:color="auto"/>
              <w:right w:val="single" w:sz="4" w:space="0" w:color="auto"/>
            </w:tcBorders>
          </w:tcPr>
          <w:p w14:paraId="36BB3910"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1C709C81" w14:textId="259B7BC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został uzupełniony zgodnie z propozycją AGH.</w:t>
            </w:r>
          </w:p>
          <w:p w14:paraId="34AE88C6" w14:textId="46ACAFF2" w:rsidR="00F574A2" w:rsidRPr="004F425A" w:rsidRDefault="00F574A2" w:rsidP="004F425A">
            <w:pPr>
              <w:spacing w:after="120" w:line="240" w:lineRule="auto"/>
              <w:rPr>
                <w:rFonts w:ascii="Lato" w:eastAsia="Lato" w:hAnsi="Lato" w:cs="Lato"/>
                <w:sz w:val="20"/>
                <w:szCs w:val="20"/>
              </w:rPr>
            </w:pPr>
          </w:p>
        </w:tc>
      </w:tr>
      <w:tr w:rsidR="004471C5" w:rsidRPr="004F425A" w14:paraId="1A9AF859" w14:textId="77777777" w:rsidTr="79FF9703">
        <w:tc>
          <w:tcPr>
            <w:tcW w:w="1425" w:type="dxa"/>
            <w:tcBorders>
              <w:top w:val="single" w:sz="4" w:space="0" w:color="auto"/>
              <w:left w:val="single" w:sz="4" w:space="0" w:color="auto"/>
              <w:bottom w:val="single" w:sz="4" w:space="0" w:color="auto"/>
              <w:right w:val="single" w:sz="4" w:space="0" w:color="auto"/>
            </w:tcBorders>
          </w:tcPr>
          <w:p w14:paraId="408E9DED"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4E348D6" w14:textId="56FE1C2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AGH w Krakowie (Załącznik 2 – propozycje uzupełnień)</w:t>
            </w:r>
          </w:p>
        </w:tc>
        <w:tc>
          <w:tcPr>
            <w:tcW w:w="5387" w:type="dxa"/>
            <w:tcBorders>
              <w:top w:val="single" w:sz="4" w:space="0" w:color="auto"/>
              <w:left w:val="single" w:sz="4" w:space="0" w:color="auto"/>
              <w:bottom w:val="single" w:sz="4" w:space="0" w:color="auto"/>
              <w:right w:val="single" w:sz="4" w:space="0" w:color="auto"/>
            </w:tcBorders>
          </w:tcPr>
          <w:p w14:paraId="6B0AE767"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[Proponowany zapis:]</w:t>
            </w:r>
          </w:p>
          <w:p w14:paraId="1D1BE260" w14:textId="6C56A81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Rozwój materiałów półprzewodnikowych obejmuje zarówno materiały szerokoprzerwowe, jak i materiały funkcjonalne wykorzystywane w technologiach konwersji energii oraz zarządzania temperaturą, stanowiące istotny element współczesnego ekosystemu technologii półprzewodnikowych.</w:t>
            </w:r>
          </w:p>
          <w:p w14:paraId="2A50F74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[Uzasadnienie:]</w:t>
            </w:r>
          </w:p>
          <w:p w14:paraId="5E6E1082" w14:textId="33123F1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Obecne zapisy koncentrują się na materiałach szerokoprzerwowych, co zawęża zakres technologii. Półprzewodnikowe technologie termoelektryczne opierają się na innych klasach materiałów, a pełnią istotną rolę funkcjonalną.</w:t>
            </w:r>
          </w:p>
        </w:tc>
        <w:tc>
          <w:tcPr>
            <w:tcW w:w="4859" w:type="dxa"/>
            <w:tcBorders>
              <w:top w:val="single" w:sz="4" w:space="0" w:color="auto"/>
              <w:left w:val="single" w:sz="4" w:space="0" w:color="auto"/>
              <w:bottom w:val="single" w:sz="4" w:space="0" w:color="auto"/>
              <w:right w:val="single" w:sz="4" w:space="0" w:color="auto"/>
            </w:tcBorders>
          </w:tcPr>
          <w:p w14:paraId="112A8360" w14:textId="7AF99EE5"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4FD6613A" w14:textId="6A86BE8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Polityka celowo nie różnicuje wsparcia wg wąskich segmentów technologicznych (np. rad-hard, pamięci półprzewodnikowe, technologie termoelektryczne), by uniknąć nadmiernej granulacji. Doprecyzowanie priorytetów technologicznych nastąpi na etapie Mapy drogowej rozwoju technologii półprzewodnikowych (Filar II), łatwiejszej do aktualizacji.</w:t>
            </w:r>
          </w:p>
        </w:tc>
      </w:tr>
      <w:tr w:rsidR="004471C5" w:rsidRPr="004F425A" w14:paraId="5D565E8B" w14:textId="77777777" w:rsidTr="79FF9703">
        <w:tc>
          <w:tcPr>
            <w:tcW w:w="1425" w:type="dxa"/>
            <w:tcBorders>
              <w:top w:val="single" w:sz="4" w:space="0" w:color="auto"/>
              <w:left w:val="single" w:sz="4" w:space="0" w:color="auto"/>
              <w:bottom w:val="single" w:sz="4" w:space="0" w:color="auto"/>
              <w:right w:val="single" w:sz="4" w:space="0" w:color="auto"/>
            </w:tcBorders>
          </w:tcPr>
          <w:p w14:paraId="24B6FF6C"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09E80B2" w14:textId="3D30D30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AGH w Krakowie (Załącznik 2 – propozycje uzupełnień)</w:t>
            </w:r>
          </w:p>
        </w:tc>
        <w:tc>
          <w:tcPr>
            <w:tcW w:w="5387" w:type="dxa"/>
            <w:tcBorders>
              <w:top w:val="single" w:sz="4" w:space="0" w:color="auto"/>
              <w:left w:val="single" w:sz="4" w:space="0" w:color="auto"/>
              <w:bottom w:val="single" w:sz="4" w:space="0" w:color="auto"/>
              <w:right w:val="single" w:sz="4" w:space="0" w:color="auto"/>
            </w:tcBorders>
          </w:tcPr>
          <w:p w14:paraId="2BC09A02"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[Proponowany zapis:]</w:t>
            </w:r>
          </w:p>
          <w:p w14:paraId="16E1053D" w14:textId="31686FC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Uzupełnia się katalog priorytetowych obszarów technologicznych o technologie półprzewodnikowej konwersji energii oraz zarządzania temperaturą, w tym technologie termoelektryczne, stanowiące komplementarny element ekosystemu technologii półprzewodnikowych.</w:t>
            </w:r>
          </w:p>
          <w:p w14:paraId="37D5AD7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[Uzasadnienie:]</w:t>
            </w:r>
          </w:p>
          <w:p w14:paraId="0BBC20E2" w14:textId="779C030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Technologie termoelektryczne stanowią brakujący element ekosystemu – wspierają fotonikę, optoelektronikę i elektronikę mocy.</w:t>
            </w:r>
          </w:p>
        </w:tc>
        <w:tc>
          <w:tcPr>
            <w:tcW w:w="4859" w:type="dxa"/>
            <w:tcBorders>
              <w:top w:val="single" w:sz="4" w:space="0" w:color="auto"/>
              <w:left w:val="single" w:sz="4" w:space="0" w:color="auto"/>
              <w:bottom w:val="single" w:sz="4" w:space="0" w:color="auto"/>
              <w:right w:val="single" w:sz="4" w:space="0" w:color="auto"/>
            </w:tcBorders>
          </w:tcPr>
          <w:p w14:paraId="3483AFAB" w14:textId="5AB7E422"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6B7DE17A" w14:textId="655978F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Polityka celowo nie różnicuje wsparcia wg wąskich segmentów technologicznych (np. rad-hard, pamięci półprzewodnikowe, technologie termoelektryczne), by uniknąć nadmiernej granulacji. Doprecyzowanie priorytetów technologicznych nastąpi na etapie Mapy drogowej rozwoju technologii półprzewodnikowych (Filar II), łatwiejszej do aktualizacji.</w:t>
            </w:r>
          </w:p>
        </w:tc>
      </w:tr>
      <w:tr w:rsidR="004471C5" w:rsidRPr="004F425A" w14:paraId="7463E231" w14:textId="77777777" w:rsidTr="79FF9703">
        <w:tc>
          <w:tcPr>
            <w:tcW w:w="1425" w:type="dxa"/>
            <w:tcBorders>
              <w:top w:val="single" w:sz="4" w:space="0" w:color="auto"/>
              <w:left w:val="single" w:sz="4" w:space="0" w:color="auto"/>
              <w:bottom w:val="single" w:sz="4" w:space="0" w:color="auto"/>
              <w:right w:val="single" w:sz="4" w:space="0" w:color="auto"/>
            </w:tcBorders>
          </w:tcPr>
          <w:p w14:paraId="216C5950"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4FC9762" w14:textId="151C937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AGH w Krakowie (Załącznik 2 – propozycje uzupełnień)</w:t>
            </w:r>
          </w:p>
        </w:tc>
        <w:tc>
          <w:tcPr>
            <w:tcW w:w="5387" w:type="dxa"/>
            <w:tcBorders>
              <w:top w:val="single" w:sz="4" w:space="0" w:color="auto"/>
              <w:left w:val="single" w:sz="4" w:space="0" w:color="auto"/>
              <w:bottom w:val="single" w:sz="4" w:space="0" w:color="auto"/>
              <w:right w:val="single" w:sz="4" w:space="0" w:color="auto"/>
            </w:tcBorders>
          </w:tcPr>
          <w:p w14:paraId="2382A6E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[Proponowany zapis:]</w:t>
            </w:r>
          </w:p>
          <w:p w14:paraId="6648D862" w14:textId="310F78C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systemach optoelektronicznych, w szczególności w detektorach podczerwieni, diodach laserowych oraz elementach komunikacji optycznej, istotnym czynnikiem determinującym stabilność parametrów pracy jest kontrola temperatury. Technologie półprzewodnikowego chłodzenia, w tym rozwiązania termoelektryczne, stanowią integralny element tych systemów.</w:t>
            </w:r>
          </w:p>
          <w:p w14:paraId="189AC1C2"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[Uzasadnienie:]</w:t>
            </w:r>
          </w:p>
          <w:p w14:paraId="29486FAE" w14:textId="07FAAD3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Stabilizacja temperatury jest kluczowa dla działania systemów optoelektronicznych, ale aspekt ten nie jest obecnie wyraźnie uwzględniony.</w:t>
            </w:r>
          </w:p>
        </w:tc>
        <w:tc>
          <w:tcPr>
            <w:tcW w:w="4859" w:type="dxa"/>
            <w:tcBorders>
              <w:top w:val="single" w:sz="4" w:space="0" w:color="auto"/>
              <w:left w:val="single" w:sz="4" w:space="0" w:color="auto"/>
              <w:bottom w:val="single" w:sz="4" w:space="0" w:color="auto"/>
              <w:right w:val="single" w:sz="4" w:space="0" w:color="auto"/>
            </w:tcBorders>
          </w:tcPr>
          <w:p w14:paraId="662F0AE3" w14:textId="77777777" w:rsidR="00F574A2" w:rsidRPr="004F425A" w:rsidRDefault="00F574A2" w:rsidP="004F425A">
            <w:pPr>
              <w:spacing w:after="120" w:line="240" w:lineRule="auto"/>
              <w:jc w:val="both"/>
              <w:rPr>
                <w:rStyle w:val="Ppogrubienie"/>
                <w:rFonts w:ascii="Lato" w:hAnsi="Lato"/>
                <w:sz w:val="20"/>
                <w:szCs w:val="20"/>
              </w:rPr>
            </w:pPr>
            <w:r w:rsidRPr="004F425A">
              <w:rPr>
                <w:rStyle w:val="Ppogrubienie"/>
                <w:rFonts w:ascii="Lato" w:hAnsi="Lato"/>
                <w:sz w:val="20"/>
                <w:szCs w:val="20"/>
              </w:rPr>
              <w:t xml:space="preserve">Uwaga uwzględniona. </w:t>
            </w:r>
          </w:p>
          <w:p w14:paraId="1E774083" w14:textId="35C194E9" w:rsidR="00F574A2" w:rsidRPr="004F425A" w:rsidRDefault="00F574A2" w:rsidP="004F425A">
            <w:pPr>
              <w:spacing w:after="120" w:line="240" w:lineRule="auto"/>
              <w:rPr>
                <w:rFonts w:ascii="Lato" w:eastAsia="Lato" w:hAnsi="Lato" w:cs="Lato"/>
                <w:sz w:val="20"/>
                <w:szCs w:val="20"/>
              </w:rPr>
            </w:pPr>
            <w:r w:rsidRPr="004F425A">
              <w:rPr>
                <w:rFonts w:ascii="Lato" w:hAnsi="Lato"/>
                <w:sz w:val="20"/>
                <w:szCs w:val="20"/>
              </w:rPr>
              <w:t>Zgodnie z propozycją AGH - wprowadzono uzupełnienie obejmujące komentarze 166- 171 do sekcji pn. “Fotoniczne układy scalone”.</w:t>
            </w:r>
          </w:p>
        </w:tc>
      </w:tr>
      <w:tr w:rsidR="004471C5" w:rsidRPr="004F425A" w14:paraId="5E8F74B5" w14:textId="77777777" w:rsidTr="79FF9703">
        <w:tc>
          <w:tcPr>
            <w:tcW w:w="1425" w:type="dxa"/>
            <w:tcBorders>
              <w:top w:val="single" w:sz="4" w:space="0" w:color="auto"/>
              <w:left w:val="single" w:sz="4" w:space="0" w:color="auto"/>
              <w:bottom w:val="single" w:sz="4" w:space="0" w:color="auto"/>
              <w:right w:val="single" w:sz="4" w:space="0" w:color="auto"/>
            </w:tcBorders>
          </w:tcPr>
          <w:p w14:paraId="674A9BE7"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B03676A" w14:textId="04518FC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AGH w Krakowie (Załącznik 2 – propozycje uzupełnień)</w:t>
            </w:r>
          </w:p>
        </w:tc>
        <w:tc>
          <w:tcPr>
            <w:tcW w:w="5387" w:type="dxa"/>
            <w:tcBorders>
              <w:top w:val="single" w:sz="4" w:space="0" w:color="auto"/>
              <w:left w:val="single" w:sz="4" w:space="0" w:color="auto"/>
              <w:bottom w:val="single" w:sz="4" w:space="0" w:color="auto"/>
              <w:right w:val="single" w:sz="4" w:space="0" w:color="auto"/>
            </w:tcBorders>
          </w:tcPr>
          <w:p w14:paraId="13F69F1B"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[Proponowany zapis:]</w:t>
            </w:r>
          </w:p>
          <w:p w14:paraId="77428A00" w14:textId="15AC075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Wraz ze wzrostem gęstości mocy w układach półprzewodnikowych stosowanych w centrach danych i systemach sztucznej inteligencji rośnie znaczenie technologii zarządzania temperaturą, umożliwiających precyzyjną i lokalną kontrolę warunków pracy komponentów elektronicznych.</w:t>
            </w:r>
          </w:p>
          <w:p w14:paraId="2E8997C4"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[Uzasadnienie:]</w:t>
            </w:r>
          </w:p>
          <w:p w14:paraId="2CA32A1F" w14:textId="78C49D5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Zarządzanie temperaturą jest jednym z głównych ograniczeń rozwoju systemów wysokiej mocy i AI.</w:t>
            </w:r>
          </w:p>
        </w:tc>
        <w:tc>
          <w:tcPr>
            <w:tcW w:w="4859" w:type="dxa"/>
            <w:tcBorders>
              <w:top w:val="single" w:sz="4" w:space="0" w:color="auto"/>
              <w:left w:val="single" w:sz="4" w:space="0" w:color="auto"/>
              <w:bottom w:val="single" w:sz="4" w:space="0" w:color="auto"/>
              <w:right w:val="single" w:sz="4" w:space="0" w:color="auto"/>
            </w:tcBorders>
          </w:tcPr>
          <w:p w14:paraId="518B9CA9" w14:textId="77777777" w:rsidR="00F574A2" w:rsidRPr="004F425A" w:rsidRDefault="00F574A2" w:rsidP="004F425A">
            <w:pPr>
              <w:spacing w:after="120" w:line="240" w:lineRule="auto"/>
              <w:jc w:val="both"/>
              <w:rPr>
                <w:rStyle w:val="Ppogrubienie"/>
                <w:rFonts w:ascii="Lato" w:hAnsi="Lato"/>
                <w:sz w:val="20"/>
                <w:szCs w:val="20"/>
              </w:rPr>
            </w:pPr>
            <w:r w:rsidRPr="004F425A">
              <w:rPr>
                <w:rStyle w:val="Ppogrubienie"/>
                <w:rFonts w:ascii="Lato" w:hAnsi="Lato"/>
                <w:sz w:val="20"/>
                <w:szCs w:val="20"/>
              </w:rPr>
              <w:t xml:space="preserve">Uwaga uwzględniona. </w:t>
            </w:r>
          </w:p>
          <w:p w14:paraId="150DF74D" w14:textId="77F6C90B" w:rsidR="00F574A2" w:rsidRPr="004F425A" w:rsidRDefault="00F574A2" w:rsidP="004F425A">
            <w:pPr>
              <w:spacing w:after="120" w:line="240" w:lineRule="auto"/>
              <w:jc w:val="both"/>
              <w:rPr>
                <w:rFonts w:ascii="Lato" w:hAnsi="Lato"/>
                <w:b/>
                <w:sz w:val="20"/>
                <w:szCs w:val="20"/>
              </w:rPr>
            </w:pPr>
            <w:r w:rsidRPr="004F425A">
              <w:rPr>
                <w:rFonts w:ascii="Lato" w:hAnsi="Lato"/>
                <w:sz w:val="20"/>
                <w:szCs w:val="20"/>
              </w:rPr>
              <w:t>Zgodnie z propozycją AGH - wprowadzono uzupełnienie obejmujące komentarze 166- 171 do sekcji pn. “Fotoniczne układy scalone”.</w:t>
            </w:r>
          </w:p>
        </w:tc>
      </w:tr>
      <w:tr w:rsidR="004471C5" w:rsidRPr="004F425A" w14:paraId="6550245D" w14:textId="77777777" w:rsidTr="79FF9703">
        <w:tc>
          <w:tcPr>
            <w:tcW w:w="1425" w:type="dxa"/>
            <w:tcBorders>
              <w:top w:val="single" w:sz="4" w:space="0" w:color="auto"/>
              <w:left w:val="single" w:sz="4" w:space="0" w:color="auto"/>
              <w:bottom w:val="single" w:sz="4" w:space="0" w:color="auto"/>
              <w:right w:val="single" w:sz="4" w:space="0" w:color="auto"/>
            </w:tcBorders>
          </w:tcPr>
          <w:p w14:paraId="2437D1EB"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02BC692" w14:textId="480669F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AGH w Krakowie (Załącznik 2 – propozycje uzupełnień)</w:t>
            </w:r>
          </w:p>
        </w:tc>
        <w:tc>
          <w:tcPr>
            <w:tcW w:w="5387" w:type="dxa"/>
            <w:tcBorders>
              <w:top w:val="single" w:sz="4" w:space="0" w:color="auto"/>
              <w:left w:val="single" w:sz="4" w:space="0" w:color="auto"/>
              <w:bottom w:val="single" w:sz="4" w:space="0" w:color="auto"/>
              <w:right w:val="single" w:sz="4" w:space="0" w:color="auto"/>
            </w:tcBorders>
          </w:tcPr>
          <w:p w14:paraId="1EA91C32"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[Proponowany zapis:]</w:t>
            </w:r>
          </w:p>
          <w:p w14:paraId="58AB6A27" w14:textId="63E0650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Technologie półprzewodnikowej konwersji energii, w tym technologie termoelektryczne, mogą wspierać odzysk ciepła odpadowego oraz zwiększenie efektywności energetycznej systemów przemysłowych i infrastruktury cyfrowej.</w:t>
            </w:r>
          </w:p>
          <w:p w14:paraId="56B0010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[Uzasadnienie:]</w:t>
            </w:r>
          </w:p>
          <w:p w14:paraId="1A6D8EF5" w14:textId="2499293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Technologie TE umożliwiają bezpośrednią konwersję energii cieplnej i wpisują się w cele efektywności energetycznej.</w:t>
            </w:r>
          </w:p>
        </w:tc>
        <w:tc>
          <w:tcPr>
            <w:tcW w:w="4859" w:type="dxa"/>
            <w:tcBorders>
              <w:top w:val="single" w:sz="4" w:space="0" w:color="auto"/>
              <w:left w:val="single" w:sz="4" w:space="0" w:color="auto"/>
              <w:bottom w:val="single" w:sz="4" w:space="0" w:color="auto"/>
              <w:right w:val="single" w:sz="4" w:space="0" w:color="auto"/>
            </w:tcBorders>
          </w:tcPr>
          <w:p w14:paraId="508193C1" w14:textId="77777777" w:rsidR="00F574A2" w:rsidRPr="004F425A" w:rsidRDefault="00F574A2" w:rsidP="004F425A">
            <w:pPr>
              <w:spacing w:after="120" w:line="240" w:lineRule="auto"/>
              <w:jc w:val="both"/>
              <w:rPr>
                <w:rStyle w:val="Ppogrubienie"/>
                <w:rFonts w:ascii="Lato" w:hAnsi="Lato"/>
                <w:sz w:val="20"/>
                <w:szCs w:val="20"/>
              </w:rPr>
            </w:pPr>
            <w:r w:rsidRPr="004F425A">
              <w:rPr>
                <w:rStyle w:val="Ppogrubienie"/>
                <w:rFonts w:ascii="Lato" w:hAnsi="Lato"/>
                <w:sz w:val="20"/>
                <w:szCs w:val="20"/>
              </w:rPr>
              <w:t xml:space="preserve">Uwaga uwzględniona. </w:t>
            </w:r>
          </w:p>
          <w:p w14:paraId="3B104A5A" w14:textId="160E375F" w:rsidR="00F574A2" w:rsidRPr="004F425A" w:rsidRDefault="00F574A2" w:rsidP="004F425A">
            <w:pPr>
              <w:spacing w:after="120" w:line="240" w:lineRule="auto"/>
              <w:rPr>
                <w:rFonts w:ascii="Lato" w:eastAsia="Lato" w:hAnsi="Lato" w:cs="Lato"/>
                <w:sz w:val="20"/>
                <w:szCs w:val="20"/>
              </w:rPr>
            </w:pPr>
            <w:r w:rsidRPr="004F425A">
              <w:rPr>
                <w:rFonts w:ascii="Lato" w:hAnsi="Lato"/>
                <w:sz w:val="20"/>
                <w:szCs w:val="20"/>
              </w:rPr>
              <w:t>Zgodnie z propozycją AGH - wprowadzono uzupełnienie obejmujące komentarze 166- 171 do sekcji pn. “Fotoniczne układy scalone”.</w:t>
            </w:r>
          </w:p>
        </w:tc>
      </w:tr>
      <w:tr w:rsidR="004471C5" w:rsidRPr="004F425A" w14:paraId="10C8E6C3" w14:textId="77777777" w:rsidTr="79FF9703">
        <w:tc>
          <w:tcPr>
            <w:tcW w:w="1425" w:type="dxa"/>
            <w:tcBorders>
              <w:top w:val="single" w:sz="4" w:space="0" w:color="auto"/>
              <w:left w:val="single" w:sz="4" w:space="0" w:color="auto"/>
              <w:bottom w:val="single" w:sz="4" w:space="0" w:color="auto"/>
              <w:right w:val="single" w:sz="4" w:space="0" w:color="auto"/>
            </w:tcBorders>
          </w:tcPr>
          <w:p w14:paraId="3053A876"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6914AAF" w14:textId="391BEEF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AGH w Krakowie (Załącznik 2 – propozycje uzupełnień)</w:t>
            </w:r>
          </w:p>
        </w:tc>
        <w:tc>
          <w:tcPr>
            <w:tcW w:w="5387" w:type="dxa"/>
            <w:tcBorders>
              <w:top w:val="single" w:sz="4" w:space="0" w:color="auto"/>
              <w:left w:val="single" w:sz="4" w:space="0" w:color="auto"/>
              <w:bottom w:val="single" w:sz="4" w:space="0" w:color="auto"/>
              <w:right w:val="single" w:sz="4" w:space="0" w:color="auto"/>
            </w:tcBorders>
          </w:tcPr>
          <w:p w14:paraId="695D3617"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[Proponowany zapis:]</w:t>
            </w:r>
          </w:p>
          <w:p w14:paraId="35AAB468" w14:textId="24D4D27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Produkcja materiałów i modułów wykorzystywanych w technologiach zarządzania temperaturą oraz konwersji energii koncentruje się obecnie w ograniczonej liczbie państw, w szczególności w Azji. Wzmocnienie kompetencji europejskich w tym obszarze ma znaczenie dla odporności łańcuchów dostaw oraz bezpieczeństwa technologicznego.</w:t>
            </w:r>
          </w:p>
          <w:p w14:paraId="683005B4"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[Uzasadnienie:]</w:t>
            </w:r>
          </w:p>
          <w:p w14:paraId="0EEAD8DE" w14:textId="1DCED4E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Istnieje ryzyko koncentracji produkcji (zwłaszcza w Chinach), analogiczne do sektora fotowoltaiki.</w:t>
            </w:r>
          </w:p>
        </w:tc>
        <w:tc>
          <w:tcPr>
            <w:tcW w:w="4859" w:type="dxa"/>
            <w:tcBorders>
              <w:top w:val="single" w:sz="4" w:space="0" w:color="auto"/>
              <w:left w:val="single" w:sz="4" w:space="0" w:color="auto"/>
              <w:bottom w:val="single" w:sz="4" w:space="0" w:color="auto"/>
              <w:right w:val="single" w:sz="4" w:space="0" w:color="auto"/>
            </w:tcBorders>
          </w:tcPr>
          <w:p w14:paraId="55C28107" w14:textId="77777777" w:rsidR="00F574A2" w:rsidRPr="004F425A" w:rsidRDefault="00F574A2" w:rsidP="004F425A">
            <w:pPr>
              <w:spacing w:after="120" w:line="240" w:lineRule="auto"/>
              <w:jc w:val="both"/>
              <w:rPr>
                <w:rStyle w:val="Ppogrubienie"/>
                <w:rFonts w:ascii="Lato" w:hAnsi="Lato"/>
                <w:sz w:val="20"/>
                <w:szCs w:val="20"/>
              </w:rPr>
            </w:pPr>
            <w:r w:rsidRPr="004F425A">
              <w:rPr>
                <w:rStyle w:val="Ppogrubienie"/>
                <w:rFonts w:ascii="Lato" w:hAnsi="Lato"/>
                <w:sz w:val="20"/>
                <w:szCs w:val="20"/>
              </w:rPr>
              <w:t xml:space="preserve">Uwaga uwzględniona. </w:t>
            </w:r>
          </w:p>
          <w:p w14:paraId="6CB3ACAB" w14:textId="21DCCFD2" w:rsidR="00F574A2" w:rsidRPr="004F425A" w:rsidRDefault="00F574A2" w:rsidP="004F425A">
            <w:pPr>
              <w:spacing w:after="120" w:line="240" w:lineRule="auto"/>
              <w:rPr>
                <w:rFonts w:ascii="Lato" w:eastAsia="Lato" w:hAnsi="Lato" w:cs="Lato"/>
                <w:sz w:val="20"/>
                <w:szCs w:val="20"/>
              </w:rPr>
            </w:pPr>
            <w:r w:rsidRPr="004F425A">
              <w:rPr>
                <w:rFonts w:ascii="Lato" w:hAnsi="Lato"/>
                <w:sz w:val="20"/>
                <w:szCs w:val="20"/>
              </w:rPr>
              <w:t>Zgodnie z propozycją AGH - wprowadzono uzupełnienie obejmujące komentarze 166- 171 do sekcji pn. “Fotoniczne układy scalone”.</w:t>
            </w:r>
          </w:p>
        </w:tc>
      </w:tr>
      <w:tr w:rsidR="004471C5" w:rsidRPr="004F425A" w14:paraId="3F2A8181" w14:textId="77777777" w:rsidTr="79FF9703">
        <w:tc>
          <w:tcPr>
            <w:tcW w:w="1425" w:type="dxa"/>
            <w:tcBorders>
              <w:top w:val="single" w:sz="4" w:space="0" w:color="auto"/>
              <w:left w:val="single" w:sz="4" w:space="0" w:color="auto"/>
              <w:bottom w:val="single" w:sz="4" w:space="0" w:color="auto"/>
              <w:right w:val="single" w:sz="4" w:space="0" w:color="auto"/>
            </w:tcBorders>
          </w:tcPr>
          <w:p w14:paraId="673734EE"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9060CE2" w14:textId="7FAA4E9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AGH w Krakowie (Załącznik 2 – propozycje uzupełnień)</w:t>
            </w:r>
          </w:p>
        </w:tc>
        <w:tc>
          <w:tcPr>
            <w:tcW w:w="5387" w:type="dxa"/>
            <w:tcBorders>
              <w:top w:val="single" w:sz="4" w:space="0" w:color="auto"/>
              <w:left w:val="single" w:sz="4" w:space="0" w:color="auto"/>
              <w:bottom w:val="single" w:sz="4" w:space="0" w:color="auto"/>
              <w:right w:val="single" w:sz="4" w:space="0" w:color="auto"/>
            </w:tcBorders>
          </w:tcPr>
          <w:p w14:paraId="5673073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[Proponowany zapis:]</w:t>
            </w:r>
          </w:p>
          <w:p w14:paraId="15E78EA3" w14:textId="5E160EA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Technologie półprzewodnikowego zarządzania temperaturą oraz konwersji energii posiadają charakter technologii podwójnego zastosowania (dual-use), znajdując zastosowanie zarówno w systemach cywilnych, jak i w zaawansowanych rozwiązaniach wykorzystywanych w sektorach bezpieczeństwa i technik kosmicznych.</w:t>
            </w:r>
          </w:p>
          <w:p w14:paraId="64A0F2AE"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[Uzasadnienie:]</w:t>
            </w:r>
          </w:p>
          <w:p w14:paraId="08291717" w14:textId="4740047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Technologie TE są stosowane w systemach wojskowych, obserwacyjnych i kosmicznych – mają znaczenie strategiczne.</w:t>
            </w:r>
          </w:p>
        </w:tc>
        <w:tc>
          <w:tcPr>
            <w:tcW w:w="4859" w:type="dxa"/>
            <w:tcBorders>
              <w:top w:val="single" w:sz="4" w:space="0" w:color="auto"/>
              <w:left w:val="single" w:sz="4" w:space="0" w:color="auto"/>
              <w:bottom w:val="single" w:sz="4" w:space="0" w:color="auto"/>
              <w:right w:val="single" w:sz="4" w:space="0" w:color="auto"/>
            </w:tcBorders>
          </w:tcPr>
          <w:p w14:paraId="7D9C1A9A" w14:textId="77777777" w:rsidR="00F574A2" w:rsidRPr="004F425A" w:rsidRDefault="00F574A2" w:rsidP="004F425A">
            <w:pPr>
              <w:spacing w:after="120" w:line="240" w:lineRule="auto"/>
              <w:jc w:val="both"/>
              <w:rPr>
                <w:rStyle w:val="Ppogrubienie"/>
                <w:rFonts w:ascii="Lato" w:hAnsi="Lato"/>
                <w:sz w:val="20"/>
                <w:szCs w:val="20"/>
              </w:rPr>
            </w:pPr>
            <w:r w:rsidRPr="004F425A">
              <w:rPr>
                <w:rStyle w:val="Ppogrubienie"/>
                <w:rFonts w:ascii="Lato" w:hAnsi="Lato"/>
                <w:sz w:val="20"/>
                <w:szCs w:val="20"/>
              </w:rPr>
              <w:t xml:space="preserve">Uwaga uwzględniona. </w:t>
            </w:r>
          </w:p>
          <w:p w14:paraId="4DBF3F73" w14:textId="68B57EA7" w:rsidR="00F574A2" w:rsidRPr="004F425A" w:rsidRDefault="00F574A2" w:rsidP="004F425A">
            <w:pPr>
              <w:spacing w:after="120" w:line="240" w:lineRule="auto"/>
              <w:rPr>
                <w:rFonts w:ascii="Lato" w:eastAsia="Lato" w:hAnsi="Lato" w:cs="Lato"/>
                <w:sz w:val="20"/>
                <w:szCs w:val="20"/>
              </w:rPr>
            </w:pPr>
            <w:r w:rsidRPr="004F425A">
              <w:rPr>
                <w:rFonts w:ascii="Lato" w:hAnsi="Lato"/>
                <w:sz w:val="20"/>
                <w:szCs w:val="20"/>
              </w:rPr>
              <w:t>Zgodnie z propozycją AGH - wprowadzono uzupełnienie obejmujące komentarze 166- 171 do sekcji pn. “Fotoniczne układy scalone”.</w:t>
            </w:r>
          </w:p>
        </w:tc>
      </w:tr>
      <w:tr w:rsidR="004471C5" w:rsidRPr="004F425A" w14:paraId="3F8798D1" w14:textId="77777777" w:rsidTr="79FF9703">
        <w:tc>
          <w:tcPr>
            <w:tcW w:w="1425" w:type="dxa"/>
            <w:tcBorders>
              <w:top w:val="single" w:sz="4" w:space="0" w:color="auto"/>
              <w:left w:val="single" w:sz="4" w:space="0" w:color="auto"/>
              <w:bottom w:val="single" w:sz="4" w:space="0" w:color="auto"/>
              <w:right w:val="single" w:sz="4" w:space="0" w:color="auto"/>
            </w:tcBorders>
          </w:tcPr>
          <w:p w14:paraId="55BA5AA6"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C7BA9BA" w14:textId="4395FC2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AGH w Krakowie (Załącznik 2 – propozycje uzupełnień)</w:t>
            </w:r>
          </w:p>
        </w:tc>
        <w:tc>
          <w:tcPr>
            <w:tcW w:w="5387" w:type="dxa"/>
            <w:tcBorders>
              <w:top w:val="single" w:sz="4" w:space="0" w:color="auto"/>
              <w:left w:val="single" w:sz="4" w:space="0" w:color="auto"/>
              <w:bottom w:val="single" w:sz="4" w:space="0" w:color="auto"/>
              <w:right w:val="single" w:sz="4" w:space="0" w:color="auto"/>
            </w:tcBorders>
          </w:tcPr>
          <w:p w14:paraId="20299FE6"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[Proponowany zapis:]</w:t>
            </w:r>
          </w:p>
          <w:p w14:paraId="77E7FA2A" w14:textId="613CA76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Polsce istnieje rozwijany potencjał badawczo-technologiczny w zakresie materiałów termoelektrycznych oraz technologii modułów termoelektrycznych, obejmujący zarówno badania materiałowe, jak i prace demonstracyjne oraz współpracę z przemysłem.</w:t>
            </w:r>
          </w:p>
          <w:p w14:paraId="7F81398F"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[Uzasadnienie:]</w:t>
            </w:r>
          </w:p>
          <w:p w14:paraId="4F2AFFEA" w14:textId="5C61489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Istniejące kompetencje mogą stanowić podstawę rozwoju wyspecjalizowanej niszy technologicznej w Polsce.</w:t>
            </w:r>
          </w:p>
        </w:tc>
        <w:tc>
          <w:tcPr>
            <w:tcW w:w="4859" w:type="dxa"/>
            <w:tcBorders>
              <w:top w:val="single" w:sz="4" w:space="0" w:color="auto"/>
              <w:left w:val="single" w:sz="4" w:space="0" w:color="auto"/>
              <w:bottom w:val="single" w:sz="4" w:space="0" w:color="auto"/>
              <w:right w:val="single" w:sz="4" w:space="0" w:color="auto"/>
            </w:tcBorders>
          </w:tcPr>
          <w:p w14:paraId="4396DBA7" w14:textId="1160E5E7" w:rsidR="00F574A2" w:rsidRPr="004F425A" w:rsidRDefault="00F574A2" w:rsidP="004F425A">
            <w:pPr>
              <w:spacing w:after="120" w:line="240" w:lineRule="auto"/>
              <w:jc w:val="both"/>
              <w:rPr>
                <w:rStyle w:val="Ppogrubienie"/>
                <w:rFonts w:ascii="Lato" w:hAnsi="Lato"/>
                <w:sz w:val="20"/>
                <w:szCs w:val="20"/>
              </w:rPr>
            </w:pPr>
            <w:r w:rsidRPr="004F425A">
              <w:rPr>
                <w:rStyle w:val="Ppogrubienie"/>
                <w:rFonts w:ascii="Lato" w:hAnsi="Lato"/>
                <w:sz w:val="20"/>
                <w:szCs w:val="20"/>
              </w:rPr>
              <w:t xml:space="preserve">Uwaga uwzględniona. </w:t>
            </w:r>
          </w:p>
          <w:p w14:paraId="1E892B22" w14:textId="73334F11" w:rsidR="00F574A2" w:rsidRPr="004F425A" w:rsidRDefault="00F574A2" w:rsidP="004F425A">
            <w:pPr>
              <w:spacing w:after="120" w:line="240" w:lineRule="auto"/>
              <w:jc w:val="both"/>
              <w:rPr>
                <w:rFonts w:ascii="Lato" w:hAnsi="Lato"/>
                <w:sz w:val="20"/>
                <w:szCs w:val="20"/>
              </w:rPr>
            </w:pPr>
            <w:r w:rsidRPr="004F425A">
              <w:rPr>
                <w:rFonts w:ascii="Lato" w:hAnsi="Lato"/>
                <w:sz w:val="20"/>
                <w:szCs w:val="20"/>
              </w:rPr>
              <w:t>Zgodnie z propozycją AGH - wprowadzono uzupełnienie obejmujące komentarze 166- 171 do sekcji pn. “Fotoniczne układy scalone”.</w:t>
            </w:r>
          </w:p>
        </w:tc>
      </w:tr>
      <w:tr w:rsidR="004471C5" w:rsidRPr="004F425A" w14:paraId="37718C2A" w14:textId="77777777" w:rsidTr="79FF9703">
        <w:tc>
          <w:tcPr>
            <w:tcW w:w="1425" w:type="dxa"/>
            <w:tcBorders>
              <w:top w:val="single" w:sz="4" w:space="0" w:color="auto"/>
              <w:left w:val="single" w:sz="4" w:space="0" w:color="auto"/>
              <w:bottom w:val="single" w:sz="4" w:space="0" w:color="auto"/>
              <w:right w:val="single" w:sz="4" w:space="0" w:color="auto"/>
            </w:tcBorders>
          </w:tcPr>
          <w:p w14:paraId="610EF77F" w14:textId="59D64BF0"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3F474674" w14:textId="57D3AA3C" w:rsidR="00F574A2" w:rsidRPr="004F425A" w:rsidRDefault="00F574A2" w:rsidP="004F425A">
            <w:pPr>
              <w:spacing w:after="120" w:line="240" w:lineRule="auto"/>
              <w:rPr>
                <w:rFonts w:ascii="Lato" w:eastAsia="Lato" w:hAnsi="Lato" w:cs="Lato"/>
                <w:sz w:val="20"/>
                <w:szCs w:val="20"/>
                <w:lang w:val="en-GB"/>
              </w:rPr>
            </w:pPr>
            <w:r w:rsidRPr="004F425A">
              <w:rPr>
                <w:rFonts w:ascii="Lato" w:eastAsia="Lato" w:hAnsi="Lato" w:cs="Lato"/>
                <w:sz w:val="20"/>
                <w:szCs w:val="20"/>
                <w:lang w:val="en-GB"/>
              </w:rPr>
              <w:t>IHP GmbH Leibniz Institute for High Performance Microelectronics</w:t>
            </w:r>
          </w:p>
        </w:tc>
        <w:tc>
          <w:tcPr>
            <w:tcW w:w="5387" w:type="dxa"/>
            <w:tcBorders>
              <w:top w:val="single" w:sz="4" w:space="0" w:color="auto"/>
              <w:left w:val="single" w:sz="4" w:space="0" w:color="auto"/>
              <w:bottom w:val="single" w:sz="4" w:space="0" w:color="auto"/>
              <w:right w:val="single" w:sz="4" w:space="0" w:color="auto"/>
            </w:tcBorders>
          </w:tcPr>
          <w:p w14:paraId="3F59341C" w14:textId="1EA3C4E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Alternatywna, równoległa ścieżka rozwoju Technologii krzemowych opartych na rozwiązaniach open source</w:t>
            </w:r>
          </w:p>
          <w:p w14:paraId="2E6FED01" w14:textId="77777777" w:rsidR="00F574A2" w:rsidRPr="004F425A" w:rsidRDefault="00F574A2" w:rsidP="004F425A">
            <w:pPr>
              <w:spacing w:after="120" w:line="240" w:lineRule="auto"/>
              <w:rPr>
                <w:rFonts w:ascii="Lato" w:eastAsia="Lato" w:hAnsi="Lato" w:cs="Lato"/>
                <w:sz w:val="20"/>
                <w:szCs w:val="20"/>
              </w:rPr>
            </w:pPr>
          </w:p>
          <w:p w14:paraId="59B7145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Streszczenie wykonawcze</w:t>
            </w:r>
          </w:p>
          <w:p w14:paraId="5F9348E8"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Rozwój open-source silicon stworzył realną, równoległą ścieżkę wobec klasycznych,</w:t>
            </w:r>
          </w:p>
          <w:p w14:paraId="3060D22F"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zamkniętych ekosystemów EDA i foundry. Zbiega się ona z programami finansowania</w:t>
            </w:r>
          </w:p>
          <w:p w14:paraId="0D6C301E"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publicznego i prywatnego, które w ciągu 2–3 lat doprowadzą narzędzia</w:t>
            </w:r>
          </w:p>
          <w:p w14:paraId="0A7E969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 poziomu produkcyjnego. To krytyczne okno wejścia dla instytucji i firm</w:t>
            </w:r>
          </w:p>
          <w:p w14:paraId="3564C2DA"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budujących kompetencje projektowe, prototypowe i niskoseryjne.</w:t>
            </w:r>
          </w:p>
          <w:p w14:paraId="7593F969"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1. Tło rynkowe i technologiczne</w:t>
            </w:r>
          </w:p>
          <w:p w14:paraId="551E628E" w14:textId="74D598D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Tradycyjny przemysł krzemowy jest kapitałochłonny, zależny od zamkniętych narzędzi i kosztownych licencji. W odpowiedzi rośnie ekosystem otwarty, który obniża próg wejścia, skraca czas iteracji i pozwala na szybszy transfer technologii z badań do zastosowań niszowych. Ta ścieżka jest równoległa, a nie konkurencyjna: uzupełnia klasyczne foundry w obszarach prototypowania i nisz.</w:t>
            </w:r>
          </w:p>
          <w:p w14:paraId="09B7CBEA"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2. Krótka historia open-source silicon</w:t>
            </w:r>
          </w:p>
          <w:p w14:paraId="6B1679D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RISC-V jako punkt zwrotny dla otwartych architektur (2014)</w:t>
            </w:r>
          </w:p>
          <w:p w14:paraId="7D9CF969" w14:textId="577643F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PDK i procesy: Sky130 (2020), GF180 (2021), IHP SG13G (2023), Ic- Sprout55 (2025)</w:t>
            </w:r>
          </w:p>
          <w:p w14:paraId="0A1922B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Inicjatywy narzędziowe i flow: OpenROAD, OpenLane, LibreLane, Coriolis</w:t>
            </w:r>
          </w:p>
          <w:p w14:paraId="01566E3A"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Przejście z etapu akademickiego do prototypów produkcyjnych</w:t>
            </w:r>
          </w:p>
          <w:p w14:paraId="6BCF5812"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3. Historia finansowania i programy strategiczne</w:t>
            </w:r>
          </w:p>
          <w:p w14:paraId="24DC6605" w14:textId="44FCAF21" w:rsidR="00F574A2" w:rsidRPr="004F425A" w:rsidRDefault="00F574A2" w:rsidP="004F425A">
            <w:pPr>
              <w:spacing w:after="120" w:line="240" w:lineRule="auto"/>
              <w:rPr>
                <w:rFonts w:ascii="Lato" w:eastAsia="Lato" w:hAnsi="Lato" w:cs="Lato"/>
                <w:sz w:val="20"/>
                <w:szCs w:val="20"/>
                <w:lang w:val="en-GB"/>
              </w:rPr>
            </w:pPr>
            <w:r w:rsidRPr="004F425A">
              <w:rPr>
                <w:rFonts w:ascii="Lato" w:eastAsia="Lato" w:hAnsi="Lato" w:cs="Lato"/>
                <w:sz w:val="20"/>
                <w:szCs w:val="20"/>
              </w:rPr>
              <w:t xml:space="preserve">• Finansowanie korporacyjne uruchamiające pierwszą falę (np. </w:t>
            </w:r>
            <w:r w:rsidRPr="004F425A">
              <w:rPr>
                <w:rFonts w:ascii="Lato" w:eastAsia="Lato" w:hAnsi="Lato" w:cs="Lato"/>
                <w:sz w:val="20"/>
                <w:szCs w:val="20"/>
                <w:lang w:val="en-GB"/>
              </w:rPr>
              <w:t>Google 2018 i DARPA)</w:t>
            </w:r>
          </w:p>
          <w:p w14:paraId="3371E8DF" w14:textId="48A4D148" w:rsidR="00F574A2" w:rsidRPr="004F425A" w:rsidRDefault="00F574A2" w:rsidP="004F425A">
            <w:pPr>
              <w:spacing w:after="120" w:line="240" w:lineRule="auto"/>
              <w:rPr>
                <w:rFonts w:ascii="Lato" w:eastAsia="Lato" w:hAnsi="Lato" w:cs="Lato"/>
                <w:sz w:val="20"/>
                <w:szCs w:val="20"/>
                <w:lang w:val="en-GB"/>
              </w:rPr>
            </w:pPr>
            <w:r w:rsidRPr="004F425A">
              <w:rPr>
                <w:rFonts w:ascii="Lato" w:eastAsia="Lato" w:hAnsi="Lato" w:cs="Lato"/>
                <w:sz w:val="20"/>
                <w:szCs w:val="20"/>
                <w:lang w:val="en-GB"/>
              </w:rPr>
              <w:t>• Programy europejskie: FMD_QNC Germany, DECIDE (Joint Chips Undertaking), ODE4EC (EU project)</w:t>
            </w:r>
          </w:p>
          <w:p w14:paraId="6D164103" w14:textId="6F23E4A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Konsorcja naukowe: OCDCPRO, DEMICO, ODE4EC (Digital, Analog- AMS, Interoperability)</w:t>
            </w:r>
          </w:p>
          <w:p w14:paraId="09C906EE"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Wspólny efekt: domykanie luk narzędziowych i standaryzacja procesów</w:t>
            </w:r>
          </w:p>
          <w:p w14:paraId="3C52C22B" w14:textId="0247D09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4. Wnioski z publicznie dostępnych dokumentów „Reference Fab”</w:t>
            </w:r>
          </w:p>
          <w:p w14:paraId="7089F380" w14:textId="72DE8ADF" w:rsidR="00F574A2" w:rsidRPr="004F425A" w:rsidRDefault="00F574A2" w:rsidP="004F425A">
            <w:pPr>
              <w:spacing w:after="120" w:line="240" w:lineRule="auto"/>
              <w:rPr>
                <w:rFonts w:ascii="Lato" w:eastAsia="Lato" w:hAnsi="Lato" w:cs="Lato"/>
                <w:sz w:val="20"/>
                <w:szCs w:val="20"/>
                <w:lang w:val="en-GB"/>
              </w:rPr>
            </w:pPr>
            <w:r w:rsidRPr="004F425A">
              <w:rPr>
                <w:rFonts w:ascii="Lato" w:eastAsia="Lato" w:hAnsi="Lato" w:cs="Lato"/>
                <w:sz w:val="20"/>
                <w:szCs w:val="20"/>
                <w:lang w:val="en-GB"/>
              </w:rPr>
              <w:t>• Poniższe wnioski oparto na dwóch publicznie dostępnych dokumentach: “The European Reference Fab – Blueprint for a Trusted and Transparent Manufacturing Network” oraz “Q&amp;A – THE EUROPEAN REFERENCE FAB: Blueprint For A Trustworthy And Transparent Manufacturing Network” (HEP Alliance, https://www.hep-alliance.org/Reference-Fab).</w:t>
            </w:r>
          </w:p>
          <w:p w14:paraId="7EC0EFFE" w14:textId="51C7B7A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Koncepcja zakłada powielalny wzorzec fabryki 300 mm z etapowym przejściem 130 nm -&gt; 65 nm, projektowany od początku pod produkcję seryjną, a nie wyłącznie linię demonstracyjną.</w:t>
            </w:r>
          </w:p>
          <w:p w14:paraId="328E0D25" w14:textId="4C846CE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“Packaging-First” oznacza równorzędne potraktowanie zaawansowanego pakowania i testów od pierwszego dnia, ale nie rezygnację z front-end CMOS.</w:t>
            </w:r>
          </w:p>
          <w:p w14:paraId="4EA67910" w14:textId="6561A18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Celem strategicznym jest sieć klonowalnych fabryk w Europie, zwiększająca odporność łańcuchów dostaw, suwerenność technologiczną i możliwość zastępowania mocy produkcyjnych między lokalizacjami.</w:t>
            </w:r>
          </w:p>
          <w:p w14:paraId="7F95701F" w14:textId="6AF20AA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Model zaufania opiera się na audytowalności procesów, transparentnej dokumentacji, integracji open PDK/open EDA oraz certyfikowalnych interfejsach kontroli.</w:t>
            </w:r>
          </w:p>
          <w:p w14:paraId="0FCFF190" w14:textId="703A4DF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Logika ekonomiczna nie jest modelem “commodity volume”, lecz podejściem trusted-premium (bezpieczeństwo, długi cykl życia, usługi pakowania/testów), finansowanym etapowo (phase-gated) względem kamieni milowych.</w:t>
            </w:r>
          </w:p>
          <w:p w14:paraId="46AFD2E0" w14:textId="6198AF7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Dokument Q&amp;A doprecyzowuje, że inicjatywa uzupełnia (a nie zastępuje) RTO i linie pilotażowe, a wolumen ma pochodzić także z zastosowań przemysłowych/SME, nie tylko z segmentu wysokiego bezpieczeństwa.</w:t>
            </w:r>
          </w:p>
          <w:p w14:paraId="5A4E97A2" w14:textId="7CECA87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5. Wnioski z publicznie dostępnego dokumentu „Open- Source EDA Roadmap”</w:t>
            </w:r>
          </w:p>
          <w:p w14:paraId="0DCCF3AE" w14:textId="7D0B0EA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Poniższe wnioski oparto na publicznie dostępnym dokumencie: “Recommendations and Roadmap for Open-Source EDA in Europe” (Public Release, 19 listopada 2024).</w:t>
            </w:r>
          </w:p>
          <w:p w14:paraId="4CC98A12" w14:textId="67DE43C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Dokument wskazuje, że open-source EDA jest strategicznym narzędziem budowy suwerenności technologicznej UE, szczególnie dla startupów i MŚP, przy jednoczesnym obniżeniu kosztów wejścia.</w:t>
            </w:r>
          </w:p>
          <w:p w14:paraId="12250D11" w14:textId="6D6D42E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Podejście nie jest „all-or-nothing”: kluczowe jest finansowanie kolejnych części przepływu EDA, które stopniowo domykają pełny, przemysłowy toolchain.</w:t>
            </w:r>
          </w:p>
          <w:p w14:paraId="0D2F589E" w14:textId="51520FA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Roadmapa definiuje sześć głównych obszarów inwestycji: interoperacyjność i produktywność narzędzi, weryfikacja, analog/RF/mixed-signal dla dojrzałych węzłów, generatory i automatyzacja layoutu, cyfrowy flow oraz heterointegracja/fotonika/advanced packaging.</w:t>
            </w:r>
          </w:p>
          <w:p w14:paraId="3D389D98" w14:textId="2DAD647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W horyzoncie krótkoterminowym (ok. 3 lata) dokument rekomenduje trzy priorytetowe działania: (1) analog i mixed-signal, (2) produktywność + interoperacyjność + weryfikacja, (3) cyfrowe SoC z użyciem open-source</w:t>
            </w:r>
          </w:p>
          <w:p w14:paraId="4002941B"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EDA.</w:t>
            </w:r>
          </w:p>
          <w:p w14:paraId="1036AED5" w14:textId="7BF4404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Silny nacisk położono na walidację przemysłową: finansowanie tape-outów i MPW, benchmarki, kalibrację narzędzi na rzeczywistych projektach oraz wsparcie design-for-test i design-for-manufacturability.</w:t>
            </w:r>
          </w:p>
          <w:p w14:paraId="7D185D17" w14:textId="5725448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Część nietechniczna podkreśla konieczność: wyników na licencjach open source (OSI), łatwiejszego dostępu do finansowania (także dla mniejszych zespołów), finansowania utrzymania projektów oraz rozwoju kadr (edukacja, szkolenia, konferencje).</w:t>
            </w:r>
          </w:p>
          <w:p w14:paraId="2AB83EDB"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6. Okno wejścia: 2–3 lata</w:t>
            </w:r>
          </w:p>
          <w:p w14:paraId="7950290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Narzędzia i PDK zbliżają się do poziomu produkcyjnego</w:t>
            </w:r>
          </w:p>
          <w:p w14:paraId="1341F637"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Wejście teraz (2026) daje przewagę kompetencyjną i dostęp do ekosystemu</w:t>
            </w:r>
          </w:p>
          <w:p w14:paraId="648F505A"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Po stabilizacji standardów konkurencja międzynarodowa wzrośnie</w:t>
            </w:r>
          </w:p>
          <w:p w14:paraId="690A8B9F"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7. Adopcja na uczelniach i budowa kompetencji</w:t>
            </w:r>
          </w:p>
          <w:p w14:paraId="549B476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Silna adopcja na uczelniach zachodnich, rosnąca w Polsce</w:t>
            </w:r>
          </w:p>
          <w:p w14:paraId="640FF35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Potrzeba budowy lokalnych zespołów projektowych i weryfikacyjnych</w:t>
            </w:r>
          </w:p>
          <w:p w14:paraId="4FB39333" w14:textId="2B8AB2F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Ścieżka analogiczna do rozwoju PCB: KiCad + tania produkcja typu PCBWay, JLCPCB</w:t>
            </w:r>
          </w:p>
          <w:p w14:paraId="3722DC87"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Własne zdolności projektowe jako element bezpieczeństwa technologicznego</w:t>
            </w:r>
          </w:p>
          <w:p w14:paraId="4F72E815"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8. Niski próg wejścia i specjalizacje</w:t>
            </w:r>
          </w:p>
          <w:p w14:paraId="063E3A96"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Procesy 65 nm+ jako wystarczające dla wielu aplikacji</w:t>
            </w:r>
          </w:p>
          <w:p w14:paraId="1C5A2E83"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Add-ons: GaN i fotonika (np. Vigo Photonics)</w:t>
            </w:r>
          </w:p>
          <w:p w14:paraId="4AB71CE6"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Możliwość specjalizacji w aplikacjach niszowych i wysokiej wartości</w:t>
            </w:r>
          </w:p>
          <w:p w14:paraId="6DDC7E1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9. Heterointegracja i przewagi regionalne</w:t>
            </w:r>
          </w:p>
          <w:p w14:paraId="485B4B44" w14:textId="6F61692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Interposery i heterointegracja (IHP rozwija open-source ADK – Assembly Design Kit)</w:t>
            </w:r>
          </w:p>
          <w:p w14:paraId="71634844"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Synergia geograficzna z IHP (Frankfurt nad Odrą)</w:t>
            </w:r>
          </w:p>
          <w:p w14:paraId="08D84D5F"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Potencjał współpracy transgranicznej i krótszych cykli rozwoju</w:t>
            </w:r>
          </w:p>
          <w:p w14:paraId="6D1CE1F1" w14:textId="77777777" w:rsidR="00F574A2" w:rsidRPr="004F425A" w:rsidRDefault="00F574A2" w:rsidP="004F425A">
            <w:pPr>
              <w:spacing w:after="120" w:line="240" w:lineRule="auto"/>
              <w:rPr>
                <w:rFonts w:ascii="Lato" w:eastAsia="Lato" w:hAnsi="Lato" w:cs="Lato"/>
                <w:sz w:val="20"/>
                <w:szCs w:val="20"/>
                <w:lang w:val="en-GB"/>
              </w:rPr>
            </w:pPr>
            <w:r w:rsidRPr="004F425A">
              <w:rPr>
                <w:rFonts w:ascii="Lato" w:eastAsia="Lato" w:hAnsi="Lato" w:cs="Lato"/>
                <w:sz w:val="20"/>
                <w:szCs w:val="20"/>
                <w:lang w:val="en-GB"/>
              </w:rPr>
              <w:t>10. Pilot line i produkcja low/medium volume</w:t>
            </w:r>
          </w:p>
          <w:p w14:paraId="0814CFBE"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Rola linii pilotażowej: prototypy badawcze, szybkie iteracje</w:t>
            </w:r>
          </w:p>
          <w:p w14:paraId="217262CC"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Produkcja low/medium volume dla IoT, dronów, przemysłu</w:t>
            </w:r>
          </w:p>
          <w:p w14:paraId="3C44FD7B"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Pomost między badaniami a wdrożeniem rynkowym</w:t>
            </w:r>
          </w:p>
          <w:p w14:paraId="3DBD3B9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11. Społeczność i marketing open-source</w:t>
            </w:r>
          </w:p>
          <w:p w14:paraId="1FA2E206"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Społeczność zapewnia testowanie, dokumentację i upowszechnienie</w:t>
            </w:r>
          </w:p>
          <w:p w14:paraId="46C5CA6F"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“Darmowy marketing” poprzez otwarte repozytoria i konferencje</w:t>
            </w:r>
          </w:p>
          <w:p w14:paraId="22A7628B" w14:textId="36A942C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Szybsze wykrywanie błędów i większą transparentność</w:t>
            </w:r>
          </w:p>
          <w:p w14:paraId="0A7C3B87"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12. Wprzęgnięcie AI w cykl rozwoju</w:t>
            </w:r>
          </w:p>
          <w:p w14:paraId="5B045307"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Automatyzacja weryfikacji i optymalizacji</w:t>
            </w:r>
          </w:p>
          <w:p w14:paraId="4FF21B18"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Wsparcie dla ekspertów domenowych w ulepszaniu narzędzi</w:t>
            </w:r>
          </w:p>
          <w:p w14:paraId="1606429C"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Zwiększenie tempa iteracji i obniżenie kosztów</w:t>
            </w:r>
          </w:p>
          <w:p w14:paraId="09361AD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13. Wnioski i rekomendacje</w:t>
            </w:r>
          </w:p>
          <w:p w14:paraId="7BAF639E"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Open-source silicon to strategiczna, równoległa ścieżka rozwoju technologii</w:t>
            </w:r>
          </w:p>
          <w:p w14:paraId="128D9E3C"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Kluczowe są kompetencje lokalne i wczesne wejście</w:t>
            </w:r>
          </w:p>
          <w:p w14:paraId="5DFC24C2"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2–3 lata to okno strategiczne do zbudowania przewagi</w:t>
            </w:r>
          </w:p>
          <w:p w14:paraId="2C66A03E" w14:textId="4786EA48" w:rsidR="00F574A2" w:rsidRPr="004F425A" w:rsidRDefault="00F574A2" w:rsidP="004F425A">
            <w:pPr>
              <w:spacing w:after="120" w:line="240" w:lineRule="auto"/>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7A833BDE"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086DF0CB" w14:textId="77777777" w:rsidR="00F574A2" w:rsidRPr="004F425A" w:rsidRDefault="00F574A2" w:rsidP="004F425A">
            <w:pPr>
              <w:spacing w:after="120" w:line="240" w:lineRule="auto"/>
              <w:rPr>
                <w:rFonts w:ascii="Lato" w:eastAsia="Lato" w:hAnsi="Lato" w:cs="Lato"/>
                <w:sz w:val="20"/>
                <w:szCs w:val="20"/>
              </w:rPr>
            </w:pPr>
          </w:p>
          <w:p w14:paraId="781E24AA" w14:textId="772190B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 uwagi na strategiczny i ogólny charakter dokument nie wprowadza rozróżnienia na ścieżkę opartą na otwartych narzędziach EDA jako odrębny model rozwoju.</w:t>
            </w:r>
          </w:p>
        </w:tc>
      </w:tr>
      <w:tr w:rsidR="004471C5" w:rsidRPr="004F425A" w14:paraId="0307F34D" w14:textId="77777777" w:rsidTr="79FF9703">
        <w:tc>
          <w:tcPr>
            <w:tcW w:w="1425" w:type="dxa"/>
            <w:tcBorders>
              <w:top w:val="single" w:sz="4" w:space="0" w:color="auto"/>
              <w:left w:val="single" w:sz="4" w:space="0" w:color="auto"/>
              <w:bottom w:val="single" w:sz="4" w:space="0" w:color="auto"/>
              <w:right w:val="single" w:sz="4" w:space="0" w:color="auto"/>
            </w:tcBorders>
          </w:tcPr>
          <w:p w14:paraId="60840478" w14:textId="0D104363"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141EB42F"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Politechnika Wrocławska</w:t>
            </w:r>
          </w:p>
          <w:p w14:paraId="431CBDE9" w14:textId="78F31A3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Katedra Fizyki Doświadczalnej</w:t>
            </w:r>
          </w:p>
        </w:tc>
        <w:tc>
          <w:tcPr>
            <w:tcW w:w="5387" w:type="dxa"/>
            <w:tcBorders>
              <w:top w:val="single" w:sz="4" w:space="0" w:color="auto"/>
              <w:left w:val="single" w:sz="4" w:space="0" w:color="auto"/>
              <w:bottom w:val="single" w:sz="4" w:space="0" w:color="auto"/>
              <w:right w:val="single" w:sz="4" w:space="0" w:color="auto"/>
            </w:tcBorders>
          </w:tcPr>
          <w:p w14:paraId="7277E149" w14:textId="216FB6BC"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 Podtrzymujemy stanowisko przekazane 03.03.2025 r. Naszym głównym zastrzeżeniem jest fakt, że Polityka jedynie deklaratywnie wpisuje się w plan „Polska – Rok przełomu 2025” (s. 3), przewidujący rekordowe nakłady na innowacje.</w:t>
            </w:r>
          </w:p>
          <w:p w14:paraId="40AE702E" w14:textId="752939D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Dokument w niewystarczającym stopniu uwzględnia konieczność finansowania badań naukowych, w tym podstawowych (TRL 1–4). Dodatkowo, horyzont finansowania ograniczony do 2029 r. oznacza realnie trzy lata oddziaływania, co jest zdecydowanie okresem zbyt krótkim wobec ambicji tworzenia centrów kompetencji i łańcuchów dostaw. Osiągnięcie celów wymaga co najmniej dekadowej perspektywy oraz stabilnego finansowania, najlepiej powiązanego z PKB.</w:t>
            </w:r>
          </w:p>
        </w:tc>
        <w:tc>
          <w:tcPr>
            <w:tcW w:w="4859" w:type="dxa"/>
            <w:tcBorders>
              <w:top w:val="single" w:sz="4" w:space="0" w:color="auto"/>
              <w:left w:val="single" w:sz="4" w:space="0" w:color="auto"/>
              <w:bottom w:val="single" w:sz="4" w:space="0" w:color="auto"/>
              <w:right w:val="single" w:sz="4" w:space="0" w:color="auto"/>
            </w:tcBorders>
          </w:tcPr>
          <w:p w14:paraId="59E5EF26" w14:textId="2236617B"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7F127B0F" w14:textId="323A183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 CAPEX/OPEX nie wymagają zmian do 2029 r., z możliwą korektą przy ewaluacji śródokresowej 2028 r.</w:t>
            </w:r>
          </w:p>
        </w:tc>
      </w:tr>
      <w:tr w:rsidR="004471C5" w:rsidRPr="004F425A" w14:paraId="5DCE6519" w14:textId="77777777" w:rsidTr="79FF9703">
        <w:tc>
          <w:tcPr>
            <w:tcW w:w="1425" w:type="dxa"/>
            <w:tcBorders>
              <w:top w:val="single" w:sz="4" w:space="0" w:color="auto"/>
              <w:left w:val="single" w:sz="4" w:space="0" w:color="auto"/>
              <w:bottom w:val="single" w:sz="4" w:space="0" w:color="auto"/>
              <w:right w:val="single" w:sz="4" w:space="0" w:color="auto"/>
            </w:tcBorders>
          </w:tcPr>
          <w:p w14:paraId="0635014A" w14:textId="2B280272"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28E2C29D"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Politechnika Wrocławska</w:t>
            </w:r>
          </w:p>
          <w:p w14:paraId="3CA5541E" w14:textId="1E50CC3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Katedra Fizyki Doświadczalnej</w:t>
            </w:r>
          </w:p>
        </w:tc>
        <w:tc>
          <w:tcPr>
            <w:tcW w:w="5387" w:type="dxa"/>
            <w:tcBorders>
              <w:top w:val="single" w:sz="4" w:space="0" w:color="auto"/>
              <w:left w:val="single" w:sz="4" w:space="0" w:color="auto"/>
              <w:bottom w:val="single" w:sz="4" w:space="0" w:color="auto"/>
              <w:right w:val="single" w:sz="4" w:space="0" w:color="auto"/>
            </w:tcBorders>
          </w:tcPr>
          <w:p w14:paraId="2D98DEE9" w14:textId="6E094AEF"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 Ponadto, zidentyfikowane braki w kształceniu kadr koncentrują się na pracownikach przemysłu, pomijając konieczność równoległego rozwoju wysoko wykwalifikowanych specjalistów na poziomie doktoranckim, kluczowych dla rozwoju technologii i transferu wiedzy.</w:t>
            </w:r>
          </w:p>
        </w:tc>
        <w:tc>
          <w:tcPr>
            <w:tcW w:w="4859" w:type="dxa"/>
            <w:tcBorders>
              <w:top w:val="single" w:sz="4" w:space="0" w:color="auto"/>
              <w:left w:val="single" w:sz="4" w:space="0" w:color="auto"/>
              <w:bottom w:val="single" w:sz="4" w:space="0" w:color="auto"/>
              <w:right w:val="single" w:sz="4" w:space="0" w:color="auto"/>
            </w:tcBorders>
          </w:tcPr>
          <w:p w14:paraId="4A11934F"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5CAC6C95" w14:textId="3EED5A2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Wskaźnik wzrostu liczby doktorantów (+30% w 5 lat, Filar V) pozostaje jedynym miernikiem odnoszącym się do tego poziomu kształcenia.</w:t>
            </w:r>
          </w:p>
        </w:tc>
      </w:tr>
      <w:tr w:rsidR="004471C5" w:rsidRPr="004F425A" w14:paraId="670876C6" w14:textId="77777777" w:rsidTr="79FF9703">
        <w:tc>
          <w:tcPr>
            <w:tcW w:w="1425" w:type="dxa"/>
            <w:tcBorders>
              <w:top w:val="single" w:sz="4" w:space="0" w:color="auto"/>
              <w:left w:val="single" w:sz="4" w:space="0" w:color="auto"/>
              <w:bottom w:val="single" w:sz="4" w:space="0" w:color="auto"/>
              <w:right w:val="single" w:sz="4" w:space="0" w:color="auto"/>
            </w:tcBorders>
          </w:tcPr>
          <w:p w14:paraId="78A8176C" w14:textId="2339A7C1"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r w:rsidRPr="004F425A">
              <w:rPr>
                <w:rFonts w:ascii="Lato" w:eastAsia="Lato" w:hAnsi="Lato" w:cs="Lato"/>
                <w:sz w:val="20"/>
                <w:szCs w:val="20"/>
              </w:rPr>
              <w:t xml:space="preserve"> </w:t>
            </w:r>
          </w:p>
        </w:tc>
        <w:tc>
          <w:tcPr>
            <w:tcW w:w="2363" w:type="dxa"/>
            <w:tcBorders>
              <w:top w:val="single" w:sz="4" w:space="0" w:color="auto"/>
              <w:left w:val="single" w:sz="4" w:space="0" w:color="auto"/>
              <w:bottom w:val="single" w:sz="4" w:space="0" w:color="auto"/>
              <w:right w:val="single" w:sz="4" w:space="0" w:color="auto"/>
            </w:tcBorders>
          </w:tcPr>
          <w:p w14:paraId="797BF96C"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Politechnika Wrocławska</w:t>
            </w:r>
          </w:p>
          <w:p w14:paraId="45E6509C" w14:textId="5229A78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Katedra Fizyki Doświadczalnej</w:t>
            </w:r>
          </w:p>
        </w:tc>
        <w:tc>
          <w:tcPr>
            <w:tcW w:w="5387" w:type="dxa"/>
            <w:tcBorders>
              <w:top w:val="single" w:sz="4" w:space="0" w:color="auto"/>
              <w:left w:val="single" w:sz="4" w:space="0" w:color="auto"/>
              <w:bottom w:val="single" w:sz="4" w:space="0" w:color="auto"/>
              <w:right w:val="single" w:sz="4" w:space="0" w:color="auto"/>
            </w:tcBorders>
          </w:tcPr>
          <w:p w14:paraId="612D4638" w14:textId="758CAD41"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Pełniejsze uwzględnienie roli Wrocławia i Politechniki Wrocławskiej</w:t>
            </w:r>
          </w:p>
          <w:p w14:paraId="0B8A2E9C"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3F1A19D4" w14:textId="64D6350F"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Badania nad półprzewodnikami, włączywszy technologie i przyrządy półprzewodnikowe, prowadzone są we Wrocławiu od wielu lat w kilku różnych ośrodkach, w tym szczególnie intensywnie na Politechnice Wrocławskiej (PWr), ale też np. w jednostce Sieci Badawczej Łukasiewicz - PORT Polski Ośrodek Rozwoju Technologii. Badania naukowców z Politechniki Wrocławskiej są bardzo często prowadzone w międzynarodowych projektach i we współpracy z najlepszymi ośrodkami europejskimi w tej dziedzinie, wzmacniając potencjał i pozycję Polski na arenie międzynarodowej, zarówno w obszarze mikroelektroniki jak i optoelektroniki.</w:t>
            </w:r>
          </w:p>
          <w:p w14:paraId="428A619C" w14:textId="2B16003D"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 połączeniu z kompetencjami innych ośrodków tworzy to, między innymi, podstawy krajowego ekosystemu fotoniki półprzewodnikowej, obejmującego rozwój i integrację komponentów dla zastosowań w komunikacji optycznej, technologiach kwantowych, czujnikach i diagnostyce. Dlatego też Polityka powinna pełniej odzwierciedlać rolę ośrodka wrocławskiego, także w kontekście centrum kompetencji.</w:t>
            </w:r>
          </w:p>
          <w:p w14:paraId="1927AEB1" w14:textId="1F0260A9"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Jest to szczególnie istotne również w kontekście planowanego mikroregionu Polska–Czechy–Niemcy, którego naturalnym liderem po stronie polskiej mogłaby być Politechnika Wrocławska. Uczelnia dysponuje potencjałem do wspierania innowacji, rozwoju technologii mikroelektronicznych i fotonicznych, kształcenia kadr oraz udziału w projektach takich jak IPCEI, jako mechanizmu wspierającego projekty o strategicznym znaczeniu dla UE, w tym w obszarze półprzewodników. Mechanizm powinien również uwzględnić wsparcie dla powstającego w strukturze PWr Centrum Mikro(Nano)Elektroniki, Mikro(Nano)Systemów i Mikro(Nano)Inżynierii (MN3), które ma zapewnić dostęp do wysoko wykwalifikowanych kadr dla inwestorów w regionie Wrocławia. Znaczenie to wzmacnia dostępność atrakcyjnych terenów inwestycyjnych (Gmina Miękinia).</w:t>
            </w:r>
          </w:p>
          <w:p w14:paraId="1E35B18F" w14:textId="67F0BAAC"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Planowane w Centrum MN3 działania wpisują się literalnie w Strategic Research and Industry Agenda 2030 UE (European Quantum Flagship), obejmując, między innymi, rozwój opartych na technologiach półprzewodnikowych kwantowych nowoczesnych przyrządów półprzewodnikowych. W zakresie infrastruktury planuje się ustanowienie linii technologicznej dla rozwoju i wytwarzania kwantowych źródeł światła, silnie zintegrowanych hybrydowych</w:t>
            </w:r>
          </w:p>
          <w:p w14:paraId="62B1C491" w14:textId="2C660429"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układów fotonicznych dla zastosowań w komunikacji i obliczeniach kwantowych oraz metrologii opartej na czujnikach kwantowych. Centrum będzie oferowało w tym zakresie możliwości niedostępne obecnie w żadnym centrum badawczym w kraju, włączając w to stworzenie prototypowej linii pilotażowej, a także testowanie i ewaluację układów kwantowych na poziomie pojedynczych fotonów w zakresie spektralnym drugiego i trzeciego okna telekomunikacyjnego oraz kluczowych komponentów miniaturowego optycznego zegara kwantowego i magnetometru.</w:t>
            </w:r>
          </w:p>
          <w:p w14:paraId="2A4A789B" w14:textId="4FEB323E"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Centrum zapewni unikatową w kraju infrastrukturę, w tym linię pilotażową i możliwości testowania nowoczesnych układów elektronicznych i fotonicznych w skali mikro i nano, a rozwijane technologie (SiN, InP, fotonika krzemowa, czujniki kwantowe, micro-transfer printing) są wskazane jako kluczowe w tej agendzie (s. 160). Dlatego też PWr może stać się strategicznym zapleczem dla mikroregionu Polska–Czechy–Niemcy, jednak wymaga zwiększenia wsparcia publicznego. W przewidywalnej perspektywie będzie to jedyny ośrodek w regionie z nowoczesnym pomieszczeniem o wysokiej czystości (ang. cleanroom), kluczowym dla badań i produkcji układów scalonych, również fotonicznych, co czyni je naturalnym kandydatem na regionalne centrum B+R w dziedzinie fotoniki (s. 31). Pominięcie</w:t>
            </w:r>
          </w:p>
          <w:p w14:paraId="2FAF47BD" w14:textId="0601A39C"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jego roli w Polityce ograniczy skalę jego działania i efektywność całej strategii.</w:t>
            </w:r>
          </w:p>
        </w:tc>
        <w:tc>
          <w:tcPr>
            <w:tcW w:w="4859" w:type="dxa"/>
            <w:tcBorders>
              <w:top w:val="single" w:sz="4" w:space="0" w:color="auto"/>
              <w:left w:val="single" w:sz="4" w:space="0" w:color="auto"/>
              <w:bottom w:val="single" w:sz="4" w:space="0" w:color="auto"/>
              <w:right w:val="single" w:sz="4" w:space="0" w:color="auto"/>
            </w:tcBorders>
          </w:tcPr>
          <w:p w14:paraId="47ED025D"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6A80851F" w14:textId="77777777" w:rsidR="00F574A2" w:rsidRPr="004F425A" w:rsidRDefault="00F574A2" w:rsidP="004F425A">
            <w:pPr>
              <w:spacing w:after="120" w:line="240" w:lineRule="auto"/>
              <w:rPr>
                <w:rFonts w:ascii="Lato" w:hAnsi="Lato"/>
                <w:sz w:val="20"/>
                <w:szCs w:val="20"/>
              </w:rPr>
            </w:pPr>
            <w:r w:rsidRPr="004F425A">
              <w:rPr>
                <w:rFonts w:ascii="Lato" w:eastAsia="Lato" w:hAnsi="Lato" w:cs="Lato"/>
                <w:sz w:val="20"/>
                <w:szCs w:val="20"/>
              </w:rPr>
              <w:t>Postulat dotyczy zagadnień regulacyjnych/ operacyjnych wykraczających poza poziom ogólności dokumentu strategicznego. Właściwym miejscem jego uwzględnienia są akty wykonawcze i dokumenty wdrożeniowe.</w:t>
            </w:r>
          </w:p>
          <w:p w14:paraId="725FFA0B" w14:textId="0ED75CFD" w:rsidR="00F574A2" w:rsidRPr="004F425A" w:rsidRDefault="00F574A2" w:rsidP="004F425A">
            <w:pPr>
              <w:spacing w:after="120" w:line="240" w:lineRule="auto"/>
              <w:rPr>
                <w:rFonts w:ascii="Lato" w:eastAsia="Lato" w:hAnsi="Lato" w:cs="Lato"/>
                <w:sz w:val="20"/>
                <w:szCs w:val="20"/>
              </w:rPr>
            </w:pPr>
          </w:p>
        </w:tc>
      </w:tr>
      <w:tr w:rsidR="004471C5" w:rsidRPr="004F425A" w14:paraId="4EE66B9A" w14:textId="77777777" w:rsidTr="79FF9703">
        <w:tc>
          <w:tcPr>
            <w:tcW w:w="1425" w:type="dxa"/>
            <w:tcBorders>
              <w:top w:val="single" w:sz="4" w:space="0" w:color="auto"/>
              <w:left w:val="single" w:sz="4" w:space="0" w:color="auto"/>
              <w:bottom w:val="single" w:sz="4" w:space="0" w:color="auto"/>
              <w:right w:val="single" w:sz="4" w:space="0" w:color="auto"/>
            </w:tcBorders>
          </w:tcPr>
          <w:p w14:paraId="696E69EF"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06346BF"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Politechnika Wrocławska</w:t>
            </w:r>
          </w:p>
          <w:p w14:paraId="587630B8" w14:textId="4B9DCB21"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Katedra Fizyki Doświadczalnej</w:t>
            </w:r>
          </w:p>
        </w:tc>
        <w:tc>
          <w:tcPr>
            <w:tcW w:w="5387" w:type="dxa"/>
            <w:tcBorders>
              <w:top w:val="single" w:sz="4" w:space="0" w:color="auto"/>
              <w:left w:val="single" w:sz="4" w:space="0" w:color="auto"/>
              <w:bottom w:val="single" w:sz="4" w:space="0" w:color="auto"/>
              <w:right w:val="single" w:sz="4" w:space="0" w:color="auto"/>
            </w:tcBorders>
          </w:tcPr>
          <w:p w14:paraId="788AAF47" w14:textId="7659F0B5"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Fakty powyższe powinny zostać uwzględnione w dokumencie Polityki poprzez rozszerzenie tekstu w następujących miejscach: </w:t>
            </w:r>
          </w:p>
          <w:p w14:paraId="1044D5D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692FFE4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1. Rekomendacja: s. 8, punkt "Fotonika scalona", dodanie tekstu: „Istotnym uzupełnieniem tego ekosystemu jest rozwój badań nad fotoniką i nanofotoniką prowadzony we Wrocławiu, w szczególności na Politechnice Wrocławskiej. W ramach nowych inwestycji infrastrukturalnych powstaje Centrum Mikro(Nano)Elektroniki, Mikro(Nano)Systemów i Mikro(Nano)Inżynierii (Centrum „MN3”), które ma zapewnić zaplecze technologiczne dla projektowania, wytwarzania i charakteryzacji nano- i mikrostruktur półprzewodnikowych dla zastosowań w fotonice zintegrowanej i kwantowej w zakresie bliskiej i średniej podczerwieni.”</w:t>
            </w:r>
          </w:p>
          <w:p w14:paraId="713C0E4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2. Rekomendacja: s. 9, akapit Instytucje naukowe i zaplecze badawcze: dodać sformułowanie "i we Wrocławiu z nowo utworzonym na Politechnice Wrocławskiej Centrum NM3 wyposażonym w nowoczesną infrastrukturę badawczą ukierunkowaną na rozwój nano- i mikrostruktur półprzewodnikowych, nanofotoniki oraz fotoniki kwantowej"</w:t>
            </w:r>
          </w:p>
          <w:p w14:paraId="27FD14C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3. Rekomendacja: s. 16: punkt 1, dodanie słowa "bliskiej" w sformułowaniu "takich jak fotonika scalona na zakres bliskiej i średniej podczerwieni".</w:t>
            </w:r>
          </w:p>
          <w:p w14:paraId="331420A4"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4. Rekomendacja: s. 17: Wymienienie istniejących w Polsce ośrodków w akapicie drugim: dodanie Politechniki Wrocławskiej: „Istniejące w Polsce ośrodki badawcze (m.in. CEZAMAT PW, Łukasiewicz-IMiF, IWC PAN czy Politechnika Wrocławska) dysponują …”</w:t>
            </w:r>
          </w:p>
          <w:p w14:paraId="26350C72"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5. Rekomendacja: s. 17: Dodać na koniec trzeciego akapitu sformułowanie "… lub powstającym inicjatywom, jak centrum MN3 w strukturze Politechniki Wrocławskiej".</w:t>
            </w:r>
          </w:p>
          <w:p w14:paraId="5C2B353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6. Rekomendacja: s. 31: Dodanie Politechniki Wrocławskiej do wyliczenia instytucji badawczych z doświadczeniem we współpracy z partnerami z Tajwanu (wspólne projekty bilateralne).</w:t>
            </w:r>
          </w:p>
          <w:p w14:paraId="00A5B450"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7. Rekomendacja: s. 20, pierwszy akapit: uwzględnienie badań prowadzonych w zakresie bliskiej podczerwieni przez dodanie słowa "bliskiej" we frazie "oraz fotonika scalona na zakres bliskiej i średniej podczerwieni".</w:t>
            </w:r>
          </w:p>
          <w:p w14:paraId="7003040D"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8. Rekomendacja: s. 21, drugi akapit: dodać zdanie: "Oprócz istniejących, w kraju powstają również ośrodki uzupełniające mapę infrastruktury zdolne w niedalekiej przyszłości wspierać tworzenie małoskalowych linii produkcyjnych, w tym Centrum NM3 przy Politechnice Wrocławskiej."</w:t>
            </w:r>
          </w:p>
          <w:p w14:paraId="4937F3C3" w14:textId="3EBF6042"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9. Rekomendacja: s. 23: uzupełnienie uzasadnienia wyboru Wrocławia na lokalizację parku technologicznego przez dodanie słów "dynamiczny rozwój kompetencji w fotonice scalonej i nanofotonice – powstające Centrum MN3 przy Politechnice Wrocławskiej".</w:t>
            </w:r>
          </w:p>
        </w:tc>
        <w:tc>
          <w:tcPr>
            <w:tcW w:w="4859" w:type="dxa"/>
            <w:tcBorders>
              <w:top w:val="single" w:sz="4" w:space="0" w:color="auto"/>
              <w:left w:val="single" w:sz="4" w:space="0" w:color="auto"/>
              <w:bottom w:val="single" w:sz="4" w:space="0" w:color="auto"/>
              <w:right w:val="single" w:sz="4" w:space="0" w:color="auto"/>
            </w:tcBorders>
          </w:tcPr>
          <w:p w14:paraId="6004A6FF" w14:textId="57F80092" w:rsidR="00F574A2" w:rsidRPr="004F425A" w:rsidRDefault="00F574A2" w:rsidP="004F425A">
            <w:pPr>
              <w:spacing w:after="120" w:line="240" w:lineRule="auto"/>
              <w:rPr>
                <w:rFonts w:ascii="Lato" w:eastAsia="Lato" w:hAnsi="Lato" w:cs="Lato"/>
                <w:sz w:val="20"/>
                <w:szCs w:val="20"/>
              </w:rPr>
            </w:pPr>
            <w:r w:rsidRPr="004F425A">
              <w:rPr>
                <w:rStyle w:val="Ppogrubienie"/>
                <w:rFonts w:ascii="Lato" w:hAnsi="Lato"/>
                <w:sz w:val="20"/>
                <w:szCs w:val="20"/>
              </w:rPr>
              <w:t>Uwaga nieuwzględniona</w:t>
            </w:r>
            <w:r w:rsidRPr="004F425A">
              <w:rPr>
                <w:rFonts w:ascii="Lato" w:eastAsia="Lato" w:hAnsi="Lato" w:cs="Lato"/>
                <w:sz w:val="20"/>
                <w:szCs w:val="20"/>
              </w:rPr>
              <w:t xml:space="preserve">. </w:t>
            </w:r>
          </w:p>
          <w:p w14:paraId="28AF7B64" w14:textId="77777777" w:rsidR="00F574A2" w:rsidRPr="004F425A" w:rsidRDefault="00F574A2" w:rsidP="004F425A">
            <w:pPr>
              <w:spacing w:after="120" w:line="240" w:lineRule="auto"/>
              <w:rPr>
                <w:rFonts w:ascii="Lato" w:hAnsi="Lato"/>
                <w:sz w:val="20"/>
                <w:szCs w:val="20"/>
              </w:rPr>
            </w:pPr>
            <w:r w:rsidRPr="004F425A">
              <w:rPr>
                <w:rFonts w:ascii="Lato" w:eastAsia="Lato" w:hAnsi="Lato" w:cs="Lato"/>
                <w:sz w:val="20"/>
                <w:szCs w:val="20"/>
              </w:rPr>
              <w:t>Postulat dotyczy zagadnień regulacyjnych/ operacyjnych wykraczających poza poziom ogólności dokumentu strategicznego. Właściwym miejscem jego uwzględnienia są akty wykonawcze i dokumenty wdrożeniowe.</w:t>
            </w:r>
          </w:p>
          <w:p w14:paraId="4A33E37C" w14:textId="77777777" w:rsidR="00F574A2" w:rsidRPr="004F425A" w:rsidRDefault="00F574A2" w:rsidP="004F425A">
            <w:pPr>
              <w:spacing w:after="120" w:line="240" w:lineRule="auto"/>
              <w:rPr>
                <w:rFonts w:ascii="Lato" w:hAnsi="Lato"/>
                <w:sz w:val="20"/>
                <w:szCs w:val="20"/>
              </w:rPr>
            </w:pPr>
          </w:p>
          <w:p w14:paraId="63274249" w14:textId="4C8ABA1D" w:rsidR="00F574A2" w:rsidRPr="004F425A" w:rsidRDefault="00F574A2" w:rsidP="004F425A">
            <w:pPr>
              <w:spacing w:after="120" w:line="240" w:lineRule="auto"/>
              <w:rPr>
                <w:rFonts w:ascii="Lato" w:eastAsia="Lato" w:hAnsi="Lato" w:cs="Lato"/>
                <w:sz w:val="20"/>
                <w:szCs w:val="20"/>
              </w:rPr>
            </w:pPr>
          </w:p>
        </w:tc>
      </w:tr>
      <w:tr w:rsidR="004471C5" w:rsidRPr="004F425A" w14:paraId="4FF4DFA0" w14:textId="77777777" w:rsidTr="002D48DC">
        <w:trPr>
          <w:trHeight w:val="3818"/>
        </w:trPr>
        <w:tc>
          <w:tcPr>
            <w:tcW w:w="1425" w:type="dxa"/>
            <w:tcBorders>
              <w:top w:val="single" w:sz="4" w:space="0" w:color="auto"/>
              <w:left w:val="single" w:sz="4" w:space="0" w:color="auto"/>
              <w:bottom w:val="single" w:sz="4" w:space="0" w:color="auto"/>
              <w:right w:val="single" w:sz="4" w:space="0" w:color="auto"/>
            </w:tcBorders>
          </w:tcPr>
          <w:p w14:paraId="2800129A"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A5C47B9"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Politechnika Wrocławska</w:t>
            </w:r>
          </w:p>
          <w:p w14:paraId="2D7C65B0" w14:textId="7138675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Katedra Fizyki Doświadczalnej</w:t>
            </w:r>
          </w:p>
        </w:tc>
        <w:tc>
          <w:tcPr>
            <w:tcW w:w="5387" w:type="dxa"/>
            <w:tcBorders>
              <w:top w:val="single" w:sz="4" w:space="0" w:color="auto"/>
              <w:left w:val="single" w:sz="4" w:space="0" w:color="auto"/>
              <w:bottom w:val="single" w:sz="4" w:space="0" w:color="auto"/>
              <w:right w:val="single" w:sz="4" w:space="0" w:color="auto"/>
            </w:tcBorders>
          </w:tcPr>
          <w:p w14:paraId="5D9E23F3"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Ponadto, należy uwzględnić aktualnie powstającą infrastrukturę naukowobadawczą</w:t>
            </w:r>
          </w:p>
          <w:p w14:paraId="2541CE60"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 konstrukcji centrów kompetencji.</w:t>
            </w:r>
          </w:p>
          <w:p w14:paraId="17BBC01B"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332E34C2" w14:textId="7B4FAC2C"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10. Rekomendacja: s. 37: Rozszerzenie zdania "Centra kompetencji powinny w pierwszej kolejności wykorzystywać istniejące struktury instytucjonalne, w tym powstałe w 2024 roku Centrum Kompetencji Półprzewodnikowych InnoSemi." do zdania "Centra kompetencji powinny w pierwszej kolejności wykorzystywać istniejące oraz aktualnie powstające struktury</w:t>
            </w:r>
          </w:p>
          <w:p w14:paraId="1855DAAB" w14:textId="08792444"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instytucjonalne, w tym powstałe w 2024 roku Centrum Kompetencji Półprzewodnikowych InnoSemi oraz Centrum MN3 w strukturze Politechniki Wrocławskiej."</w:t>
            </w:r>
          </w:p>
        </w:tc>
        <w:tc>
          <w:tcPr>
            <w:tcW w:w="4859" w:type="dxa"/>
            <w:tcBorders>
              <w:top w:val="single" w:sz="4" w:space="0" w:color="auto"/>
              <w:left w:val="single" w:sz="4" w:space="0" w:color="auto"/>
              <w:bottom w:val="single" w:sz="4" w:space="0" w:color="auto"/>
              <w:right w:val="single" w:sz="4" w:space="0" w:color="auto"/>
            </w:tcBorders>
          </w:tcPr>
          <w:p w14:paraId="45B5300C"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12AB8159"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Dokument został uzupełniony zgodnie z propozycją PWr. </w:t>
            </w:r>
          </w:p>
          <w:p w14:paraId="33A48638" w14:textId="3E815F9B" w:rsidR="00F574A2" w:rsidRPr="004F425A" w:rsidRDefault="00F574A2" w:rsidP="004F425A">
            <w:pPr>
              <w:spacing w:after="120" w:line="240" w:lineRule="auto"/>
              <w:rPr>
                <w:rFonts w:ascii="Lato" w:eastAsia="Lato" w:hAnsi="Lato" w:cs="Lato"/>
                <w:sz w:val="20"/>
                <w:szCs w:val="20"/>
              </w:rPr>
            </w:pPr>
          </w:p>
        </w:tc>
      </w:tr>
      <w:tr w:rsidR="004471C5" w:rsidRPr="004F425A" w14:paraId="01BD0044" w14:textId="77777777" w:rsidTr="79FF9703">
        <w:tc>
          <w:tcPr>
            <w:tcW w:w="1425" w:type="dxa"/>
            <w:tcBorders>
              <w:top w:val="single" w:sz="4" w:space="0" w:color="auto"/>
              <w:left w:val="single" w:sz="4" w:space="0" w:color="auto"/>
              <w:bottom w:val="single" w:sz="4" w:space="0" w:color="auto"/>
              <w:right w:val="single" w:sz="4" w:space="0" w:color="auto"/>
            </w:tcBorders>
          </w:tcPr>
          <w:p w14:paraId="3124C00D"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2A10AB8"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Politechnika Wrocławska</w:t>
            </w:r>
          </w:p>
          <w:p w14:paraId="196541FD" w14:textId="3725100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Katedra Fizyki Doświadczalnej</w:t>
            </w:r>
          </w:p>
        </w:tc>
        <w:tc>
          <w:tcPr>
            <w:tcW w:w="5387" w:type="dxa"/>
            <w:tcBorders>
              <w:top w:val="single" w:sz="4" w:space="0" w:color="auto"/>
              <w:left w:val="single" w:sz="4" w:space="0" w:color="auto"/>
              <w:bottom w:val="single" w:sz="4" w:space="0" w:color="auto"/>
              <w:right w:val="single" w:sz="4" w:space="0" w:color="auto"/>
            </w:tcBorders>
          </w:tcPr>
          <w:p w14:paraId="31D206E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Uwzględnienie Danii jako partnera technologicznego</w:t>
            </w:r>
          </w:p>
          <w:p w14:paraId="294800D0"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123951E6" w14:textId="02397D0F"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Projekt postuluje rozszerzenie współpracy lokalnej w ramach Trójkąta o Litwę, Holandię i Belgię w ramach filaru III. Współpraca regionalna i międzynarodowa. Zwracamy uwagę, że Dania również dysponuje prężnym i stabilnie finansowanym ekosystemem półprzewodnikowym. Na jej terenie znajduje się Duński Uniwersytet Techniczny (DTU), uczelnia przodująca w europejskich zestawieniach uniwersytetów technicznych, która dysponuje wysokimi kompetencjami w zakresie badań i wytwarzania półprzewodników, włączając w to zaawansowaną fabrykację w jednym z największych pomieszczeń czystych w Europie – DTU Nanolab. W tym ekosystemie powstają liczne start-upy półprzewodnikowe oraz realizowane są najbardziej prestiżowe granty naukowe ERC. Politechnika Wrocławska od lat współpracuje z tym ośrodkiem, a w ramach powstającego Centrum MN3 planowane jest dalsze zacieśnianie więzów między Polską a Danią w tym obszarze badań. Z tego względu</w:t>
            </w:r>
          </w:p>
          <w:p w14:paraId="0BBEECCE" w14:textId="787BC093"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współpraca z ośrodkiem duńskim jest niezwykle korzystna dla rozwoju krajowych kompetencji półprzewodnikowych, co zasługuje na uwzględnienie w Polityce.</w:t>
            </w:r>
          </w:p>
          <w:p w14:paraId="56A1657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5D1F761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Dlatego też należałoby wprowadzić następujące zmiany do tekstu Polityki:</w:t>
            </w:r>
          </w:p>
          <w:p w14:paraId="429172DB"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78339449" w14:textId="0B5A9A8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11. Rekomendacja: s. 29: w tytule akapitu uwzględnić też Danię: "Włączenie Litwy, Holandii, Belgii i Danii", a dalej w treści dodać: „czy Danią (rozwinięte kompetencje w zakresie zintegrowanej fotoniki, nanofotoniki i technologii kwantowych)", a także rozszerzenie planowanej współpracy o obszar bliskiej podczerwieni poprzez dodanie słów "fotonika bliskiej i średniej podczerwieni" przy końcu akapitu.</w:t>
            </w:r>
          </w:p>
          <w:p w14:paraId="7B380F07"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6DCC9FBD"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12. Rekomendacja: s. 37, akapit "Mobilność międzynarodowa i zatrzymywanie</w:t>
            </w:r>
          </w:p>
          <w:p w14:paraId="5E19132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talentów": dodać słowo "Danii" w zdaniu "Warto rozważyć tworzenie</w:t>
            </w:r>
          </w:p>
          <w:p w14:paraId="030115B1"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programów podwójnych dyplomów (z ang. double-degree) z zagranicznymi</w:t>
            </w:r>
          </w:p>
          <w:p w14:paraId="5BA9DC33"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uczelniami technicznymi (np. z Tajwanu, Holandii, Francji i Danii), co zwiększy</w:t>
            </w:r>
          </w:p>
          <w:p w14:paraId="5CA139EF" w14:textId="1E717383"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konkurencyjność oferty polskich ośrodków akademickich."</w:t>
            </w:r>
          </w:p>
        </w:tc>
        <w:tc>
          <w:tcPr>
            <w:tcW w:w="4859" w:type="dxa"/>
            <w:tcBorders>
              <w:top w:val="single" w:sz="4" w:space="0" w:color="auto"/>
              <w:left w:val="single" w:sz="4" w:space="0" w:color="auto"/>
              <w:bottom w:val="single" w:sz="4" w:space="0" w:color="auto"/>
              <w:right w:val="single" w:sz="4" w:space="0" w:color="auto"/>
            </w:tcBorders>
          </w:tcPr>
          <w:p w14:paraId="06B7C4C3" w14:textId="70B1B9D2"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częściowo uwzględniona. </w:t>
            </w:r>
          </w:p>
          <w:p w14:paraId="6A9005F9" w14:textId="5A8A84C1"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Uwaga została uwzględniona w zakresie w tekście dokumentu uwzględniono Danię. </w:t>
            </w:r>
          </w:p>
        </w:tc>
      </w:tr>
      <w:tr w:rsidR="004471C5" w:rsidRPr="004F425A" w14:paraId="6B8BCD80" w14:textId="77777777" w:rsidTr="79FF9703">
        <w:tc>
          <w:tcPr>
            <w:tcW w:w="1425" w:type="dxa"/>
            <w:tcBorders>
              <w:top w:val="single" w:sz="4" w:space="0" w:color="auto"/>
              <w:left w:val="single" w:sz="4" w:space="0" w:color="auto"/>
              <w:bottom w:val="single" w:sz="4" w:space="0" w:color="auto"/>
              <w:right w:val="single" w:sz="4" w:space="0" w:color="auto"/>
            </w:tcBorders>
          </w:tcPr>
          <w:p w14:paraId="6475D025"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6F9E0AA"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Politechnika Wrocławska</w:t>
            </w:r>
          </w:p>
          <w:p w14:paraId="3C665CAF" w14:textId="1B2CD93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Katedra Fizyki Doświadczalnej</w:t>
            </w:r>
          </w:p>
        </w:tc>
        <w:tc>
          <w:tcPr>
            <w:tcW w:w="5387" w:type="dxa"/>
            <w:tcBorders>
              <w:top w:val="single" w:sz="4" w:space="0" w:color="auto"/>
              <w:left w:val="single" w:sz="4" w:space="0" w:color="auto"/>
              <w:bottom w:val="single" w:sz="4" w:space="0" w:color="auto"/>
              <w:right w:val="single" w:sz="4" w:space="0" w:color="auto"/>
            </w:tcBorders>
          </w:tcPr>
          <w:p w14:paraId="0B207107"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Zbyt niskie i krótkotrwałe wsparcie finansowe</w:t>
            </w:r>
          </w:p>
          <w:p w14:paraId="3BBD20B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068C8551" w14:textId="6D3036E3"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Projekt zakłada inwestycje na poziomie „co najmniej 800 mln zł CAPEX oraz 300 mln zł OPEX do 2029 roku”. Taki poziom wsparcia, na poziomie 0,03% PKB Polski1 jest niewystarczający w odniesieniu do ambicji polityki ze względu na kosztochłonność zaawansowanych metod wytwarzania półprzewodników i układów półprzewodnikowych. Ponadto, oznacza zaledwie trzyletni horyzont bez pewności wsparcia Państwa po tym czasie. Tak istotne inwestycje w technologie zaawansowane nie mają szansy powstać na przestrzeni trzech lat, w szczególności, gdy poszukuje się przewagi nad istniejącymi graczami globalnymi oraz gdy zakładany jest wzrost liczby absolwentów czy inwestycje infrastrukturalne. Istnieje</w:t>
            </w:r>
          </w:p>
          <w:p w14:paraId="6D52929B" w14:textId="0F7BF4E0"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zagrożenie braku środków na utrzymanie aparatury i rozwój tych technologii po 2029 roku. Z tego względu sugerujemy powiązanie nakładów z poziomem PKB Polski oraz wydłużenie horyzontu Polityki do 10 lat, czyli do 2036 roku.</w:t>
            </w:r>
          </w:p>
          <w:p w14:paraId="01B48F32"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13CF481C"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13. Rekomendacja: s. 12, 44, 45, zmiana wskaźników KPI poprzez powiązanie</w:t>
            </w:r>
          </w:p>
          <w:p w14:paraId="120E2122"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poziomu finansowania (suma CAPEX i OPEX) z PKB Polski na poziomie co</w:t>
            </w:r>
          </w:p>
          <w:p w14:paraId="3DFE742D" w14:textId="4319C95A"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najmniej 0,01% PKB rocznie.</w:t>
            </w:r>
          </w:p>
        </w:tc>
        <w:tc>
          <w:tcPr>
            <w:tcW w:w="4859" w:type="dxa"/>
            <w:tcBorders>
              <w:top w:val="single" w:sz="4" w:space="0" w:color="auto"/>
              <w:left w:val="single" w:sz="4" w:space="0" w:color="auto"/>
              <w:bottom w:val="single" w:sz="4" w:space="0" w:color="auto"/>
              <w:right w:val="single" w:sz="4" w:space="0" w:color="auto"/>
            </w:tcBorders>
          </w:tcPr>
          <w:p w14:paraId="34928601"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41616C23" w14:textId="742BAA7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Wskazane wartości mają charakter orientacyjny i - zgodnie z rozdziałem „Wdrażanie, monitorowanie i ewaluacja” - podlegają corocznemu monitorowaniu oraz przeglądowi w ramach ewaluacji śródokresowej w 2028 r.</w:t>
            </w:r>
          </w:p>
        </w:tc>
      </w:tr>
      <w:tr w:rsidR="004471C5" w:rsidRPr="004F425A" w14:paraId="59643705" w14:textId="77777777" w:rsidTr="79FF9703">
        <w:tc>
          <w:tcPr>
            <w:tcW w:w="1425" w:type="dxa"/>
            <w:tcBorders>
              <w:top w:val="single" w:sz="4" w:space="0" w:color="auto"/>
              <w:left w:val="single" w:sz="4" w:space="0" w:color="auto"/>
              <w:bottom w:val="single" w:sz="4" w:space="0" w:color="auto"/>
              <w:right w:val="single" w:sz="4" w:space="0" w:color="auto"/>
            </w:tcBorders>
          </w:tcPr>
          <w:p w14:paraId="65358ABB"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51C8B60"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Politechnika Wrocławska</w:t>
            </w:r>
          </w:p>
          <w:p w14:paraId="0172B34A" w14:textId="631BD0D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Katedra Fizyki Doświadczalnej</w:t>
            </w:r>
          </w:p>
        </w:tc>
        <w:tc>
          <w:tcPr>
            <w:tcW w:w="5387" w:type="dxa"/>
            <w:tcBorders>
              <w:top w:val="single" w:sz="4" w:space="0" w:color="auto"/>
              <w:left w:val="single" w:sz="4" w:space="0" w:color="auto"/>
              <w:bottom w:val="single" w:sz="4" w:space="0" w:color="auto"/>
              <w:right w:val="single" w:sz="4" w:space="0" w:color="auto"/>
            </w:tcBorders>
          </w:tcPr>
          <w:p w14:paraId="5B6B6395"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Brak uwzględnienia kształcenia doktorantów jako celu Polityki</w:t>
            </w:r>
          </w:p>
          <w:p w14:paraId="0986D41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41D82A10"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 obecnym kształcie Polityka nie odpowiada na wyzwania związane z</w:t>
            </w:r>
          </w:p>
          <w:p w14:paraId="1CD286F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rozwojem technologii przyszłości. Uważamy, że ułamek finansowania musi zostać</w:t>
            </w:r>
          </w:p>
          <w:p w14:paraId="5390CC2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przeznaczony na finansowanie badań podstawowych i weryfikację założeń, co</w:t>
            </w:r>
          </w:p>
          <w:p w14:paraId="74F5023B"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odpowiada pracom badawczym na poziomach TRL 1–4. Należy traktować takie prace</w:t>
            </w:r>
          </w:p>
          <w:p w14:paraId="76637A41"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jak inwestycję długoterminową, mając na uwadze, że to na tych polach Polska może</w:t>
            </w:r>
          </w:p>
          <w:p w14:paraId="6156144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wypracować przewagę technologiczną w przyszłości. Powinno mieć to swoje</w:t>
            </w:r>
          </w:p>
          <w:p w14:paraId="3E560EE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odzwierciedlenie zarówno w aspekcie inwestycji infrastrukturalnych, jak i w</w:t>
            </w:r>
          </w:p>
          <w:p w14:paraId="0686F64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kształceniu kadr, w tym w szczególności wysoko wyspecjalizowanych na poziomie</w:t>
            </w:r>
          </w:p>
          <w:p w14:paraId="02A308BE"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doktoratu.</w:t>
            </w:r>
          </w:p>
          <w:p w14:paraId="5C43831E"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2854DE19" w14:textId="076504C3"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14. Rekomendacja: s. 18: Dodać punkt: „organizacja systemowego wsparcia zakupu i utrzymania infrastruktury badawczej uczelni wyższych oraz zapewnienie dostępu kadry naukowej i doktorantów polskich uczelni do infrastruktury badawczej centrów kompetencji w celu rozwoju technologii znajdujących się na poziomach TRL 1-4.”</w:t>
            </w:r>
          </w:p>
        </w:tc>
        <w:tc>
          <w:tcPr>
            <w:tcW w:w="4859" w:type="dxa"/>
            <w:tcBorders>
              <w:top w:val="single" w:sz="4" w:space="0" w:color="auto"/>
              <w:left w:val="single" w:sz="4" w:space="0" w:color="auto"/>
              <w:bottom w:val="single" w:sz="4" w:space="0" w:color="auto"/>
              <w:right w:val="single" w:sz="4" w:space="0" w:color="auto"/>
            </w:tcBorders>
          </w:tcPr>
          <w:p w14:paraId="3BAF85EA" w14:textId="149EC159"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7E92BBD4" w14:textId="77777777" w:rsidR="00F574A2" w:rsidRPr="004F425A" w:rsidRDefault="00F574A2" w:rsidP="004F425A">
            <w:pPr>
              <w:spacing w:after="120" w:line="240" w:lineRule="auto"/>
              <w:rPr>
                <w:rFonts w:ascii="Lato" w:hAnsi="Lato"/>
                <w:sz w:val="20"/>
                <w:szCs w:val="20"/>
              </w:rPr>
            </w:pPr>
            <w:r w:rsidRPr="004F425A">
              <w:rPr>
                <w:rFonts w:ascii="Lato" w:eastAsia="Lato" w:hAnsi="Lato" w:cs="Lato"/>
                <w:sz w:val="20"/>
                <w:szCs w:val="20"/>
              </w:rPr>
              <w:t>Postulat dotyczy zagadnień regulacyjnych/ operacyjnych wykraczających poza poziom ogólności dokumentu strategicznego. Właściwym miejscem jego uwzględnienia są akty wykonawcze i dokumenty wdrożeniowe.</w:t>
            </w:r>
          </w:p>
          <w:p w14:paraId="779972C0" w14:textId="4D778E16" w:rsidR="00F574A2" w:rsidRPr="004F425A" w:rsidRDefault="00F574A2" w:rsidP="004F425A">
            <w:pPr>
              <w:spacing w:after="120" w:line="240" w:lineRule="auto"/>
              <w:rPr>
                <w:rFonts w:ascii="Lato" w:eastAsia="Lato" w:hAnsi="Lato" w:cs="Lato"/>
                <w:sz w:val="20"/>
                <w:szCs w:val="20"/>
              </w:rPr>
            </w:pPr>
          </w:p>
          <w:p w14:paraId="5AD9321C" w14:textId="00DA145A" w:rsidR="00F574A2" w:rsidRPr="004F425A" w:rsidRDefault="00F574A2" w:rsidP="004F425A">
            <w:pPr>
              <w:spacing w:after="120" w:line="240" w:lineRule="auto"/>
              <w:rPr>
                <w:rFonts w:ascii="Lato" w:eastAsia="Lato" w:hAnsi="Lato" w:cs="Lato"/>
                <w:sz w:val="20"/>
                <w:szCs w:val="20"/>
              </w:rPr>
            </w:pPr>
          </w:p>
        </w:tc>
      </w:tr>
      <w:tr w:rsidR="004471C5" w:rsidRPr="004F425A" w14:paraId="39E265CF" w14:textId="77777777" w:rsidTr="79FF9703">
        <w:tc>
          <w:tcPr>
            <w:tcW w:w="1425" w:type="dxa"/>
            <w:tcBorders>
              <w:top w:val="single" w:sz="4" w:space="0" w:color="auto"/>
              <w:left w:val="single" w:sz="4" w:space="0" w:color="auto"/>
              <w:bottom w:val="single" w:sz="4" w:space="0" w:color="auto"/>
              <w:right w:val="single" w:sz="4" w:space="0" w:color="auto"/>
            </w:tcBorders>
          </w:tcPr>
          <w:p w14:paraId="6B255247"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5BEEE76"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Politechnika Wrocławska</w:t>
            </w:r>
          </w:p>
          <w:p w14:paraId="4E883BC4" w14:textId="58CEDAF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Katedra Fizyki Doświadczalnej</w:t>
            </w:r>
          </w:p>
        </w:tc>
        <w:tc>
          <w:tcPr>
            <w:tcW w:w="5387" w:type="dxa"/>
            <w:tcBorders>
              <w:top w:val="single" w:sz="4" w:space="0" w:color="auto"/>
              <w:left w:val="single" w:sz="4" w:space="0" w:color="auto"/>
              <w:bottom w:val="single" w:sz="4" w:space="0" w:color="auto"/>
              <w:right w:val="single" w:sz="4" w:space="0" w:color="auto"/>
            </w:tcBorders>
          </w:tcPr>
          <w:p w14:paraId="23643A75"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Półprzewodnikowe rozwiązania alternatywne</w:t>
            </w:r>
          </w:p>
          <w:p w14:paraId="5E0BDF53"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092688FE" w14:textId="60037CED"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Polityka pomija rozwój innych technologii półprzewodnikowych niż oparte o procesy CMOS. Jednocześnie, Polska ma sukcesy na polu komercjalizacji takich technologii. Jako przykład można podać wrocławską spółkę QNA Technology S.A., firmę giełdową specjalizującą się w syntezie i inżynierii półprzewodnikowych kropek kwantowych, ze szczególnym naciskiem na kropki kwantowe emitujące w zakresie niebieskim widma widzialnego i niezawierające metali ciężkich. Sukces rynkowy firmy QNA jest dowodem na udany transfer wyników badań naukowych na rynek półprzewodnikowy. Firma ta ma linię pilotażową, której istnienie nie zostało uwzględnione. Należy dostrzec niższą barierę wejścia i uwzględnić wsparcie dla</w:t>
            </w:r>
          </w:p>
          <w:p w14:paraId="5B69AB43" w14:textId="26622289"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takich inicjatyw równolegle do rozwiązań bardziej kosztochłonnych.</w:t>
            </w:r>
          </w:p>
        </w:tc>
        <w:tc>
          <w:tcPr>
            <w:tcW w:w="4859" w:type="dxa"/>
            <w:tcBorders>
              <w:top w:val="single" w:sz="4" w:space="0" w:color="auto"/>
              <w:left w:val="single" w:sz="4" w:space="0" w:color="auto"/>
              <w:bottom w:val="single" w:sz="4" w:space="0" w:color="auto"/>
              <w:right w:val="single" w:sz="4" w:space="0" w:color="auto"/>
            </w:tcBorders>
          </w:tcPr>
          <w:p w14:paraId="0BD30A34" w14:textId="56C18A11"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7FDC1A1A" w14:textId="08FC6BD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nie wprowadza wzmianki o technologiach alternatywnych do CMOS (w tym kropkach kwantowych) ani o konkretnych spółkach rynkowych, zgodnie z ogólną zasadą nieprzywoływania z nazwy pojedynczych podmiotów.</w:t>
            </w:r>
          </w:p>
        </w:tc>
      </w:tr>
      <w:tr w:rsidR="004471C5" w:rsidRPr="004F425A" w14:paraId="7448663A" w14:textId="77777777" w:rsidTr="79FF9703">
        <w:tc>
          <w:tcPr>
            <w:tcW w:w="1425" w:type="dxa"/>
            <w:tcBorders>
              <w:top w:val="single" w:sz="4" w:space="0" w:color="auto"/>
              <w:left w:val="single" w:sz="4" w:space="0" w:color="auto"/>
              <w:bottom w:val="single" w:sz="4" w:space="0" w:color="auto"/>
              <w:right w:val="single" w:sz="4" w:space="0" w:color="auto"/>
            </w:tcBorders>
          </w:tcPr>
          <w:p w14:paraId="57FABE8A"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86301BC"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Politechnika Wrocławska</w:t>
            </w:r>
          </w:p>
          <w:p w14:paraId="654472FB" w14:textId="59463E9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Katedra Fizyki Doświadczalnej</w:t>
            </w:r>
          </w:p>
        </w:tc>
        <w:tc>
          <w:tcPr>
            <w:tcW w:w="5387" w:type="dxa"/>
            <w:tcBorders>
              <w:top w:val="single" w:sz="4" w:space="0" w:color="auto"/>
              <w:left w:val="single" w:sz="4" w:space="0" w:color="auto"/>
              <w:bottom w:val="single" w:sz="4" w:space="0" w:color="auto"/>
              <w:right w:val="single" w:sz="4" w:space="0" w:color="auto"/>
            </w:tcBorders>
          </w:tcPr>
          <w:p w14:paraId="4699EAD2" w14:textId="76CA963E"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Uważamy, że zakres badań proponowanych do prowadzenia w postulowanym ośrodku badawczo-rozwojowym "rozwijającym technologie i zastosowania fotoniki scalonej" (s. 30, akapit trzeci) został niepotrzebnie zawężony do zakresu średniej podczerwieni. Fotonika rozwijana w Polsce dotyczy także m. in. zakresu widzialnego (półprzewodniki azotkowe jak GaN) czy zakresu bliskiej podczerwieni. Niezależnie od tego, warto postawić na dostępność technologii w wielu tematykach, tak aby umożliwić rozwój polskich technologii na wcześniejszych etapach TRL, o ile ich rozwój będzie wzajemnie kompatybilny technologicznie.</w:t>
            </w:r>
          </w:p>
          <w:p w14:paraId="09A9E524"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19D25F85"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15. Rekomendacja: s. 30: usunąć słowa „na zakres średniej</w:t>
            </w:r>
          </w:p>
          <w:p w14:paraId="0DFBE97E" w14:textId="36A73401"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podczerwieni” z drugiej linii trzeciego akapitu</w:t>
            </w:r>
          </w:p>
        </w:tc>
        <w:tc>
          <w:tcPr>
            <w:tcW w:w="4859" w:type="dxa"/>
            <w:tcBorders>
              <w:top w:val="single" w:sz="4" w:space="0" w:color="auto"/>
              <w:left w:val="single" w:sz="4" w:space="0" w:color="auto"/>
              <w:bottom w:val="single" w:sz="4" w:space="0" w:color="auto"/>
              <w:right w:val="single" w:sz="4" w:space="0" w:color="auto"/>
            </w:tcBorders>
          </w:tcPr>
          <w:p w14:paraId="58C310F8" w14:textId="45A8333D"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104EC0C3" w14:textId="4D76124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Dokument został skorygowany zgodnie z propozycją PWr. </w:t>
            </w:r>
          </w:p>
          <w:p w14:paraId="1439463E" w14:textId="4E6EEB89" w:rsidR="00F574A2" w:rsidRPr="004F425A" w:rsidRDefault="00F574A2" w:rsidP="004F425A">
            <w:pPr>
              <w:spacing w:after="120" w:line="240" w:lineRule="auto"/>
              <w:rPr>
                <w:rFonts w:ascii="Lato" w:eastAsia="Lato" w:hAnsi="Lato" w:cs="Lato"/>
                <w:sz w:val="20"/>
                <w:szCs w:val="20"/>
              </w:rPr>
            </w:pPr>
          </w:p>
        </w:tc>
      </w:tr>
      <w:tr w:rsidR="004471C5" w:rsidRPr="004F425A" w14:paraId="119C4605" w14:textId="77777777" w:rsidTr="79FF9703">
        <w:tc>
          <w:tcPr>
            <w:tcW w:w="1425" w:type="dxa"/>
            <w:tcBorders>
              <w:top w:val="single" w:sz="4" w:space="0" w:color="auto"/>
              <w:left w:val="single" w:sz="4" w:space="0" w:color="auto"/>
              <w:bottom w:val="single" w:sz="4" w:space="0" w:color="auto"/>
              <w:right w:val="single" w:sz="4" w:space="0" w:color="auto"/>
            </w:tcBorders>
          </w:tcPr>
          <w:p w14:paraId="7F7B1804"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260A069"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Politechnika Wrocławska</w:t>
            </w:r>
          </w:p>
          <w:p w14:paraId="525E8078" w14:textId="6FF6A712"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Katedra Fizyki Doświadczalnej</w:t>
            </w:r>
          </w:p>
        </w:tc>
        <w:tc>
          <w:tcPr>
            <w:tcW w:w="5387" w:type="dxa"/>
            <w:tcBorders>
              <w:top w:val="single" w:sz="4" w:space="0" w:color="auto"/>
              <w:left w:val="single" w:sz="4" w:space="0" w:color="auto"/>
              <w:bottom w:val="single" w:sz="4" w:space="0" w:color="auto"/>
              <w:right w:val="single" w:sz="4" w:space="0" w:color="auto"/>
            </w:tcBorders>
          </w:tcPr>
          <w:p w14:paraId="18018673"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Należy dodać aspekt fotoniki zintegrowanej do diagnozy brakujących programów</w:t>
            </w:r>
          </w:p>
          <w:p w14:paraId="0D8F98FC"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kształcenia w zakresie projektowania układów scalonych.</w:t>
            </w:r>
          </w:p>
          <w:p w14:paraId="1D194293"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58ECBFA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16. Rekomendacja: s. 37: dodać słowa "w tym układów fotoniki</w:t>
            </w:r>
          </w:p>
          <w:p w14:paraId="0E736326" w14:textId="0D816E25"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zintegrowanej" w trzecim akapicie: "Szczególną uwagę należy</w:t>
            </w:r>
          </w:p>
        </w:tc>
        <w:tc>
          <w:tcPr>
            <w:tcW w:w="4859" w:type="dxa"/>
            <w:tcBorders>
              <w:top w:val="single" w:sz="4" w:space="0" w:color="auto"/>
              <w:left w:val="single" w:sz="4" w:space="0" w:color="auto"/>
              <w:bottom w:val="single" w:sz="4" w:space="0" w:color="auto"/>
              <w:right w:val="single" w:sz="4" w:space="0" w:color="auto"/>
            </w:tcBorders>
          </w:tcPr>
          <w:p w14:paraId="2C43285F"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51805CDC" w14:textId="6C7FDEC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Dokument został uzupełniony zgodnie z propozycją PWr. </w:t>
            </w:r>
          </w:p>
          <w:p w14:paraId="7BAF5D53" w14:textId="50DD46D1" w:rsidR="00F574A2" w:rsidRPr="004F425A" w:rsidRDefault="00F574A2" w:rsidP="004F425A">
            <w:pPr>
              <w:spacing w:after="120" w:line="240" w:lineRule="auto"/>
              <w:rPr>
                <w:rFonts w:ascii="Lato" w:eastAsia="Lato" w:hAnsi="Lato" w:cs="Lato"/>
                <w:sz w:val="20"/>
                <w:szCs w:val="20"/>
              </w:rPr>
            </w:pPr>
          </w:p>
        </w:tc>
      </w:tr>
      <w:tr w:rsidR="004471C5" w:rsidRPr="004F425A" w14:paraId="51461D45" w14:textId="77777777" w:rsidTr="79FF9703">
        <w:tc>
          <w:tcPr>
            <w:tcW w:w="1425" w:type="dxa"/>
            <w:tcBorders>
              <w:top w:val="single" w:sz="4" w:space="0" w:color="auto"/>
              <w:left w:val="single" w:sz="4" w:space="0" w:color="auto"/>
              <w:bottom w:val="single" w:sz="4" w:space="0" w:color="auto"/>
              <w:right w:val="single" w:sz="4" w:space="0" w:color="auto"/>
            </w:tcBorders>
          </w:tcPr>
          <w:p w14:paraId="63A86C3C"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1688AF2"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Politechnika Wrocławska</w:t>
            </w:r>
          </w:p>
          <w:p w14:paraId="5CA6527D" w14:textId="02A7489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Katedra Fizyki Doświadczalnej</w:t>
            </w:r>
          </w:p>
        </w:tc>
        <w:tc>
          <w:tcPr>
            <w:tcW w:w="5387" w:type="dxa"/>
            <w:tcBorders>
              <w:top w:val="single" w:sz="4" w:space="0" w:color="auto"/>
              <w:left w:val="single" w:sz="4" w:space="0" w:color="auto"/>
              <w:bottom w:val="single" w:sz="4" w:space="0" w:color="auto"/>
              <w:right w:val="single" w:sz="4" w:space="0" w:color="auto"/>
            </w:tcBorders>
          </w:tcPr>
          <w:p w14:paraId="73B75A73" w14:textId="198010A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Projekt o parku technologicznym dedykowanym sektorowi półprzewodników stwierdza, iż "Obecnie w Polsce brakuje takiego miejsca" (s. 22). Brakuje zatem powiązania koncepcji postulowanego parku technologicznego z już istniejącymi w Polsce parkami technologicznymi, m. in. Wrocławski Park Technologiczny, CEZAMAT, Krakowski Park Technologiczny, Gdański Park Naukowo-Technologiczny, etc., a zatem istnieje ryzyko duplikacji istniejących struktur. Określenie relacji do istniejących parków pozwoli na jasne, sprecyzowane cele stawiane przed nowymi centrami.</w:t>
            </w:r>
          </w:p>
        </w:tc>
        <w:tc>
          <w:tcPr>
            <w:tcW w:w="4859" w:type="dxa"/>
            <w:tcBorders>
              <w:top w:val="single" w:sz="4" w:space="0" w:color="auto"/>
              <w:left w:val="single" w:sz="4" w:space="0" w:color="auto"/>
              <w:bottom w:val="single" w:sz="4" w:space="0" w:color="auto"/>
              <w:right w:val="single" w:sz="4" w:space="0" w:color="auto"/>
            </w:tcBorders>
          </w:tcPr>
          <w:p w14:paraId="3AA9A95D" w14:textId="538CEE08"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p>
          <w:p w14:paraId="2B278F72" w14:textId="794249E4" w:rsidR="00F574A2" w:rsidRPr="004F425A" w:rsidRDefault="00F574A2" w:rsidP="004F425A">
            <w:pPr>
              <w:spacing w:after="120" w:line="240" w:lineRule="auto"/>
              <w:rPr>
                <w:rFonts w:ascii="Lato" w:hAnsi="Lato"/>
                <w:sz w:val="20"/>
                <w:szCs w:val="20"/>
              </w:rPr>
            </w:pPr>
            <w:r w:rsidRPr="004F425A">
              <w:rPr>
                <w:rFonts w:ascii="Lato" w:eastAsia="Lato" w:hAnsi="Lato" w:cs="Lato"/>
                <w:sz w:val="20"/>
                <w:szCs w:val="20"/>
              </w:rPr>
              <w:t xml:space="preserve">W dokumencie dodano odniesienie do </w:t>
            </w:r>
            <w:r w:rsidRPr="004F425A">
              <w:rPr>
                <w:rFonts w:ascii="Lato" w:eastAsia="Yu Gothic Light" w:hAnsi="Lato" w:cs="Arial"/>
                <w:sz w:val="20"/>
                <w:szCs w:val="20"/>
              </w:rPr>
              <w:t xml:space="preserve"> CEZAMAT PW  i Politechniki Warszawskiej. </w:t>
            </w:r>
          </w:p>
          <w:p w14:paraId="5C15F433" w14:textId="08B03BF3" w:rsidR="00F574A2" w:rsidRPr="004F425A" w:rsidRDefault="00F574A2" w:rsidP="004F425A">
            <w:pPr>
              <w:spacing w:after="120" w:line="240" w:lineRule="auto"/>
              <w:rPr>
                <w:rFonts w:ascii="Lato" w:eastAsia="Lato" w:hAnsi="Lato" w:cs="Lato"/>
                <w:sz w:val="20"/>
                <w:szCs w:val="20"/>
              </w:rPr>
            </w:pPr>
          </w:p>
        </w:tc>
      </w:tr>
      <w:tr w:rsidR="004471C5" w:rsidRPr="004F425A" w14:paraId="62AFBBFB" w14:textId="77777777" w:rsidTr="79FF9703">
        <w:tc>
          <w:tcPr>
            <w:tcW w:w="1425" w:type="dxa"/>
            <w:tcBorders>
              <w:top w:val="single" w:sz="4" w:space="0" w:color="auto"/>
              <w:left w:val="single" w:sz="4" w:space="0" w:color="auto"/>
              <w:bottom w:val="single" w:sz="4" w:space="0" w:color="auto"/>
              <w:right w:val="single" w:sz="4" w:space="0" w:color="auto"/>
            </w:tcBorders>
          </w:tcPr>
          <w:p w14:paraId="211A46D0"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AA68776" w14:textId="3319E9D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Uniwersytet Wrocławski</w:t>
            </w:r>
          </w:p>
        </w:tc>
        <w:tc>
          <w:tcPr>
            <w:tcW w:w="5387" w:type="dxa"/>
            <w:tcBorders>
              <w:top w:val="single" w:sz="4" w:space="0" w:color="auto"/>
              <w:left w:val="single" w:sz="4" w:space="0" w:color="auto"/>
              <w:bottom w:val="single" w:sz="4" w:space="0" w:color="auto"/>
              <w:right w:val="single" w:sz="4" w:space="0" w:color="auto"/>
            </w:tcBorders>
          </w:tcPr>
          <w:p w14:paraId="132AB55D"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Propozycja 1</w:t>
            </w:r>
          </w:p>
          <w:p w14:paraId="687C6A2E"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 rozdziale „I Infrastruktura” w sekcji „Zwiększenie dostępności narzędzi projektowania” proponujemy rozwinąć listę elementów do przeanalizowania o:</w:t>
            </w:r>
          </w:p>
          <w:p w14:paraId="080245CC"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„Ocena środowiska EDA open-source i analiza możliwości zastąpienia nim rozwiązań komercyjnych.”</w:t>
            </w:r>
          </w:p>
          <w:p w14:paraId="01A78553" w14:textId="5A3C69D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Uzasadnieniem tej propozycji jest fakt, że środowisko otwarto źródłowych narzędzi EDA istnieje i jest aktywnie rozwijane (m.in. przez IHP - Leibniz-Institut für innovative Mikroelektronik), a brak barier prawnych/kontraktowych i niskie koszty jego wykorzystania, powodują że może ono mieć zastosowanie w sektorze MŚP oraz w ośrodkach edukacyjnych.</w:t>
            </w:r>
          </w:p>
        </w:tc>
        <w:tc>
          <w:tcPr>
            <w:tcW w:w="4859" w:type="dxa"/>
            <w:tcBorders>
              <w:top w:val="single" w:sz="4" w:space="0" w:color="auto"/>
              <w:left w:val="single" w:sz="4" w:space="0" w:color="auto"/>
              <w:bottom w:val="single" w:sz="4" w:space="0" w:color="auto"/>
              <w:right w:val="single" w:sz="4" w:space="0" w:color="auto"/>
            </w:tcBorders>
          </w:tcPr>
          <w:p w14:paraId="7209F652"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uwzględniona. </w:t>
            </w:r>
          </w:p>
          <w:p w14:paraId="2CF18D1F" w14:textId="27388C6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Lista została uzupełniona o element wskazany w uwadze.</w:t>
            </w:r>
          </w:p>
          <w:p w14:paraId="763F561A" w14:textId="6EF32E06" w:rsidR="00F574A2" w:rsidRPr="004F425A" w:rsidRDefault="00F574A2" w:rsidP="004F425A">
            <w:pPr>
              <w:spacing w:after="120" w:line="240" w:lineRule="auto"/>
              <w:rPr>
                <w:rFonts w:ascii="Lato" w:eastAsia="Lato" w:hAnsi="Lato" w:cs="Lato"/>
                <w:sz w:val="20"/>
                <w:szCs w:val="20"/>
              </w:rPr>
            </w:pPr>
          </w:p>
        </w:tc>
      </w:tr>
      <w:tr w:rsidR="004471C5" w:rsidRPr="004F425A" w14:paraId="5CDE9AEA" w14:textId="77777777" w:rsidTr="79FF9703">
        <w:tc>
          <w:tcPr>
            <w:tcW w:w="1425" w:type="dxa"/>
            <w:tcBorders>
              <w:top w:val="single" w:sz="4" w:space="0" w:color="auto"/>
              <w:left w:val="single" w:sz="4" w:space="0" w:color="auto"/>
              <w:bottom w:val="single" w:sz="4" w:space="0" w:color="auto"/>
              <w:right w:val="single" w:sz="4" w:space="0" w:color="auto"/>
            </w:tcBorders>
          </w:tcPr>
          <w:p w14:paraId="078A6B5C"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56486E5" w14:textId="073005E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Uniwersytet Wrocławski</w:t>
            </w:r>
          </w:p>
        </w:tc>
        <w:tc>
          <w:tcPr>
            <w:tcW w:w="5387" w:type="dxa"/>
            <w:tcBorders>
              <w:top w:val="single" w:sz="4" w:space="0" w:color="auto"/>
              <w:left w:val="single" w:sz="4" w:space="0" w:color="auto"/>
              <w:bottom w:val="single" w:sz="4" w:space="0" w:color="auto"/>
              <w:right w:val="single" w:sz="4" w:space="0" w:color="auto"/>
            </w:tcBorders>
          </w:tcPr>
          <w:p w14:paraId="15FA501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Propozycja 2</w:t>
            </w:r>
          </w:p>
          <w:p w14:paraId="3EDF61E4"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 rozdziale „I Infrastruktura” w sekcji „Utworzenie parku technologicznego dedykowanego sektorowi półprzewodników” w liście wstępnych wskazanych lokalizacji proponujemy dodać informację o istnieniu kompetencji w projektowaniu układów cyfrowych we Wrocławiu, poprzez zmianę:</w:t>
            </w:r>
          </w:p>
          <w:p w14:paraId="1ABB3202"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„Wrocław (fotonika, mikroelektronika, mikrosystemy, druk półprzewodników, rozwinięty sektor technologii informacyjno-komunikacyjnych (z ang. ICT);”</w:t>
            </w:r>
          </w:p>
          <w:p w14:paraId="1A7A49D3"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na:</w:t>
            </w:r>
          </w:p>
          <w:p w14:paraId="606EE7FC"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„Wrocław (fotonika, mikroelektronika, mikrosystemy, druk półprzewodników, projektowanie układów cyfrowych, rozwinięty sektor technologii informacyjno-komunikacyjnych (z ang. ICT);”</w:t>
            </w:r>
          </w:p>
          <w:p w14:paraId="0C97EFD0" w14:textId="73785438"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Propozycja ta ma związek z istnieniem w Instytucie Informatyki Uniwersytetu Wrocławskiego grupy Kuźnia Rdzeni zajmującej się projektowaniem układów cyfrowych. W Kuźni powstaje między innymi procesor out-of-order Coreblocks (https://github.com/kuznia-rdzeni/coreblocks). Zmiana ta jest istotna ze względu na punkt „Przeprowadzenie pełnej analizy lokalizacyjnej”, która to analiza powinna uwzględniać Uniwersytet Wrocławski.</w:t>
            </w:r>
          </w:p>
        </w:tc>
        <w:tc>
          <w:tcPr>
            <w:tcW w:w="4859" w:type="dxa"/>
            <w:tcBorders>
              <w:top w:val="single" w:sz="4" w:space="0" w:color="auto"/>
              <w:left w:val="single" w:sz="4" w:space="0" w:color="auto"/>
              <w:bottom w:val="single" w:sz="4" w:space="0" w:color="auto"/>
              <w:right w:val="single" w:sz="4" w:space="0" w:color="auto"/>
            </w:tcBorders>
          </w:tcPr>
          <w:p w14:paraId="0C0A265F" w14:textId="7C6EBE35" w:rsidR="00A127AE"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uwzględniona</w:t>
            </w:r>
            <w:r w:rsidR="00A127AE" w:rsidRPr="004F425A">
              <w:rPr>
                <w:rStyle w:val="Ppogrubienie"/>
                <w:rFonts w:ascii="Lato" w:hAnsi="Lato"/>
                <w:sz w:val="20"/>
                <w:szCs w:val="20"/>
              </w:rPr>
              <w:t>.</w:t>
            </w:r>
          </w:p>
          <w:p w14:paraId="59A62D90" w14:textId="63992E01" w:rsidR="00F574A2" w:rsidRPr="004F425A" w:rsidRDefault="004F23A4" w:rsidP="004F425A">
            <w:pPr>
              <w:spacing w:after="120" w:line="240" w:lineRule="auto"/>
              <w:rPr>
                <w:rFonts w:ascii="Lato" w:hAnsi="Lato"/>
                <w:sz w:val="20"/>
                <w:szCs w:val="20"/>
              </w:rPr>
            </w:pPr>
            <w:r w:rsidRPr="004F425A">
              <w:rPr>
                <w:rFonts w:ascii="Lato" w:eastAsia="Lato" w:hAnsi="Lato" w:cs="Lato"/>
                <w:sz w:val="20"/>
                <w:szCs w:val="20"/>
              </w:rPr>
              <w:t xml:space="preserve">Dokument </w:t>
            </w:r>
            <w:r w:rsidR="005D467F" w:rsidRPr="004F425A">
              <w:rPr>
                <w:rFonts w:ascii="Lato" w:eastAsia="Lato" w:hAnsi="Lato" w:cs="Lato"/>
                <w:sz w:val="20"/>
                <w:szCs w:val="20"/>
              </w:rPr>
              <w:t xml:space="preserve">został doprecyzowany </w:t>
            </w:r>
            <w:r w:rsidR="00F574A2" w:rsidRPr="004F425A">
              <w:rPr>
                <w:rFonts w:ascii="Lato" w:eastAsia="Lato" w:hAnsi="Lato" w:cs="Lato"/>
                <w:sz w:val="20"/>
                <w:szCs w:val="20"/>
              </w:rPr>
              <w:t>zgodnie z propozycją UW</w:t>
            </w:r>
            <w:r w:rsidR="00344BC5" w:rsidRPr="004F425A">
              <w:rPr>
                <w:rFonts w:ascii="Lato" w:eastAsia="Lato" w:hAnsi="Lato" w:cs="Lato"/>
                <w:sz w:val="20"/>
                <w:szCs w:val="20"/>
              </w:rPr>
              <w:t>r.</w:t>
            </w:r>
            <w:r w:rsidR="00F574A2" w:rsidRPr="004F425A">
              <w:rPr>
                <w:rFonts w:ascii="Lato" w:eastAsia="Lato" w:hAnsi="Lato" w:cs="Lato"/>
                <w:sz w:val="20"/>
                <w:szCs w:val="20"/>
              </w:rPr>
              <w:t xml:space="preserve"> </w:t>
            </w:r>
          </w:p>
          <w:p w14:paraId="296EF121" w14:textId="6EC668F4" w:rsidR="00F574A2" w:rsidRPr="004F425A" w:rsidRDefault="00F574A2" w:rsidP="004F425A">
            <w:pPr>
              <w:spacing w:after="120" w:line="240" w:lineRule="auto"/>
              <w:rPr>
                <w:rFonts w:ascii="Lato" w:eastAsia="Lato" w:hAnsi="Lato" w:cs="Lato"/>
                <w:sz w:val="20"/>
                <w:szCs w:val="20"/>
              </w:rPr>
            </w:pPr>
          </w:p>
        </w:tc>
      </w:tr>
      <w:tr w:rsidR="004471C5" w:rsidRPr="004F425A" w14:paraId="06D4D8AF" w14:textId="77777777" w:rsidTr="79FF9703">
        <w:tc>
          <w:tcPr>
            <w:tcW w:w="1425" w:type="dxa"/>
            <w:tcBorders>
              <w:top w:val="single" w:sz="4" w:space="0" w:color="auto"/>
              <w:left w:val="single" w:sz="4" w:space="0" w:color="auto"/>
              <w:bottom w:val="single" w:sz="4" w:space="0" w:color="auto"/>
              <w:right w:val="single" w:sz="4" w:space="0" w:color="auto"/>
            </w:tcBorders>
          </w:tcPr>
          <w:p w14:paraId="4250BA87"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FEA7D41" w14:textId="585E9D8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Uniwersytet Wrocławski</w:t>
            </w:r>
          </w:p>
        </w:tc>
        <w:tc>
          <w:tcPr>
            <w:tcW w:w="5387" w:type="dxa"/>
            <w:tcBorders>
              <w:top w:val="single" w:sz="4" w:space="0" w:color="auto"/>
              <w:left w:val="single" w:sz="4" w:space="0" w:color="auto"/>
              <w:bottom w:val="single" w:sz="4" w:space="0" w:color="auto"/>
              <w:right w:val="single" w:sz="4" w:space="0" w:color="auto"/>
            </w:tcBorders>
          </w:tcPr>
          <w:p w14:paraId="2956732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Propozycja 3</w:t>
            </w:r>
          </w:p>
          <w:p w14:paraId="748C9853"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 rozdziale „V Kadry i edukacja” w sekcji „Szkolnictwo wyższe i infrastruktura akademicka” listę uczelni kształcących inżynierów na potrzeby sektora mikroelektroniki proponujemy rozszerzyć o Uniwersytet Wrocławski.</w:t>
            </w:r>
          </w:p>
          <w:p w14:paraId="50BC9D57"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Uniwersytet posiada ścieżkę kształcenia zapewniającą kompetencje w zakresie projektowania układów cyfrowych. W ramach zajęć studenci mają możliwość:</w:t>
            </w:r>
          </w:p>
          <w:p w14:paraId="6EECEFBD"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zapoznać się z teorią architektury procesorów, kart graficznych i akceleratorów,</w:t>
            </w:r>
          </w:p>
          <w:p w14:paraId="12B61D6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uzyskać zdolności w pracy z układami FPGA,</w:t>
            </w:r>
          </w:p>
          <w:p w14:paraId="6F928FB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nauczyć się projektowania układów cyfrowych w języku Verilog.</w:t>
            </w:r>
          </w:p>
          <w:p w14:paraId="64A0727D"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wziąć udział w projekcie rozwoju własnego procesora w architekturze RISC-V.</w:t>
            </w:r>
          </w:p>
          <w:p w14:paraId="7A550DE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Jako pomoc dydaktyczna do tych przedmiotów zostało stworzone w Instytucie Informatyki UWr narzędzie DigitalJS, pozwalające wygenerować graficzną reprezentację układów cyfrowych na podstawie opisu w Verilogu. Wspiera ono także symulację i testowanie układów, tworząc tym samym pełną platformę do prowadzenia zajęć z projektowania układów cyfrowych. DigitalJS, oprócz UWr, wykorzystywany jest na wielu zagranicznych uczelniach, w tym:</w:t>
            </w:r>
          </w:p>
          <w:p w14:paraId="2C047293" w14:textId="77777777" w:rsidR="00F574A2" w:rsidRPr="004F425A" w:rsidRDefault="00F574A2" w:rsidP="004F425A">
            <w:pPr>
              <w:autoSpaceDE w:val="0"/>
              <w:autoSpaceDN w:val="0"/>
              <w:adjustRightInd w:val="0"/>
              <w:spacing w:after="120" w:line="240" w:lineRule="auto"/>
              <w:rPr>
                <w:rFonts w:ascii="Lato" w:eastAsia="Lato" w:hAnsi="Lato" w:cs="Lato"/>
                <w:sz w:val="20"/>
                <w:szCs w:val="20"/>
                <w:lang w:val="en-GB"/>
              </w:rPr>
            </w:pPr>
            <w:r w:rsidRPr="004F425A">
              <w:rPr>
                <w:rFonts w:ascii="Lato" w:eastAsia="Lato" w:hAnsi="Lato" w:cs="Lato"/>
                <w:sz w:val="20"/>
                <w:szCs w:val="20"/>
                <w:lang w:val="en-GB"/>
              </w:rPr>
              <w:t>· Télécom Paris (Francja)</w:t>
            </w:r>
          </w:p>
          <w:p w14:paraId="41AC48D8" w14:textId="77777777" w:rsidR="00F574A2" w:rsidRPr="004F425A" w:rsidRDefault="00F574A2" w:rsidP="004F425A">
            <w:pPr>
              <w:autoSpaceDE w:val="0"/>
              <w:autoSpaceDN w:val="0"/>
              <w:adjustRightInd w:val="0"/>
              <w:spacing w:after="120" w:line="240" w:lineRule="auto"/>
              <w:rPr>
                <w:rFonts w:ascii="Lato" w:eastAsia="Lato" w:hAnsi="Lato" w:cs="Lato"/>
                <w:sz w:val="20"/>
                <w:szCs w:val="20"/>
                <w:lang w:val="en-GB"/>
              </w:rPr>
            </w:pPr>
            <w:r w:rsidRPr="004F425A">
              <w:rPr>
                <w:rFonts w:ascii="Lato" w:eastAsia="Lato" w:hAnsi="Lato" w:cs="Lato"/>
                <w:sz w:val="20"/>
                <w:szCs w:val="20"/>
                <w:lang w:val="en-GB"/>
              </w:rPr>
              <w:t>· Universidad de Extremadura (Hiszpania)</w:t>
            </w:r>
          </w:p>
          <w:p w14:paraId="09735F56" w14:textId="77777777" w:rsidR="00F574A2" w:rsidRPr="004F425A" w:rsidRDefault="00F574A2" w:rsidP="004F425A">
            <w:pPr>
              <w:autoSpaceDE w:val="0"/>
              <w:autoSpaceDN w:val="0"/>
              <w:adjustRightInd w:val="0"/>
              <w:spacing w:after="120" w:line="240" w:lineRule="auto"/>
              <w:rPr>
                <w:rFonts w:ascii="Lato" w:eastAsia="Lato" w:hAnsi="Lato" w:cs="Lato"/>
                <w:sz w:val="20"/>
                <w:szCs w:val="20"/>
                <w:lang w:val="en-GB"/>
              </w:rPr>
            </w:pPr>
            <w:r w:rsidRPr="004F425A">
              <w:rPr>
                <w:rFonts w:ascii="Lato" w:eastAsia="Lato" w:hAnsi="Lato" w:cs="Lato"/>
                <w:sz w:val="20"/>
                <w:szCs w:val="20"/>
                <w:lang w:val="en-GB"/>
              </w:rPr>
              <w:t>· Jubail Industrial College and Yanbu Industrial College (Arabia Saudyjska)</w:t>
            </w:r>
          </w:p>
          <w:p w14:paraId="2A1D2A0E" w14:textId="77777777" w:rsidR="00F574A2" w:rsidRPr="004F425A" w:rsidRDefault="00F574A2" w:rsidP="004F425A">
            <w:pPr>
              <w:autoSpaceDE w:val="0"/>
              <w:autoSpaceDN w:val="0"/>
              <w:adjustRightInd w:val="0"/>
              <w:spacing w:after="120" w:line="240" w:lineRule="auto"/>
              <w:rPr>
                <w:rFonts w:ascii="Lato" w:eastAsia="Lato" w:hAnsi="Lato" w:cs="Lato"/>
                <w:sz w:val="20"/>
                <w:szCs w:val="20"/>
                <w:lang w:val="en-GB"/>
              </w:rPr>
            </w:pPr>
            <w:r w:rsidRPr="004F425A">
              <w:rPr>
                <w:rFonts w:ascii="Lato" w:eastAsia="Lato" w:hAnsi="Lato" w:cs="Lato"/>
                <w:sz w:val="20"/>
                <w:szCs w:val="20"/>
                <w:lang w:val="en-GB"/>
              </w:rPr>
              <w:t>· Indian Institute of Technology Palakkad (Indie)</w:t>
            </w:r>
          </w:p>
          <w:p w14:paraId="3BE31D53" w14:textId="77777777" w:rsidR="00F574A2" w:rsidRPr="004F425A" w:rsidRDefault="00F574A2" w:rsidP="004F425A">
            <w:pPr>
              <w:autoSpaceDE w:val="0"/>
              <w:autoSpaceDN w:val="0"/>
              <w:adjustRightInd w:val="0"/>
              <w:spacing w:after="120" w:line="240" w:lineRule="auto"/>
              <w:rPr>
                <w:rFonts w:ascii="Lato" w:eastAsia="Lato" w:hAnsi="Lato" w:cs="Lato"/>
                <w:sz w:val="20"/>
                <w:szCs w:val="20"/>
                <w:lang w:val="en-GB"/>
              </w:rPr>
            </w:pPr>
            <w:r w:rsidRPr="004F425A">
              <w:rPr>
                <w:rFonts w:ascii="Lato" w:eastAsia="Lato" w:hAnsi="Lato" w:cs="Lato"/>
                <w:sz w:val="20"/>
                <w:szCs w:val="20"/>
                <w:lang w:val="en-GB"/>
              </w:rPr>
              <w:t>· Instituto Federal de Educação do Estado de São Paulo (Brazylia)</w:t>
            </w:r>
          </w:p>
          <w:p w14:paraId="12E8C283" w14:textId="77777777" w:rsidR="00F574A2" w:rsidRPr="004F425A" w:rsidRDefault="00F574A2" w:rsidP="004F425A">
            <w:pPr>
              <w:autoSpaceDE w:val="0"/>
              <w:autoSpaceDN w:val="0"/>
              <w:adjustRightInd w:val="0"/>
              <w:spacing w:after="120" w:line="240" w:lineRule="auto"/>
              <w:rPr>
                <w:rFonts w:ascii="Lato" w:eastAsia="Lato" w:hAnsi="Lato" w:cs="Lato"/>
                <w:sz w:val="20"/>
                <w:szCs w:val="20"/>
                <w:lang w:val="en-GB"/>
              </w:rPr>
            </w:pPr>
            <w:r w:rsidRPr="004F425A">
              <w:rPr>
                <w:rFonts w:ascii="Lato" w:eastAsia="Lato" w:hAnsi="Lato" w:cs="Lato"/>
                <w:sz w:val="20"/>
                <w:szCs w:val="20"/>
                <w:lang w:val="en-GB"/>
              </w:rPr>
              <w:t>· UFPE Informatics Center (Brazylia)</w:t>
            </w:r>
          </w:p>
          <w:p w14:paraId="71D415E1" w14:textId="067AC867" w:rsidR="00F574A2" w:rsidRPr="004F425A" w:rsidRDefault="00F574A2" w:rsidP="004F425A">
            <w:pPr>
              <w:autoSpaceDE w:val="0"/>
              <w:autoSpaceDN w:val="0"/>
              <w:adjustRightInd w:val="0"/>
              <w:spacing w:after="120" w:line="240" w:lineRule="auto"/>
              <w:rPr>
                <w:rFonts w:ascii="Lato" w:eastAsia="Lato" w:hAnsi="Lato" w:cs="Lato"/>
                <w:sz w:val="20"/>
                <w:szCs w:val="20"/>
                <w:lang w:val="en-GB"/>
              </w:rPr>
            </w:pPr>
            <w:r w:rsidRPr="004F425A">
              <w:rPr>
                <w:rFonts w:ascii="Lato" w:eastAsia="Lato" w:hAnsi="Lato" w:cs="Lato"/>
                <w:sz w:val="20"/>
                <w:szCs w:val="20"/>
                <w:lang w:val="en-GB"/>
              </w:rPr>
              <w:t>· Beirut Arab University (Liban)</w:t>
            </w:r>
          </w:p>
        </w:tc>
        <w:tc>
          <w:tcPr>
            <w:tcW w:w="4859" w:type="dxa"/>
            <w:tcBorders>
              <w:top w:val="single" w:sz="4" w:space="0" w:color="auto"/>
              <w:left w:val="single" w:sz="4" w:space="0" w:color="auto"/>
              <w:bottom w:val="single" w:sz="4" w:space="0" w:color="auto"/>
              <w:right w:val="single" w:sz="4" w:space="0" w:color="auto"/>
            </w:tcBorders>
          </w:tcPr>
          <w:p w14:paraId="352ADF23" w14:textId="49DA3FD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5477B20C" w14:textId="33A35E08" w:rsidR="00F574A2" w:rsidRPr="004F425A" w:rsidRDefault="00F574A2" w:rsidP="004F425A">
            <w:pPr>
              <w:spacing w:after="120" w:line="240" w:lineRule="auto"/>
              <w:rPr>
                <w:rFonts w:ascii="Lato" w:hAnsi="Lato"/>
                <w:sz w:val="20"/>
                <w:szCs w:val="20"/>
              </w:rPr>
            </w:pPr>
            <w:r w:rsidRPr="004F425A">
              <w:rPr>
                <w:rFonts w:ascii="Lato" w:eastAsia="Lato" w:hAnsi="Lato" w:cs="Lato"/>
                <w:sz w:val="20"/>
                <w:szCs w:val="20"/>
              </w:rPr>
              <w:t>Postulat dotyczy zagadnień regulacyjnych/ operacyjnych wykraczających poza poziom ogólności dokumentu strategicznego. Właściwym miejscem jego uwzględnienia są akty wykonawcze i dokumenty wdrożeniowe.</w:t>
            </w:r>
          </w:p>
          <w:p w14:paraId="0183619E" w14:textId="02EE6BF9" w:rsidR="00F574A2" w:rsidRPr="004F425A" w:rsidRDefault="00F574A2" w:rsidP="004F425A">
            <w:pPr>
              <w:spacing w:after="120" w:line="240" w:lineRule="auto"/>
              <w:rPr>
                <w:rFonts w:ascii="Lato" w:eastAsia="Lato" w:hAnsi="Lato" w:cs="Lato"/>
                <w:sz w:val="20"/>
                <w:szCs w:val="20"/>
              </w:rPr>
            </w:pPr>
          </w:p>
        </w:tc>
      </w:tr>
      <w:tr w:rsidR="004471C5" w:rsidRPr="004F425A" w14:paraId="6BB92B99" w14:textId="77777777" w:rsidTr="00C8247A">
        <w:trPr>
          <w:trHeight w:val="3976"/>
        </w:trPr>
        <w:tc>
          <w:tcPr>
            <w:tcW w:w="1425" w:type="dxa"/>
            <w:tcBorders>
              <w:top w:val="single" w:sz="4" w:space="0" w:color="auto"/>
              <w:left w:val="single" w:sz="4" w:space="0" w:color="auto"/>
              <w:bottom w:val="single" w:sz="4" w:space="0" w:color="auto"/>
              <w:right w:val="single" w:sz="4" w:space="0" w:color="auto"/>
            </w:tcBorders>
          </w:tcPr>
          <w:p w14:paraId="31BC3EAB"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lang w:val="en-GB"/>
              </w:rPr>
            </w:pPr>
          </w:p>
        </w:tc>
        <w:tc>
          <w:tcPr>
            <w:tcW w:w="2363" w:type="dxa"/>
            <w:tcBorders>
              <w:top w:val="single" w:sz="4" w:space="0" w:color="auto"/>
              <w:left w:val="single" w:sz="4" w:space="0" w:color="auto"/>
              <w:bottom w:val="single" w:sz="4" w:space="0" w:color="auto"/>
              <w:right w:val="single" w:sz="4" w:space="0" w:color="auto"/>
            </w:tcBorders>
          </w:tcPr>
          <w:p w14:paraId="75FB05FC" w14:textId="40CED3A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Uniwersytet Wrocławski</w:t>
            </w:r>
          </w:p>
          <w:p w14:paraId="74F10657" w14:textId="0A038287" w:rsidR="00F574A2" w:rsidRPr="004F425A" w:rsidRDefault="00F574A2" w:rsidP="004F425A">
            <w:pPr>
              <w:spacing w:after="120" w:line="240" w:lineRule="auto"/>
              <w:rPr>
                <w:rFonts w:ascii="Lato" w:eastAsia="Lato" w:hAnsi="Lato" w:cs="Lato"/>
                <w:sz w:val="20"/>
                <w:szCs w:val="20"/>
                <w:lang w:val="en-GB"/>
              </w:rPr>
            </w:pPr>
          </w:p>
        </w:tc>
        <w:tc>
          <w:tcPr>
            <w:tcW w:w="5387" w:type="dxa"/>
            <w:tcBorders>
              <w:top w:val="single" w:sz="4" w:space="0" w:color="auto"/>
              <w:left w:val="single" w:sz="4" w:space="0" w:color="auto"/>
              <w:bottom w:val="single" w:sz="4" w:space="0" w:color="auto"/>
              <w:right w:val="single" w:sz="4" w:space="0" w:color="auto"/>
            </w:tcBorders>
          </w:tcPr>
          <w:p w14:paraId="665ABCD3"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University of Malaya (Malezja)</w:t>
            </w:r>
          </w:p>
          <w:p w14:paraId="420ACD2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O poziomie nauczania w zakresie projektowania układów cyfrowych i budowy procesorów na UWr świadczą między innymi wyniki drużyn z Uniwersytetu Wrocławskiego na zawodach FPGA Hackhaton (https://fpgahackathon.com/, organizowany przez firmę Nokia we współpracy z AMD i Intelem), gdzie w 2024 drużyna z UWr zajęła pierwsze miejsce, a w 2025 drugie, ustępując tylko reprezentacji z Argentyny.</w:t>
            </w:r>
          </w:p>
          <w:p w14:paraId="336E5872"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Zmiana ta jest istotna ze względu na dalszy akapit:</w:t>
            </w:r>
          </w:p>
          <w:p w14:paraId="5D8D3230" w14:textId="2B43D51F"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„Szczególną uwagę należy poświęcić brakowi programów kształcenia w zakresie projektowania układów scalonych. [...]” który w świetle powyższego uzupełnienia, nie odzwierciedla w pełni aktualnej sytuacji i tego, że UWr oferuje ścieżkę kształcenia w kierunku projektowania układów scalonych.</w:t>
            </w:r>
          </w:p>
        </w:tc>
        <w:tc>
          <w:tcPr>
            <w:tcW w:w="4859" w:type="dxa"/>
            <w:tcBorders>
              <w:top w:val="single" w:sz="4" w:space="0" w:color="auto"/>
              <w:left w:val="single" w:sz="4" w:space="0" w:color="auto"/>
              <w:bottom w:val="single" w:sz="4" w:space="0" w:color="auto"/>
              <w:right w:val="single" w:sz="4" w:space="0" w:color="auto"/>
            </w:tcBorders>
          </w:tcPr>
          <w:p w14:paraId="656A15F3" w14:textId="333765E2" w:rsidR="00F574A2" w:rsidRPr="004F425A" w:rsidRDefault="00F574A2" w:rsidP="004F425A">
            <w:pPr>
              <w:spacing w:after="120" w:line="240" w:lineRule="auto"/>
              <w:rPr>
                <w:rFonts w:ascii="Lato" w:hAnsi="Lato"/>
                <w:sz w:val="20"/>
                <w:szCs w:val="20"/>
              </w:rPr>
            </w:pPr>
            <w:r w:rsidRPr="004F425A">
              <w:rPr>
                <w:rStyle w:val="Ppogrubienie"/>
                <w:rFonts w:ascii="Lato" w:hAnsi="Lato"/>
                <w:sz w:val="20"/>
                <w:szCs w:val="20"/>
              </w:rPr>
              <w:t>Uwaga nieuwzględniona</w:t>
            </w:r>
            <w:r w:rsidRPr="004F425A">
              <w:rPr>
                <w:rFonts w:ascii="Lato" w:eastAsia="Lato" w:hAnsi="Lato" w:cs="Lato"/>
                <w:sz w:val="20"/>
                <w:szCs w:val="20"/>
              </w:rPr>
              <w:t>.</w:t>
            </w:r>
          </w:p>
          <w:p w14:paraId="718B1178" w14:textId="4880516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Postulat dotyczy zagadnień regulacyjnych/ operacyjnych wykraczających poza poziom ogólności dokumentu strategicznego. Właściwym miejscem jego uwzględnienia są akty wykonawcze i dokumenty wdrożeniowe.</w:t>
            </w:r>
          </w:p>
        </w:tc>
      </w:tr>
      <w:tr w:rsidR="004471C5" w:rsidRPr="004F425A" w14:paraId="27612A2C" w14:textId="77777777" w:rsidTr="79FF9703">
        <w:tc>
          <w:tcPr>
            <w:tcW w:w="1425" w:type="dxa"/>
            <w:tcBorders>
              <w:top w:val="single" w:sz="4" w:space="0" w:color="auto"/>
              <w:left w:val="single" w:sz="4" w:space="0" w:color="auto"/>
              <w:bottom w:val="single" w:sz="4" w:space="0" w:color="auto"/>
              <w:right w:val="single" w:sz="4" w:space="0" w:color="auto"/>
            </w:tcBorders>
          </w:tcPr>
          <w:p w14:paraId="338A6217"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999B13D" w14:textId="40CED3A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Uniwersytet Wrocławski</w:t>
            </w:r>
          </w:p>
        </w:tc>
        <w:tc>
          <w:tcPr>
            <w:tcW w:w="5387" w:type="dxa"/>
            <w:tcBorders>
              <w:top w:val="single" w:sz="4" w:space="0" w:color="auto"/>
              <w:left w:val="single" w:sz="4" w:space="0" w:color="auto"/>
              <w:bottom w:val="single" w:sz="4" w:space="0" w:color="auto"/>
              <w:right w:val="single" w:sz="4" w:space="0" w:color="auto"/>
            </w:tcBorders>
          </w:tcPr>
          <w:p w14:paraId="5B51784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Propozycja 4</w:t>
            </w:r>
          </w:p>
          <w:p w14:paraId="5F800D17"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 rozdziale „V Kadry i edukacja” w sekcji „Mobilność międzynarodowa i zatrzymywanie talentów” proponujemy zwrócić uwagę na zatrzymywanie talentów w ośrodkach akademickich poprzez zmianę:</w:t>
            </w:r>
          </w:p>
          <w:p w14:paraId="4E830844"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„Równocześnie konieczne jest opracowanie programów przeciwdziałających odpływowi talentów - w tym systemów gwarancji zatrudnienia, stabilnych warunków płacowych dla młodych inżynierów oraz mechanizmów wsparcia osób powracających na rynek pracy.”</w:t>
            </w:r>
          </w:p>
          <w:p w14:paraId="13E0FB8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na:</w:t>
            </w:r>
          </w:p>
          <w:p w14:paraId="391E80A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„Równocześnie konieczne jest opracowanie programów przeciwdziałających odpływowi talentów - w tym systemów gwarancji zatrudnienia, stabilnych warunków płacowych dla młodych inżynierów, zapobieganiu drenażu kadr akademickich do przemysłu oraz mechanizmów wsparcia osób powracających na rynek pracy.”</w:t>
            </w:r>
          </w:p>
          <w:p w14:paraId="38312888" w14:textId="623A3DE3"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Propozycję tę uzasadniamy faktem, że bez utalentowanej kadry akademickiej, możliwości kształcenia nowych inżynierów będą ograniczone, co w szczególności może uniemożliwić osiągnięcie celu podwojenia do 2030 liczby absolwentów na kierunkach elektronicznych/półprzewodnikowych.</w:t>
            </w:r>
          </w:p>
        </w:tc>
        <w:tc>
          <w:tcPr>
            <w:tcW w:w="4859" w:type="dxa"/>
            <w:tcBorders>
              <w:top w:val="single" w:sz="4" w:space="0" w:color="auto"/>
              <w:left w:val="single" w:sz="4" w:space="0" w:color="auto"/>
              <w:bottom w:val="single" w:sz="4" w:space="0" w:color="auto"/>
              <w:right w:val="single" w:sz="4" w:space="0" w:color="auto"/>
            </w:tcBorders>
          </w:tcPr>
          <w:p w14:paraId="039C7311" w14:textId="3CA08BE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5038622D" w14:textId="4F96D0F8" w:rsidR="00F574A2" w:rsidRPr="004F425A" w:rsidRDefault="00F574A2" w:rsidP="004F425A">
            <w:pPr>
              <w:spacing w:after="120" w:line="240" w:lineRule="auto"/>
              <w:rPr>
                <w:rFonts w:ascii="Lato" w:hAnsi="Lato"/>
                <w:sz w:val="20"/>
                <w:szCs w:val="20"/>
              </w:rPr>
            </w:pPr>
            <w:r w:rsidRPr="004F425A">
              <w:rPr>
                <w:rFonts w:ascii="Lato" w:eastAsia="Lato" w:hAnsi="Lato" w:cs="Lato"/>
                <w:sz w:val="20"/>
                <w:szCs w:val="20"/>
              </w:rPr>
              <w:t>Postulat dotyczy zagadnień regulacyjnych/ operacyjnych wykraczających poza poziom ogólności dokumentu strategicznego. Właściwym miejscem jego uwzględnienia są akty wykonawcze i dokumenty.</w:t>
            </w:r>
          </w:p>
        </w:tc>
      </w:tr>
      <w:tr w:rsidR="004471C5" w:rsidRPr="004F425A" w14:paraId="47689F46" w14:textId="77777777" w:rsidTr="79FF9703">
        <w:tc>
          <w:tcPr>
            <w:tcW w:w="1425" w:type="dxa"/>
            <w:tcBorders>
              <w:top w:val="single" w:sz="4" w:space="0" w:color="auto"/>
              <w:left w:val="single" w:sz="4" w:space="0" w:color="auto"/>
              <w:bottom w:val="single" w:sz="4" w:space="0" w:color="auto"/>
              <w:right w:val="single" w:sz="4" w:space="0" w:color="auto"/>
            </w:tcBorders>
          </w:tcPr>
          <w:p w14:paraId="56A54AD2"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C695AD9"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Osoba fizyczna </w:t>
            </w:r>
          </w:p>
          <w:p w14:paraId="55D74F9B" w14:textId="098322E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Piotr Grabiec</w:t>
            </w:r>
          </w:p>
        </w:tc>
        <w:tc>
          <w:tcPr>
            <w:tcW w:w="5387" w:type="dxa"/>
            <w:tcBorders>
              <w:top w:val="single" w:sz="4" w:space="0" w:color="auto"/>
              <w:left w:val="single" w:sz="4" w:space="0" w:color="auto"/>
              <w:bottom w:val="single" w:sz="4" w:space="0" w:color="auto"/>
              <w:right w:val="single" w:sz="4" w:space="0" w:color="auto"/>
            </w:tcBorders>
          </w:tcPr>
          <w:p w14:paraId="33E298A2" w14:textId="77777777" w:rsidR="00F574A2" w:rsidRPr="004F425A" w:rsidRDefault="00F574A2" w:rsidP="004F425A">
            <w:pPr>
              <w:spacing w:after="120" w:line="240" w:lineRule="auto"/>
              <w:jc w:val="both"/>
              <w:rPr>
                <w:rFonts w:ascii="Lato" w:eastAsia="Lato" w:hAnsi="Lato" w:cs="Lato"/>
                <w:spacing w:val="-10"/>
                <w:kern w:val="28"/>
                <w:sz w:val="20"/>
                <w:szCs w:val="20"/>
              </w:rPr>
            </w:pPr>
            <w:r w:rsidRPr="004F425A">
              <w:rPr>
                <w:rFonts w:ascii="Lato" w:eastAsia="Lato" w:hAnsi="Lato" w:cs="Lato"/>
                <w:sz w:val="20"/>
                <w:szCs w:val="20"/>
              </w:rPr>
              <w:t>Wprawdzie w różnych fragmentach dokumentu widoczne jest że Autorzy zdają sobie sprawę z zapóźnienia polskiego przemysłu półprzewodnikowego w stosunku do Europy, a tym bardziej do świata, niemniej już we wstępie stwierdzają że :   … Odpowiednio zaprojektowana polityka może włączyć kraj do globalnych i europejskich łańcuchów wartości. Celem niniejszego dokumentu jest przedstawienie polityki, która stanowi narodową odpowiedź na unijne ambicje i globalną transformację sektora….</w:t>
            </w:r>
          </w:p>
          <w:p w14:paraId="17065074" w14:textId="77777777" w:rsidR="00F574A2" w:rsidRPr="004F425A" w:rsidRDefault="00F574A2" w:rsidP="004F425A">
            <w:pPr>
              <w:spacing w:after="120" w:line="240" w:lineRule="auto"/>
              <w:jc w:val="both"/>
              <w:rPr>
                <w:rFonts w:ascii="Lato" w:eastAsia="Lato" w:hAnsi="Lato" w:cs="Lato"/>
                <w:kern w:val="2"/>
                <w:sz w:val="20"/>
                <w:szCs w:val="20"/>
              </w:rPr>
            </w:pPr>
            <w:r w:rsidRPr="004F425A">
              <w:rPr>
                <w:rFonts w:ascii="Lato" w:eastAsia="Lato" w:hAnsi="Lato" w:cs="Lato"/>
                <w:sz w:val="20"/>
                <w:szCs w:val="20"/>
              </w:rPr>
              <w:t>Naszym zdaniem jednak, uzasadnianie opracowywanej polityki chęcią stworzenia narodowej odpowiedzi na unijne ambicje i globalną transformację sektora nie jest właściwe.  Nakreślając kierunki rozwoju polskiego przemysłu półprzewodnikowego należy wystrzegać się koncentrowania na wyzwaniach stawianych przez głównych graczy europejskich i światowych zdefiniowanych np. w dokumentach Chips Act., lecz, wykorzystując możliwości tworzone przez programy europejskie (Chips Act i in.) skupiać się na potrzebach polskiej gospodarki, w tym zwłaszcza producentów sprzętu elektronicznego. Formułowana w Chips Act koncepcja jest bowiem nastawiona na wspieranie rozwoju technologii najbardziej zaawansowanych technologii o największym potencjale i konkurencji z liderami światowymi. Polska gospodarka, w wyniku wieloletnich zaniedbań rozwoju technologii półprzewodnikowych jest w dramatycznie odmiennej sytuacji niż gospodarki krajów takich jak Francja, Niemcy czy Włochy, które wywarły szczególny wpływ na kształt dokumentów Chips Act. Z drugiej strony trzeba jednak podkreślić, że udział polskich naukowców w projektach budowy europejskich linii pilotażowych, zlokalizowanych w krajach Europy Zachodniej, jest z wielu względów zdecydowanie wart wspierania. Udział ten pozwala na nawiązywanie i utrzymywanie kontaktów z środowiskiem najbardziej zaawansowanych specjalistów w tej dziedzinie a z drugiej zaś, może ułatwić dostęp polskich projektantów, pracujących dla potrzeb przemysłu, do możliwości produkcyjnych tych linii. Działania te nie wpłyną jednak zasadniczo na rozwój polskiego przemysłu półprzewodnikowego. Zadaniem które stoi obecnie przed tym przemysłem jest bowiem zbudowanie, po 40 latach przestoju, fundamentów dla jego rozwoju. Tym bardziej pojawiające się na str. 15 dokumentu stwierdzenie że ….Odpowiednio prowadzona polityka może wynieść krajowy sektor półprzewodników do rangi jednego z zaawansowanych ekosystemów europejskich …. Jest całkowicie oderwane od rzeczywistości. Chyba że mowa jest o perspektywie konsekwentnego wysiłku na przestrzeni kolejnych 20 lub więcej lat.</w:t>
            </w:r>
          </w:p>
          <w:p w14:paraId="4015C773"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1ADF4A79" w14:textId="0338D15D"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1E914DF6" w14:textId="70FC49E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MC podtrzymuje sformułowanie celu głównego; skala ambicji skalibrowana względem realnych zasobów kraju średniej wielkości (por. cel 2-3 inwestycji przemysłowych do 2030 r., nie pełnej samowystarczalności).</w:t>
            </w:r>
          </w:p>
        </w:tc>
      </w:tr>
      <w:tr w:rsidR="004471C5" w:rsidRPr="004F425A" w14:paraId="32ECA04F" w14:textId="77777777" w:rsidTr="79FF9703">
        <w:tc>
          <w:tcPr>
            <w:tcW w:w="1425" w:type="dxa"/>
            <w:tcBorders>
              <w:top w:val="single" w:sz="4" w:space="0" w:color="auto"/>
              <w:left w:val="single" w:sz="4" w:space="0" w:color="auto"/>
              <w:bottom w:val="single" w:sz="4" w:space="0" w:color="auto"/>
              <w:right w:val="single" w:sz="4" w:space="0" w:color="auto"/>
            </w:tcBorders>
          </w:tcPr>
          <w:p w14:paraId="536EAA83"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83575A7"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Osoba fizyczna </w:t>
            </w:r>
          </w:p>
          <w:p w14:paraId="56F86F72" w14:textId="75EF6B3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Piotr Grabiec</w:t>
            </w:r>
          </w:p>
        </w:tc>
        <w:tc>
          <w:tcPr>
            <w:tcW w:w="5387" w:type="dxa"/>
            <w:tcBorders>
              <w:top w:val="single" w:sz="4" w:space="0" w:color="auto"/>
              <w:left w:val="single" w:sz="4" w:space="0" w:color="auto"/>
              <w:bottom w:val="single" w:sz="4" w:space="0" w:color="auto"/>
              <w:right w:val="single" w:sz="4" w:space="0" w:color="auto"/>
            </w:tcBorders>
          </w:tcPr>
          <w:p w14:paraId="03416464" w14:textId="572C4449"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Na stronie 5 dokumentu, definiując podstawowe pojęcia stwierdzono że ….Projektowanie architektury układu scalonego (design) to etap, kiedy infrastruktura produkcyjna nie jest jeszcze potrzebna…..   </w:t>
            </w:r>
          </w:p>
          <w:p w14:paraId="7EB50BE5"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Stwierdzenie to zawiera dwa istotne błędy. Po pierwsze - myli pojęcie „projektowania architektury” z projektowaniem układu scalonego. Z zamieszczonego w tekście podziału wynika, że autorom chodziło tu zapewne o etap projektowania układu scalonego którego to jednym z podetapów jest projektowanie architektury. Jak można łatwo sprawdzić, proces projektowania układu składa się (w pewnym uproszczeniu) z kolejnych kroków:</w:t>
            </w:r>
          </w:p>
          <w:p w14:paraId="0296398C"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Określenie funkcji i specyfikacji </w:t>
            </w:r>
          </w:p>
          <w:p w14:paraId="582A62E2"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Projektowanie architektury i schematu blokowego </w:t>
            </w:r>
          </w:p>
          <w:p w14:paraId="6D206CB1"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Projekt RTL </w:t>
            </w:r>
          </w:p>
          <w:p w14:paraId="0FF6A50F"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Synteza logiczna </w:t>
            </w:r>
          </w:p>
          <w:p w14:paraId="0426F384"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Projekt fizyczny (layout) </w:t>
            </w:r>
          </w:p>
          <w:p w14:paraId="6558B1DE"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Weryfikacje (DRC/LVS/ERC) </w:t>
            </w:r>
          </w:p>
          <w:p w14:paraId="16AC8437"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Symulacje i testy </w:t>
            </w:r>
          </w:p>
          <w:p w14:paraId="73590167"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Tape-out (generowanie masek)</w:t>
            </w:r>
          </w:p>
          <w:p w14:paraId="3897BAF0" w14:textId="77777777" w:rsidR="00F574A2" w:rsidRPr="004F425A" w:rsidRDefault="00F574A2" w:rsidP="004F425A">
            <w:pPr>
              <w:spacing w:after="120" w:line="240" w:lineRule="auto"/>
              <w:jc w:val="both"/>
              <w:rPr>
                <w:rFonts w:ascii="Lato" w:eastAsia="Lato" w:hAnsi="Lato" w:cs="Lato"/>
                <w:sz w:val="20"/>
                <w:szCs w:val="20"/>
              </w:rPr>
            </w:pPr>
          </w:p>
          <w:p w14:paraId="2FEB6008"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Drugi błąd ma dużo poważniejsze konsekwencje gdyż sugeruje, że można rozwijać projektowanie układów scalonych bez dostępu do linii technologicznej. Stwierdzenie że na etapie projektowania infrastruktura produkcyjna nie jest potrzebna jest głęboko nieprawdziwe, gdyż w procesie opracowania projektu fizycznego konieczny jest komplet szczegółowych danych opisujących konkretny proces technologiczny wytwarzania układów tzw. Pakiet PDK (Process Design Kit — zestaw plików, modeli i reguł technologicznych dostarczanych przez producenta układów scalonych). PDK jest podstawowym narzędziem, które umożliwia zaprojektowanie układu scalonego w taki sposób, aby dało się go poprawnie wyprodukować w danym, konkretnym procesie technologicznym, zawiera zestaw modeli, reguł projektowych, warstw technologicznych, bibliotek komórek oraz plików DRC/LVS. Zatem dostęp do linii technologicznej która będzie w przyszłości gotowa podjąć produkcję przy założonym w umowie wolumenie  jest tu niezbędny. </w:t>
            </w:r>
          </w:p>
          <w:p w14:paraId="73CFDA63"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Oczywiście powyższy schemat procesu projektowania i moment gdy dostęp do technologii jest niezbędny dotyczy opracowania układu scalonego. W przypadku bowiem przyrządów dyskretnych, takich jak detektory czy przyrządy fotoniczne lub mocy, projektowanie przyrządu jest immanentnie związane z procesem technologicznym.</w:t>
            </w:r>
          </w:p>
          <w:p w14:paraId="13D8531D"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76EA5699"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częściowo uwzględniona.</w:t>
            </w:r>
          </w:p>
          <w:p w14:paraId="1D2E29C7" w14:textId="66F748B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ocenie MC użyte pojęcie „Projektowanie architektury układu scalonego (design)” użyte zostało zasadnie. Zrezygnowano natomiast ze stwierdzenia, że na ww. etapie infrastruktura produkcyjna nie jest jeszcze potrzebna</w:t>
            </w:r>
          </w:p>
          <w:p w14:paraId="6CF94C2F" w14:textId="4EA4A3D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 </w:t>
            </w:r>
          </w:p>
        </w:tc>
      </w:tr>
      <w:tr w:rsidR="004471C5" w:rsidRPr="004F425A" w14:paraId="4CEBBD1E" w14:textId="77777777" w:rsidTr="79FF9703">
        <w:tc>
          <w:tcPr>
            <w:tcW w:w="1425" w:type="dxa"/>
            <w:tcBorders>
              <w:top w:val="single" w:sz="4" w:space="0" w:color="auto"/>
              <w:left w:val="single" w:sz="4" w:space="0" w:color="auto"/>
              <w:bottom w:val="single" w:sz="4" w:space="0" w:color="auto"/>
              <w:right w:val="single" w:sz="4" w:space="0" w:color="auto"/>
            </w:tcBorders>
          </w:tcPr>
          <w:p w14:paraId="42FEC5A1"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AEE6D93"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Osoba fizyczna </w:t>
            </w:r>
          </w:p>
          <w:p w14:paraId="1F12BEBA" w14:textId="37EE75B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Piotr Grabiec</w:t>
            </w:r>
          </w:p>
        </w:tc>
        <w:tc>
          <w:tcPr>
            <w:tcW w:w="5387" w:type="dxa"/>
            <w:tcBorders>
              <w:top w:val="single" w:sz="4" w:space="0" w:color="auto"/>
              <w:left w:val="single" w:sz="4" w:space="0" w:color="auto"/>
              <w:bottom w:val="single" w:sz="4" w:space="0" w:color="auto"/>
              <w:right w:val="single" w:sz="4" w:space="0" w:color="auto"/>
            </w:tcBorders>
          </w:tcPr>
          <w:p w14:paraId="66E3B3A8"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Rozdział „Polski Sektor Półprzewodników”</w:t>
            </w:r>
          </w:p>
          <w:p w14:paraId="48702A91" w14:textId="77777777" w:rsidR="00F574A2" w:rsidRPr="004F425A" w:rsidRDefault="00F574A2" w:rsidP="004F425A">
            <w:pPr>
              <w:spacing w:after="120" w:line="240" w:lineRule="auto"/>
              <w:jc w:val="both"/>
              <w:rPr>
                <w:rFonts w:ascii="Lato" w:eastAsia="Lato" w:hAnsi="Lato" w:cs="Lato"/>
                <w:spacing w:val="-10"/>
                <w:kern w:val="28"/>
                <w:sz w:val="20"/>
                <w:szCs w:val="20"/>
              </w:rPr>
            </w:pPr>
            <w:r w:rsidRPr="004F425A">
              <w:rPr>
                <w:rFonts w:ascii="Lato" w:eastAsia="Lato" w:hAnsi="Lato" w:cs="Lato"/>
                <w:sz w:val="20"/>
                <w:szCs w:val="20"/>
              </w:rPr>
              <w:t xml:space="preserve">Dobrze i dość realistycznie opisano stan rzeczywisty. Warto może byłoby podkreślić, że w obszarze projektowania komercyjna działalność polskich (lub działających na terenie Polski) firm ukierunkowana jest niemal wyłącznie na usługi dla potrzeb odbiorców zagranicznych, nie przyczyniając się zatem do rozwoju zastosowań mikroelektronicznych w polskiej gospodarce. Podkreślono to w kolejnym punkcie mówiącym o otoczenie przemysłowym i rynku wewnętrznym, stwierdzając, że przemysł </w:t>
            </w:r>
            <w:r w:rsidRPr="004F425A">
              <w:rPr>
                <w:rFonts w:ascii="Lato" w:eastAsia="Lato" w:hAnsi="Lato" w:cs="Lato"/>
                <w:spacing w:val="-10"/>
                <w:kern w:val="28"/>
                <w:sz w:val="20"/>
                <w:szCs w:val="20"/>
              </w:rPr>
              <w:t>funkcjonuje w dużej mierze niezależnie od krajowych kompetencji projektowych, co utrudnia budowę trwałych powiązań pomiędzy twórcami rozwiązań półprzewodnikowych a odbiorcami przemysłowymi. Integracja pomiędzy segmentami rynku pozostaje ograniczona, a cyfrowa transformacja opiera się w znacznej mierze na rozwiązaniach zagranicznych. Dotknięto tym samym problemu o zasadniczej wadze który powinien być koniecznie zaadresowany w części dokumentu opisującej planowane działania.</w:t>
            </w:r>
          </w:p>
          <w:p w14:paraId="121DE428" w14:textId="77777777" w:rsidR="00F574A2" w:rsidRPr="004F425A" w:rsidRDefault="00F574A2" w:rsidP="004F425A">
            <w:pPr>
              <w:spacing w:after="120" w:line="240" w:lineRule="auto"/>
              <w:jc w:val="both"/>
              <w:rPr>
                <w:rFonts w:ascii="Lato" w:eastAsia="Lato" w:hAnsi="Lato" w:cs="Lato"/>
                <w:spacing w:val="-10"/>
                <w:kern w:val="28"/>
                <w:sz w:val="20"/>
                <w:szCs w:val="20"/>
              </w:rPr>
            </w:pPr>
          </w:p>
          <w:p w14:paraId="1FC68017" w14:textId="712B828A" w:rsidR="00F574A2" w:rsidRPr="004F425A" w:rsidRDefault="00F574A2" w:rsidP="004F425A">
            <w:pPr>
              <w:spacing w:after="120" w:line="240" w:lineRule="auto"/>
              <w:jc w:val="both"/>
              <w:rPr>
                <w:rFonts w:ascii="Lato" w:eastAsia="Lato" w:hAnsi="Lato" w:cs="Lato"/>
                <w:kern w:val="2"/>
                <w:sz w:val="20"/>
                <w:szCs w:val="20"/>
              </w:rPr>
            </w:pPr>
            <w:r w:rsidRPr="004F425A">
              <w:rPr>
                <w:rFonts w:ascii="Lato" w:eastAsia="Lato" w:hAnsi="Lato" w:cs="Lato"/>
                <w:sz w:val="20"/>
                <w:szCs w:val="20"/>
              </w:rPr>
              <w:t>Bardzo trafnie, choć skrótowo, podsumowano Instytucje naukowe i zaplecze badawcze wskazując że nadal brakuje spójnego planu rozwoju technologii, koordynacji działań i klarownego podziału ról a potencjał ośrodków regionalnych pozostaje niewykorzystany. Być może należałoby dodać że współpracę ośrodków naukowych zbyt często charakteryzuje przewaga konkurencji nad koordynacją prowadząca do fragmentacji wysiłków.</w:t>
            </w:r>
          </w:p>
          <w:p w14:paraId="2D2BADB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2D538D63" w14:textId="5DB7EABA"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63E76C5C"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Przedstawione w dokumencie diagnozy mają charakter syntetyczny i koncentrują się na kluczowych uwarunkowaniach rozwoju sektora półprzewodników w kontekście celów Polityki AI. Kwestie dotyczące orientacji eksportowej działalności projektowej, stopnia integracji poszczególnych segmentów rynku oraz charakteru współpracy między ośrodkami naukowymi stanowią istotne zagadnienia, jednak ich szczegółowe rozwinięcie wykracza poza zakres i poziom szczegółowości dokumentu. Obecne zapisy w wystarczającym stopniu identyfikują najważniejsze wyzwania związane z koordynacją działań, wykorzystaniem potencjału badawczego oraz współpracą pomiędzy nauką i przemysłem.</w:t>
            </w:r>
          </w:p>
          <w:p w14:paraId="7FB48F55" w14:textId="255860BB" w:rsidR="00F574A2" w:rsidRPr="004F425A" w:rsidRDefault="00F574A2" w:rsidP="004F425A">
            <w:pPr>
              <w:spacing w:after="120" w:line="240" w:lineRule="auto"/>
              <w:rPr>
                <w:rFonts w:ascii="Lato" w:eastAsia="Lato" w:hAnsi="Lato" w:cs="Lato"/>
                <w:sz w:val="20"/>
                <w:szCs w:val="20"/>
              </w:rPr>
            </w:pPr>
          </w:p>
        </w:tc>
      </w:tr>
      <w:tr w:rsidR="004471C5" w:rsidRPr="004F425A" w14:paraId="3E115085" w14:textId="77777777" w:rsidTr="79FF9703">
        <w:tc>
          <w:tcPr>
            <w:tcW w:w="1425" w:type="dxa"/>
            <w:tcBorders>
              <w:top w:val="single" w:sz="4" w:space="0" w:color="auto"/>
              <w:left w:val="single" w:sz="4" w:space="0" w:color="auto"/>
              <w:bottom w:val="single" w:sz="4" w:space="0" w:color="auto"/>
              <w:right w:val="single" w:sz="4" w:space="0" w:color="auto"/>
            </w:tcBorders>
          </w:tcPr>
          <w:p w14:paraId="439891F8"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08D42A6"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Osoba fizyczna </w:t>
            </w:r>
          </w:p>
          <w:p w14:paraId="4DF7EEBF" w14:textId="6642932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Piotr Grabiec</w:t>
            </w:r>
          </w:p>
        </w:tc>
        <w:tc>
          <w:tcPr>
            <w:tcW w:w="5387" w:type="dxa"/>
            <w:tcBorders>
              <w:top w:val="single" w:sz="4" w:space="0" w:color="auto"/>
              <w:left w:val="single" w:sz="4" w:space="0" w:color="auto"/>
              <w:bottom w:val="single" w:sz="4" w:space="0" w:color="auto"/>
              <w:right w:val="single" w:sz="4" w:space="0" w:color="auto"/>
            </w:tcBorders>
          </w:tcPr>
          <w:p w14:paraId="0634E2F4"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Rozdział Wizja i cele.</w:t>
            </w:r>
          </w:p>
          <w:p w14:paraId="35F35221"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Przedstawiony w tym rozdziale opis Wizji jest bardzo ambitny ale nie podano w nim ram czasowych w których ta wizja miałaby być osiągnięta.  Nie można więc ocenić jej realności. Trzeba jednak zauważyć, że budowa, praktycznie niemal od zera, kompetencji w dziedzinie najszybciej rozwijanej w historii ludzkości jest zadaniem niesłychanie trudnym. Zwłaszcza że inne kraje również kładą nacisk na rozwój przeznaczając na ten cel środki nierzadko wielokrotnie większe niż przewidywane w rozważanym dokumencie, startując zarazem z znacznie wyższego poziomu.</w:t>
            </w:r>
          </w:p>
          <w:p w14:paraId="52A28B43"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Uważamy że, biorąc pod uwagę obecny stan przemysłu półprzewodnikowego w Polsce oraz potrzeby gospodarki, uwzględniając zwłaszcza potrzeby wzmacniania suwerenności technologicznej, podstawowym celem Polityki nie powinno być włączenie Polski w globalne łańcuchy wartości sektora półprzewodników lecz odbudowanie rynku poprzez intensyfikację rozwoju zastosowań nowoczesnej, specjalizowanej, bezpiecznej mikroelektroniki i fotoniki w polskim przemyśle (zwłaszcza obronnym i krytycznym). </w:t>
            </w:r>
          </w:p>
          <w:p w14:paraId="40C569EC" w14:textId="77777777" w:rsidR="00F574A2" w:rsidRPr="004F425A" w:rsidRDefault="00F574A2" w:rsidP="004F425A">
            <w:pPr>
              <w:spacing w:after="120" w:line="240" w:lineRule="auto"/>
              <w:jc w:val="both"/>
              <w:rPr>
                <w:rFonts w:ascii="Lato" w:eastAsia="Lato" w:hAnsi="Lato" w:cs="Lato"/>
                <w:sz w:val="20"/>
                <w:szCs w:val="20"/>
                <w:lang w:val="en-GB"/>
              </w:rPr>
            </w:pPr>
            <w:r w:rsidRPr="004F425A">
              <w:rPr>
                <w:rFonts w:ascii="Lato" w:eastAsia="Lato" w:hAnsi="Lato" w:cs="Lato"/>
                <w:sz w:val="20"/>
                <w:szCs w:val="20"/>
                <w:lang w:val="en-GB"/>
              </w:rPr>
              <w:t>Słuszność tak określonego celu Polityki potwierdzają opracowane przez przedstawicieli europejskiego przemysłu dokumenty skierowane do Komisji Europejskiej: „Industry endorsement of the Semiconductor Coalition declaration: Bold action, proper preconditions, and a business case for Europe”; 29 September 2025</w:t>
            </w:r>
            <w:r w:rsidRPr="004F425A">
              <w:rPr>
                <w:rStyle w:val="Odwoanieprzypisudolnego"/>
                <w:rFonts w:ascii="Lato" w:eastAsia="Lato" w:hAnsi="Lato" w:cs="Lato"/>
                <w:sz w:val="20"/>
                <w:szCs w:val="20"/>
                <w:lang w:val="en-GB"/>
              </w:rPr>
              <w:footnoteReference w:id="2"/>
            </w:r>
            <w:r w:rsidRPr="004F425A">
              <w:rPr>
                <w:rFonts w:ascii="Lato" w:eastAsia="Lato" w:hAnsi="Lato" w:cs="Lato"/>
                <w:sz w:val="20"/>
                <w:szCs w:val="20"/>
                <w:lang w:val="en-GB"/>
              </w:rPr>
              <w:t xml:space="preserve"> oraz „POSITION PAPER Review EU Chips Act: Europe needs a Chips Act Plus”;  Brussels, 25th November 2025</w:t>
            </w:r>
            <w:r w:rsidRPr="004F425A">
              <w:rPr>
                <w:rStyle w:val="Odwoanieprzypisudolnego"/>
                <w:rFonts w:ascii="Lato" w:eastAsia="Lato" w:hAnsi="Lato" w:cs="Lato"/>
                <w:sz w:val="20"/>
                <w:szCs w:val="20"/>
                <w:lang w:val="en-GB"/>
              </w:rPr>
              <w:footnoteReference w:id="3"/>
            </w:r>
            <w:r w:rsidRPr="004F425A">
              <w:rPr>
                <w:rFonts w:ascii="Lato" w:eastAsia="Lato" w:hAnsi="Lato" w:cs="Lato"/>
                <w:sz w:val="20"/>
                <w:szCs w:val="20"/>
                <w:lang w:val="en-GB"/>
              </w:rPr>
              <w:t>, w których autorzy stwierdzają m.in:  ….While producing cutting edge integrated circuits is an essential objective, the Chips Act overlooks that it is the complete electronic systems built around those chips that will ultimately enable the EU to remain technologically relevant.</w:t>
            </w:r>
          </w:p>
          <w:p w14:paraId="707D61BE" w14:textId="77777777" w:rsidR="00F574A2" w:rsidRPr="004F425A" w:rsidRDefault="00F574A2" w:rsidP="004F425A">
            <w:pPr>
              <w:spacing w:after="120" w:line="240" w:lineRule="auto"/>
              <w:jc w:val="both"/>
              <w:rPr>
                <w:rFonts w:ascii="Lato" w:eastAsia="Lato" w:hAnsi="Lato" w:cs="Lato"/>
                <w:sz w:val="20"/>
                <w:szCs w:val="20"/>
                <w:lang w:val="en-GB"/>
              </w:rPr>
            </w:pPr>
            <w:r w:rsidRPr="004F425A">
              <w:rPr>
                <w:rFonts w:ascii="Lato" w:eastAsia="Lato" w:hAnsi="Lato" w:cs="Lato"/>
                <w:sz w:val="20"/>
                <w:szCs w:val="20"/>
                <w:lang w:val="en-GB"/>
              </w:rPr>
              <w:t>I dalej: …. A continuing focus on semiconductor chips alone – whether high end or legacy – will not be sufficient. ….. Evidently, secure, end-to-end value chains from silicon to systems for critical industries are essential for European technological sovereignty and strategic resilience.</w:t>
            </w:r>
          </w:p>
          <w:p w14:paraId="151B9C27" w14:textId="74BAF682"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Dodatkowym argumentem przemawiającym za tak sformułowanym celem jest to, że wartość dodana wnoszona przez nowoczesną mikroelektronikę generowana jest głównie nie na etapie produkcji chipów lecz w obszarze produkcji sprzętowej. Potwierdza to m.in. ranking najcenniejszych marek </w:t>
            </w:r>
            <w:hyperlink r:id="rId14">
              <w:r w:rsidRPr="004F425A">
                <w:rPr>
                  <w:rStyle w:val="Hipercze"/>
                  <w:rFonts w:ascii="Lato" w:eastAsia="Lato" w:hAnsi="Lato" w:cs="Lato"/>
                  <w:color w:val="auto"/>
                  <w:sz w:val="20"/>
                  <w:szCs w:val="20"/>
                </w:rPr>
                <w:t>https://brandirectory.com/reports/global</w:t>
              </w:r>
            </w:hyperlink>
            <w:r w:rsidRPr="004F425A">
              <w:rPr>
                <w:rFonts w:ascii="Lato" w:eastAsia="Lato" w:hAnsi="Lato" w:cs="Lato"/>
                <w:sz w:val="20"/>
                <w:szCs w:val="20"/>
              </w:rPr>
              <w:t xml:space="preserve"> gdzie dominują firmy technologiczne wykorzystujące mikroelektronikę. Poglądowym przykładem jest elektronika występująca w samochodach. Wartość dodana układów scalonych w instalacji samochodowej stanowi wielokrotność w stosunku do oferowanych detalicznie. </w:t>
            </w:r>
          </w:p>
          <w:p w14:paraId="5F424DD2"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Przyjęcie tak zdefiniowanego celu powoduje szereg niżej wymienionych konsekwencji:</w:t>
            </w:r>
          </w:p>
          <w:p w14:paraId="0DB06056" w14:textId="77777777" w:rsidR="00F574A2" w:rsidRPr="004F425A" w:rsidRDefault="00F574A2" w:rsidP="004F425A">
            <w:pPr>
              <w:pStyle w:val="Akapitzlist"/>
              <w:numPr>
                <w:ilvl w:val="1"/>
                <w:numId w:val="41"/>
              </w:numPr>
              <w:spacing w:after="120" w:line="240" w:lineRule="auto"/>
              <w:ind w:left="567"/>
              <w:contextualSpacing w:val="0"/>
              <w:rPr>
                <w:rFonts w:ascii="Lato" w:eastAsia="Lato" w:hAnsi="Lato" w:cs="Lato"/>
                <w:sz w:val="20"/>
                <w:szCs w:val="20"/>
              </w:rPr>
            </w:pPr>
            <w:r w:rsidRPr="004F425A">
              <w:rPr>
                <w:rFonts w:ascii="Lato" w:eastAsia="Lato" w:hAnsi="Lato" w:cs="Lato"/>
                <w:sz w:val="20"/>
                <w:szCs w:val="20"/>
              </w:rPr>
              <w:t>Strategia powinna być ukierunkowana na rozwój zarówno obszarów niszowych lecz bardzo ważnych dla obronności (detektory fotoniczne) jak i obszarów pozbawionych obecnie potencjału przemysłowego lecz o zaawansowanym potencjale B+R (przyrządy mocy GaN), jednak podstawowym celem powinno być wzmocnienie i rozbudowa potencjału projektowego w obszarze specjalizowanej mikroelektroniki krzemowej (ASIC) – dla potrzeb przemysłowych odbiorców krajowych;</w:t>
            </w:r>
          </w:p>
          <w:p w14:paraId="426C7E10" w14:textId="77777777" w:rsidR="00F574A2" w:rsidRPr="004F425A" w:rsidRDefault="00F574A2" w:rsidP="004F425A">
            <w:pPr>
              <w:pStyle w:val="Akapitzlist"/>
              <w:numPr>
                <w:ilvl w:val="1"/>
                <w:numId w:val="41"/>
              </w:numPr>
              <w:spacing w:after="120" w:line="240" w:lineRule="auto"/>
              <w:ind w:left="567"/>
              <w:contextualSpacing w:val="0"/>
              <w:rPr>
                <w:rFonts w:ascii="Lato" w:eastAsia="Lato" w:hAnsi="Lato" w:cs="Lato"/>
                <w:sz w:val="20"/>
                <w:szCs w:val="20"/>
              </w:rPr>
            </w:pPr>
            <w:r w:rsidRPr="004F425A">
              <w:rPr>
                <w:rFonts w:ascii="Lato" w:eastAsia="Lato" w:hAnsi="Lato" w:cs="Lato"/>
                <w:sz w:val="20"/>
                <w:szCs w:val="20"/>
              </w:rPr>
              <w:t>Stymulowanie rozwoju projektowania bezwzględnie wymaga stworzenia możliwości realizacji projektów w krzemie. Wymaga to budowy niewielkiej linii produkcji pilotażowej układów scalonych umożliwiającej realizacje projektów układów specjalizowanych dla odbiorców krajowych przy niewielkiej skali produkcji (produkcja pilotażowa przed osiągnięciem potencjału produkcji wielkoseryjnej oraz działalność upowszechniająca, analogiczna do europejskiego programu EUROPRACTICE). Biorąc pod uwagę z jednej strony presję czasu a z drugiej fakt, iż produkcja układów scalonych nie oznacza tylko umiejętności wytworzenia dużej liczby tranzystorów lecz wymaga opracowania i wdrożenia specyficznych dla tego przemysłu standardów, norm, procedur, opanowania metod kontroli międzyoperacyjnej i charakteryzacji,  konieczne jest zastosowanie rozwiązań licencyjnych, wspierając umowę przez porozumienia na wysokim szczeblu politycznym. Linia produkcyjna nie powinna być przedsięwzięciem akademickim lecz powinna być przez potencjał akademicki wspierana. Szczególnie wskazane jest, aby linii  produkcyjna sąsiadowała z linią doświadczalną odpowiedzialna za rozwój postlicencyjny. Koncepcja taka opracowana była w latach 2015/18 w ramach projektu CyberMicro i, po dopracowaniu, nadal będzie aktualna.</w:t>
            </w:r>
          </w:p>
          <w:p w14:paraId="572CF5D7" w14:textId="77777777" w:rsidR="00F574A2" w:rsidRPr="004F425A" w:rsidRDefault="00F574A2" w:rsidP="004F425A">
            <w:pPr>
              <w:pStyle w:val="Akapitzlist"/>
              <w:numPr>
                <w:ilvl w:val="1"/>
                <w:numId w:val="41"/>
              </w:numPr>
              <w:spacing w:after="120" w:line="240" w:lineRule="auto"/>
              <w:ind w:left="567"/>
              <w:contextualSpacing w:val="0"/>
              <w:rPr>
                <w:rFonts w:ascii="Lato" w:eastAsia="Lato" w:hAnsi="Lato" w:cs="Lato"/>
                <w:sz w:val="20"/>
                <w:szCs w:val="20"/>
              </w:rPr>
            </w:pPr>
            <w:r w:rsidRPr="004F425A">
              <w:rPr>
                <w:rFonts w:ascii="Lato" w:eastAsia="Lato" w:hAnsi="Lato" w:cs="Lato"/>
                <w:sz w:val="20"/>
                <w:szCs w:val="20"/>
              </w:rPr>
              <w:t xml:space="preserve">Opracowywana Polityka powinna brać pod uwagę koncepcje rozwojowe i opinie ekspertów szerokiego grona przedstawicieli przemysłu elektronicznego, będącego potencjalnym odbiorcą produkcji mikroelektronicznej. Dotyczy to zwłaszcza przemysłu obronnego i krytycznego. Istotną rolę na etapie uszczegóławiania Polityki powinna mieć grupa ekspertów organizacji zrzeszających odbiorców przyrządów półprzewodnikowych (KIGEiT, KIPPO oraz PIPROK). </w:t>
            </w:r>
          </w:p>
          <w:p w14:paraId="3B8EEA5B" w14:textId="570453A2" w:rsidR="00F574A2" w:rsidRPr="004F425A" w:rsidRDefault="00F574A2" w:rsidP="004F425A">
            <w:pPr>
              <w:pStyle w:val="Akapitzlist"/>
              <w:numPr>
                <w:ilvl w:val="1"/>
                <w:numId w:val="41"/>
              </w:numPr>
              <w:spacing w:after="120" w:line="240" w:lineRule="auto"/>
              <w:ind w:left="567"/>
              <w:contextualSpacing w:val="0"/>
              <w:rPr>
                <w:rFonts w:ascii="Lato" w:eastAsia="Lato" w:hAnsi="Lato" w:cs="Lato"/>
                <w:sz w:val="20"/>
                <w:szCs w:val="20"/>
              </w:rPr>
            </w:pPr>
            <w:r w:rsidRPr="004F425A">
              <w:rPr>
                <w:rFonts w:ascii="Lato" w:eastAsia="Lato" w:hAnsi="Lato" w:cs="Lato"/>
                <w:sz w:val="20"/>
                <w:szCs w:val="20"/>
              </w:rPr>
              <w:t>Oprócz przedsięwzięć inwestycyjnych istotnym elementem Strategii powinna być implementacja działań DCE (Dissemination, Communication &amp; Exploitation) dla przełamania obserwowanego od lat kręgu niemożności (brak zainteresowania przemysłu ze względu na brak podaży układów ASIC i brak podaży ze względu na brak zainteresowania przemysłu).</w:t>
            </w:r>
          </w:p>
        </w:tc>
        <w:tc>
          <w:tcPr>
            <w:tcW w:w="4859" w:type="dxa"/>
            <w:tcBorders>
              <w:top w:val="single" w:sz="4" w:space="0" w:color="auto"/>
              <w:left w:val="single" w:sz="4" w:space="0" w:color="auto"/>
              <w:bottom w:val="single" w:sz="4" w:space="0" w:color="auto"/>
              <w:right w:val="single" w:sz="4" w:space="0" w:color="auto"/>
            </w:tcBorders>
          </w:tcPr>
          <w:p w14:paraId="4A1BBB82" w14:textId="155E8AE2"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036A154D" w14:textId="155AF91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Opis Wizji celowo nie wskazuje horyzontu czasowego, ponieważ ma charakter długoterminowy i kierunkowy. Ramy czasowe realizacji celu głównego zostały określone poprzez wskaźniki KPI, dla których wyznaczono daty docelowe, w większości do 2030 r., co zapewnia możliwość monitorowania postępów we wdrażaniu.</w:t>
            </w:r>
          </w:p>
          <w:p w14:paraId="74C17E25" w14:textId="40BBE5C2" w:rsidR="00F574A2" w:rsidRPr="004F425A" w:rsidRDefault="00F574A2" w:rsidP="004F425A">
            <w:pPr>
              <w:spacing w:after="120" w:line="240" w:lineRule="auto"/>
              <w:rPr>
                <w:rFonts w:ascii="Lato" w:eastAsia="Lato" w:hAnsi="Lato" w:cs="Lato"/>
                <w:sz w:val="20"/>
                <w:szCs w:val="20"/>
              </w:rPr>
            </w:pPr>
          </w:p>
        </w:tc>
      </w:tr>
      <w:tr w:rsidR="004471C5" w:rsidRPr="004F425A" w14:paraId="40FB5BA4" w14:textId="77777777" w:rsidTr="79FF9703">
        <w:tc>
          <w:tcPr>
            <w:tcW w:w="1425" w:type="dxa"/>
            <w:tcBorders>
              <w:top w:val="single" w:sz="4" w:space="0" w:color="auto"/>
              <w:left w:val="single" w:sz="4" w:space="0" w:color="auto"/>
              <w:bottom w:val="single" w:sz="4" w:space="0" w:color="auto"/>
              <w:right w:val="single" w:sz="4" w:space="0" w:color="auto"/>
            </w:tcBorders>
          </w:tcPr>
          <w:p w14:paraId="7E5BCF0A"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D8CCF1A"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Osoba fizyczna </w:t>
            </w:r>
          </w:p>
          <w:p w14:paraId="03BDDE4E" w14:textId="1DF2198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Piotr Grabiec</w:t>
            </w:r>
          </w:p>
        </w:tc>
        <w:tc>
          <w:tcPr>
            <w:tcW w:w="5387" w:type="dxa"/>
            <w:tcBorders>
              <w:top w:val="single" w:sz="4" w:space="0" w:color="auto"/>
              <w:left w:val="single" w:sz="4" w:space="0" w:color="auto"/>
              <w:bottom w:val="single" w:sz="4" w:space="0" w:color="auto"/>
              <w:right w:val="single" w:sz="4" w:space="0" w:color="auto"/>
            </w:tcBorders>
          </w:tcPr>
          <w:p w14:paraId="7B9F0BD9" w14:textId="77777777"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Filary</w:t>
            </w:r>
          </w:p>
          <w:p w14:paraId="1F967ECB" w14:textId="77777777" w:rsidR="00F574A2" w:rsidRPr="004F425A" w:rsidRDefault="00F574A2" w:rsidP="004F425A">
            <w:pPr>
              <w:spacing w:after="120" w:line="240" w:lineRule="auto"/>
              <w:jc w:val="both"/>
              <w:rPr>
                <w:rFonts w:ascii="Lato" w:eastAsia="Lato" w:hAnsi="Lato" w:cs="Lato"/>
                <w:spacing w:val="-10"/>
                <w:kern w:val="28"/>
                <w:sz w:val="20"/>
                <w:szCs w:val="20"/>
              </w:rPr>
            </w:pPr>
            <w:r w:rsidRPr="004F425A">
              <w:rPr>
                <w:rFonts w:ascii="Lato" w:eastAsia="Lato" w:hAnsi="Lato" w:cs="Lato"/>
                <w:sz w:val="20"/>
                <w:szCs w:val="20"/>
              </w:rPr>
              <w:t xml:space="preserve">Zawarte w strategii 7 filarów jest niewątpliwie konieczne jako działanie równoległe i wspierające. W szczególności, z zadowoleniem odnajdujemy w opisie Filaru I stwierdzenie iż Polska powinna aktywnie uczestniczyć we wdrażaniu Chips Act, ale jednocześnie budować komplementarne do tego aktu zdolności krajowe, odpowiadające specyficznym potrzebom własnego przemysłu, edukacji oraz instytucji publicznych. Wybór priorytetowych działań w tym obszarze powinien opierać się na syntetycznej ocenie potrzeb wynikającej z konsultacji z przedstawicielami sektora oraz wiedzy eksperckiej. Stwierdzenie to wydaje się niestety nie całkiem spójne z celami określonymi w rozdziale Wizja i Cele Polityki.  Jest natomiast w pełni zgodne z przedstawionymi przez nas wyżej uwagami (w punkcie 4). Pewną kontynuacją powyższej myśli jest zawarte w dalszej części opisu Filaru I stwierdzenie że :… . Kluczowe będzie zaangażowanie odbiorców końcowych - ich udział może stanowić realny impuls do komercjalizacji innowacji i wdrażania nowych technologii…… . Również ten wniosek jest w pełni zgodny z naszą opinią, uważamy jednak że zaangażowanie odbiorców końcowych wymagać będzie wspomnianej przez nas powyżej, w punkcie 4d. implementacji intensywnych, dobrze przemyślanych działań DCE (Dissemination, Communication &amp; Exploitation) dla przełamania obserwowanego od lat kręgu niemożności. </w:t>
            </w:r>
          </w:p>
          <w:p w14:paraId="6B8AE811" w14:textId="145D45CA" w:rsidR="00F574A2" w:rsidRPr="004F425A" w:rsidRDefault="00F574A2" w:rsidP="004F425A">
            <w:pPr>
              <w:spacing w:after="120" w:line="240" w:lineRule="auto"/>
              <w:jc w:val="both"/>
              <w:rPr>
                <w:rFonts w:ascii="Lato" w:eastAsia="Lato" w:hAnsi="Lato" w:cs="Lato"/>
                <w:spacing w:val="-10"/>
                <w:kern w:val="28"/>
                <w:sz w:val="20"/>
                <w:szCs w:val="20"/>
              </w:rPr>
            </w:pPr>
            <w:r w:rsidRPr="004F425A">
              <w:rPr>
                <w:rFonts w:ascii="Lato" w:eastAsia="Lato" w:hAnsi="Lato" w:cs="Lato"/>
                <w:sz w:val="20"/>
                <w:szCs w:val="20"/>
              </w:rPr>
              <w:t xml:space="preserve">Autorzy dokumentu słusznie stwierdzają, że  Polska nie dysponuje obecnie żadną linią pilotażową </w:t>
            </w:r>
            <w:r w:rsidRPr="004F425A">
              <w:rPr>
                <w:rFonts w:ascii="Lato" w:hAnsi="Lato"/>
                <w:sz w:val="20"/>
                <w:szCs w:val="20"/>
              </w:rPr>
              <w:br/>
            </w:r>
            <w:r w:rsidRPr="004F425A">
              <w:rPr>
                <w:rFonts w:ascii="Lato" w:eastAsia="Lato" w:hAnsi="Lato" w:cs="Lato"/>
                <w:sz w:val="20"/>
                <w:szCs w:val="20"/>
              </w:rPr>
              <w:t xml:space="preserve">dla technologii półprzewodnikowych a brak takiej infrastruktury ogranicza rozwój projektów </w:t>
            </w:r>
            <w:r w:rsidRPr="004F425A">
              <w:rPr>
                <w:rFonts w:ascii="Lato" w:hAnsi="Lato"/>
                <w:sz w:val="20"/>
                <w:szCs w:val="20"/>
              </w:rPr>
              <w:br/>
            </w:r>
            <w:r w:rsidRPr="004F425A">
              <w:rPr>
                <w:rFonts w:ascii="Lato" w:eastAsia="Lato" w:hAnsi="Lato" w:cs="Lato"/>
                <w:sz w:val="20"/>
                <w:szCs w:val="20"/>
              </w:rPr>
              <w:t>i zmusza do korzystania z drogich usług zagranicznych, co opóźnia proces wprowadzania produktów na rynek. Do tej niewątpliwie słusznej obserwacji trzeba dodać, że w wielu, o ile nie w znacznej większości przypadków ulokowanie produkcji na liniach zagranicznych jest  praktycznie niemożliwe ze względu na zbyt mały, nieinteresujący biznesowo dla foundry wolumen produkcji lub też, zwłaszcza w przypadku produktów „dual use” – ze względu na bariery polityczne i/lub biurokratyczne. W efekcie, polscy producenci urządzeń końcowych opierają się niemal wyłącznie na imporcie katalogowych przyrządów półprzewodnikowych, rezygnując z układów specjalizowanych. Potwierdzają to sondaże przeprowadzane przez KIGEiT.</w:t>
            </w:r>
          </w:p>
          <w:p w14:paraId="4AF5C877" w14:textId="77777777" w:rsidR="00F574A2" w:rsidRPr="004F425A" w:rsidRDefault="00F574A2" w:rsidP="004F425A">
            <w:pPr>
              <w:spacing w:after="120" w:line="240" w:lineRule="auto"/>
              <w:jc w:val="both"/>
              <w:rPr>
                <w:rFonts w:ascii="Lato" w:eastAsia="Lato" w:hAnsi="Lato" w:cs="Lato"/>
                <w:spacing w:val="-10"/>
                <w:kern w:val="28"/>
                <w:sz w:val="20"/>
                <w:szCs w:val="20"/>
              </w:rPr>
            </w:pPr>
            <w:r w:rsidRPr="004F425A">
              <w:rPr>
                <w:rFonts w:ascii="Lato" w:eastAsia="Lato" w:hAnsi="Lato" w:cs="Lato"/>
                <w:sz w:val="20"/>
                <w:szCs w:val="20"/>
              </w:rPr>
              <w:t>Lista potrzebnych działań w obszarze Infrastruktury jest dobrze przemyślana. Wątpliwości można jedynie mieć co do wątku architektury operacyjnej, która łączyłaby zaplecze badawcze, środowisko inżynieryjne oraz dostęp przemysłowy. Łączenie działalności badawczej z produkcją przemysłową jest bardzo ryzykowne, szczególnie gdy mowa o produkcji dla potrzeb przemysłu obronnego. Wieloletnie doświadczenia krajowe, jeszcze z czasów CEMI a także obserwacje realiów na styku nauki i przemysłu w czołowych technologicznie krajach Europy i USA wskazują, że współpraca nauki z przemysłem jest konieczna, lecz cele i zadania obydwu sfer są odmienne a „przywództwo” powinno należeć jednak do przemysłu. Wady koncepcji umieszczenia linii produkcyjnej w gestii akademii potwierdzają podane w dokumencie informacje Politechniki, wskazujące że w laboratoriach CEZAMATu możliwa jest realizacja produkcji do 100 000 przyrządów rocznie i to w kilku technologiach. Biorąc pod uwagę że na jednej  płytce krzemowej mieści się 200 i więcej chipów i przyjmując dla uproszczenia uzysk 50%  oraz rok roboczy liczący 250 dni otrzymujemy że dziennie należałoby produkować po 4 płytki, i to w kilku technologiach! Dla każdego inżyniera mikroelektronika z praktyką przemysłową jest oczywiste że przy tak śladowej wielkości produkcji trudno mówić o stabilności technologii i utrzymaniu jakości. Mikroelektronika jest bowiem przemysłem dużej skali gdzie produkcja na poziomie 10 mln szt. rocznie jest produkcją niewielką. Interesujące dane na temat zalecanej architektury operacyjnej i wielkości produkcji są dostępne w będących w posiadaniu MRIT dokumentach projektu Cyber-Micro,</w:t>
            </w:r>
          </w:p>
          <w:p w14:paraId="52185379" w14:textId="77777777" w:rsidR="00F574A2" w:rsidRPr="004F425A" w:rsidRDefault="00F574A2" w:rsidP="004F425A">
            <w:pPr>
              <w:spacing w:after="120" w:line="240" w:lineRule="auto"/>
              <w:jc w:val="both"/>
              <w:rPr>
                <w:rFonts w:ascii="Lato" w:eastAsia="Lato" w:hAnsi="Lato" w:cs="Lato"/>
                <w:spacing w:val="-10"/>
                <w:kern w:val="28"/>
                <w:sz w:val="20"/>
                <w:szCs w:val="20"/>
              </w:rPr>
            </w:pPr>
            <w:r w:rsidRPr="004F425A">
              <w:rPr>
                <w:rFonts w:ascii="Lato" w:eastAsia="Lato" w:hAnsi="Lato" w:cs="Lato"/>
                <w:sz w:val="20"/>
                <w:szCs w:val="20"/>
              </w:rPr>
              <w:t xml:space="preserve">Dalsze działania zawarte w opisie Filarów są istotne, lecz nie w każdym przypadku wystarczająco precyzyjnie opisane. W szczególności niejasny jest harmonogram poszczególnych działań. Również budżet przewidywany na działania nie wszędzie jest określony a tam gdzie taki jest, wydaje się być najczęściej zaniżony. Dotyczy to zwłaszcza działań  związanych z rozbudową potencjału badawczego i wytwórczego. Postulowane w dokumencie utworzenie Parku technologicznego jest planowane chyba zbyt wcześnie, gdyż park taki powinien być efektem wcześniejszej budowy/rozwoju ośrodków B+R i produkcyjnych wokół których tworzony mógłby być Park.  Doświadczenia ostatnich 30 lat pokazują, że efekty tworzenia Parków technologicznych nie zawsze są zgodne z oczekiwaniami. </w:t>
            </w:r>
          </w:p>
          <w:p w14:paraId="0A47256C" w14:textId="77777777" w:rsidR="00F574A2" w:rsidRPr="004F425A" w:rsidRDefault="00F574A2" w:rsidP="004F425A">
            <w:pPr>
              <w:spacing w:after="120" w:line="240" w:lineRule="auto"/>
              <w:jc w:val="both"/>
              <w:rPr>
                <w:rFonts w:ascii="Lato" w:eastAsia="Lato" w:hAnsi="Lato" w:cs="Lato"/>
                <w:spacing w:val="-10"/>
                <w:kern w:val="28"/>
                <w:sz w:val="20"/>
                <w:szCs w:val="20"/>
              </w:rPr>
            </w:pPr>
            <w:r w:rsidRPr="004F425A">
              <w:rPr>
                <w:rFonts w:ascii="Lato" w:eastAsia="Lato" w:hAnsi="Lato" w:cs="Lato"/>
                <w:spacing w:val="-10"/>
                <w:kern w:val="28"/>
                <w:sz w:val="20"/>
                <w:szCs w:val="20"/>
              </w:rPr>
              <w:t>W dalszej części dokumentu można znaleźć kilka bardzo ciekawych idei z których nie wszystkie wydają się być realne. Znakomitym pomysłem jest położenie nacisku na rozwój przemysłu półprzewodnikowego na Śląsku. Stworzyłoby to znakomitą perspektywę transformacji przemysłowej. Działania te powinny być ukierunkowane zwłaszcza na projektowanie układów mikroelektronicznych i być oparte o istniejące już na tym obszarze kompetencje oraz wspierane znakomitym w tej dziedzinie wiedzy potencjałem edukacyjnym i merytorycznym AGH.</w:t>
            </w:r>
          </w:p>
          <w:p w14:paraId="66735941" w14:textId="77777777" w:rsidR="00F574A2" w:rsidRPr="004F425A" w:rsidRDefault="00F574A2" w:rsidP="004F425A">
            <w:pPr>
              <w:spacing w:after="120" w:line="240" w:lineRule="auto"/>
              <w:jc w:val="both"/>
              <w:rPr>
                <w:rFonts w:ascii="Lato" w:eastAsia="Lato" w:hAnsi="Lato" w:cs="Lato"/>
                <w:spacing w:val="-10"/>
                <w:kern w:val="28"/>
                <w:sz w:val="20"/>
                <w:szCs w:val="20"/>
              </w:rPr>
            </w:pPr>
            <w:r w:rsidRPr="004F425A">
              <w:rPr>
                <w:rFonts w:ascii="Lato" w:eastAsia="Lato" w:hAnsi="Lato" w:cs="Lato"/>
                <w:sz w:val="20"/>
                <w:szCs w:val="20"/>
              </w:rPr>
              <w:t xml:space="preserve">W odróżnieniu od wyżej wspomnianej, trudnej do urzeczywistnienia lecz realistycznej koncepcji, przedstawiony w ramach Filaru </w:t>
            </w:r>
            <w:bookmarkStart w:id="0" w:name="_Toc220663564"/>
            <w:r w:rsidRPr="004F425A">
              <w:rPr>
                <w:rFonts w:ascii="Lato" w:eastAsia="Lato" w:hAnsi="Lato" w:cs="Lato"/>
                <w:sz w:val="20"/>
                <w:szCs w:val="20"/>
              </w:rPr>
              <w:t>III. Współpraca regionalna i międzynarodowa</w:t>
            </w:r>
            <w:bookmarkEnd w:id="0"/>
            <w:r w:rsidRPr="004F425A">
              <w:rPr>
                <w:rFonts w:ascii="Lato" w:eastAsia="Lato" w:hAnsi="Lato" w:cs="Lato"/>
                <w:sz w:val="20"/>
                <w:szCs w:val="20"/>
              </w:rPr>
              <w:t xml:space="preserve"> pomysł utworzenia mikroregiony Polska-Czechy-Saksonia może być niesłychanie trudny do rzeczywistej realizacji, jeżeli miałby dotyczyć przemysłu półprzewodnikowego, ze względu na ogromne dysproporcje poziomu rozwoju tego przemysłu w poszczególnych krajach.  Bardzo interesujące i głęboko sensowne byłoby natomiast położenie nacisku na współpracę polskiego (lub zlokalizowanego w Polsce międzynarodowego) przemysłu elektronicznego (sprzętu elektronicznego i EMS) z niemieckim przemysłem półprzewodnikowym. </w:t>
            </w:r>
          </w:p>
          <w:p w14:paraId="7233F537" w14:textId="77777777" w:rsidR="00F574A2" w:rsidRPr="004F425A" w:rsidRDefault="00F574A2" w:rsidP="004F425A">
            <w:pPr>
              <w:spacing w:after="120" w:line="240" w:lineRule="auto"/>
              <w:jc w:val="both"/>
              <w:rPr>
                <w:rFonts w:ascii="Lato" w:eastAsia="Lato" w:hAnsi="Lato" w:cs="Lato"/>
                <w:spacing w:val="-10"/>
                <w:kern w:val="28"/>
                <w:sz w:val="20"/>
                <w:szCs w:val="20"/>
              </w:rPr>
            </w:pPr>
            <w:r w:rsidRPr="004F425A">
              <w:rPr>
                <w:rFonts w:ascii="Lato" w:eastAsia="Lato" w:hAnsi="Lato" w:cs="Lato"/>
                <w:sz w:val="20"/>
                <w:szCs w:val="20"/>
              </w:rPr>
              <w:t>Jednym z najważniejszych o ile nie najważniejszym Filarem opisanym w dokumencie jest Filar</w:t>
            </w:r>
            <w:bookmarkStart w:id="1" w:name="_Toc220663566"/>
            <w:r w:rsidRPr="004F425A">
              <w:rPr>
                <w:rFonts w:ascii="Lato" w:eastAsia="Lato" w:hAnsi="Lato" w:cs="Lato"/>
                <w:sz w:val="20"/>
                <w:szCs w:val="20"/>
              </w:rPr>
              <w:t xml:space="preserve"> V. Kadry i edukacja</w:t>
            </w:r>
            <w:bookmarkEnd w:id="1"/>
            <w:r w:rsidRPr="004F425A">
              <w:rPr>
                <w:rFonts w:ascii="Lato" w:eastAsia="Lato" w:hAnsi="Lato" w:cs="Lato"/>
                <w:sz w:val="20"/>
                <w:szCs w:val="20"/>
              </w:rPr>
              <w:t>.  Waga opisanych w nim działań jest bezdyskusyjna. W dokumencie bardzo słusznie zaadresowano kwestię kształcenia kadr w skali wymaganej przez potrzeby krajowego przemysłu półprzewodnikowego i fotonicznego. Wydaje się przy tym, że autorzy dokumentu przeceniają liczbę dostępnej obecnie kadry, zwłaszcza o kwalifikacjach niezbędnych w technologii półprzewodnikowej. Współczesny brak wysokokwalifikowanych pracowników to jedna z barier rozwoju przemysłu półprzewodnikowego i fotonicznego na świecie, w Europie i w Polsce. Warto tu przytoczyć opinie twórcy potęgi tajwańskiej firmy TSMC, Morrisa Changa</w:t>
            </w:r>
            <w:r w:rsidRPr="004F425A">
              <w:rPr>
                <w:rStyle w:val="Odwoanieprzypisudolnego"/>
                <w:rFonts w:ascii="Lato" w:eastAsia="Lato" w:hAnsi="Lato" w:cs="Lato"/>
                <w:sz w:val="20"/>
                <w:szCs w:val="20"/>
              </w:rPr>
              <w:footnoteReference w:id="4"/>
            </w:r>
            <w:r w:rsidRPr="004F425A">
              <w:rPr>
                <w:rFonts w:ascii="Lato" w:eastAsia="Lato" w:hAnsi="Lato" w:cs="Lato"/>
                <w:sz w:val="20"/>
                <w:szCs w:val="20"/>
              </w:rPr>
              <w:t xml:space="preserve"> który w swoim wykładzie mówił że źródłem sukcesu TSMC i szerzej, tajwańskiej mikroelektroniki  są kadry: Talents, substantial supply of high quality and dedicated engineer, technicians, operators willing to work in manufactiuring. Podkreślając zarazem “low turnover rate” rozumianej jako stabilność zatrudnienia.  </w:t>
            </w:r>
          </w:p>
          <w:p w14:paraId="4E5340AE" w14:textId="77777777" w:rsidR="00F574A2" w:rsidRPr="004F425A" w:rsidRDefault="00F574A2" w:rsidP="004F425A">
            <w:pPr>
              <w:spacing w:after="120" w:line="240" w:lineRule="auto"/>
              <w:jc w:val="both"/>
              <w:rPr>
                <w:rFonts w:ascii="Lato" w:eastAsia="Lato" w:hAnsi="Lato" w:cs="Lato"/>
                <w:spacing w:val="-10"/>
                <w:kern w:val="28"/>
                <w:sz w:val="20"/>
                <w:szCs w:val="20"/>
              </w:rPr>
            </w:pPr>
            <w:r w:rsidRPr="004F425A">
              <w:rPr>
                <w:rFonts w:ascii="Lato" w:eastAsia="Lato" w:hAnsi="Lato" w:cs="Lato"/>
                <w:sz w:val="20"/>
                <w:szCs w:val="20"/>
              </w:rPr>
              <w:t xml:space="preserve">Wymagane jest rozszerzenie zakresu i skali kształcenia kadr dla przemysłu półprzewodnikowego, w kilku ośrodkach akademickich. W warunkach polskich zadanie pozyskania i wyszkolenia odpowiedniej ilości właściwie wyszkolonej kadry, dedykowanej do wymagającej pracy w przemyśle półprzewodnikowym będzie, z różnych względów, przede wszystkim kulturowych,  szczególnie trudne. Trzeba bowiem podkreślić, że wymagane jest nie tylko stworzenia możliwości edukacyjnych po stronie szkół i uczelni, lecz, co najważniejsze, stworzenia systemu zachęt dla uczniów i studentów. Nie tylko zachęt finansowych ale i przekonania młodych ludzi że podejmując te trudne studia mogą liczyć na zbudowanie atrakcyjnej ścieżki kariery zawodowej. Zadanie to, leżące bardziej w obszarze psychologii społecznej niż finansów, może okazać się niezwykle trudnym wyzwaniem które chyba nie w pełni jest dostrzegane przez autorów dokumentu. Pisząc o problemie kadr, z głębokim zadowoleniem witamy zawarte w dokumencie zalecenia dot. wykorzystywania wiedzy seniorów, posiadających doświadczenie jeszcze z okresu gdy w Polsce opracowywano i produkowano komercyjnie zaawansowane przyrządy półprzewodnikowe (mikroprocesory, układy ASIC, Fotodiody lawinowe APD i in.). Warto dodać tu że do Polski powróciła już lub wkrótce powróci spora liczba specjalistów mikroelektroniki którzy opuścili kraj w latach 80-tych zatrudniając się na liniach produkcyjnych i w laboratoriach czołowych producentów światowych, instytutach i uczelniach czołówki technologicznej świata. Niektórzy z nich są konsultantami niniejszego opracowania. Warto dołożyć starań aby ich wiedzę i doświadczenie wykorzystać. </w:t>
            </w:r>
          </w:p>
          <w:p w14:paraId="26060EFC"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1F235157" w14:textId="426A788D"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o charakterze ogólnym. </w:t>
            </w:r>
          </w:p>
          <w:p w14:paraId="5179994F" w14:textId="097355B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Opinia pozytywna, przyjęta do wiadomości, nie wymaga zmiany treści.</w:t>
            </w:r>
          </w:p>
        </w:tc>
      </w:tr>
      <w:tr w:rsidR="004471C5" w:rsidRPr="004F425A" w14:paraId="250C7333" w14:textId="77777777" w:rsidTr="79FF9703">
        <w:tc>
          <w:tcPr>
            <w:tcW w:w="1425" w:type="dxa"/>
            <w:tcBorders>
              <w:top w:val="single" w:sz="4" w:space="0" w:color="auto"/>
              <w:left w:val="single" w:sz="4" w:space="0" w:color="auto"/>
              <w:bottom w:val="single" w:sz="4" w:space="0" w:color="auto"/>
              <w:right w:val="single" w:sz="4" w:space="0" w:color="auto"/>
            </w:tcBorders>
          </w:tcPr>
          <w:p w14:paraId="1A7E2008"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DD59351" w14:textId="7777777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Osoba fizyczna </w:t>
            </w:r>
          </w:p>
          <w:p w14:paraId="4B5D5EFA" w14:textId="4581609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Piotr Grabiec</w:t>
            </w:r>
          </w:p>
        </w:tc>
        <w:tc>
          <w:tcPr>
            <w:tcW w:w="5387" w:type="dxa"/>
            <w:tcBorders>
              <w:top w:val="single" w:sz="4" w:space="0" w:color="auto"/>
              <w:left w:val="single" w:sz="4" w:space="0" w:color="auto"/>
              <w:bottom w:val="single" w:sz="4" w:space="0" w:color="auto"/>
              <w:right w:val="single" w:sz="4" w:space="0" w:color="auto"/>
            </w:tcBorders>
          </w:tcPr>
          <w:p w14:paraId="5811880B" w14:textId="56B12EE0" w:rsidR="00F574A2" w:rsidRPr="004F425A" w:rsidRDefault="00F574A2" w:rsidP="004F425A">
            <w:pPr>
              <w:spacing w:after="120" w:line="240" w:lineRule="auto"/>
              <w:jc w:val="both"/>
              <w:rPr>
                <w:rFonts w:ascii="Lato" w:eastAsia="Lato" w:hAnsi="Lato" w:cs="Lato"/>
                <w:sz w:val="20"/>
                <w:szCs w:val="20"/>
              </w:rPr>
            </w:pPr>
            <w:r w:rsidRPr="004F425A">
              <w:rPr>
                <w:rFonts w:ascii="Lato" w:eastAsia="Lato" w:hAnsi="Lato" w:cs="Lato"/>
                <w:sz w:val="20"/>
                <w:szCs w:val="20"/>
              </w:rPr>
              <w:t xml:space="preserve">Przedstawiony dokument należy oceniać jako bardzo ważny, aczkolwiek naszym zdaniem konieczne jest wprowadzenie szeregu omówionych powyżej poprawek i zmian. Wysoce wskazane jest także wprowadzenie modyfikacji i uwag zebranych w roku 2025 w trakcie konsultacji pierwszej wersji Polityki. Dotyczy to szczególnie nadal aktualnych uwag i zaleceń opracowanych przez ekspertów IMiF i KIGEiT.  Kluczową sprawą jest porozumienie międzyresortowe i wprowadzenie długofalowej strategii niezależnej od podziałów czy zmian politycznych. Jest to spowodowane m.in. tym, że, że realizacja tej strategii podobnie jak realizacja innych najpoważniejszych zamierzeń inwestycyjnych, takich jak CPK lub projekt elektrowni atomowych zajmie z pewnością znacznie więcej niż 4 lata. Kwestia czasu realizacji projektu, znacznie przekraczającego okres pomiędzy wyborami do Sejmu stał się, naszym zdaniem, podstawową przyczyną rezygnacji poprzedniej ekipy rządzącej z realizacji opracowanego przez zespół specjalistów z ITE/IMiF, CEZAMAT i AGH projektu CyberMicro, którego celem miało być stworzenie linii produkcji małoseryjnej krzemowych układów scalonych. Sprawą wagi podstawowej jest jednak to, żeby po kolejnym roku zastoju działania dla realizacji strategii przemysłu półprzewodnikowego zostały skutecznie podjęte. </w:t>
            </w:r>
          </w:p>
        </w:tc>
        <w:tc>
          <w:tcPr>
            <w:tcW w:w="4859" w:type="dxa"/>
            <w:tcBorders>
              <w:top w:val="single" w:sz="4" w:space="0" w:color="auto"/>
              <w:left w:val="single" w:sz="4" w:space="0" w:color="auto"/>
              <w:bottom w:val="single" w:sz="4" w:space="0" w:color="auto"/>
              <w:right w:val="single" w:sz="4" w:space="0" w:color="auto"/>
            </w:tcBorders>
          </w:tcPr>
          <w:p w14:paraId="2251F680" w14:textId="0F6314D2"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o charakterze ogólnym.</w:t>
            </w:r>
          </w:p>
          <w:p w14:paraId="339CE510" w14:textId="48096AC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Odniesienie do uwag IMiF i KIGEiT z 2025 r. zostało częściowo uwzględnione w toku wcześniejszych uzgodnień międzyresortowych i opiniowania; aktualne uwagi KIGEiT z niniejszej rundy odniesiono odrębnie.</w:t>
            </w:r>
          </w:p>
        </w:tc>
      </w:tr>
      <w:tr w:rsidR="004471C5" w:rsidRPr="004F425A" w14:paraId="33245D5A" w14:textId="77777777" w:rsidTr="79FF9703">
        <w:tc>
          <w:tcPr>
            <w:tcW w:w="1425" w:type="dxa"/>
            <w:tcBorders>
              <w:top w:val="single" w:sz="4" w:space="0" w:color="auto"/>
              <w:left w:val="single" w:sz="4" w:space="0" w:color="auto"/>
              <w:bottom w:val="single" w:sz="4" w:space="0" w:color="auto"/>
              <w:right w:val="single" w:sz="4" w:space="0" w:color="auto"/>
            </w:tcBorders>
          </w:tcPr>
          <w:p w14:paraId="59163DCE"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9500A94" w14:textId="45D9FA0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Związek Cyfrowa Polska</w:t>
            </w:r>
          </w:p>
        </w:tc>
        <w:tc>
          <w:tcPr>
            <w:tcW w:w="5387" w:type="dxa"/>
            <w:tcBorders>
              <w:top w:val="single" w:sz="4" w:space="0" w:color="auto"/>
              <w:left w:val="single" w:sz="4" w:space="0" w:color="auto"/>
              <w:bottom w:val="single" w:sz="4" w:space="0" w:color="auto"/>
              <w:right w:val="single" w:sz="4" w:space="0" w:color="auto"/>
            </w:tcBorders>
          </w:tcPr>
          <w:p w14:paraId="5C695626" w14:textId="6B47BEF2"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Związek Cyfrowa Polska pozytywnie ocenia przygotowanie kompleksowej polityki dla sektora półprzewodników. Dokument trafnie przyjmuje, że Polska nie powinna kopiować modeli największych gospodarek ani dążyć do pełnej samowystarczalności, lecz budować przewagi w obszarach, w których już posiada realne kompetencje, w szczególności w projektowaniu układów scalonych, fotonice, nowych materiałach oraz wyspecjalizowanych elementach zaplecza technologicznego. Na uznanie zasługuje także oparcie polityki na siedmiu filarach, powiązanie ich z mierzalnymi celami oraz wskazanie konkretnych ambicji wdrożeniowych, takich jak uruchomienie co najmniej jednej linii pilotażowej do końca 2028 r., rozwój dostępu do narzędzi EDA, wykorzystanie impulsu państwa, wzrost inwestycji oraz rozwój kadr. </w:t>
            </w:r>
          </w:p>
          <w:p w14:paraId="6EB2A661" w14:textId="501AD602"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Z perspektywy polskiej branży cyfrowej dokument wymaga jednak istotnego wzmocnienia w warstwie projektowej, software’owej i zakupowej. Wskazujemy, że odporność strategiczna zaczyna się już na poziomie projektowania półprzewodników, a jeżeli publicznie wspierane rozwiązania utrwalą zależność od zamkniętych interfejsów, narzędzi lub ekosystemów software’owych, to późniejsze działania w obszarze infrastruktury cyfrowej czy zamówień publicznych nie przywrócą realnej autonomii. Z tego względu polityka krajowa powinna silniej łączyć cele przemysłowe z zasadami interoperacyjności, przenoszalności oprogramowania i ograniczania ryzyka uzależnienia od jednego dostawcy.</w:t>
            </w:r>
          </w:p>
        </w:tc>
        <w:tc>
          <w:tcPr>
            <w:tcW w:w="4859" w:type="dxa"/>
            <w:tcBorders>
              <w:top w:val="single" w:sz="4" w:space="0" w:color="auto"/>
              <w:left w:val="single" w:sz="4" w:space="0" w:color="auto"/>
              <w:bottom w:val="single" w:sz="4" w:space="0" w:color="auto"/>
              <w:right w:val="single" w:sz="4" w:space="0" w:color="auto"/>
            </w:tcBorders>
          </w:tcPr>
          <w:p w14:paraId="5CC27D81" w14:textId="2C559BD3"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o charakterze ogólnym. </w:t>
            </w:r>
          </w:p>
          <w:p w14:paraId="56A5D68A" w14:textId="2E67BCC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Pozytywna ocena dokumentu nie wymaga podjęcia działań.</w:t>
            </w:r>
          </w:p>
        </w:tc>
      </w:tr>
      <w:tr w:rsidR="004471C5" w:rsidRPr="004F425A" w14:paraId="5BB5F653" w14:textId="77777777" w:rsidTr="79FF9703">
        <w:tc>
          <w:tcPr>
            <w:tcW w:w="1425" w:type="dxa"/>
            <w:tcBorders>
              <w:top w:val="single" w:sz="4" w:space="0" w:color="auto"/>
              <w:left w:val="single" w:sz="4" w:space="0" w:color="auto"/>
              <w:bottom w:val="single" w:sz="4" w:space="0" w:color="auto"/>
              <w:right w:val="single" w:sz="4" w:space="0" w:color="auto"/>
            </w:tcBorders>
          </w:tcPr>
          <w:p w14:paraId="6ADF5DC0"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EADEEF1" w14:textId="15C940C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Związek Cyfrowa Polska</w:t>
            </w:r>
          </w:p>
        </w:tc>
        <w:tc>
          <w:tcPr>
            <w:tcW w:w="5387" w:type="dxa"/>
            <w:tcBorders>
              <w:top w:val="single" w:sz="4" w:space="0" w:color="auto"/>
              <w:left w:val="single" w:sz="4" w:space="0" w:color="auto"/>
              <w:bottom w:val="single" w:sz="4" w:space="0" w:color="auto"/>
              <w:right w:val="single" w:sz="4" w:space="0" w:color="auto"/>
            </w:tcBorders>
          </w:tcPr>
          <w:p w14:paraId="6A9ECE2C" w14:textId="516C5092"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69585F6C"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Polityka powinna zawierać wyraźną zasadę horyzontalną, zgodnie z którą środki publiczne przeznaczane na rozwój sektora półprzewodników mają premiować rozwiązania interoperacyjne, oparte na otwartych i udokumentowanych interfejsach, umożliwiające przenoszenie oprogramowania i integrację w środowiskach wielodostawczych. Nie chodzi o administracyjne narzucanie jednego modelu technologicznego ani o blankietowy obowiązek pełnego open source dla każdej warstwy, lecz o to, aby finansowanie publiczne nie utrwalało nieuzasadnionego uzależnienia od jednego dostawcy sprzętu, narzędzi lub warstwy wykonawczej. W przypadkach, w których stosowane są elementy zamknięte, beneficjent powinien wykazać ich niezbędność, brak realnych alternatyw oraz sposób ograniczania ryzyka lock-in. </w:t>
            </w:r>
          </w:p>
          <w:p w14:paraId="51B48B9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457762A6" w14:textId="0AE224DE"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797DF4CB" w14:textId="7E58EEE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Postulat dotyczy zagadnień wykraczających poza poziom ogólności dokumentu strategicznego. Właściwym miejscem jego uwzględnienia są akty wykonawcze i dokumenty wdrożeniowe (regulaminy konkursów, karty wskaźników opracowywane przez Zespół zadaniowy w terminie 6 miesięcy od przyjęcia polityki).</w:t>
            </w:r>
          </w:p>
        </w:tc>
      </w:tr>
      <w:tr w:rsidR="004471C5" w:rsidRPr="004F425A" w14:paraId="38F3BD9A" w14:textId="77777777" w:rsidTr="79FF9703">
        <w:tc>
          <w:tcPr>
            <w:tcW w:w="1425" w:type="dxa"/>
            <w:tcBorders>
              <w:top w:val="single" w:sz="4" w:space="0" w:color="auto"/>
              <w:left w:val="single" w:sz="4" w:space="0" w:color="auto"/>
              <w:bottom w:val="single" w:sz="4" w:space="0" w:color="auto"/>
              <w:right w:val="single" w:sz="4" w:space="0" w:color="auto"/>
            </w:tcBorders>
          </w:tcPr>
          <w:p w14:paraId="116A5140"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97BB824" w14:textId="4FFD9AF5"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Związek Cyfrowa Polska</w:t>
            </w:r>
          </w:p>
        </w:tc>
        <w:tc>
          <w:tcPr>
            <w:tcW w:w="5387" w:type="dxa"/>
            <w:tcBorders>
              <w:top w:val="single" w:sz="4" w:space="0" w:color="auto"/>
              <w:left w:val="single" w:sz="4" w:space="0" w:color="auto"/>
              <w:bottom w:val="single" w:sz="4" w:space="0" w:color="auto"/>
              <w:right w:val="single" w:sz="4" w:space="0" w:color="auto"/>
            </w:tcBorders>
          </w:tcPr>
          <w:p w14:paraId="33825EAD"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7A5411F8" w14:textId="1121CF76"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Bardzo wysoko oceniamy kierunek obrany w Filarze I, zwłaszcza budowę systemu ułatwiającego MŚP i uczelniom dostęp do narzędzi projektowania układów scalonych, bibliotek procesowych oraz infrastruktury pilotażowej. Polityka słusznie identyfikuje jako barierę wysokie koszty licencji, brak dostępu do technologii produkcyjnych, ograniczenia licencyjne i niedobór wsparcia operacyjnego. Dokument przewiduje analizę krajowej platformy dostępu do zasobów projektowych, centralny model licencji, koncepcję repozytorium PDK, również w modelu open source, organizację MPW i MLM oraz możliwość dofinansowania tape-outu dla małych podmiotów. Z punktu widzenia branży te elementy nie powinny pozostać wyłącznie na poziomie analizy. Już na etapie przyjęcia polityki warto zobowiązać właściwe instytucje do przygotowania harmonogramu wdrożenia platformy, modelu operatora, zasad dostępu, budżetu OPEX oraz wskaźników wykorzystania przez MŚP, start-upy i uczelnie. </w:t>
            </w:r>
          </w:p>
        </w:tc>
        <w:tc>
          <w:tcPr>
            <w:tcW w:w="4859" w:type="dxa"/>
            <w:tcBorders>
              <w:top w:val="single" w:sz="4" w:space="0" w:color="auto"/>
              <w:left w:val="single" w:sz="4" w:space="0" w:color="auto"/>
              <w:bottom w:val="single" w:sz="4" w:space="0" w:color="auto"/>
              <w:right w:val="single" w:sz="4" w:space="0" w:color="auto"/>
            </w:tcBorders>
          </w:tcPr>
          <w:p w14:paraId="6E93FF16" w14:textId="688F8084"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nieuwzględniona. </w:t>
            </w:r>
          </w:p>
          <w:p w14:paraId="06424F95" w14:textId="53C9C35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Postulat dotyczy zagadnień wykraczających poza poziom ogólności dokumentu strategicznego. Właściwym miejscem jego uwzględnienia są akty wykonawcze i dokumenty wdrożeniowe (regulaminy konkursów, karty wskaźników opracowywane przez Zespół zadaniowy w terminie 6 miesięcy od przyjęcia polityki).</w:t>
            </w:r>
            <w:r w:rsidRPr="004F425A">
              <w:rPr>
                <w:rFonts w:ascii="Lato" w:hAnsi="Lato"/>
                <w:sz w:val="20"/>
                <w:szCs w:val="20"/>
              </w:rPr>
              <w:br/>
            </w:r>
          </w:p>
        </w:tc>
      </w:tr>
      <w:tr w:rsidR="004471C5" w:rsidRPr="004F425A" w14:paraId="34C958A6" w14:textId="77777777" w:rsidTr="79FF9703">
        <w:tc>
          <w:tcPr>
            <w:tcW w:w="1425" w:type="dxa"/>
            <w:tcBorders>
              <w:top w:val="single" w:sz="4" w:space="0" w:color="auto"/>
              <w:left w:val="single" w:sz="4" w:space="0" w:color="auto"/>
              <w:bottom w:val="single" w:sz="4" w:space="0" w:color="auto"/>
              <w:right w:val="single" w:sz="4" w:space="0" w:color="auto"/>
            </w:tcBorders>
          </w:tcPr>
          <w:p w14:paraId="352410D6"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A274676" w14:textId="4F2E8AB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Związek Cyfrowa Polska</w:t>
            </w:r>
          </w:p>
        </w:tc>
        <w:tc>
          <w:tcPr>
            <w:tcW w:w="5387" w:type="dxa"/>
            <w:tcBorders>
              <w:top w:val="single" w:sz="4" w:space="0" w:color="auto"/>
              <w:left w:val="single" w:sz="4" w:space="0" w:color="auto"/>
              <w:bottom w:val="single" w:sz="4" w:space="0" w:color="auto"/>
              <w:right w:val="single" w:sz="4" w:space="0" w:color="auto"/>
            </w:tcBorders>
          </w:tcPr>
          <w:p w14:paraId="3E78D80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3D04DF6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Należy wzmocnić Filar II, czyli impuls państwa, tak aby państwo nie było wyłącznie źródłem finansowania, lecz również inteligentnym zamawiającym i pierwszym użytkownikiem technologii. Polityka słusznie przewiduje uruchomienie platformy łączącej sektor publiczny z krajowymi firmami, programy zamówień przedkomercyjnych oraz pilotażowe wdrożenia w administracji i spółkach z udziałem Skarbu Państwa. Związek postuluje jednak, aby instrumenty te wprost premiowały rozwiązania zapewniające interoperacyjność, cyberbezpieczeństwo, ciągłość wsparcia, brak ograniczeń uniemożliwiających migrację oraz gotowość do pracy w środowiskach wielodostawczych. Państwo powinno tworzyć popyt na krajowe komponenty oraz na takie architektury i technologie, które nie zamykają użytkownika w jednym ekosystemie. </w:t>
            </w:r>
          </w:p>
          <w:p w14:paraId="7FC6FFD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2B97083C" w14:textId="69180D3C"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częściowo uwzględniona.</w:t>
            </w:r>
          </w:p>
          <w:p w14:paraId="1051FFA7" w14:textId="163A408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Rola państwa jako inteligentnego zamawiającego jest częściowo zaadresowana przez matchmaking, PCP oraz pilotażowe wdrożenia w spółkach SP (rozdz. Impuls państwa). Dalsze wzmocnienie tej funkcji poza interoperacyjnością</w:t>
            </w:r>
            <w:r w:rsidR="006321D1" w:rsidRPr="004F425A">
              <w:rPr>
                <w:rFonts w:ascii="Lato" w:eastAsia="Lato" w:hAnsi="Lato" w:cs="Lato"/>
                <w:sz w:val="20"/>
                <w:szCs w:val="20"/>
              </w:rPr>
              <w:t xml:space="preserve"> </w:t>
            </w:r>
            <w:r w:rsidRPr="004F425A">
              <w:rPr>
                <w:rFonts w:ascii="Lato" w:eastAsia="Lato" w:hAnsi="Lato" w:cs="Lato"/>
                <w:sz w:val="20"/>
                <w:szCs w:val="20"/>
              </w:rPr>
              <w:t>nie zostało dodane</w:t>
            </w:r>
            <w:r w:rsidR="006A3155" w:rsidRPr="004F425A">
              <w:rPr>
                <w:rFonts w:ascii="Lato" w:eastAsia="Lato" w:hAnsi="Lato" w:cs="Lato"/>
                <w:sz w:val="20"/>
                <w:szCs w:val="20"/>
              </w:rPr>
              <w:t xml:space="preserve"> z uwagi</w:t>
            </w:r>
            <w:r w:rsidR="006321D1" w:rsidRPr="004F425A">
              <w:rPr>
                <w:rFonts w:ascii="Lato" w:eastAsia="Lato" w:hAnsi="Lato" w:cs="Lato"/>
                <w:sz w:val="20"/>
                <w:szCs w:val="20"/>
              </w:rPr>
              <w:t xml:space="preserve"> ogólny</w:t>
            </w:r>
            <w:r w:rsidR="006A3155" w:rsidRPr="004F425A">
              <w:rPr>
                <w:rFonts w:ascii="Lato" w:eastAsia="Lato" w:hAnsi="Lato" w:cs="Lato"/>
                <w:sz w:val="20"/>
                <w:szCs w:val="20"/>
              </w:rPr>
              <w:t xml:space="preserve"> </w:t>
            </w:r>
            <w:r w:rsidR="006321D1" w:rsidRPr="004F425A">
              <w:rPr>
                <w:rFonts w:ascii="Lato" w:eastAsia="Lato" w:hAnsi="Lato" w:cs="Lato"/>
                <w:sz w:val="20"/>
                <w:szCs w:val="20"/>
              </w:rPr>
              <w:t xml:space="preserve">charakter dokumentu jakim jest polityka </w:t>
            </w:r>
            <w:r w:rsidRPr="004F425A">
              <w:rPr>
                <w:rFonts w:ascii="Lato" w:eastAsia="Lato" w:hAnsi="Lato" w:cs="Lato"/>
                <w:sz w:val="20"/>
                <w:szCs w:val="20"/>
              </w:rPr>
              <w:t>.</w:t>
            </w:r>
          </w:p>
        </w:tc>
      </w:tr>
      <w:tr w:rsidR="004471C5" w:rsidRPr="004F425A" w14:paraId="3A78A9AA" w14:textId="77777777" w:rsidTr="79FF9703">
        <w:tc>
          <w:tcPr>
            <w:tcW w:w="1425" w:type="dxa"/>
            <w:tcBorders>
              <w:top w:val="single" w:sz="4" w:space="0" w:color="auto"/>
              <w:left w:val="single" w:sz="4" w:space="0" w:color="auto"/>
              <w:bottom w:val="single" w:sz="4" w:space="0" w:color="auto"/>
              <w:right w:val="single" w:sz="4" w:space="0" w:color="auto"/>
            </w:tcBorders>
          </w:tcPr>
          <w:p w14:paraId="76872797"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E5CB4D3" w14:textId="478C3C9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Związek Cyfrowa Polska</w:t>
            </w:r>
          </w:p>
        </w:tc>
        <w:tc>
          <w:tcPr>
            <w:tcW w:w="5387" w:type="dxa"/>
            <w:tcBorders>
              <w:top w:val="single" w:sz="4" w:space="0" w:color="auto"/>
              <w:left w:val="single" w:sz="4" w:space="0" w:color="auto"/>
              <w:bottom w:val="single" w:sz="4" w:space="0" w:color="auto"/>
              <w:right w:val="single" w:sz="4" w:space="0" w:color="auto"/>
            </w:tcBorders>
          </w:tcPr>
          <w:p w14:paraId="43506BBE"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Polityka powinna zostać uzupełniona o mechanizm mapowania zależności technologicznych w projektach wspieranych publicznie. Związek proponuje rozwiązania w rodzaju rejestru zależności, jawności ograniczeń licencyjnych oraz obowiązku raportowania koncentracji dostawców i ryzyk interoperacyjności. W polskich warunkach minimalnym standardem powinno być coroczne raportowanie przez beneficjentów oraz operatorów infrastruktury informacji o stosowanych narzędziach i środowiskach programistycznych, udziale komponentów otwartych i zamkniętych, kluczowych zależnościach licencyjnych, stopniu przenoszalności rozwiązań, koncentracji dostawców oraz gotowości do wykorzystania w zamówieniach publicznych. Obecny system monitorowania, corocznych sprawozdań i KPI jest dobrym punktem wyjścia, ale wymaga rozszerzenia o wskaźniki jakościowe dotyczące odporności ekosystemu, konkurencji i realnej możliwości wyboru technologicznego. </w:t>
            </w:r>
          </w:p>
          <w:p w14:paraId="3591DB3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4568FDF2" w14:textId="7F9746D1"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2EE2719C" w14:textId="6984AEE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Postulat dotyczy zagadnień regulacyjnych/ operacyjnych wykraczających poza poziom ogólności dokumentu strategicznego. Właściwym miejscem jego uwzględnienia są akty wykonawcze i dokumenty wdrożeniowe (regulaminy konkursów, karty wskaźników opracowywane przez Zespół zadaniowy w terminie 6 miesięcy od przyjęcia polityki).</w:t>
            </w:r>
          </w:p>
        </w:tc>
      </w:tr>
      <w:tr w:rsidR="004471C5" w:rsidRPr="004F425A" w14:paraId="73688535" w14:textId="77777777" w:rsidTr="79FF9703">
        <w:tc>
          <w:tcPr>
            <w:tcW w:w="1425" w:type="dxa"/>
            <w:tcBorders>
              <w:top w:val="single" w:sz="4" w:space="0" w:color="auto"/>
              <w:left w:val="single" w:sz="4" w:space="0" w:color="auto"/>
              <w:bottom w:val="single" w:sz="4" w:space="0" w:color="auto"/>
              <w:right w:val="single" w:sz="4" w:space="0" w:color="auto"/>
            </w:tcBorders>
          </w:tcPr>
          <w:p w14:paraId="7C737D1A"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C296B7D" w14:textId="69FC2EF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Związek Cyfrowa Polska</w:t>
            </w:r>
          </w:p>
        </w:tc>
        <w:tc>
          <w:tcPr>
            <w:tcW w:w="5387" w:type="dxa"/>
            <w:tcBorders>
              <w:top w:val="single" w:sz="4" w:space="0" w:color="auto"/>
              <w:left w:val="single" w:sz="4" w:space="0" w:color="auto"/>
              <w:bottom w:val="single" w:sz="4" w:space="0" w:color="auto"/>
              <w:right w:val="single" w:sz="4" w:space="0" w:color="auto"/>
            </w:tcBorders>
          </w:tcPr>
          <w:p w14:paraId="7448D9B1"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Związek popiera ambitny wymiar kadrowy polityki, lecz rekomenduje jego rozszerzenie. Cel dotyczący wzrostu liczby projektantów czipów do 3 tys. do 2030 r. jest potrzebny, ale niewystarczający. Polska branża cyfrowa potrzebuje również specjalistów z zakresu weryfikacji układów, EDA, firmware, embedded software, testów kwalifikacyjnych, packagingu, fotoniki, materiałów, kompilatorów i runtime’ów dla obciążeń AI i HPC. Polityka sama wskazuje, że w Polsce działa ponad 10 uczelni aktywnie kształcących inżynierów dla tego sektora, a skala kształcenia powinna wzrosnąć o 30 do 50 proc. do 2030 r. </w:t>
            </w:r>
          </w:p>
          <w:p w14:paraId="4C0D651D" w14:textId="64663836"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 naszej ocenie programy kształcenia powinny silniej łączyć elektronikę z software’em, cyberbezpieczeństwem, automatyką i zastosowaniami przemysłowymi. W pełni popieramy tworzenie międzyuczelnianych centrów kompetencji, szerszy dostęp do laboratoriów i wspólnych projektów przemysłowo badawczych oraz ułatwienia dla przyciągania talentów zagranicznych.</w:t>
            </w:r>
          </w:p>
        </w:tc>
        <w:tc>
          <w:tcPr>
            <w:tcW w:w="4859" w:type="dxa"/>
            <w:tcBorders>
              <w:top w:val="single" w:sz="4" w:space="0" w:color="auto"/>
              <w:left w:val="single" w:sz="4" w:space="0" w:color="auto"/>
              <w:bottom w:val="single" w:sz="4" w:space="0" w:color="auto"/>
              <w:right w:val="single" w:sz="4" w:space="0" w:color="auto"/>
            </w:tcBorders>
          </w:tcPr>
          <w:p w14:paraId="016C76D8"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częściowo uwzględniona. </w:t>
            </w:r>
          </w:p>
          <w:p w14:paraId="48CDB538" w14:textId="67907AB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Wskazane wartości mają charakter orientacyjny i - zgodnie z rozdziałem „Wdrażanie, monitorowanie i ewaluacja” - podlegają corocznemu monitorowaniu oraz przeglądowi w ramach ewaluacji śródokresowej w 2028 r. Korekta wskaźnika możliwa na tym etapie bez nowelizacji uchwały.</w:t>
            </w:r>
          </w:p>
        </w:tc>
      </w:tr>
      <w:tr w:rsidR="004471C5" w:rsidRPr="004F425A" w14:paraId="6F70A734" w14:textId="77777777" w:rsidTr="79FF9703">
        <w:tc>
          <w:tcPr>
            <w:tcW w:w="1425" w:type="dxa"/>
            <w:tcBorders>
              <w:top w:val="single" w:sz="4" w:space="0" w:color="auto"/>
              <w:left w:val="single" w:sz="4" w:space="0" w:color="auto"/>
              <w:bottom w:val="single" w:sz="4" w:space="0" w:color="auto"/>
              <w:right w:val="single" w:sz="4" w:space="0" w:color="auto"/>
            </w:tcBorders>
          </w:tcPr>
          <w:p w14:paraId="1ACB3C41"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125FE28" w14:textId="0AA36F1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Związek Cyfrowa Polska</w:t>
            </w:r>
          </w:p>
        </w:tc>
        <w:tc>
          <w:tcPr>
            <w:tcW w:w="5387" w:type="dxa"/>
            <w:tcBorders>
              <w:top w:val="single" w:sz="4" w:space="0" w:color="auto"/>
              <w:left w:val="single" w:sz="4" w:space="0" w:color="auto"/>
              <w:bottom w:val="single" w:sz="4" w:space="0" w:color="auto"/>
              <w:right w:val="single" w:sz="4" w:space="0" w:color="auto"/>
            </w:tcBorders>
          </w:tcPr>
          <w:p w14:paraId="1FC9D41E"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1CDB4E21"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Pozytywnie oceniamy dostrzeżenie znaczenia nie tylko CAPEX, ale także OPEX, bezpieczeństwa podatkowego inwestycji, potrzeby szybszych ścieżek administracyjnych oraz ochrony strategicznych aktywów technologicznych. To podejście jest właściwe i odpowiada realiom długich cykli inwestycyjnych w sektorze półprzewodników. Jednocześnie postulujemy, aby wsparcie regulacyjne obejmowało również przewidywalność przepisów środowiskowych i chemicznych. Tam, gdzie dla wybranych substancji nie istnieją jeszcze bezpieczne i komercyjnie dostępne zamienniki, Polska powinna dążyć do rozwiązań sektorowych i opartych na dowodach, przy równoległym rozwijaniu programów substytucji, recyklingu i najwyższych standardów bezpieczeństwa. Pozwoli to uniknąć sytuacji, w której ambicje inwestycyjne będą osłabiane przez nieprzewidywalność regulacyjną. </w:t>
            </w:r>
          </w:p>
          <w:p w14:paraId="4994105C"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027B2EE8"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częściowo uwzględniona. </w:t>
            </w:r>
          </w:p>
          <w:p w14:paraId="5044835F" w14:textId="3D12996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zawiera zapis o dążeniu do utrzymania możliwości stosowania substancji kluczowych „dopóki nie zostaną opracowane realne i bezpieczne alternatywy” (rozdz. Chemikalia i surowce), co częściowo odpowiada na postulat przewidywalności regulacyjnej, choć nie w formie odrębnej zasady.</w:t>
            </w:r>
          </w:p>
        </w:tc>
      </w:tr>
      <w:tr w:rsidR="004471C5" w:rsidRPr="004F425A" w14:paraId="1905C37F" w14:textId="77777777" w:rsidTr="79FF9703">
        <w:tc>
          <w:tcPr>
            <w:tcW w:w="1425" w:type="dxa"/>
            <w:tcBorders>
              <w:top w:val="single" w:sz="4" w:space="0" w:color="auto"/>
              <w:left w:val="single" w:sz="4" w:space="0" w:color="auto"/>
              <w:bottom w:val="single" w:sz="4" w:space="0" w:color="auto"/>
              <w:right w:val="single" w:sz="4" w:space="0" w:color="auto"/>
            </w:tcBorders>
          </w:tcPr>
          <w:p w14:paraId="75C9895E"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72B41EC0" w14:textId="3AEA5EC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Związek Cyfrowa Polska</w:t>
            </w:r>
          </w:p>
        </w:tc>
        <w:tc>
          <w:tcPr>
            <w:tcW w:w="5387" w:type="dxa"/>
            <w:tcBorders>
              <w:top w:val="single" w:sz="4" w:space="0" w:color="auto"/>
              <w:left w:val="single" w:sz="4" w:space="0" w:color="auto"/>
              <w:bottom w:val="single" w:sz="4" w:space="0" w:color="auto"/>
              <w:right w:val="single" w:sz="4" w:space="0" w:color="auto"/>
            </w:tcBorders>
          </w:tcPr>
          <w:p w14:paraId="1B0FBEE7"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461B664E"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Polityka powinna być wdrażana w ścisłej spójności z szerszą strategią cyfrową i przemysłową państwa oraz z europejskimi ramami dotyczącymi AI, chmury, HPC i zamówień publicznych. Sam dokument wskazuje na komplementarność wobec Strategii cyfryzacji państwa do 2035 r. oraz wobec Europejskiego aktu w sprawie czipów. Z perspektywy branży cyfrowej należy ten kierunek doprecyzować: polskie wsparcie dla półprzewodników powinno budować rozwiązania gotowe do wykorzystania w nowoczesnej infrastrukturze cyfrowej, w systemach publicznych i w środowiskach obliczeniowych opartych na współpracy różnych dostawców, a nie wyłącznie zwiększać zdolności produkcyjne w oderwaniu od późniejszych warstw systemu. </w:t>
            </w:r>
          </w:p>
          <w:p w14:paraId="030CAA62"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209A8A2F" w14:textId="43571A43"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częściowo uwzględniona.</w:t>
            </w:r>
          </w:p>
          <w:p w14:paraId="17F1242E" w14:textId="62D366A7"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Dokument odwołuje się ogólnie do komplementarności ze Strategią cyfryzacji państwa do 2035 r. i doprecyzowano powiązanie z Europejskim aktem w sprawie czipów, bez rozwinięcia powiązań z politykami AI, chmury i HPC.</w:t>
            </w:r>
          </w:p>
        </w:tc>
      </w:tr>
      <w:tr w:rsidR="004471C5" w:rsidRPr="004F425A" w14:paraId="5B708CD8" w14:textId="77777777" w:rsidTr="79FF9703">
        <w:tc>
          <w:tcPr>
            <w:tcW w:w="1425" w:type="dxa"/>
            <w:tcBorders>
              <w:top w:val="single" w:sz="4" w:space="0" w:color="auto"/>
              <w:left w:val="single" w:sz="4" w:space="0" w:color="auto"/>
              <w:bottom w:val="single" w:sz="4" w:space="0" w:color="auto"/>
              <w:right w:val="single" w:sz="4" w:space="0" w:color="auto"/>
            </w:tcBorders>
          </w:tcPr>
          <w:p w14:paraId="470F853F"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D3C1921" w14:textId="4C432826"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Związek Cyfrowa Polska</w:t>
            </w:r>
          </w:p>
        </w:tc>
        <w:tc>
          <w:tcPr>
            <w:tcW w:w="5387" w:type="dxa"/>
            <w:tcBorders>
              <w:top w:val="single" w:sz="4" w:space="0" w:color="auto"/>
              <w:left w:val="single" w:sz="4" w:space="0" w:color="auto"/>
              <w:bottom w:val="single" w:sz="4" w:space="0" w:color="auto"/>
              <w:right w:val="single" w:sz="4" w:space="0" w:color="auto"/>
            </w:tcBorders>
          </w:tcPr>
          <w:p w14:paraId="548343D5"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Dla przejrzystości konsultacji proponujemy również krótkie uzupełnienie części ogólnej dokumentu o zasadę następującej treści: </w:t>
            </w:r>
          </w:p>
          <w:p w14:paraId="459CE3E6" w14:textId="4ACE37CB"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 instrumentach wsparcia publicznego dla sektora półprzewodników premiuje się rozwiązania zapewniające interoperacyjność, udokumentowane interfejsy, przenoszalność oprogramowania, możliwość integracji w środowiskach wielodostawczych oraz przejrzystość zależności technologicznych i licencyjnych. Zastosowanie elementów zamkniętych wymaga wykazania ich niezbędności oraz przedstawienia sposobu ograniczania ryzyka uzależnienia od pojedynczego dostawcy.”</w:t>
            </w:r>
          </w:p>
        </w:tc>
        <w:tc>
          <w:tcPr>
            <w:tcW w:w="4859" w:type="dxa"/>
            <w:tcBorders>
              <w:top w:val="single" w:sz="4" w:space="0" w:color="auto"/>
              <w:left w:val="single" w:sz="4" w:space="0" w:color="auto"/>
              <w:bottom w:val="single" w:sz="4" w:space="0" w:color="auto"/>
              <w:right w:val="single" w:sz="4" w:space="0" w:color="auto"/>
            </w:tcBorders>
          </w:tcPr>
          <w:p w14:paraId="0F79CC64" w14:textId="1BDE89BF"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4CEC3868" w14:textId="447920D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Postulat dotyczy zagadnień operacyjnych wykraczających poza poziom ogólności dokumentu strategicznego. Właściwym miejscem jego uwzględnienia są akty wykonawcze i dokumenty wdrożeniowe (regulaminy konkursów, karty wskaźników opracowywane przez Zespół zadaniowy w terminie 6 miesięcy od przyjęcia polityki).</w:t>
            </w:r>
          </w:p>
        </w:tc>
      </w:tr>
      <w:tr w:rsidR="004471C5" w:rsidRPr="004F425A" w14:paraId="5F79FE8B" w14:textId="77777777" w:rsidTr="79FF9703">
        <w:tc>
          <w:tcPr>
            <w:tcW w:w="1425" w:type="dxa"/>
            <w:tcBorders>
              <w:top w:val="single" w:sz="4" w:space="0" w:color="auto"/>
              <w:left w:val="single" w:sz="4" w:space="0" w:color="auto"/>
              <w:bottom w:val="single" w:sz="4" w:space="0" w:color="auto"/>
              <w:right w:val="single" w:sz="4" w:space="0" w:color="auto"/>
            </w:tcBorders>
          </w:tcPr>
          <w:p w14:paraId="4FFBD776"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247DFF0B" w14:textId="47681F8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Związek Cyfrowa Polska</w:t>
            </w:r>
          </w:p>
        </w:tc>
        <w:tc>
          <w:tcPr>
            <w:tcW w:w="5387" w:type="dxa"/>
            <w:tcBorders>
              <w:top w:val="single" w:sz="4" w:space="0" w:color="auto"/>
              <w:left w:val="single" w:sz="4" w:space="0" w:color="auto"/>
              <w:bottom w:val="single" w:sz="4" w:space="0" w:color="auto"/>
              <w:right w:val="single" w:sz="4" w:space="0" w:color="auto"/>
            </w:tcBorders>
          </w:tcPr>
          <w:p w14:paraId="10AE1401" w14:textId="4A2CDD72"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Podsumowując, Związek Cyfrowa Polska popiera przyjęcie polityki „Polska w grze o przyszłość – polityka dla sektora półprzewodników 2026+” i uznaje ją za potrzebny krok w budowie krajowych kompetencji. Jednocześnie wnosimy o jej uzupełnienie o silniejszy wymiar projektowy i software’owy, w szczególności o zasady interoperacyjności, wielodostawności, przejrzystości zależności technologicznych oraz prokonkurencyjnego wykorzystania zamówień publicznych. To właśnie te elementy zdecydują, czy rozwijany dziś ekosystem będzie w kolejnych latach nie tylko większy, ale też bardziej odporny, eksportowalny i rzeczywiście wzmacniający suwerenność technologiczną Polski.</w:t>
            </w:r>
          </w:p>
        </w:tc>
        <w:tc>
          <w:tcPr>
            <w:tcW w:w="4859" w:type="dxa"/>
            <w:tcBorders>
              <w:top w:val="single" w:sz="4" w:space="0" w:color="auto"/>
              <w:left w:val="single" w:sz="4" w:space="0" w:color="auto"/>
              <w:bottom w:val="single" w:sz="4" w:space="0" w:color="auto"/>
              <w:right w:val="single" w:sz="4" w:space="0" w:color="auto"/>
            </w:tcBorders>
          </w:tcPr>
          <w:p w14:paraId="7AE11E0D" w14:textId="5CD5446A"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r w:rsidR="00CD5F29" w:rsidRPr="004F425A">
              <w:rPr>
                <w:rStyle w:val="Ppogrubienie"/>
                <w:rFonts w:ascii="Lato" w:hAnsi="Lato"/>
                <w:sz w:val="20"/>
                <w:szCs w:val="20"/>
              </w:rPr>
              <w:t>.</w:t>
            </w:r>
          </w:p>
          <w:p w14:paraId="01421706" w14:textId="5B0AC49E" w:rsidR="00F574A2" w:rsidRPr="004F425A" w:rsidRDefault="00440261" w:rsidP="004F425A">
            <w:pPr>
              <w:spacing w:after="120" w:line="240" w:lineRule="auto"/>
              <w:rPr>
                <w:rFonts w:ascii="Lato" w:eastAsia="Lato" w:hAnsi="Lato" w:cs="Lato"/>
                <w:sz w:val="20"/>
                <w:szCs w:val="20"/>
                <w:highlight w:val="yellow"/>
              </w:rPr>
            </w:pPr>
            <w:r w:rsidRPr="004F425A">
              <w:rPr>
                <w:rFonts w:ascii="Lato" w:eastAsia="Lato" w:hAnsi="Lato" w:cs="Lato"/>
                <w:sz w:val="20"/>
                <w:szCs w:val="20"/>
              </w:rPr>
              <w:t>Postulat dotyczy zagadnień operacyjnych wykraczających poza poziom ogólności dokumentu strategicznego.</w:t>
            </w:r>
          </w:p>
        </w:tc>
      </w:tr>
      <w:tr w:rsidR="004471C5" w:rsidRPr="004F425A" w14:paraId="1AB19A88" w14:textId="77777777" w:rsidTr="79FF9703">
        <w:tc>
          <w:tcPr>
            <w:tcW w:w="1425" w:type="dxa"/>
            <w:tcBorders>
              <w:top w:val="single" w:sz="4" w:space="0" w:color="auto"/>
              <w:left w:val="single" w:sz="4" w:space="0" w:color="auto"/>
              <w:bottom w:val="single" w:sz="4" w:space="0" w:color="auto"/>
              <w:right w:val="single" w:sz="4" w:space="0" w:color="auto"/>
            </w:tcBorders>
          </w:tcPr>
          <w:p w14:paraId="7DA0387E"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5E0B719" w14:textId="61ECCCA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Krajowa Izba Gospodarcza Elektroniki i Telekomunikacji</w:t>
            </w:r>
          </w:p>
        </w:tc>
        <w:tc>
          <w:tcPr>
            <w:tcW w:w="5387" w:type="dxa"/>
            <w:tcBorders>
              <w:top w:val="single" w:sz="4" w:space="0" w:color="auto"/>
              <w:left w:val="single" w:sz="4" w:space="0" w:color="auto"/>
              <w:bottom w:val="single" w:sz="4" w:space="0" w:color="auto"/>
              <w:right w:val="single" w:sz="4" w:space="0" w:color="auto"/>
            </w:tcBorders>
          </w:tcPr>
          <w:p w14:paraId="3DB2152E"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KIGEiT wspiera inicjatywę Ministerstwa Cyfryzacji. Potrzebujemy polityki półprzewodnikowej wyrastającej z polityki przemysłowej państwa, która powinna być zdefiniowana w takim dokumencie jak konsultowana obecnie Strategia Rozwoju Polski do 2035 roku (SRP 2035). PSP stawia ważne pytania – o miejsce Polski w globalnym ekosystemie ICT.</w:t>
            </w:r>
          </w:p>
          <w:p w14:paraId="73E3574E"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Oceniamy go jako dobry, chociaż wymagający dokończenia i uzupełnień – co przyznają jego autorzy.</w:t>
            </w:r>
          </w:p>
          <w:p w14:paraId="7399441E"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Przedsiębiorstwa działające w ramach ekosystemu ICT, działają w przestrzeni fizycznej, więc ramą analityczną niniejszej opinii jest warstwowy model ekosystemu ICT: fundament (poziom 0 – sprzęt produkcyjny) i pięć warstw produkcyjnych (materiały, komponenty, montaż PCBA, integracja, produkty końcowe), uzupełnionych o elementy przekrojowe (oprogramowanie/IP oraz kadry/B+R). Każda warstwa jest warunkiem koniecznym istnienia warstw wyższych i może być tylko tak silna, jak silna jest dostępna warstwa niższa. Warstwy te są integrowane pionowymi komponentami wirtualnymi zapewniającymi narzędzia komunikacji, współpracy i wsparcia.</w:t>
            </w:r>
          </w:p>
          <w:p w14:paraId="59D72B9B"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Jest oczywistym, że PSP posługuje się ramą analityczną, składającą się z siedmiu filarów, odzwierciedlającą silosową strukturę administracji rządowej. Każdy z tych filarów może stanowić pionowe wsparcie dla wszystkich lub wybranych warstw. Rama ta powinna być spójna z ramą analityczną przyjętą w SRP 2035. Większość podmiotów biorących udział w konsultacjach dot. PSP opiniowało również SRP 2035. Szczególnie dużo rekomendacji zawierały postulaty zmian prawnych. Dlatego postulujemy uzupełnienie PSP o filar VIII – „Otoczenie prawne”. W ramach tego brakującego filaru mamy szereg postulatów dot. modernizacji krajowego prawa gospodarczego, mechanizmów jego wykonywania, prawa UE oraz umów międzynarodowych.</w:t>
            </w:r>
          </w:p>
          <w:p w14:paraId="2EB0CB20"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Zebrane przez KIGEiT opinie zawierają pośrednio postulat, by w PSP pojawiła się diagnoza, która odpowie na pytanie, dlaczego przez ostatnie 30 lat wychodzenie z globalnych łańcuchów wartości doprowadziło do załamania się ekosystemu ICT w UE i co konkretne powinniśmy zrobić by zawrócić z tej drogi, by zwiększyć odporność na zakłócenia w dostawach komponentów strategicznych. Elementy takiej diagnozy zawarliśmy w załączniku dot. porozumienia ITA, stanowiących integralną część niniejszej opinii.</w:t>
            </w:r>
          </w:p>
          <w:p w14:paraId="4F6D6117"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Dlatego przedsiębiorstwa odczytują PSP jako początek planowania, które może zaowocować przemyślaną procedurą kliniczną wyprowadzenia ze stanu krytycznego, w jakim jest unijny/polski ekosystem ICT.</w:t>
            </w:r>
          </w:p>
          <w:p w14:paraId="3232A0B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Sytuacja w każdym z krajów UE jest nieco inna, co otwiera możliwość budowy komplementarnego zestawu specjalizacji, które łącznie będą mogły zafunkcjonować jako nowy witalny europejski ekosystem ICT. Zawarta w PSP diagnoza jasno pokazuje, że Polska może być wartościowym partnerem, ale pilnie potrzebujemy odpowiedzi na pytanie: jakie przyrządy półprzewodnikowe (dalej: p-p) są krytyczne dla polskiej gospodarki, a na których brak powinniśmy się uodpornić?</w:t>
            </w:r>
          </w:p>
          <w:p w14:paraId="5B4CAC3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KIGEiT jest przygotowana do współpracy. Autorzy PSP widzą tę lukę, postulując stworzenie „mapy drogowej technologii kluczowych” dopiero do końca 2026 roku – zróbmy to szybciej razem. Uważamy, że ta mapa powinna być punktem startu do realizacji wyznaczonych celów, a nie jego odległym rezultatem.</w:t>
            </w:r>
          </w:p>
          <w:p w14:paraId="277810CD"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Rozwój technologii p-p przyspiesza w trzech równoległych torach: (1) zwiększanie skali integracji (technologia 2 nm wchodzi w fazę komercjalizacji), (2) rozwój przyrządów p-p mocy (nowe przyrządy, materiały, układy i zastosowania), (3) fotonika (obecnie dominująca krzemowa). Czynnikami przyspieszającymi jest komercjalizacja technologii myślenia (obecnie AI) i transformacja energetyczna (produkcja ee, cyfryzacja sieci elektroenergetycznych, elektromobilność, elektryfikacja 4.0, implementacja AI w zarządzaniu urządzeniami mocy).</w:t>
            </w:r>
          </w:p>
          <w:p w14:paraId="4429593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Postulujemy koncentrację na wykorzystaniu i wzmacnianiu kompetencji i możliwości w elektronice mocy i fotonice. Nie powinniśmy rozpraszać zasobów na poszukanie nowych przełomowych technologii bo je mamy. Powinniśmy przyspieszyć rozwój tych, w których jesteśmy mocni.</w:t>
            </w:r>
          </w:p>
          <w:p w14:paraId="021DF16E" w14:textId="5B278AA8"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Dlatego apelujemy do rządu - nie traćmy kolejnych szans i nie marnujmy czasu. Do tego potrzebujemy szybkiego zakupu dojrzałych technologii bazowych (&gt;= 28 nm). Zastosujmy je do nowych materiałów prawne – wyrosłe z porozumienia ITA.</w:t>
            </w:r>
          </w:p>
          <w:p w14:paraId="51C3B1F2"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KIGEiT rekomenduje uzupełnienie dokumentu o cztery elementy.</w:t>
            </w:r>
          </w:p>
          <w:p w14:paraId="5B8E7877"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 pierwsze – identyfikację krytycznych typów przyrządów półprzewodnikowych dla polskiej gospodarki, infrastruktury i obronności, z analizą łańcuchów dostaw i tzw. „wąskich gardeł”.</w:t>
            </w:r>
          </w:p>
          <w:p w14:paraId="03B05F20"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 drugie – budowę mechanizmów odporności dostaw: rezerwy strategiczne krytycznych komponentów, długoterminowe umowy z dostawcami, systematyczny monitoring łańcucha dostaw.</w:t>
            </w:r>
          </w:p>
          <w:p w14:paraId="203E05B3"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 trzecie – dopasujmy retoryki do realnie istniejących możliwości i potrzeb polskiego przemysłu. Zbudujmy zdolności produkcyjne w dojrzałych procesach – od 28 do 250 nanometrów – które obsługują fotonikę, motoryzację, energoelektronikę i obronność.</w:t>
            </w:r>
          </w:p>
          <w:p w14:paraId="066D6AE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 czwarte – explicite włączenie wymiaru obronnego i infrastruktury dual-use do polityki półprzewodnikowej. Przy budżecie MON przekraczającym 160 miliardów złotych, bezpieczeństwo dostaw komponentów elektronicznych dla przemysłu zbrojeniowego to nie abstrakcja – to konkretna, pilna potrzeba.</w:t>
            </w:r>
          </w:p>
          <w:p w14:paraId="2EAB400B"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To wnioski płynące z szerokiego spojrzenia na globalny ekosystem ICT. Szybkie wypracowanie naszego miejsca w ekosystemie ICT UE jest warunkiem odbudowy naszej suwerenności technologicznej, przemysłu obronnego i strategicznego bezpieczeństwa.</w:t>
            </w:r>
          </w:p>
          <w:p w14:paraId="7AC49FD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Postulujemy wyciągnąć wnioski z faktu, że na poziomie globalnym nie istnieje mechanizm ograniczający powstawanie monopoli. Dla ekosystemu ICT ma to daleko idące konsekwencje. Prawa ekonomii skali spowodowały, że łańcuch wartości elektroniki i oprogramowania na wielu poziomach uległ skrajnej koncentracji geograficznej. Taka monopolizacja nie powstałaby w ramach jednej jurysdykcji z funkcjonującym prawem o ochronie konkurencji. Skutkiem jest ekosystem o ekstremalnej kruchości: zakłócenie w jednym węźle przekłada się kaskadowo na całą światową gospodarkę. Kraje europejskie, w tym Polska, jak najszybciej powinny opuścić pozycje uzależnionych odbiorców, pozbawionych własnych zdolności produkcyjnych na kluczowych poziomach łańcucha wartości.</w:t>
            </w:r>
          </w:p>
          <w:p w14:paraId="78DD3290" w14:textId="6434DDA2"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Postulujemy aktywne zaangażowanie w reformy UE, które w ciągu następnych 20 lat pozwolą rozwinąć w UE konkurencyjną produkcję zdefiniowanej grupy przyrządów półprzewodnikowych, stanowiących fundament nowoczesnych rozwiązań: od elektroniki konsumenckiej, przez motoryzację, telekomunikację i energetykę, po systemy medyczne, obronne oraz komputery. To najbardziej racjonalna odpowiedź na prawa ekonomii skali, które umożliwiły monopolizację wielu ekosystemów produkcyjnych i uzależnienie ich od globalnych monopoli działających w ramach światowego ekosystemu ICT. Rozwój Internetu, sztuczna inteligencja, energetyka OZE, autonomiczne pojazdy będą przyspieszać i zdecydują rozwoju wiedzy i funkcjonowania społeczeństw. To zapowiada szybko rosnące zapotrzebowanie na rozwiązania cyfrowe, więc popyt na p-p będzie szybko rósł przez wiele nadchodzących dekad.</w:t>
            </w:r>
          </w:p>
        </w:tc>
        <w:tc>
          <w:tcPr>
            <w:tcW w:w="4859" w:type="dxa"/>
            <w:tcBorders>
              <w:top w:val="single" w:sz="4" w:space="0" w:color="auto"/>
              <w:left w:val="single" w:sz="4" w:space="0" w:color="auto"/>
              <w:bottom w:val="single" w:sz="4" w:space="0" w:color="auto"/>
              <w:right w:val="single" w:sz="4" w:space="0" w:color="auto"/>
            </w:tcBorders>
          </w:tcPr>
          <w:p w14:paraId="28B256DD"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o charakterze ogólnym. </w:t>
            </w:r>
          </w:p>
          <w:p w14:paraId="58E9C183" w14:textId="2AA876B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 MC przyjmuje uwagę do wiadomości- relacja do SRP 2035 pozostaje na poziomie ogólnego odesłania (Wstęp i globalny kontekst), bez rozwinięcia.</w:t>
            </w:r>
          </w:p>
        </w:tc>
      </w:tr>
      <w:tr w:rsidR="004471C5" w:rsidRPr="004F425A" w14:paraId="6F47E180" w14:textId="77777777" w:rsidTr="79FF9703">
        <w:tc>
          <w:tcPr>
            <w:tcW w:w="1425" w:type="dxa"/>
            <w:tcBorders>
              <w:top w:val="single" w:sz="4" w:space="0" w:color="auto"/>
              <w:left w:val="single" w:sz="4" w:space="0" w:color="auto"/>
              <w:bottom w:val="single" w:sz="4" w:space="0" w:color="auto"/>
              <w:right w:val="single" w:sz="4" w:space="0" w:color="auto"/>
            </w:tcBorders>
          </w:tcPr>
          <w:p w14:paraId="626F4F50"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0AC273D1" w14:textId="71AA5CA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Krajowa Izba Gospodarcza Elektroniki i Telekomunikacji</w:t>
            </w:r>
          </w:p>
        </w:tc>
        <w:tc>
          <w:tcPr>
            <w:tcW w:w="5387" w:type="dxa"/>
            <w:tcBorders>
              <w:top w:val="single" w:sz="4" w:space="0" w:color="auto"/>
              <w:left w:val="single" w:sz="4" w:space="0" w:color="auto"/>
              <w:bottom w:val="single" w:sz="4" w:space="0" w:color="auto"/>
              <w:right w:val="single" w:sz="4" w:space="0" w:color="auto"/>
            </w:tcBorders>
          </w:tcPr>
          <w:p w14:paraId="7103F05A" w14:textId="3D79E204"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Cel główny PSP</w:t>
            </w:r>
          </w:p>
          <w:p w14:paraId="3F28A8D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3.1. Sformułowanie celu</w:t>
            </w:r>
          </w:p>
          <w:p w14:paraId="15E28C4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PSP definiuje cel główny: „Włączenie Polski w globalne łańcuchy wartości sektora półprzewodników poprzez rozwój krajowych kompetencji technologicznych, zwiększenie atrakcyjności inwestycyjnej oraz wzmocnienie odporności na zakłócenia w dostawach komponentów strategicznych.”</w:t>
            </w:r>
          </w:p>
          <w:p w14:paraId="2F2CA53C"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KIGEiT ocenia ten cel jako strukturalnie słuszny, ale praktycznie bardzo trudny do osiągnięcia, gdyż jego realizacja nie zależy do woli politycznej rządu Polski. Nadal funkcjonujemy w otoczeniu prawnym, które doprowadziło do upadku ekosystemu ICT w UE. Te uwarunkowania bardzo utrudniają możliwość konkurencyjnego włączenia się w globalne łańcuchy wartości.</w:t>
            </w:r>
          </w:p>
          <w:p w14:paraId="2CC1E713"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Dlatego, w opinii KIGEiT podstawowym celem polskiej polityki gospodarczej powinna być budowa ekosystemu ICT poprzez intensyfikację rozwoju zastosowań nowoczesnej, specjalizowanej, bezpiecznej mikroelektroniki i fotoniki wszędzie tam gdzie państwo polskie jest w stanie zapewnić stabilne warunki prowadzenia opłacalnej działalności produkcyjnej i usługowej o znaczeniu strategicznym, ważnym dla obronności, infrastruktury krytycznej itp.. </w:t>
            </w:r>
          </w:p>
          <w:p w14:paraId="64A2E6C7"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58EB8B09" w14:textId="25CA8026"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3.2. Cechy obecnej polityki przemysłowej, systemu ceł i prawa gospodarczego</w:t>
            </w:r>
          </w:p>
          <w:p w14:paraId="5F41BAB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UE nie buduje konkurencyjnego ekosystemu – buduje system zabezpieczenia dostaw. Dokument Chips Act subsydiuje enklawy zagranicznych koncernów (TSMC Drezno, Intel Magdeburg), których łańcuchy dostawcze biegną do Azji. Jak stwierdzają przedstawiciele europejskiego przemysłu w stanowisku z XI 2025: „continuing focus on semiconductor chips alone – whether high end or legacy – will not be sufficient”. Powstaje model, w którym „wysokie ryzyko ponosi kapitał krajowy (startupy), stabilne segmenty rynku rozwijane są przez podmioty zagraniczne, a wartość intelektualna pozostaje poza Polską”.</w:t>
            </w:r>
          </w:p>
          <w:p w14:paraId="77A53EF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Porozumienie ITA tworzy odwróconą strukturę celną (tariff inversion) podważającą konkurencyjność każdej produkcji elektronicznej w UE. Zerowe cła na gotowe wyroby przy utrzymanych cłach na materiały procesowe: fotorezysty (~6,5%), kwas fluorowodorowy (~5,5%), gazy specjalne NF₃/SF₆ (~5,5%), zawiesiny CMP (~6,5%), targety do napylania (2–5%) itd.. Analogicznie w PCB: laminaty 5,2%, prepregi 6,5%, FR4 5,0%. Efektywna stopa ochrony: ok. −2%. Dodając do tego skutki biznesowe różnic w poziomie ochrony środowiska, klimatu, różnice podatkowe i wyższe koszty pracy wynikające z poziomu zamożności UE oraz systemów bezpieczeństwa socjalnego, efektywna stopa ochrony może być znacznie poniżej -2%. Jej wyliczenie powinno być podstawą ustalenie ceł ochronnych i opłat z tytułu CBAM. Dlatego bez wystąpienia z ITA i ustalenie poziomu ochrony, który zapewni europejskim firmom możliwości równej konkurencji, w UE nie można stworzyć globalnie konkurencyjnego ekosystemu ICT.</w:t>
            </w:r>
          </w:p>
          <w:p w14:paraId="196DA24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 wyniku 30-letniego procesu zaniku europejskiego ekosystemu ICT powstała asymetria skali, która jest nieprzekraczalna (na poziomie krajowym jak i UE) bez radykalnej zmiany warunków prowadzenia działalności produkcyjnej w UE. Stworzenie warunków pozwalających na włączenie polskich firm w globalne łańcuchy wartości w obszarze produkcji oznacza konieczność stworzenia stabilnych warunków prowadzenia opłacalnej działalności produkcyjnej. To wymaga skali produkcji i zdolności obsługi własnego rynku. Dlatego w UE i na poziomie krajowym wysiłki na rzecz zwiększenia atrakcyjności inwestycyjnej w zakłady produkcyjne są w obecnym otoczeniu prawnym nieefektywne.</w:t>
            </w:r>
          </w:p>
          <w:p w14:paraId="1DF79D7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 UE brak jest instrumentów popytowych, chroniących trwale europejską produkcję. Identyfikujemy tę lukę jako „najpoważniejszą słabość systemową”. Obecnie 2 bln EUR rocznych zamówień publicznych UE rozproszonych jest na 27 systemów bez preferencji europejskiej.</w:t>
            </w:r>
          </w:p>
          <w:p w14:paraId="3F60BAFE"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Silosowe myślenie o elementach ekosystemu ICT, skutkuje pomijaniem faktu istnienia powiązań funkcjonalnych i pozwala na stawianie błędnych tez. Przykładowo, wątpliwym jest, czy na etapie projektowania układów scalonych „infrastruktura produkcyjna nie jest jeszcze potrzebna”. Projekt fizyczny układu wymaga PDK (Process Design Kit) – kompletu szczegółowych danych opisujących konkretny proces technologiczny: modeli tranzystorów, reguł projektowych, bibliotek komórek, plików DRC/LVS. PDK jest dostarczany przez konkretny fab i bez niego projekt układu jest niemożliwy. Stwierdzenie sugeruje, że można rozwijać projektowanie bez dostępu do linii technologicznej, co jest głęboko błędne i może prowadzić do nietrafionych decyzji strategicznych. Sposób projektowania IC jest definiowany na poziomie projektowania linii technologicznej, a nie odwrotnie.</w:t>
            </w:r>
          </w:p>
          <w:p w14:paraId="3339003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7CF2772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3.3. Doświadczenie międzynarodowe: subsydiowanie bez ekosystemu</w:t>
            </w:r>
          </w:p>
          <w:p w14:paraId="7CD27EBD"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Jest ich wiele, ale podajemy tylko 2 powszechnie znane przykłady ze względu na skalę jeden z Polski.</w:t>
            </w:r>
          </w:p>
          <w:p w14:paraId="32551BDC"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Foxconn Wisconsin (2017–2021): 4,8 mld USD subsydiów, plan 10 mld USD → 672 mln USD, 13 000 → 1 454 miejsc pracy. Przyczyna: brak lokalnego ekosystemu dostawców.</w:t>
            </w:r>
          </w:p>
          <w:p w14:paraId="061AA2DD"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TSMC Arizona: opóźnienia z powodu braku kadry (500+ tajwańskich inżynierów) i konieczności importu materiałów z Azji. CHIPS Act USA: 52,7 mld USD, ale USA nadal produkują jedynie 4% światowych PCB i nie mają produkcji komponentów pasywnych.</w:t>
            </w:r>
          </w:p>
          <w:p w14:paraId="3E2934F1"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CyberMicro (Polska, 2017/18): projekt opracowany dla MRiT przez ekspertów ITE/IMiF, PW/CEZAMAT i AGH – koncepcja budowy linii produkcji pilotażowej układów scalonych. Zakończony niczym wskutek braku możliwości osiągnięcia poziomu opłacalności i utraty zainteresowania władz na rok przed wyborami do Sejmu. Dlatego realizacja każdej strategii wymagającej konsekwentnego działania przez co najmniej 15–20 lat musi być chroniona prawnie przed skutkami zmian politycznych i niezależna od cyklu wyborczego. </w:t>
            </w:r>
          </w:p>
          <w:p w14:paraId="7562DC33" w14:textId="01629636"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3.4. Propozycja wdrożenia praktyki w całej polityce przemysłowej</w:t>
            </w:r>
          </w:p>
          <w:p w14:paraId="6CA68A0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KIGEiT proponuje, by włączanie Polski w globalne łańcuchy dostaw polegało na aktywnym udziale Polski w tworzeniu otoczenia niezbędnego do odbudowy europejskiego ekosystemu ICT, obejmującego pełny łańcuch wartości: od materiałów przez chipy, montaż (packaging) przyrządów półprzewodnikowych, PCB/PCBA po produkcję sprzętu i integrację systemową, z priorytetem odbudowy zastosowań specjalizowanej mikroelektroniki, fotoniki i oprogramowanego sprzętu elektronicznego przeznaczonego do zastosowań w przemyśle obronnym, w zakładach produkcji strategicznej i sieciach infrastruktury podwójnego zastosowania w sposób spójny z długoterminową strategią odbudowy ekosystemu ICT w UE.”</w:t>
            </w:r>
          </w:p>
          <w:p w14:paraId="4C0B5344"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Warunkiem opłacalnej produkcji chipów w UE, jest rozwój rynku wewnętrznego. Wymaga to zwiększenia popytu na te przyrządy po stronie istniejącej produkcji PCB/PCBA, z perspektywą rozwoju montażu przyrządów półprzewodnikowych do poziomu packaging m.in. chipów pamięci i układów logicznych.</w:t>
            </w:r>
          </w:p>
          <w:p w14:paraId="69862E3E"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Bezpieczeństwo infrastruktury podwójnego zastosowania i zapewnienie ciągłości produkcji zakładów strategicznych w warunkach kryzysu lub wojny, wymagają znacznego podniesienia odporności polskiego ekosystemu ICT, co postulujemy realizować poprzez:</w:t>
            </w:r>
          </w:p>
          <w:p w14:paraId="5BA8F8DB"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rozwój technologii materiałów, w których posiadamy kompetencje na poziomie światowym;</w:t>
            </w:r>
          </w:p>
          <w:p w14:paraId="7C5FDED1"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ustalenie listy oprogramowanych elektronicznych produktów przeznaczonych do pracy w infrastrukturze i przemyśle, które muszą być produkowane od poziomu PCB w Polsce lub w UE.</w:t>
            </w:r>
          </w:p>
          <w:p w14:paraId="04F4026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3.5. Synteza zmian między wersjami dokumentu (2025 → 2026)</w:t>
            </w:r>
          </w:p>
          <w:p w14:paraId="200CA9F2"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Wersja 2026 dodaje filary VI–VII i rozszerza horyzont, ale fundamentalna architektura pozostaje ta sama: koncentracja na przyciąganiu zagranicznych inwestycji w chipy poprzez subsydia, bez uwzględnienia pozostałych warstw łańcucha wartości. Brak ram czasowych wizji i filaru prawnego uniemożliwia ocenę realizmu założeń – co KIGEiT uznaje za istotną słabość, biorąc pod uwagę, że budowa kompetencji od podstaw w najszybciej rozwijanej dziedzinie technologicznej jest zadaniem na co najmniej 15–20 lat.</w:t>
            </w:r>
          </w:p>
          <w:p w14:paraId="60E1D996" w14:textId="20E066CF"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Pozytywną zmianą jest stwierdzenie w Filarze I, że Polska powinna „budować komplementarne do Chips Act zdolności krajowe, odpowiadające specyficznym potrzebom własnego przemysłu”. KIGEiT zaznacza jednak, że to stwierdzenie, bez rozwinięcia myśli nie jest spójne z celami określonymi w rozdziale Wizja i Cele, które koncentrują się na włączeniu w globalne łańcuchy wartości.</w:t>
            </w:r>
          </w:p>
        </w:tc>
        <w:tc>
          <w:tcPr>
            <w:tcW w:w="4859" w:type="dxa"/>
            <w:tcBorders>
              <w:top w:val="single" w:sz="4" w:space="0" w:color="auto"/>
              <w:left w:val="single" w:sz="4" w:space="0" w:color="auto"/>
              <w:bottom w:val="single" w:sz="4" w:space="0" w:color="auto"/>
              <w:right w:val="single" w:sz="4" w:space="0" w:color="auto"/>
            </w:tcBorders>
          </w:tcPr>
          <w:p w14:paraId="78764235" w14:textId="2682DDA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w:t>
            </w:r>
            <w:r w:rsidR="00CD5F29" w:rsidRPr="004F425A">
              <w:rPr>
                <w:rStyle w:val="Ppogrubienie"/>
                <w:rFonts w:ascii="Lato" w:hAnsi="Lato"/>
                <w:sz w:val="20"/>
                <w:szCs w:val="20"/>
              </w:rPr>
              <w:t>nieuwzględniona</w:t>
            </w:r>
            <w:r w:rsidRPr="004F425A">
              <w:rPr>
                <w:rStyle w:val="Ppogrubienie"/>
                <w:rFonts w:ascii="Lato" w:hAnsi="Lato"/>
                <w:sz w:val="20"/>
                <w:szCs w:val="20"/>
              </w:rPr>
              <w:t xml:space="preserve">. </w:t>
            </w:r>
          </w:p>
          <w:p w14:paraId="53654654" w14:textId="69C8013A"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Cel główny Polityki pozostaje bez zmian. Jego realizacja zależy częściowo od czynników leżących poza kompetencją rządu RP, stąd konstrukcja polityki jako komplementarnej wobec działań unijnych.</w:t>
            </w:r>
          </w:p>
        </w:tc>
      </w:tr>
      <w:tr w:rsidR="004471C5" w:rsidRPr="004F425A" w14:paraId="5BA144C4" w14:textId="77777777" w:rsidTr="79FF9703">
        <w:tc>
          <w:tcPr>
            <w:tcW w:w="1425" w:type="dxa"/>
            <w:tcBorders>
              <w:top w:val="single" w:sz="4" w:space="0" w:color="auto"/>
              <w:left w:val="single" w:sz="4" w:space="0" w:color="auto"/>
              <w:bottom w:val="single" w:sz="4" w:space="0" w:color="auto"/>
              <w:right w:val="single" w:sz="4" w:space="0" w:color="auto"/>
            </w:tcBorders>
          </w:tcPr>
          <w:p w14:paraId="04AB7A0B"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5AA78DF9" w14:textId="3882E2AD"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Krajowa Izba Gospodarcza Elektroniki i Telekomunikacji</w:t>
            </w:r>
          </w:p>
        </w:tc>
        <w:tc>
          <w:tcPr>
            <w:tcW w:w="5387" w:type="dxa"/>
            <w:tcBorders>
              <w:top w:val="single" w:sz="4" w:space="0" w:color="auto"/>
              <w:left w:val="single" w:sz="4" w:space="0" w:color="auto"/>
              <w:bottom w:val="single" w:sz="4" w:space="0" w:color="auto"/>
              <w:right w:val="single" w:sz="4" w:space="0" w:color="auto"/>
            </w:tcBorders>
          </w:tcPr>
          <w:p w14:paraId="219E5611" w14:textId="52DC07FA"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Mocne strony PSP i ich ograniczenia</w:t>
            </w:r>
          </w:p>
          <w:p w14:paraId="52587BA1"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4.1. Rozpoznanie kontekstu geopolitycznego</w:t>
            </w:r>
          </w:p>
          <w:p w14:paraId="278BA4D5"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Dokument trafnie identyfikuje zagrożenia geopolityczne. W sytuacji kryzysowej dostawy półprzewodników są zagrożone zakłóceniami na rynkach krajowych producentów. Jednak w PSP brakuje jeszcze wniosków praktycznych z tej diagnozy, np. w postaci postulatów wdrożenia konkretnych instrumentów polityki przemysłowej.</w:t>
            </w:r>
          </w:p>
          <w:p w14:paraId="333F54F3"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4.2. Struktura filarowa – analiza z perspektywy modelu warstwowego</w:t>
            </w:r>
          </w:p>
          <w:p w14:paraId="1FAAB264" w14:textId="77777777" w:rsidR="00F574A2" w:rsidRPr="004F425A" w:rsidRDefault="00F574A2" w:rsidP="004F425A">
            <w:pPr>
              <w:autoSpaceDE w:val="0"/>
              <w:autoSpaceDN w:val="0"/>
              <w:adjustRightInd w:val="0"/>
              <w:spacing w:after="120" w:line="240" w:lineRule="auto"/>
              <w:rPr>
                <w:rFonts w:ascii="Lato" w:eastAsia="Lato" w:hAnsi="Lato" w:cs="Lato"/>
                <w:sz w:val="20"/>
                <w:szCs w:val="20"/>
                <w:lang w:val="en-GB"/>
              </w:rPr>
            </w:pPr>
            <w:r w:rsidRPr="004F425A">
              <w:rPr>
                <w:rFonts w:ascii="Lato" w:eastAsia="Lato" w:hAnsi="Lato" w:cs="Lato"/>
                <w:sz w:val="20"/>
                <w:szCs w:val="20"/>
              </w:rPr>
              <w:t xml:space="preserve">Siedem filarów MC tworzy logiczną strukturę administracyjną (chociaż brakuje w nim filaru prawnego), ale nie odzwierciedla struktury fizycznej ekosystemu elektronicznego. Ekosystem ICT ma naturę hierarchiczną (struktura warstwowa Silicon to Systems), nie równorzędną (filary). Filar II („Produkcja”) obejmuje wyłącznie półprzewodniki, ignorując PCB/substraty IC, montaż PCBA, integrację oraz fundament materiałowy. </w:t>
            </w:r>
            <w:r w:rsidRPr="004F425A">
              <w:rPr>
                <w:rFonts w:ascii="Lato" w:eastAsia="Lato" w:hAnsi="Lato" w:cs="Lato"/>
                <w:sz w:val="20"/>
                <w:szCs w:val="20"/>
                <w:lang w:val="en-GB"/>
              </w:rPr>
              <w:t>Jest to podejście „chips-only”, przed którym przestrzegają zarówno Call to Action IPC/GEA, jak i stanowisko europejskiego przemysłu z IX 2025: „it is the complete electronic systems built around those chips that will ultimately enable the EU to remain technologically relevant.”</w:t>
            </w:r>
          </w:p>
          <w:p w14:paraId="7365E675"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Źródła tego błędu tkwią w zachodniej polityce lat 90. Na tej wizji oparto ITA (1996), co doprowadziło do upadku ekosystemów elektronicznych USA (udział PCB: 30% → 4%) i UE (20% → 2,8%). Postulujemy nie kontynuować tego sposobu myślenia.</w:t>
            </w:r>
          </w:p>
          <w:p w14:paraId="3B67006E"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4.3. Opis sektora projektowego – brak perspektywy krajowej</w:t>
            </w:r>
          </w:p>
          <w:p w14:paraId="79883DB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PSP dość realistycznie opisuje stan polskiego sektora. KIGEiT zwraca jednak uwagę, że w obszarze projektowania komercyjna działalność polskich firm ukierunkowana jest niemal wyłącznie na usługi dla odbiorców zagranicznych, nie przyczyniając się do rozwoju zastosowań mikroelektronicznych w polskiej gospodarce. PSP przyznaje, że przemysł funkcjonuje w dużej mierze niezależnie od krajowych kompetencji projektowych. Wykorzystanie tego potencjału do budowy europejskiego/polskiego ekosystemu ICT powinno być jednym z priorytetów strategii, co pozwoli na uzyskiwanie większej wartości dodanej z tej działalności.</w:t>
            </w:r>
          </w:p>
          <w:p w14:paraId="7AB5B4A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4.4. Dane o ekosystemie</w:t>
            </w:r>
          </w:p>
          <w:p w14:paraId="68FE67F0" w14:textId="27E07D01"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Dokument PSP operuje danymi o „ok. 20 firmach” i „ok. 9 tys. osób”, podczas gdy KIGEiT identyfikuje co najmniej 60 podmiotów. Eksperci KIGEiT dodają, że współpracę ośrodków naukowych zbyt często charakteryzuje przewaga konkurencji nad koordynacją, prowadząca do fragmentacji wysiłków.</w:t>
            </w:r>
          </w:p>
        </w:tc>
        <w:tc>
          <w:tcPr>
            <w:tcW w:w="4859" w:type="dxa"/>
            <w:tcBorders>
              <w:top w:val="single" w:sz="4" w:space="0" w:color="auto"/>
              <w:left w:val="single" w:sz="4" w:space="0" w:color="auto"/>
              <w:bottom w:val="single" w:sz="4" w:space="0" w:color="auto"/>
              <w:right w:val="single" w:sz="4" w:space="0" w:color="auto"/>
            </w:tcBorders>
          </w:tcPr>
          <w:p w14:paraId="7B793B16" w14:textId="7979ED81"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02E66444" w14:textId="64CF123C"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MC ocenia, że działania wskazane we wskazanych filarach (rezerwy strategiczne, dywersyfikacja dostawców, mikroregion) stanowią już praktyczną odpowiedź na zdiagnozowane ryzyko geopolityczne.</w:t>
            </w:r>
          </w:p>
        </w:tc>
      </w:tr>
      <w:tr w:rsidR="004471C5" w:rsidRPr="004F425A" w14:paraId="491A938B" w14:textId="77777777" w:rsidTr="79FF9703">
        <w:tc>
          <w:tcPr>
            <w:tcW w:w="1425" w:type="dxa"/>
            <w:tcBorders>
              <w:top w:val="single" w:sz="4" w:space="0" w:color="auto"/>
              <w:left w:val="single" w:sz="4" w:space="0" w:color="auto"/>
              <w:bottom w:val="single" w:sz="4" w:space="0" w:color="auto"/>
              <w:right w:val="single" w:sz="4" w:space="0" w:color="auto"/>
            </w:tcBorders>
          </w:tcPr>
          <w:p w14:paraId="1AE3AEDD"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D50DE0C" w14:textId="03F2E7A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Krajowa Izba Gospodarcza Elektroniki i Telekomunikacji</w:t>
            </w:r>
          </w:p>
        </w:tc>
        <w:tc>
          <w:tcPr>
            <w:tcW w:w="5387" w:type="dxa"/>
            <w:tcBorders>
              <w:top w:val="single" w:sz="4" w:space="0" w:color="auto"/>
              <w:left w:val="single" w:sz="4" w:space="0" w:color="auto"/>
              <w:bottom w:val="single" w:sz="4" w:space="0" w:color="auto"/>
              <w:right w:val="single" w:sz="4" w:space="0" w:color="auto"/>
            </w:tcBorders>
          </w:tcPr>
          <w:p w14:paraId="62289A53" w14:textId="132F51A1"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Elementy niezbędne do włączenia do PSP</w:t>
            </w:r>
          </w:p>
          <w:p w14:paraId="4AB54462"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5.1. Model powiązań ekosystemowych</w:t>
            </w:r>
          </w:p>
          <w:p w14:paraId="270D427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Jest on niezbędny do identyfikacji i szacowania siły powiązań w ekosystemie. Model warstwowy pokazuje, że powiązania między warstwami nie są opcjonalne. KIGEiT postuluje rozwój kompetencji back-end i tworzenie powiązań z odbiorcami końcowymi. To pozwoli uczynić PSP dokumentem żywym i aktualizowanym wraz z rozwojem ekosystemu ICT.</w:t>
            </w:r>
          </w:p>
          <w:p w14:paraId="3F0C9E51"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42BB810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5.2. Wdrożenie polityki popytowej i przerwanie kręgu niemożności</w:t>
            </w:r>
          </w:p>
          <w:p w14:paraId="2E52EE4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KIGEiT identyfikuje to jako brak komponentu międzynarodowego (wynikający z braku filaru prawnego) w strategii odbudowy ekosystemu ICT na poziomie Polski. Bez instrumentów kreujących popyt nie powstanie ani skala, ani produkcja, ani suwerenność. USA mają Buy American Act (60–75% krajowej zawartości), wspierając politykę odbudowy ekosystemu ICT twardą i kosztowną zmianą polityki celnej. Chiny dają 20% przewagę cenową krajowym produktom. UE nie ma żadnego porównywalnego instrumentu zorientowanego na ekosystem ICT.</w:t>
            </w:r>
          </w:p>
          <w:p w14:paraId="0FEFAFF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Eksperci KIGEiT identyfikują dodatkowy mechanizm blokujący: krąg niemożności – brak zainteresowania przemysłu ze względu na brak podaży układów ASIC i brak podaży ze względu na brak zainteresowania przemysłu. Przełamanie tego kręgu wymaga celowych działań DCE (Dissemination, Communication &amp; Exploitation) – systematycznej upowszechniającej aktywności demonstrującej polskiemu przemysłowi realne możliwości specjalizowanej mikroelektroniki. Obecne dokumenty UE nie przewidują skutecznych działań w tym obszarze. </w:t>
            </w:r>
          </w:p>
          <w:p w14:paraId="46716F02"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50C5EF96" w14:textId="76D97879"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5.3. Odwrócona logika: innowacje zamiast produkcji</w:t>
            </w:r>
          </w:p>
          <w:p w14:paraId="54852B14"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KIGEiT identyfikuje „odwróconą logikę” PSP jako pochodną odwróconej logiki UE. Oparta jest ona na wspieraniu innowacji i B+R, ale jeszcze bez zdefiniowanych narzędzi budowy popytu i skali produkcji. W modelu warstwowym ekosystemu ICT, B+R jest elementem przekrojowym, który musi być powiązany z warstwami produkcyjnymi i całą polityką przemysłową.</w:t>
            </w:r>
          </w:p>
          <w:p w14:paraId="71AF9ACE"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13D2731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5.4. Infrastruktura produkcyjna: przemysł vs. akademia</w:t>
            </w:r>
          </w:p>
          <w:p w14:paraId="0B95DE2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PSP słusznie stwierdza, że Polska nie dysponuje linią pilotażową. Eksperci KIGEiT zwracają jednak uwagę na ryzyko umieszczenia linii produkcyjnej w sektorze akademickim, bo to osłabia wrażliwość na rachunek ekonomiczny. Wieloletnie doświadczenia krajowe (sięgające czasów CEMI) i obserwacje realiów na styku nauki i przemysłu w czołowych krajach wskazują, że współpraca jest konieczna, ale przywództwo i wsparcie powinno należeć również do przemysłu, gdzie opłacalność jest warunkiem istnienia.</w:t>
            </w:r>
          </w:p>
          <w:p w14:paraId="516F9B3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Przykład: PW/CEZAMAT deklaruje możliwość produkcji do 100 000 przyrządów rocznie w kilku technologiach. Przy 200+ chipach na płytce i 50% uzysku daje to ok. 4 płytki dziennie – rozdzielone na kilka technologii. Dla inżyniera z praktyką przemysłową jest oczywiste, że przy tak śladowej produkcji, utrzymanie stabilności technologii i jakości wiąże się z nieproporcjonalnie wysokimi kosztami, więc jest to praktycznie niemożliwe. Mikroelektronika jest przemysłem dużej skali, gdzie 10 mln szt. rocznie to produkcja niewielka.</w:t>
            </w:r>
          </w:p>
          <w:p w14:paraId="4DFA2533"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Dla stabilizacji takiej działalności konieczne jest określenie „lokalnych warunków opłacalności” co najmniej w skali europejskiej, a to wymaga współpracy w ramach tej skali.</w:t>
            </w:r>
          </w:p>
          <w:p w14:paraId="1D72F754"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1071E98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5.5. Pominięcie sektora PCB/PCBA/EMS w PSP</w:t>
            </w:r>
          </w:p>
          <w:p w14:paraId="7D1884E7"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Produkcja PCB w Europie: z 20% światowej (2000) spadła do 2,8% (2024). Ponad 1 000 fabryk zamknięto. Dokument MC nie adresuje przyczyn tej katastrofy, chociaż one nie znikły. PCB/PCBA są zaklasyfikowane ogólnie jako „sektor EMS/OEM”, co utrudnia precyzyjne pomiary inwestycji i zatrudnienia, dostęp do dedykowanych instrumentów wsparcia oraz włączenie do planowanych inicjatyw europejskich.</w:t>
            </w:r>
          </w:p>
          <w:p w14:paraId="30AFA035"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PCB/PCBA stanowią most między projektowaniem a produkcją w pełni funkcjonalnych urządzeń dla sektorów strategicznych: obronności (systemy radarowe, łączności, monitorowania), infrastruktury krytycznej (sterowniki sieci energetycznych, kolejowych, SCADA), medycyny (urządzenia diagnostyczne, pompy infuzyjne) i automatyki przemysłowej (PLC, sterowniki ruchu). Brak odrębnego ujęcia PCB w strategii prowadzi do niedofinansowania sektora, fragmentacji wysiłków i zagrożenia dla suwerenności technologicznej w sektorach krytycznych. Wysyłanie projektów PCB do krajów trzecich w celu wykonania płytek to systemowe ujawnianie know-how oddawanie gratis istotnej wiedzy projektowej.</w:t>
            </w:r>
          </w:p>
          <w:p w14:paraId="5CA1E8B2"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PSP powinien być uzupełniony o wnioski płynące z szerszych ram analizy, do jakich odwołuje się hasło „Silicon to System”, oparte na pełniejszym rozumieniu powiązań w warstwowym modelu ekosystemu ICT. Analiza potrzeb, roli i poziomu produkcji PCB/PCBA/EMS pozwoli na precyzyjniejszą synchronizację produktywności warstwy przyrządów p-p z popytem na te przyrządy.</w:t>
            </w:r>
          </w:p>
          <w:p w14:paraId="7DDCEA2C"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4A68CD87"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5.6. Pominięcie Semicon Coalition</w:t>
            </w:r>
          </w:p>
          <w:p w14:paraId="5C314703"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Deklaracja 27 państw UE z września 2025 r. - najszerszy konsensus polityczny w sprawie polityki półprzewodnikowej. Polska początkowo była obserwatorem, a obecnie już sygnatariuszem. PSP nie nawiązuje do tej inicjatywy.</w:t>
            </w:r>
          </w:p>
          <w:p w14:paraId="2703E4A4"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754B0AC1"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5.7. Brak wymiaru obronnego</w:t>
            </w:r>
          </w:p>
          <w:p w14:paraId="5AE87B0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Wydatki obronne UE: 381 mld EUR (2025) → 750+ mld EUR (cel Polski - 5% PKB). ReArm Europe: 650 mld EUR. Elektronika obronna wymaga suwerennych łańcuchów dostaw. KIGEiT podkreśla, że zwłaszcza w przypadku produktów „dual use” wszelkie próby lokowania ich produkcji na liniach zagranicznych powinny napotykać na duże bariery polityczne, prawne i biurokratyczne. Wtedy korzystanie z krajowych zdolności produkcyjnych stanie się koniecznością, nie wyborem.</w:t>
            </w:r>
          </w:p>
          <w:p w14:paraId="23C5CC7C"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5.8. Brak analizy barier regulacyjnych</w:t>
            </w:r>
          </w:p>
          <w:p w14:paraId="7642894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PSP pomija:</w:t>
            </w:r>
          </w:p>
          <w:p w14:paraId="719A9AD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ITA: odwrócona struktura celna, ujemna ERP −2%;</w:t>
            </w:r>
          </w:p>
          <w:p w14:paraId="5333807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brak kompensacji systemowych z tytułu kosztów wyższych ochrony środowiska, pracy itd..;</w:t>
            </w:r>
          </w:p>
          <w:p w14:paraId="79D495B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brak Buy European Act w zamówieniach publicznych;</w:t>
            </w:r>
          </w:p>
          <w:p w14:paraId="6B80A60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fragmentacja zamówień obronnych UE (17 typów czołgów, 27 ministerstw obrony);</w:t>
            </w:r>
          </w:p>
          <w:p w14:paraId="416E7A37"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brak polityki energetycznej dla fabów (premia kosztowa 25–40% wobec Azji);</w:t>
            </w:r>
          </w:p>
          <w:p w14:paraId="46536CD1"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brak systemu rezerw strategicznych materiałów dla PCB (miedź, laminaty, chemikalia) - zależność od azjatyckich dostawców laminatów specjalizowanych.</w:t>
            </w:r>
          </w:p>
          <w:p w14:paraId="098269CB"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5.9. Nieadekwatność instrumentów finansowych</w:t>
            </w:r>
          </w:p>
          <w:p w14:paraId="6B213861"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Próg 100 mln zł wyklucza większość polskich firm. KIGEiT postuluje instrumenty ukierunkowane na wzrost wolumenu i dodaje, że budżety poszczególnych działań są nieokreślone lub zaniżone, zwłaszcza w zakresie rozbudowy potencjału badawczego i wytwórczego.</w:t>
            </w:r>
          </w:p>
          <w:p w14:paraId="747CE4C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5.10. Park technologiczny – odwrócona kolejność</w:t>
            </w:r>
          </w:p>
          <w:p w14:paraId="28FB690E"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Postulowane utworzenie parku technologicznego jest planowane przedwcześnie. Park powinien być efektem wcześniejszej budowy ośrodków B+R i produkcyjnych, wokół których mógłby się tworzyć – nie odwrotnie. 30 lat polskich doświadczeń z parkami technologicznymi pokazuje, że efekty tworzenia parków nie zawsze odpowiadają oczekiwaniom.</w:t>
            </w:r>
          </w:p>
          <w:p w14:paraId="32634F32" w14:textId="7662D7E6" w:rsidR="00F574A2" w:rsidRPr="004F425A" w:rsidRDefault="00F574A2" w:rsidP="004F425A">
            <w:pPr>
              <w:autoSpaceDE w:val="0"/>
              <w:autoSpaceDN w:val="0"/>
              <w:adjustRightInd w:val="0"/>
              <w:spacing w:after="120" w:line="240" w:lineRule="auto"/>
              <w:rPr>
                <w:rFonts w:ascii="Lato" w:eastAsia="Lato" w:hAnsi="Lato" w:cs="Lato"/>
                <w:sz w:val="20"/>
                <w:szCs w:val="20"/>
              </w:rPr>
            </w:pPr>
          </w:p>
        </w:tc>
        <w:tc>
          <w:tcPr>
            <w:tcW w:w="4859" w:type="dxa"/>
            <w:tcBorders>
              <w:top w:val="single" w:sz="4" w:space="0" w:color="auto"/>
              <w:left w:val="single" w:sz="4" w:space="0" w:color="auto"/>
              <w:bottom w:val="single" w:sz="4" w:space="0" w:color="auto"/>
              <w:right w:val="single" w:sz="4" w:space="0" w:color="auto"/>
            </w:tcBorders>
          </w:tcPr>
          <w:p w14:paraId="4C6A1097" w14:textId="77777777"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 xml:space="preserve">Uwaga częściowo uwzględniona. </w:t>
            </w:r>
          </w:p>
          <w:p w14:paraId="26E20D07" w14:textId="7A19D76B"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dokumencie na poziomie ogólności adekwatnym do charakteru Polityki zawarto odniesienie do deklaracji Semicon Coalition z września 2025 roku. W pozostałym zakresie postulat dotyczy zagadnień wykraczających poza poziom ogólności dokumentu strategicznego. Właściwym miejscem jego uwzględnienia są akty wykonawcze i dokumenty wdrożeniowe</w:t>
            </w:r>
          </w:p>
        </w:tc>
      </w:tr>
      <w:tr w:rsidR="004471C5" w:rsidRPr="004F425A" w14:paraId="68AB128A" w14:textId="77777777" w:rsidTr="79FF9703">
        <w:tc>
          <w:tcPr>
            <w:tcW w:w="1425" w:type="dxa"/>
            <w:tcBorders>
              <w:top w:val="single" w:sz="4" w:space="0" w:color="auto"/>
              <w:left w:val="single" w:sz="4" w:space="0" w:color="auto"/>
              <w:bottom w:val="single" w:sz="4" w:space="0" w:color="auto"/>
              <w:right w:val="single" w:sz="4" w:space="0" w:color="auto"/>
            </w:tcBorders>
          </w:tcPr>
          <w:p w14:paraId="600A8048"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F4C2D35" w14:textId="1E41E518"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Krajowa Izba Gospodarcza Elektroniki i Telekomunikacji</w:t>
            </w:r>
          </w:p>
        </w:tc>
        <w:tc>
          <w:tcPr>
            <w:tcW w:w="5387" w:type="dxa"/>
            <w:tcBorders>
              <w:top w:val="single" w:sz="4" w:space="0" w:color="auto"/>
              <w:left w:val="single" w:sz="4" w:space="0" w:color="auto"/>
              <w:bottom w:val="single" w:sz="4" w:space="0" w:color="auto"/>
              <w:right w:val="single" w:sz="4" w:space="0" w:color="auto"/>
            </w:tcBorders>
          </w:tcPr>
          <w:p w14:paraId="3EB6640F" w14:textId="5D568FB6"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 Analiza według filarów I–VII (konfrontacja z modelem warstwowym)</w:t>
            </w:r>
          </w:p>
          <w:p w14:paraId="2C47591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tbl>
            <w:tblPr>
              <w:tblW w:w="0" w:type="auto"/>
              <w:tblBorders>
                <w:top w:val="none" w:sz="6" w:space="0" w:color="auto"/>
                <w:left w:val="none" w:sz="6" w:space="0" w:color="auto"/>
                <w:bottom w:val="none" w:sz="6" w:space="0" w:color="auto"/>
                <w:right w:val="none" w:sz="6" w:space="0" w:color="auto"/>
              </w:tblBorders>
              <w:tblLayout w:type="fixed"/>
              <w:tblLook w:val="0000" w:firstRow="0" w:lastRow="0" w:firstColumn="0" w:lastColumn="0" w:noHBand="0" w:noVBand="0"/>
            </w:tblPr>
            <w:tblGrid>
              <w:gridCol w:w="606"/>
              <w:gridCol w:w="2012"/>
              <w:gridCol w:w="1709"/>
              <w:gridCol w:w="3980"/>
            </w:tblGrid>
            <w:tr w:rsidR="004471C5" w:rsidRPr="004F425A" w14:paraId="2CAE7BC1" w14:textId="77777777" w:rsidTr="472412A3">
              <w:trPr>
                <w:trHeight w:val="185"/>
              </w:trPr>
              <w:tc>
                <w:tcPr>
                  <w:tcW w:w="606" w:type="dxa"/>
                  <w:tcBorders>
                    <w:top w:val="none" w:sz="6" w:space="0" w:color="auto"/>
                    <w:bottom w:val="none" w:sz="6" w:space="0" w:color="auto"/>
                    <w:right w:val="none" w:sz="6" w:space="0" w:color="auto"/>
                  </w:tcBorders>
                </w:tcPr>
                <w:p w14:paraId="31F0C4FE" w14:textId="1A08052F"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Filar </w:t>
                  </w:r>
                </w:p>
              </w:tc>
              <w:tc>
                <w:tcPr>
                  <w:tcW w:w="2012" w:type="dxa"/>
                  <w:tcBorders>
                    <w:top w:val="none" w:sz="6" w:space="0" w:color="auto"/>
                    <w:left w:val="none" w:sz="6" w:space="0" w:color="auto"/>
                    <w:bottom w:val="none" w:sz="6" w:space="0" w:color="auto"/>
                    <w:right w:val="none" w:sz="6" w:space="0" w:color="auto"/>
                  </w:tcBorders>
                </w:tcPr>
                <w:p w14:paraId="7CC212DF"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Zakres MC </w:t>
                  </w:r>
                </w:p>
              </w:tc>
              <w:tc>
                <w:tcPr>
                  <w:tcW w:w="1709" w:type="dxa"/>
                  <w:tcBorders>
                    <w:top w:val="none" w:sz="6" w:space="0" w:color="auto"/>
                    <w:left w:val="none" w:sz="6" w:space="0" w:color="auto"/>
                    <w:bottom w:val="none" w:sz="6" w:space="0" w:color="auto"/>
                    <w:right w:val="none" w:sz="6" w:space="0" w:color="auto"/>
                  </w:tcBorders>
                </w:tcPr>
                <w:p w14:paraId="3C5AE39B"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Ocena </w:t>
                  </w:r>
                </w:p>
              </w:tc>
              <w:tc>
                <w:tcPr>
                  <w:tcW w:w="3980" w:type="dxa"/>
                  <w:tcBorders>
                    <w:top w:val="none" w:sz="6" w:space="0" w:color="auto"/>
                    <w:left w:val="none" w:sz="6" w:space="0" w:color="auto"/>
                    <w:bottom w:val="none" w:sz="6" w:space="0" w:color="auto"/>
                  </w:tcBorders>
                </w:tcPr>
                <w:p w14:paraId="05DA8F0C"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Brakujące warstwy / postulaty </w:t>
                  </w:r>
                </w:p>
              </w:tc>
            </w:tr>
            <w:tr w:rsidR="004471C5" w:rsidRPr="004F425A" w14:paraId="622E86FD" w14:textId="77777777" w:rsidTr="472412A3">
              <w:trPr>
                <w:trHeight w:val="252"/>
              </w:trPr>
              <w:tc>
                <w:tcPr>
                  <w:tcW w:w="606" w:type="dxa"/>
                  <w:tcBorders>
                    <w:top w:val="none" w:sz="6" w:space="0" w:color="auto"/>
                    <w:bottom w:val="none" w:sz="6" w:space="0" w:color="auto"/>
                    <w:right w:val="none" w:sz="6" w:space="0" w:color="auto"/>
                  </w:tcBorders>
                </w:tcPr>
                <w:p w14:paraId="3CCE5E06"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I </w:t>
                  </w:r>
                </w:p>
              </w:tc>
              <w:tc>
                <w:tcPr>
                  <w:tcW w:w="2012" w:type="dxa"/>
                  <w:tcBorders>
                    <w:top w:val="none" w:sz="6" w:space="0" w:color="auto"/>
                    <w:left w:val="none" w:sz="6" w:space="0" w:color="auto"/>
                    <w:bottom w:val="none" w:sz="6" w:space="0" w:color="auto"/>
                    <w:right w:val="none" w:sz="6" w:space="0" w:color="auto"/>
                  </w:tcBorders>
                </w:tcPr>
                <w:p w14:paraId="53F9EDE3"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Infrastruktura </w:t>
                  </w:r>
                </w:p>
              </w:tc>
              <w:tc>
                <w:tcPr>
                  <w:tcW w:w="1709" w:type="dxa"/>
                  <w:tcBorders>
                    <w:top w:val="none" w:sz="6" w:space="0" w:color="auto"/>
                    <w:left w:val="none" w:sz="6" w:space="0" w:color="auto"/>
                    <w:bottom w:val="none" w:sz="6" w:space="0" w:color="auto"/>
                    <w:right w:val="none" w:sz="6" w:space="0" w:color="auto"/>
                  </w:tcBorders>
                </w:tcPr>
                <w:p w14:paraId="3627F1E9"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Z zastrzeżeniami </w:t>
                  </w:r>
                </w:p>
              </w:tc>
              <w:tc>
                <w:tcPr>
                  <w:tcW w:w="3980" w:type="dxa"/>
                  <w:tcBorders>
                    <w:top w:val="none" w:sz="6" w:space="0" w:color="auto"/>
                    <w:left w:val="none" w:sz="6" w:space="0" w:color="auto"/>
                    <w:bottom w:val="none" w:sz="6" w:space="0" w:color="auto"/>
                  </w:tcBorders>
                </w:tcPr>
                <w:p w14:paraId="35784652"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B+R bez fabryki = eksport IP; PDK wymaga dostępu do linii; DCE do przełamania kręgu niemożności </w:t>
                  </w:r>
                </w:p>
              </w:tc>
            </w:tr>
            <w:tr w:rsidR="004471C5" w:rsidRPr="004F425A" w14:paraId="2925A615" w14:textId="77777777" w:rsidTr="472412A3">
              <w:trPr>
                <w:trHeight w:val="369"/>
              </w:trPr>
              <w:tc>
                <w:tcPr>
                  <w:tcW w:w="606" w:type="dxa"/>
                  <w:tcBorders>
                    <w:top w:val="none" w:sz="6" w:space="0" w:color="auto"/>
                    <w:bottom w:val="none" w:sz="6" w:space="0" w:color="auto"/>
                    <w:right w:val="none" w:sz="6" w:space="0" w:color="auto"/>
                  </w:tcBorders>
                </w:tcPr>
                <w:p w14:paraId="2DFD7187"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II </w:t>
                  </w:r>
                </w:p>
              </w:tc>
              <w:tc>
                <w:tcPr>
                  <w:tcW w:w="2012" w:type="dxa"/>
                  <w:tcBorders>
                    <w:top w:val="none" w:sz="6" w:space="0" w:color="auto"/>
                    <w:left w:val="none" w:sz="6" w:space="0" w:color="auto"/>
                    <w:bottom w:val="none" w:sz="6" w:space="0" w:color="auto"/>
                    <w:right w:val="none" w:sz="6" w:space="0" w:color="auto"/>
                  </w:tcBorders>
                </w:tcPr>
                <w:p w14:paraId="6EF904CF"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Impuls państwa </w:t>
                  </w:r>
                </w:p>
              </w:tc>
              <w:tc>
                <w:tcPr>
                  <w:tcW w:w="1709" w:type="dxa"/>
                  <w:tcBorders>
                    <w:top w:val="none" w:sz="6" w:space="0" w:color="auto"/>
                    <w:left w:val="none" w:sz="6" w:space="0" w:color="auto"/>
                    <w:bottom w:val="none" w:sz="6" w:space="0" w:color="auto"/>
                    <w:right w:val="none" w:sz="6" w:space="0" w:color="auto"/>
                  </w:tcBorders>
                </w:tcPr>
                <w:p w14:paraId="623A5EF3"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Krytyczna </w:t>
                  </w:r>
                </w:p>
              </w:tc>
              <w:tc>
                <w:tcPr>
                  <w:tcW w:w="3980" w:type="dxa"/>
                  <w:tcBorders>
                    <w:top w:val="none" w:sz="6" w:space="0" w:color="auto"/>
                    <w:left w:val="none" w:sz="6" w:space="0" w:color="auto"/>
                    <w:bottom w:val="none" w:sz="6" w:space="0" w:color="auto"/>
                  </w:tcBorders>
                </w:tcPr>
                <w:p w14:paraId="745983E4"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Tylko chipy; brak PCB/PCBA/EMS i produktów krytycznych (poz. II–IV); CEZAMAT: 4 płytki/dzień ≠ stabilna technologia; linia pilotażowa może być w CEZAMAT, ale musi być przemysłowa oparta na licencji </w:t>
                  </w:r>
                </w:p>
              </w:tc>
            </w:tr>
            <w:tr w:rsidR="004471C5" w:rsidRPr="004F425A" w14:paraId="2980A90C" w14:textId="77777777" w:rsidTr="472412A3">
              <w:trPr>
                <w:trHeight w:val="367"/>
              </w:trPr>
              <w:tc>
                <w:tcPr>
                  <w:tcW w:w="606" w:type="dxa"/>
                  <w:tcBorders>
                    <w:top w:val="none" w:sz="6" w:space="0" w:color="auto"/>
                    <w:bottom w:val="none" w:sz="6" w:space="0" w:color="auto"/>
                    <w:right w:val="none" w:sz="6" w:space="0" w:color="auto"/>
                  </w:tcBorders>
                </w:tcPr>
                <w:p w14:paraId="24614EF8"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III </w:t>
                  </w:r>
                </w:p>
              </w:tc>
              <w:tc>
                <w:tcPr>
                  <w:tcW w:w="2012" w:type="dxa"/>
                  <w:tcBorders>
                    <w:top w:val="none" w:sz="6" w:space="0" w:color="auto"/>
                    <w:left w:val="none" w:sz="6" w:space="0" w:color="auto"/>
                    <w:bottom w:val="none" w:sz="6" w:space="0" w:color="auto"/>
                    <w:right w:val="none" w:sz="6" w:space="0" w:color="auto"/>
                  </w:tcBorders>
                </w:tcPr>
                <w:p w14:paraId="441F43AE"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Współpraca regionalna i międzynarodowa </w:t>
                  </w:r>
                </w:p>
              </w:tc>
              <w:tc>
                <w:tcPr>
                  <w:tcW w:w="1709" w:type="dxa"/>
                  <w:tcBorders>
                    <w:top w:val="none" w:sz="6" w:space="0" w:color="auto"/>
                    <w:left w:val="none" w:sz="6" w:space="0" w:color="auto"/>
                    <w:bottom w:val="none" w:sz="6" w:space="0" w:color="auto"/>
                    <w:right w:val="none" w:sz="6" w:space="0" w:color="auto"/>
                  </w:tcBorders>
                </w:tcPr>
                <w:p w14:paraId="7E743DE7"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Z zastrzeżeniami </w:t>
                  </w:r>
                </w:p>
              </w:tc>
              <w:tc>
                <w:tcPr>
                  <w:tcW w:w="3980" w:type="dxa"/>
                  <w:tcBorders>
                    <w:top w:val="none" w:sz="6" w:space="0" w:color="auto"/>
                    <w:left w:val="none" w:sz="6" w:space="0" w:color="auto"/>
                    <w:bottom w:val="none" w:sz="6" w:space="0" w:color="auto"/>
                  </w:tcBorders>
                </w:tcPr>
                <w:p w14:paraId="4C77C300"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Niedoszacowanie skali; firmy projektowe pracują głównie na eksport tracąc wartość IPR; wsparcie skalowania, wspólne projekty inwestycyjne reforma ITA, wdrożenie Buy European </w:t>
                  </w:r>
                </w:p>
              </w:tc>
            </w:tr>
            <w:tr w:rsidR="004471C5" w:rsidRPr="004F425A" w14:paraId="2AF461C8" w14:textId="77777777" w:rsidTr="472412A3">
              <w:trPr>
                <w:trHeight w:val="252"/>
              </w:trPr>
              <w:tc>
                <w:tcPr>
                  <w:tcW w:w="606" w:type="dxa"/>
                  <w:tcBorders>
                    <w:top w:val="none" w:sz="6" w:space="0" w:color="auto"/>
                    <w:bottom w:val="none" w:sz="6" w:space="0" w:color="auto"/>
                    <w:right w:val="none" w:sz="6" w:space="0" w:color="auto"/>
                  </w:tcBorders>
                </w:tcPr>
                <w:p w14:paraId="47E2073A"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IV </w:t>
                  </w:r>
                </w:p>
              </w:tc>
              <w:tc>
                <w:tcPr>
                  <w:tcW w:w="2012" w:type="dxa"/>
                  <w:tcBorders>
                    <w:top w:val="none" w:sz="6" w:space="0" w:color="auto"/>
                    <w:left w:val="none" w:sz="6" w:space="0" w:color="auto"/>
                    <w:bottom w:val="none" w:sz="6" w:space="0" w:color="auto"/>
                    <w:right w:val="none" w:sz="6" w:space="0" w:color="auto"/>
                  </w:tcBorders>
                </w:tcPr>
                <w:p w14:paraId="453C1C0E"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Inwestycje i finansowanie </w:t>
                  </w:r>
                </w:p>
              </w:tc>
              <w:tc>
                <w:tcPr>
                  <w:tcW w:w="1709" w:type="dxa"/>
                  <w:tcBorders>
                    <w:top w:val="none" w:sz="6" w:space="0" w:color="auto"/>
                    <w:left w:val="none" w:sz="6" w:space="0" w:color="auto"/>
                    <w:bottom w:val="none" w:sz="6" w:space="0" w:color="auto"/>
                    <w:right w:val="none" w:sz="6" w:space="0" w:color="auto"/>
                  </w:tcBorders>
                </w:tcPr>
                <w:p w14:paraId="2E0D12B7"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Niedostateczna </w:t>
                  </w:r>
                </w:p>
              </w:tc>
              <w:tc>
                <w:tcPr>
                  <w:tcW w:w="3980" w:type="dxa"/>
                  <w:tcBorders>
                    <w:top w:val="none" w:sz="6" w:space="0" w:color="auto"/>
                    <w:left w:val="none" w:sz="6" w:space="0" w:color="auto"/>
                    <w:bottom w:val="none" w:sz="6" w:space="0" w:color="auto"/>
                  </w:tcBorders>
                </w:tcPr>
                <w:p w14:paraId="4693B0D9"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Próg 100 mln zł; budżety zaniżone lub nieokreślone; ulgi inwestycyjne </w:t>
                  </w:r>
                </w:p>
              </w:tc>
            </w:tr>
            <w:tr w:rsidR="004471C5" w:rsidRPr="004F425A" w14:paraId="4E13BF62" w14:textId="77777777" w:rsidTr="472412A3">
              <w:trPr>
                <w:trHeight w:val="138"/>
              </w:trPr>
              <w:tc>
                <w:tcPr>
                  <w:tcW w:w="606" w:type="dxa"/>
                  <w:tcBorders>
                    <w:top w:val="none" w:sz="6" w:space="0" w:color="auto"/>
                    <w:bottom w:val="none" w:sz="6" w:space="0" w:color="auto"/>
                    <w:right w:val="none" w:sz="6" w:space="0" w:color="auto"/>
                  </w:tcBorders>
                </w:tcPr>
                <w:p w14:paraId="7C57ED2D"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V </w:t>
                  </w:r>
                </w:p>
              </w:tc>
              <w:tc>
                <w:tcPr>
                  <w:tcW w:w="2012" w:type="dxa"/>
                  <w:tcBorders>
                    <w:top w:val="none" w:sz="6" w:space="0" w:color="auto"/>
                    <w:left w:val="none" w:sz="6" w:space="0" w:color="auto"/>
                    <w:bottom w:val="none" w:sz="6" w:space="0" w:color="auto"/>
                    <w:right w:val="none" w:sz="6" w:space="0" w:color="auto"/>
                  </w:tcBorders>
                </w:tcPr>
                <w:p w14:paraId="5432C80A"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Kadry i edukacja </w:t>
                  </w:r>
                </w:p>
              </w:tc>
              <w:tc>
                <w:tcPr>
                  <w:tcW w:w="1709" w:type="dxa"/>
                  <w:tcBorders>
                    <w:top w:val="none" w:sz="6" w:space="0" w:color="auto"/>
                    <w:left w:val="none" w:sz="6" w:space="0" w:color="auto"/>
                    <w:bottom w:val="none" w:sz="6" w:space="0" w:color="auto"/>
                    <w:right w:val="none" w:sz="6" w:space="0" w:color="auto"/>
                  </w:tcBorders>
                </w:tcPr>
                <w:p w14:paraId="3B3108AA"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Krytyczna </w:t>
                  </w:r>
                </w:p>
              </w:tc>
              <w:tc>
                <w:tcPr>
                  <w:tcW w:w="3980" w:type="dxa"/>
                  <w:tcBorders>
                    <w:top w:val="none" w:sz="6" w:space="0" w:color="auto"/>
                    <w:left w:val="none" w:sz="6" w:space="0" w:color="auto"/>
                    <w:bottom w:val="none" w:sz="6" w:space="0" w:color="auto"/>
                  </w:tcBorders>
                </w:tcPr>
                <w:p w14:paraId="63264436"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Polityka, kształcenie, ochrona rynku </w:t>
                  </w:r>
                </w:p>
              </w:tc>
            </w:tr>
            <w:tr w:rsidR="004471C5" w:rsidRPr="004F425A" w14:paraId="17D03BB2" w14:textId="77777777" w:rsidTr="472412A3">
              <w:trPr>
                <w:trHeight w:val="252"/>
              </w:trPr>
              <w:tc>
                <w:tcPr>
                  <w:tcW w:w="606" w:type="dxa"/>
                  <w:tcBorders>
                    <w:top w:val="none" w:sz="6" w:space="0" w:color="auto"/>
                    <w:bottom w:val="none" w:sz="6" w:space="0" w:color="auto"/>
                    <w:right w:val="none" w:sz="6" w:space="0" w:color="auto"/>
                  </w:tcBorders>
                </w:tcPr>
                <w:p w14:paraId="66A1DE6D"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VI </w:t>
                  </w:r>
                </w:p>
              </w:tc>
              <w:tc>
                <w:tcPr>
                  <w:tcW w:w="2012" w:type="dxa"/>
                  <w:tcBorders>
                    <w:top w:val="none" w:sz="6" w:space="0" w:color="auto"/>
                    <w:left w:val="none" w:sz="6" w:space="0" w:color="auto"/>
                    <w:bottom w:val="none" w:sz="6" w:space="0" w:color="auto"/>
                    <w:right w:val="none" w:sz="6" w:space="0" w:color="auto"/>
                  </w:tcBorders>
                </w:tcPr>
                <w:p w14:paraId="6ADEF4E7"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Energia i woda </w:t>
                  </w:r>
                </w:p>
              </w:tc>
              <w:tc>
                <w:tcPr>
                  <w:tcW w:w="1709" w:type="dxa"/>
                  <w:tcBorders>
                    <w:top w:val="none" w:sz="6" w:space="0" w:color="auto"/>
                    <w:left w:val="none" w:sz="6" w:space="0" w:color="auto"/>
                    <w:bottom w:val="none" w:sz="6" w:space="0" w:color="auto"/>
                    <w:right w:val="none" w:sz="6" w:space="0" w:color="auto"/>
                  </w:tcBorders>
                </w:tcPr>
                <w:p w14:paraId="0666450C"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Z zastrzeżeniami </w:t>
                  </w:r>
                </w:p>
              </w:tc>
              <w:tc>
                <w:tcPr>
                  <w:tcW w:w="3980" w:type="dxa"/>
                  <w:tcBorders>
                    <w:top w:val="none" w:sz="6" w:space="0" w:color="auto"/>
                    <w:left w:val="none" w:sz="6" w:space="0" w:color="auto"/>
                    <w:bottom w:val="none" w:sz="6" w:space="0" w:color="auto"/>
                  </w:tcBorders>
                </w:tcPr>
                <w:p w14:paraId="1C738C0B"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Park tech. przedwczesny; brak polityki energetycznej, rezerwy materiałów PCB; architektura operacyjna ryzykowna </w:t>
                  </w:r>
                </w:p>
              </w:tc>
            </w:tr>
            <w:tr w:rsidR="004471C5" w:rsidRPr="004F425A" w14:paraId="5AC80342" w14:textId="77777777" w:rsidTr="472412A3">
              <w:trPr>
                <w:trHeight w:val="138"/>
              </w:trPr>
              <w:tc>
                <w:tcPr>
                  <w:tcW w:w="606" w:type="dxa"/>
                  <w:tcBorders>
                    <w:top w:val="none" w:sz="6" w:space="0" w:color="auto"/>
                    <w:bottom w:val="none" w:sz="6" w:space="0" w:color="auto"/>
                    <w:right w:val="none" w:sz="6" w:space="0" w:color="auto"/>
                  </w:tcBorders>
                </w:tcPr>
                <w:p w14:paraId="2A8EC9E5"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VII </w:t>
                  </w:r>
                </w:p>
              </w:tc>
              <w:tc>
                <w:tcPr>
                  <w:tcW w:w="2012" w:type="dxa"/>
                  <w:tcBorders>
                    <w:top w:val="none" w:sz="6" w:space="0" w:color="auto"/>
                    <w:left w:val="none" w:sz="6" w:space="0" w:color="auto"/>
                    <w:bottom w:val="none" w:sz="6" w:space="0" w:color="auto"/>
                    <w:right w:val="none" w:sz="6" w:space="0" w:color="auto"/>
                  </w:tcBorders>
                </w:tcPr>
                <w:p w14:paraId="42E432CE"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Chemikalia i surowce </w:t>
                  </w:r>
                </w:p>
              </w:tc>
              <w:tc>
                <w:tcPr>
                  <w:tcW w:w="1709" w:type="dxa"/>
                  <w:tcBorders>
                    <w:top w:val="none" w:sz="6" w:space="0" w:color="auto"/>
                    <w:left w:val="none" w:sz="6" w:space="0" w:color="auto"/>
                    <w:bottom w:val="none" w:sz="6" w:space="0" w:color="auto"/>
                    <w:right w:val="none" w:sz="6" w:space="0" w:color="auto"/>
                  </w:tcBorders>
                </w:tcPr>
                <w:p w14:paraId="477DCFCB"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Niedopracowana </w:t>
                  </w:r>
                </w:p>
              </w:tc>
              <w:tc>
                <w:tcPr>
                  <w:tcW w:w="3980" w:type="dxa"/>
                  <w:tcBorders>
                    <w:top w:val="none" w:sz="6" w:space="0" w:color="auto"/>
                    <w:left w:val="none" w:sz="6" w:space="0" w:color="auto"/>
                    <w:bottom w:val="none" w:sz="6" w:space="0" w:color="auto"/>
                  </w:tcBorders>
                </w:tcPr>
                <w:p w14:paraId="4099791C" w14:textId="77777777" w:rsidR="00F574A2" w:rsidRPr="004F425A" w:rsidRDefault="00F574A2" w:rsidP="007669CC">
                  <w:pPr>
                    <w:framePr w:hSpace="141" w:wrap="around" w:vAnchor="page" w:hAnchor="margin" w:xAlign="center" w:y="1321"/>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Brak wiedzy o stanie wymiaru europejskiego </w:t>
                  </w:r>
                </w:p>
              </w:tc>
            </w:tr>
          </w:tbl>
          <w:p w14:paraId="75EB0A7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p>
          <w:p w14:paraId="486EFBC8" w14:textId="1D5C385D"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Postulujemy uzupełnienie tej listy o filar VIII „Otoczenie prawne”, który był przedmiotem bardzo dużego zainteresowania adresatem wielu postulatów w procesie konsultacyjnym dot. SPR 2035. W ramach tego brakującego filaru mamy szereg postulatów dot. modernizacji krajowego prawa gospodarczego, mechanizmów jego wykonywania, prawa UE oraz umów międzynarodowych.</w:t>
            </w:r>
          </w:p>
        </w:tc>
        <w:tc>
          <w:tcPr>
            <w:tcW w:w="4859" w:type="dxa"/>
            <w:tcBorders>
              <w:top w:val="single" w:sz="4" w:space="0" w:color="auto"/>
              <w:left w:val="single" w:sz="4" w:space="0" w:color="auto"/>
              <w:bottom w:val="single" w:sz="4" w:space="0" w:color="auto"/>
              <w:right w:val="single" w:sz="4" w:space="0" w:color="auto"/>
            </w:tcBorders>
          </w:tcPr>
          <w:p w14:paraId="3D50D002" w14:textId="77777777" w:rsidR="00904E16"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r w:rsidR="00904E16" w:rsidRPr="004F425A">
              <w:rPr>
                <w:rStyle w:val="Ppogrubienie"/>
                <w:rFonts w:ascii="Lato" w:hAnsi="Lato"/>
                <w:sz w:val="20"/>
                <w:szCs w:val="20"/>
              </w:rPr>
              <w:t xml:space="preserve">. </w:t>
            </w:r>
          </w:p>
          <w:p w14:paraId="7B4F1C43" w14:textId="0C62973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W dokumencie na adekwatnym do jego charakteru poziomie ogólności uwzględniono potrzebę wspierania działań  przez odpowiednie ramy prawne, zmiany legislacyjne oraz mechanizmy monitorujące, które zapewnią zgodność podejmowanych inicjatyw  z rzeczywistymi potrzebami rynku. </w:t>
            </w:r>
          </w:p>
        </w:tc>
      </w:tr>
      <w:tr w:rsidR="004471C5" w:rsidRPr="004F425A" w14:paraId="74C4F15B" w14:textId="77777777" w:rsidTr="79FF9703">
        <w:tc>
          <w:tcPr>
            <w:tcW w:w="1425" w:type="dxa"/>
            <w:tcBorders>
              <w:top w:val="single" w:sz="4" w:space="0" w:color="auto"/>
              <w:left w:val="single" w:sz="4" w:space="0" w:color="auto"/>
              <w:bottom w:val="single" w:sz="4" w:space="0" w:color="auto"/>
              <w:right w:val="single" w:sz="4" w:space="0" w:color="auto"/>
            </w:tcBorders>
          </w:tcPr>
          <w:p w14:paraId="0381C84A"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45D2D360" w14:textId="62B1EB2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Krajowa Izba Gospodarcza Elektroniki i Telekomunikacji</w:t>
            </w:r>
          </w:p>
        </w:tc>
        <w:tc>
          <w:tcPr>
            <w:tcW w:w="5387" w:type="dxa"/>
            <w:tcBorders>
              <w:top w:val="single" w:sz="4" w:space="0" w:color="auto"/>
              <w:left w:val="single" w:sz="4" w:space="0" w:color="auto"/>
              <w:bottom w:val="single" w:sz="4" w:space="0" w:color="auto"/>
              <w:right w:val="single" w:sz="4" w:space="0" w:color="auto"/>
            </w:tcBorders>
          </w:tcPr>
          <w:p w14:paraId="3ECFF770" w14:textId="70FCBD95"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Kadry i edukacja – wyzwanie fundamentalne</w:t>
            </w:r>
          </w:p>
          <w:p w14:paraId="4B5463F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KIGEiT zwraca uwagę na znaczenie Filaru V PSP. Przywołujemy słowa Morrisa Changa (założyciela TSMC): źródłem sukcesu tajwańskiej mikroelektroniki są kadry – „substantial supply of high quality and dedicated engineers, technicians, operators willing to work in manufacturing” – z podkreśleniem stabilności zatrudnienia (low turnover rate).</w:t>
            </w:r>
          </w:p>
          <w:p w14:paraId="7F8C0A97"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Proponujemy sprawdzić, czy PSP nie przecenia liczby dostępnej kadry, zwłaszcza o kwalifikacjach w technologii półprzewodnikowej. Wymagane jest nie tylko stworzenie możliwości edukacyjnych, ale przede wszystkim systemu zachęt budujących atrakcyjną ścieżkę kariery. To zadanie leży bardziej w obszarze psychologii społecznej niż finansów – młodzi ludzie muszą być przekonani, że podejmując trudne studia mogą liczyć na atrakcyjną karierę zawodową.</w:t>
            </w:r>
          </w:p>
          <w:p w14:paraId="3A7F397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Cennym zasobem są powracający do Polski specjaliści – inżynierowie, którzy opuścili kraj i zdobyli doświadczenie na liniach produkcyjnych i w laboratoriach czołowych światowych producentów. Strategia powinna aktywnie wciągać tę grupę do transferu wiedzy i budowy kompetencji.</w:t>
            </w:r>
          </w:p>
          <w:p w14:paraId="4403EE21" w14:textId="3DCC78C0"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Z zadowoleniem odnotowujemy, że PSP uwzględnia wykorzystanie wiedzy seniorów pamiętających okres, gdy w Polsce opracowywano i produkowano komercyjnie mikroprocesory, układy ASIC i fotodiody lawinowe APD.</w:t>
            </w:r>
          </w:p>
        </w:tc>
        <w:tc>
          <w:tcPr>
            <w:tcW w:w="4859" w:type="dxa"/>
            <w:tcBorders>
              <w:top w:val="single" w:sz="4" w:space="0" w:color="auto"/>
              <w:left w:val="single" w:sz="4" w:space="0" w:color="auto"/>
              <w:bottom w:val="single" w:sz="4" w:space="0" w:color="auto"/>
              <w:right w:val="single" w:sz="4" w:space="0" w:color="auto"/>
            </w:tcBorders>
          </w:tcPr>
          <w:p w14:paraId="0115DDDD" w14:textId="77777777" w:rsidR="00904E16"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częściowo uwzględniona</w:t>
            </w:r>
            <w:r w:rsidR="00904E16" w:rsidRPr="004F425A">
              <w:rPr>
                <w:rStyle w:val="Ppogrubienie"/>
                <w:rFonts w:ascii="Lato" w:hAnsi="Lato"/>
                <w:sz w:val="20"/>
                <w:szCs w:val="20"/>
              </w:rPr>
              <w:t xml:space="preserve">. </w:t>
            </w:r>
          </w:p>
          <w:p w14:paraId="65D3432D" w14:textId="2787AF44"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 xml:space="preserve"> </w:t>
            </w:r>
            <w:r w:rsidR="00904E16" w:rsidRPr="004F425A">
              <w:rPr>
                <w:rFonts w:ascii="Lato" w:eastAsia="Lato" w:hAnsi="Lato" w:cs="Lato"/>
                <w:sz w:val="20"/>
                <w:szCs w:val="20"/>
              </w:rPr>
              <w:t>Z</w:t>
            </w:r>
            <w:r w:rsidRPr="004F425A">
              <w:rPr>
                <w:rFonts w:ascii="Lato" w:eastAsia="Lato" w:hAnsi="Lato" w:cs="Lato"/>
                <w:sz w:val="20"/>
                <w:szCs w:val="20"/>
              </w:rPr>
              <w:t>apisy w zakresie kadr zostały doszczegółowione.</w:t>
            </w:r>
          </w:p>
        </w:tc>
      </w:tr>
      <w:tr w:rsidR="004471C5" w:rsidRPr="004F425A" w14:paraId="471437F7" w14:textId="77777777" w:rsidTr="79FF9703">
        <w:tc>
          <w:tcPr>
            <w:tcW w:w="1425" w:type="dxa"/>
            <w:tcBorders>
              <w:top w:val="single" w:sz="4" w:space="0" w:color="auto"/>
              <w:left w:val="single" w:sz="4" w:space="0" w:color="auto"/>
              <w:bottom w:val="single" w:sz="4" w:space="0" w:color="auto"/>
              <w:right w:val="single" w:sz="4" w:space="0" w:color="auto"/>
            </w:tcBorders>
          </w:tcPr>
          <w:p w14:paraId="114FFFC9"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3D0079E7" w14:textId="1CF7F080"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Krajowa Izba Gospodarcza Elektroniki i Telekomunikacji</w:t>
            </w:r>
          </w:p>
        </w:tc>
        <w:tc>
          <w:tcPr>
            <w:tcW w:w="5387" w:type="dxa"/>
            <w:tcBorders>
              <w:top w:val="single" w:sz="4" w:space="0" w:color="auto"/>
              <w:left w:val="single" w:sz="4" w:space="0" w:color="auto"/>
              <w:bottom w:val="single" w:sz="4" w:space="0" w:color="auto"/>
              <w:right w:val="single" w:sz="4" w:space="0" w:color="auto"/>
            </w:tcBorders>
          </w:tcPr>
          <w:p w14:paraId="756E6A95" w14:textId="06691751"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xml:space="preserve"> Kontekst europejski i międzynarodowy</w:t>
            </w:r>
          </w:p>
          <w:p w14:paraId="27FBBAE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8.1. Silicon to Systems: stanowisko europejskiego przemysłu</w:t>
            </w:r>
          </w:p>
          <w:p w14:paraId="048187D5" w14:textId="305B3343"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Dwa kluczowe dokumenty europejskiego przemysłu skierowane do Komisji Europejskiej potwierdzają diagnozę zawartą w niniejszej opinii. Stanowisko z września 2025 („Industry endorsement of the Semiconductor Coalition declaration”) oraz pozycja z listopada 2025 („Review EU Chips Act: Europe needs a Chips Act Plus”) stwierdzają, że same chipy – zarówno zaawansowane, jak i dojrzałe – nie wystarczą. Konieczne są bezpieczne, kompleksowe łańcuchy wartości od krzemu do systemów (Silicon to Systems) dla przemysłów krytycznych. Dodatkowym argumentem jest to, że wartość dodana wnoszona przez nowoczesną mikroelektronikę generowana jest głównie nie na etapie produkcji chipów, lecz w obszarze produkcji sprzętowej – co potwierdza ranking najcenniejszych marek, gdzie dominują firmy technologiczne wykorzystujące mikroelektronikę w produktach końcowych.</w:t>
            </w:r>
          </w:p>
          <w:p w14:paraId="7844B87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Stworzenie bardziej jednolitego rynku UE potrzebne jest Polsce do przyspieszenia tempa rozwoju pod warunkiem bardziej kompleksowego podejścia do polityki PSP obejmującej cały ekosystem ICT.</w:t>
            </w:r>
          </w:p>
          <w:p w14:paraId="7F658F02"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8.2. ITA jako bariera strukturalna</w:t>
            </w:r>
          </w:p>
          <w:p w14:paraId="762C4193"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ITA (1996) + ITA II (2015): zerowe cła na gotowe wyroby, cła na materiały. W kontekście modelu warstwowego: ITA demotywuje inwestycje w fundament ekosystemu, powodując jego systematyczną erozję.</w:t>
            </w:r>
          </w:p>
          <w:p w14:paraId="1ADC9C5D"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8.3. Dźwignie negocjacyjne1</w:t>
            </w:r>
          </w:p>
          <w:p w14:paraId="1C676E4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Siła ponownie stała się podstawowym argumentem w światowej rywalizacji gospodarczej, co zaowocowało wojną handlową. Musimy zaakceptować fakt, że USA dynamicznie przechodzą z relacji multilateralnych opartych na zasadach do relacji bilateralnych wymuszanych z pozycji siły. Jeśli UE ma przetrwać (co jest w żywotnymi interesie Polski) powinna się do tego faktu szybko dostosować, szczególnie w obszarze polityki półprzewodnikowej, stanowiącej szczególnie konfliktowy obszar ekosystemu ICT.</w:t>
            </w:r>
          </w:p>
          <w:p w14:paraId="46FE997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UE, tak jak USA, również ma zdolność do negocjacji z pozycji siły. Rekomendujemy polskiemu rządowi wspieranie takiej polityki na poziomie UE. Dysponujemy wieloma atutami takimi jak: dostęp do jednego z trzech największych rynków na świecie, subsydiami, cłami, normami i standardami i przewagami technologicznymi nawet w technologiach ekosystemu ICT (np. monopol ASML na EUV2 - 32,7 mld EUR przychodów 2025 = europejski punkt kontrolny na poziomie 0 modelu warstwowego; żaden zaawansowany fab nie działa bez ASML). PSP nie bierze pod uwagę możliwości wykorzystania tego typu atutów, ponieważ element aktywności międzynarodowej w odbudowie ekosystemu ICT nie jest dostatecznie uwzględniony.</w:t>
            </w:r>
          </w:p>
          <w:p w14:paraId="30527E37"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Powinniśmy sobie takie argumenty wypracować i korzystać z nich w procesach negocjacyjnych. Polska jest ważnym partnerem gospodarczym Niemiec, źródłem olbrzymich korzyści dla Holandii itd.. Z tego powodu powinniśmy domagać się wzajemności – dbałości o rozwój polskiego ekosystemu ICT, które podupadł głównie z powodu błędnej polityki UE w minionych 30-u latach.</w:t>
            </w:r>
          </w:p>
          <w:p w14:paraId="67C0D3D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8.4. Współpraca regionalna: realizm vs. ambicja</w:t>
            </w:r>
          </w:p>
          <w:p w14:paraId="6B8C442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PSP postuluje mikroregion Polska-Czechy-Saksonia. KIGEiT ocenia tę koncepcję jako trudną do realizacji ze względu na ogromne dysproporcje poziomu rozwoju przemysłu półprzewodnikowego w tych krajach. Znacznie bardziej realistyczna byłaby współpraca polskiego przemysłu elektronicznego (EMS/sprzęt) z niemieckim i francuskim przemysłem półprzewodnikowym, wykorzystująca komplementarność kompetencji, potrzeb i specjalizacji.</w:t>
            </w:r>
          </w:p>
          <w:p w14:paraId="7F1FBD4B"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Natomiast z uznaniem należy podejść do koncepcji rozwoju przemysłu półprzewodnikowego na Śląsku – stworzyłoby to perspektywę transformacji przemysłowej, z wykorzystaniem istniejących kompetencji i potencjału edukacyjnego AGH.</w:t>
            </w:r>
          </w:p>
          <w:p w14:paraId="7FADF5BB"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8.5. Ryzyka subsydiowania enklaw</w:t>
            </w:r>
          </w:p>
          <w:p w14:paraId="4FB90124"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ESMC Drezno: TSMC kontroluje IP, europejscy partnerzy mają po 10%. Inwestycje motywowane wyłącznie dotacjami nie budują ekosystemu. Foxconn Wisconsin, TSMC Arizona, Intel Magdeburg i CyberMicro potwierdzają: bez łańcucha wartości i długofalowej woli politycznej żadna dotacja nie zapewni trwałej produkcji.</w:t>
            </w:r>
          </w:p>
          <w:p w14:paraId="076DA5D0"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8.6. Precedensy historyczne</w:t>
            </w:r>
          </w:p>
          <w:p w14:paraId="147EC6F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USA: 4% PCB, brak MLCC, CHIPS Act krytykowany za enklawy bez ekosystemu.</w:t>
            </w:r>
          </w:p>
          <w:p w14:paraId="5EA410F4"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Japonia: z &gt;50% do ~9% chipów, ale utrzymała ekosystem dzięki Keiretsu3.</w:t>
            </w:r>
          </w:p>
          <w:p w14:paraId="30CFF35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Chiny: 150–200 mld USD, ~18% foundry, budowały cały ekosystem, nie faby.</w:t>
            </w:r>
          </w:p>
          <w:p w14:paraId="34B8556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Tajwan: 71% foundry = 40 lat polityki z pełnym łańcuchem + kadrami (Morris Chang).</w:t>
            </w:r>
          </w:p>
          <w:p w14:paraId="565175D3" w14:textId="1EB16514"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 Polska/CyberMicro: projekt linii pilotażowej 2017/18, porzucony z przyczyn politycznych – ostrzeżenie przed powtarzaniem błędów.</w:t>
            </w:r>
          </w:p>
        </w:tc>
        <w:tc>
          <w:tcPr>
            <w:tcW w:w="4859" w:type="dxa"/>
            <w:tcBorders>
              <w:top w:val="single" w:sz="4" w:space="0" w:color="auto"/>
              <w:left w:val="single" w:sz="4" w:space="0" w:color="auto"/>
              <w:bottom w:val="single" w:sz="4" w:space="0" w:color="auto"/>
              <w:right w:val="single" w:sz="4" w:space="0" w:color="auto"/>
            </w:tcBorders>
          </w:tcPr>
          <w:p w14:paraId="5DE2C4E6" w14:textId="77777777" w:rsidR="00904E16" w:rsidRPr="004F425A" w:rsidRDefault="00F574A2" w:rsidP="004F425A">
            <w:pPr>
              <w:spacing w:after="120" w:line="240" w:lineRule="auto"/>
              <w:rPr>
                <w:rStyle w:val="Ppogrubienie"/>
                <w:rFonts w:ascii="Lato" w:eastAsia="Lato" w:hAnsi="Lato" w:cs="Lato"/>
                <w:b w:val="0"/>
                <w:sz w:val="20"/>
                <w:szCs w:val="20"/>
              </w:rPr>
            </w:pPr>
            <w:r w:rsidRPr="004F425A">
              <w:rPr>
                <w:rStyle w:val="Ppogrubienie"/>
                <w:rFonts w:ascii="Lato" w:hAnsi="Lato"/>
                <w:sz w:val="20"/>
                <w:szCs w:val="20"/>
              </w:rPr>
              <w:t>Uwaga częściowo uwzględniona</w:t>
            </w:r>
            <w:r w:rsidRPr="004F425A">
              <w:rPr>
                <w:rStyle w:val="Ppogrubienie"/>
                <w:rFonts w:ascii="Lato" w:eastAsia="Lato" w:hAnsi="Lato" w:cs="Lato"/>
                <w:b w:val="0"/>
                <w:sz w:val="20"/>
                <w:szCs w:val="20"/>
              </w:rPr>
              <w:t xml:space="preserve"> </w:t>
            </w:r>
            <w:r w:rsidR="00904E16" w:rsidRPr="004F425A">
              <w:rPr>
                <w:rStyle w:val="Ppogrubienie"/>
                <w:rFonts w:ascii="Lato" w:eastAsia="Lato" w:hAnsi="Lato" w:cs="Lato"/>
                <w:b w:val="0"/>
                <w:sz w:val="20"/>
                <w:szCs w:val="20"/>
              </w:rPr>
              <w:t xml:space="preserve">. </w:t>
            </w:r>
          </w:p>
          <w:p w14:paraId="651170B6" w14:textId="4BA040CD" w:rsidR="00F574A2" w:rsidRPr="004F425A" w:rsidRDefault="00F574A2" w:rsidP="004F425A">
            <w:pPr>
              <w:spacing w:after="120" w:line="240" w:lineRule="auto"/>
              <w:rPr>
                <w:rFonts w:ascii="Lato" w:eastAsia="Lato" w:hAnsi="Lato" w:cs="Lato"/>
                <w:sz w:val="20"/>
                <w:szCs w:val="20"/>
              </w:rPr>
            </w:pPr>
            <w:r w:rsidRPr="004F425A">
              <w:rPr>
                <w:rStyle w:val="Ppogrubienie"/>
                <w:rFonts w:ascii="Lato" w:eastAsia="Lato" w:hAnsi="Lato" w:cs="Lato"/>
                <w:b w:val="0"/>
                <w:sz w:val="20"/>
                <w:szCs w:val="20"/>
              </w:rPr>
              <w:t xml:space="preserve"> </w:t>
            </w:r>
            <w:r w:rsidRPr="004F425A">
              <w:rPr>
                <w:rFonts w:ascii="Lato" w:eastAsia="Lato" w:hAnsi="Lato" w:cs="Lato"/>
                <w:sz w:val="20"/>
                <w:szCs w:val="20"/>
              </w:rPr>
              <w:t xml:space="preserve">Europejski wymiar współpracy został uzupełniony o odniesienie do deklaracja Semicon Coalition z września 2025. Dodatkowo w dokumencie podkreślono wagę współpracy z globalnymi liderami wskazując, że powinna uwzględniać również rozwijające się inicjatywy międzynarodowe, w tym koncepcję Pax Silica oraz dyskutowane porozumienie UE i USA dotyczące surowców krytycznych, które mogą stanowić istotny element budowy bezpiecznych i odpornych partnerstw technologicznych A także odniesiono się do relacji z Tajwanem. </w:t>
            </w:r>
          </w:p>
          <w:p w14:paraId="0E21F081" w14:textId="505120C9"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W pozostałym zakresie kontekst europejski i międzynarodowy odzwierciedla charakter i cel dokumentu.</w:t>
            </w:r>
          </w:p>
        </w:tc>
      </w:tr>
      <w:tr w:rsidR="004471C5" w:rsidRPr="004F425A" w14:paraId="4390AB96" w14:textId="77777777" w:rsidTr="79FF9703">
        <w:tc>
          <w:tcPr>
            <w:tcW w:w="1425" w:type="dxa"/>
            <w:tcBorders>
              <w:top w:val="single" w:sz="4" w:space="0" w:color="auto"/>
              <w:left w:val="single" w:sz="4" w:space="0" w:color="auto"/>
              <w:bottom w:val="single" w:sz="4" w:space="0" w:color="auto"/>
              <w:right w:val="single" w:sz="4" w:space="0" w:color="auto"/>
            </w:tcBorders>
          </w:tcPr>
          <w:p w14:paraId="532AF365"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6D320ECA" w14:textId="3D2E3C1F"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Krajowa Izba Gospodarcza Elektroniki i Telekomunikacji</w:t>
            </w:r>
          </w:p>
        </w:tc>
        <w:tc>
          <w:tcPr>
            <w:tcW w:w="5387" w:type="dxa"/>
            <w:tcBorders>
              <w:top w:val="single" w:sz="4" w:space="0" w:color="auto"/>
              <w:left w:val="single" w:sz="4" w:space="0" w:color="auto"/>
              <w:bottom w:val="single" w:sz="4" w:space="0" w:color="auto"/>
              <w:right w:val="single" w:sz="4" w:space="0" w:color="auto"/>
            </w:tcBorders>
          </w:tcPr>
          <w:p w14:paraId="593D277B" w14:textId="717C7A9A"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Rekomendacje KIGEiT</w:t>
            </w:r>
          </w:p>
          <w:p w14:paraId="1A208FF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W świetle powyższej analizy, przedstawiamy rekomendacje KIGEiT.</w:t>
            </w:r>
          </w:p>
          <w:p w14:paraId="6E40FC35"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9.1. Postulaty dot. współpracy międzynarodowej na poziomie UE</w:t>
            </w:r>
          </w:p>
          <w:p w14:paraId="4E185D8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1. Zaangażowanie w proces wychodzenia z porozumienia ITA i Memorandum e-commerce.</w:t>
            </w:r>
          </w:p>
          <w:p w14:paraId="17C93A5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2. Buy European Act – 60–75% europejskiej zawartości (Stanford-Vienna 2025: zgodność z WTO).</w:t>
            </w:r>
          </w:p>
          <w:p w14:paraId="1DD01930"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3. Konsolidacja zamówień obronnych – EMAT z wymogiem europejskiego pochodzenia.</w:t>
            </w:r>
          </w:p>
          <w:p w14:paraId="53630A6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4. Strategia „mature-node-first” – węzły ≥28 nm (67–70% produkcji).</w:t>
            </w:r>
          </w:p>
          <w:p w14:paraId="1992BB3B"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5. Fundusz cierpliwego kapitału – 50 mld EUR, horyzont 15–20 lat.</w:t>
            </w:r>
          </w:p>
          <w:p w14:paraId="2D25878C"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6. Budowa nowych dźwigni negocjacyjnych w negocjacjach z krajami trzecimi takich jak dostęp do technologii, produktów, rynku, również w innych segmentach gospodarki.</w:t>
            </w:r>
          </w:p>
          <w:p w14:paraId="13CDD9C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7. Współpraca PL-DE – polski EMS/sprzęt + niemiecki przemysł półprzewodnikowy (realistyczniejsza niż mikroregion PL-CZ-Saksonia). Wypracowanie polskiej pozycją negocjacyjnej w tym aspekcie mogą być równoległe przygotowania alternatywnych modeli współpracy np. z Francją lub Włochami.</w:t>
            </w:r>
          </w:p>
          <w:p w14:paraId="5B2891E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9.2. Działania na poziomie krajowym</w:t>
            </w:r>
          </w:p>
          <w:p w14:paraId="3E72AA0E"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1. Przeformułowanie celu – odbudowa zastosowań specjalizowanej mikroelektroniki w polskim przemyśle, z priorytetem obronności i infrastruktury krytycznej.</w:t>
            </w:r>
          </w:p>
          <w:p w14:paraId="4FF2B214"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2. Model warstwowy ekosystemu ICT jako rama polityki – zamiast „chips-only”, realizacja „Silicon to Systems” (dokumenty branży EU IX/XI 2025). To otwiera drogę do nowych materiałów i przyrządów dla energoelektroniki i fotoniki.</w:t>
            </w:r>
          </w:p>
          <w:p w14:paraId="2CA67EAF"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3. Pilotażowa linia produkcji ASIC – przemysłowa (nie akademicka), z licencją technologiczną, wspierana porozumieniami na szczeblu politycznym, sąsiadująca z linią doświadczalną (aktualizacja koncepcji CyberMicro).</w:t>
            </w:r>
          </w:p>
          <w:p w14:paraId="0A56DC1D"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4. Polityka popytowa – preferencje w zamówieniach publicznych, wdrożenia pilotażowe w obronności.</w:t>
            </w:r>
          </w:p>
          <w:p w14:paraId="4147048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5. Działania DCE – systematyczne upowszechnianie możliwości ASIC wśród polskiego przemysłu dla przełamania kręgu niemożności.</w:t>
            </w:r>
          </w:p>
          <w:p w14:paraId="5C85672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6. Wsparcie skalowania istniejących firm – instrumenty na wzrost wolumenu, ulgi inwestycyjne w obszarach, w których utworzono warunki trwałej opłacalności.</w:t>
            </w:r>
          </w:p>
          <w:p w14:paraId="04D391F9"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7. Kadry: ścieżki kariery i diaspora – system zachęt budujących perspektywę kariery; aktywne włączenie powracających specjalistów.</w:t>
            </w:r>
          </w:p>
          <w:p w14:paraId="4393BD85"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8. Korekta sekwencji: produkcja przed parkiem – park technologiczny jako efekt a nie punkt wyjścia budowy ekosystemu.</w:t>
            </w:r>
          </w:p>
          <w:p w14:paraId="15DA7CC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9. Dedykowane wsparcie PCB/PCBA – 300–500 mln PLN, próg 10–20 mln zł; modernizacja linii (automatyzacja, AOI/ICT, traceability, cyberbezpieczeństwo); stworzenie komercyjnych podstaw do tworzenia rezerw strategicznych materiałów na 3–6 miesięcy.</w:t>
            </w:r>
          </w:p>
          <w:p w14:paraId="79F16928"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10. Zamówienia pre-komercyjne (PCP) – kompletne platformy sprzętowe (chip → PCB → montaż → integracja) dla obronności, infrastruktury krytycznej, medycyny i automatyki.</w:t>
            </w:r>
          </w:p>
          <w:p w14:paraId="3D5C0A55"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11. Kotwica obronna – wymogi europejskiej zawartości elektronicznej w obronności, infrastrukturze i zakładach produkcji strategicznej</w:t>
            </w:r>
          </w:p>
          <w:p w14:paraId="346E4196" w14:textId="0F0540D0"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12. Ochrona prawna strategii długoterminowych – prawna niezależność od cyklu wyborczego, porozumienia międzyresortowe (lekcja CyberMicro).</w:t>
            </w:r>
          </w:p>
        </w:tc>
        <w:tc>
          <w:tcPr>
            <w:tcW w:w="4859" w:type="dxa"/>
            <w:tcBorders>
              <w:top w:val="single" w:sz="4" w:space="0" w:color="auto"/>
              <w:left w:val="single" w:sz="4" w:space="0" w:color="auto"/>
              <w:bottom w:val="single" w:sz="4" w:space="0" w:color="auto"/>
              <w:right w:val="single" w:sz="4" w:space="0" w:color="auto"/>
            </w:tcBorders>
          </w:tcPr>
          <w:p w14:paraId="71012FCB" w14:textId="3EEA2A4A" w:rsidR="00F574A2" w:rsidRPr="004F425A" w:rsidRDefault="00F574A2" w:rsidP="004F425A">
            <w:pPr>
              <w:spacing w:after="120" w:line="240" w:lineRule="auto"/>
              <w:rPr>
                <w:rStyle w:val="Ppogrubienie"/>
                <w:rFonts w:ascii="Lato" w:eastAsia="Lato" w:hAnsi="Lato" w:cs="Lato"/>
                <w:b w:val="0"/>
                <w:sz w:val="20"/>
                <w:szCs w:val="20"/>
              </w:rPr>
            </w:pPr>
            <w:r w:rsidRPr="004F425A">
              <w:rPr>
                <w:rStyle w:val="Ppogrubienie"/>
                <w:rFonts w:ascii="Lato" w:hAnsi="Lato"/>
                <w:sz w:val="20"/>
                <w:szCs w:val="20"/>
              </w:rPr>
              <w:t>Uwaga nieuwzględniona.</w:t>
            </w:r>
            <w:r w:rsidRPr="004F425A">
              <w:rPr>
                <w:rStyle w:val="Ppogrubienie"/>
                <w:rFonts w:ascii="Lato" w:eastAsia="Lato" w:hAnsi="Lato" w:cs="Lato"/>
                <w:b w:val="0"/>
                <w:sz w:val="20"/>
                <w:szCs w:val="20"/>
              </w:rPr>
              <w:t xml:space="preserve"> -</w:t>
            </w:r>
          </w:p>
          <w:p w14:paraId="751A988E" w14:textId="5593625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Postulat dotyczy zagadnień wykraczających poza poziom ogólności dokumentu strategicznego. Właściwym miejscem jego uwzględnienia są akty wykonawcze i dokumenty wdrożeniowe</w:t>
            </w:r>
          </w:p>
        </w:tc>
      </w:tr>
      <w:tr w:rsidR="004471C5" w:rsidRPr="004F425A" w14:paraId="6D8C86F2" w14:textId="77777777" w:rsidTr="79FF9703">
        <w:tc>
          <w:tcPr>
            <w:tcW w:w="1425" w:type="dxa"/>
            <w:tcBorders>
              <w:top w:val="single" w:sz="4" w:space="0" w:color="auto"/>
              <w:left w:val="single" w:sz="4" w:space="0" w:color="auto"/>
              <w:bottom w:val="single" w:sz="4" w:space="0" w:color="auto"/>
              <w:right w:val="single" w:sz="4" w:space="0" w:color="auto"/>
            </w:tcBorders>
          </w:tcPr>
          <w:p w14:paraId="7FF371E9" w14:textId="77777777" w:rsidR="00F574A2" w:rsidRPr="004F425A" w:rsidRDefault="00F574A2" w:rsidP="004F425A">
            <w:pPr>
              <w:pStyle w:val="Akapitzlist"/>
              <w:numPr>
                <w:ilvl w:val="0"/>
                <w:numId w:val="3"/>
              </w:numPr>
              <w:spacing w:after="120" w:line="240" w:lineRule="auto"/>
              <w:contextualSpacing w:val="0"/>
              <w:rPr>
                <w:rFonts w:ascii="Lato" w:eastAsia="Lato" w:hAnsi="Lato" w:cs="Lato"/>
                <w:sz w:val="20"/>
                <w:szCs w:val="20"/>
              </w:rPr>
            </w:pPr>
          </w:p>
        </w:tc>
        <w:tc>
          <w:tcPr>
            <w:tcW w:w="2363" w:type="dxa"/>
            <w:tcBorders>
              <w:top w:val="single" w:sz="4" w:space="0" w:color="auto"/>
              <w:left w:val="single" w:sz="4" w:space="0" w:color="auto"/>
              <w:bottom w:val="single" w:sz="4" w:space="0" w:color="auto"/>
              <w:right w:val="single" w:sz="4" w:space="0" w:color="auto"/>
            </w:tcBorders>
          </w:tcPr>
          <w:p w14:paraId="174C984E" w14:textId="7F09B4FE"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Krajowa Izba Gospodarcza Elektroniki i Telekomunikacji</w:t>
            </w:r>
          </w:p>
        </w:tc>
        <w:tc>
          <w:tcPr>
            <w:tcW w:w="5387" w:type="dxa"/>
            <w:tcBorders>
              <w:top w:val="single" w:sz="4" w:space="0" w:color="auto"/>
              <w:left w:val="single" w:sz="4" w:space="0" w:color="auto"/>
              <w:bottom w:val="single" w:sz="4" w:space="0" w:color="auto"/>
              <w:right w:val="single" w:sz="4" w:space="0" w:color="auto"/>
            </w:tcBorders>
          </w:tcPr>
          <w:p w14:paraId="6CB4BC17"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KIGEiT postuluje utworzyć jasny spis zadań dla strony rządowej, który będą służyć rzeczywistej realizacji przyjętego celu w podziale na 3 grupy.</w:t>
            </w:r>
          </w:p>
          <w:p w14:paraId="6CA0BE41"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1. Zdefiniowanie polityki budowy warunków dla opłacalnej działalności produkcyjnej przemysłu ICT w UE, a w szczególności zbiór zadań mających na celu likwidację warunków, które doprowadziły do katastrofy ekosystemu ICT w UE i zahamowały rozwój technologiczny Polski.</w:t>
            </w:r>
          </w:p>
          <w:p w14:paraId="6DAFC636"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2. Opis zbioru narzędzi finansowych adekwatnych do celów i niezbędnego przyspieszenia procesu rewitalizacji zakładów produkcyjnych ekosystemu ICT, uwzględniających warunki opłacalności każdego typu produkcji w Polsce i UE.</w:t>
            </w:r>
          </w:p>
          <w:p w14:paraId="0B53F68A" w14:textId="77777777"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3. Zdefiniowanie nakładów na edukację, naukę i B+R o skali adekwatnej do wielkości i rodzaju wspieranych oraz finansowanych projektów rewitalizacji przemysłu produkcyjnego.</w:t>
            </w:r>
          </w:p>
          <w:p w14:paraId="707BB8CE" w14:textId="2F25B56B" w:rsidR="00F574A2" w:rsidRPr="004F425A" w:rsidRDefault="00F574A2" w:rsidP="004F425A">
            <w:pPr>
              <w:autoSpaceDE w:val="0"/>
              <w:autoSpaceDN w:val="0"/>
              <w:adjustRightInd w:val="0"/>
              <w:spacing w:after="120" w:line="240" w:lineRule="auto"/>
              <w:rPr>
                <w:rFonts w:ascii="Lato" w:eastAsia="Lato" w:hAnsi="Lato" w:cs="Lato"/>
                <w:sz w:val="20"/>
                <w:szCs w:val="20"/>
              </w:rPr>
            </w:pPr>
            <w:r w:rsidRPr="004F425A">
              <w:rPr>
                <w:rFonts w:ascii="Lato" w:eastAsia="Lato" w:hAnsi="Lato" w:cs="Lato"/>
                <w:sz w:val="20"/>
                <w:szCs w:val="20"/>
              </w:rPr>
              <w:t>Deklarujemy, współpracę naszych ekspertów w pracach nad zdefiniowaniem spisu zadań dla strony rządowej, które będą służyć rzeczywistej realizacji dokumentu „Polska w grze o przyszłość – polityka dla sektora półprzewodników 2026+”. Celowe byłoby przeprowadzenie spotkania ekspertów KIGEiT i rządowych.</w:t>
            </w:r>
          </w:p>
        </w:tc>
        <w:tc>
          <w:tcPr>
            <w:tcW w:w="4859" w:type="dxa"/>
            <w:tcBorders>
              <w:top w:val="single" w:sz="4" w:space="0" w:color="auto"/>
              <w:left w:val="single" w:sz="4" w:space="0" w:color="auto"/>
              <w:bottom w:val="single" w:sz="4" w:space="0" w:color="auto"/>
              <w:right w:val="single" w:sz="4" w:space="0" w:color="auto"/>
            </w:tcBorders>
          </w:tcPr>
          <w:p w14:paraId="20ADC17D" w14:textId="423734A8" w:rsidR="00F574A2" w:rsidRPr="004F425A" w:rsidRDefault="00F574A2" w:rsidP="004F425A">
            <w:pPr>
              <w:spacing w:after="120" w:line="240" w:lineRule="auto"/>
              <w:rPr>
                <w:rStyle w:val="Ppogrubienie"/>
                <w:rFonts w:ascii="Lato" w:hAnsi="Lato"/>
                <w:sz w:val="20"/>
                <w:szCs w:val="20"/>
              </w:rPr>
            </w:pPr>
            <w:r w:rsidRPr="004F425A">
              <w:rPr>
                <w:rStyle w:val="Ppogrubienie"/>
                <w:rFonts w:ascii="Lato" w:hAnsi="Lato"/>
                <w:sz w:val="20"/>
                <w:szCs w:val="20"/>
              </w:rPr>
              <w:t>Uwaga nieuwzględniona.</w:t>
            </w:r>
          </w:p>
          <w:p w14:paraId="310EF138" w14:textId="44E4A403" w:rsidR="00F574A2" w:rsidRPr="004F425A" w:rsidRDefault="00F574A2" w:rsidP="004F425A">
            <w:pPr>
              <w:spacing w:after="120" w:line="240" w:lineRule="auto"/>
              <w:rPr>
                <w:rFonts w:ascii="Lato" w:eastAsia="Lato" w:hAnsi="Lato" w:cs="Lato"/>
                <w:sz w:val="20"/>
                <w:szCs w:val="20"/>
              </w:rPr>
            </w:pPr>
            <w:r w:rsidRPr="004F425A">
              <w:rPr>
                <w:rFonts w:ascii="Lato" w:eastAsia="Lato" w:hAnsi="Lato" w:cs="Lato"/>
                <w:sz w:val="20"/>
                <w:szCs w:val="20"/>
              </w:rPr>
              <w:t>Postulat dotyczy zagadnień wykraczających poza poziom ogólności dokumentu strategicznego. Właściwym miejscem jego uwzględnienia są akty wykonawcze i dokumenty wdrożeniowe.</w:t>
            </w:r>
          </w:p>
        </w:tc>
      </w:tr>
    </w:tbl>
    <w:p w14:paraId="4D3F33A6" w14:textId="17C6679D" w:rsidR="00FD7BC2" w:rsidRPr="004F425A" w:rsidRDefault="00FD7BC2" w:rsidP="004F425A">
      <w:pPr>
        <w:spacing w:after="120" w:line="240" w:lineRule="auto"/>
        <w:jc w:val="both"/>
        <w:rPr>
          <w:rFonts w:ascii="Lato" w:eastAsia="Lato" w:hAnsi="Lato" w:cs="Lato"/>
          <w:sz w:val="20"/>
          <w:szCs w:val="20"/>
        </w:rPr>
      </w:pPr>
    </w:p>
    <w:sectPr w:rsidR="00FD7BC2" w:rsidRPr="004F425A" w:rsidSect="00244699">
      <w:footerReference w:type="default" r:id="rId15"/>
      <w:pgSz w:w="16838" w:h="11906" w:orient="landscape"/>
      <w:pgMar w:top="993" w:right="1417" w:bottom="56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495ACF" w14:textId="77777777" w:rsidR="00A752FF" w:rsidRDefault="00A752FF" w:rsidP="00735AA5">
      <w:pPr>
        <w:spacing w:after="0" w:line="240" w:lineRule="auto"/>
      </w:pPr>
      <w:r>
        <w:separator/>
      </w:r>
    </w:p>
  </w:endnote>
  <w:endnote w:type="continuationSeparator" w:id="0">
    <w:p w14:paraId="569FCA93" w14:textId="77777777" w:rsidR="00A752FF" w:rsidRDefault="00A752FF" w:rsidP="00735AA5">
      <w:pPr>
        <w:spacing w:after="0" w:line="240" w:lineRule="auto"/>
      </w:pPr>
      <w:r>
        <w:continuationSeparator/>
      </w:r>
    </w:p>
  </w:endnote>
  <w:endnote w:type="continuationNotice" w:id="1">
    <w:p w14:paraId="55DC31E7" w14:textId="77777777" w:rsidR="00A752FF" w:rsidRDefault="00A752F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charset w:val="00"/>
    <w:family w:val="swiss"/>
    <w:pitch w:val="variable"/>
    <w:sig w:usb0="E10002FF" w:usb1="5000ECFF" w:usb2="00000021"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Times">
    <w:panose1 w:val="02020603050405020304"/>
    <w:charset w:val="EE"/>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HAnsi" w:eastAsiaTheme="majorEastAsia" w:hAnsiTheme="majorHAnsi" w:cstheme="majorBidi"/>
        <w:sz w:val="28"/>
        <w:szCs w:val="28"/>
      </w:rPr>
      <w:id w:val="-937132730"/>
      <w:docPartObj>
        <w:docPartGallery w:val="Page Numbers (Bottom of Page)"/>
        <w:docPartUnique/>
      </w:docPartObj>
    </w:sdtPr>
    <w:sdtContent>
      <w:p w14:paraId="18CCF93F" w14:textId="08F66822" w:rsidR="00FD4A18" w:rsidRDefault="00FD4A18">
        <w:pPr>
          <w:pStyle w:val="Stopka"/>
          <w:jc w:val="right"/>
          <w:rPr>
            <w:rFonts w:asciiTheme="majorHAnsi" w:eastAsiaTheme="majorEastAsia" w:hAnsiTheme="majorHAnsi" w:cstheme="majorBidi"/>
            <w:sz w:val="28"/>
            <w:szCs w:val="28"/>
          </w:rPr>
        </w:pPr>
        <w:r>
          <w:rPr>
            <w:rFonts w:asciiTheme="majorHAnsi" w:eastAsiaTheme="majorEastAsia" w:hAnsiTheme="majorHAnsi" w:cstheme="majorBidi"/>
            <w:sz w:val="28"/>
            <w:szCs w:val="28"/>
          </w:rPr>
          <w:t xml:space="preserve">str. </w:t>
        </w:r>
        <w:r>
          <w:rPr>
            <w:rFonts w:eastAsiaTheme="minorEastAsia" w:cs="Times New Roman"/>
          </w:rPr>
          <w:fldChar w:fldCharType="begin"/>
        </w:r>
        <w:r>
          <w:instrText>PAGE    \* MERGEFORMAT</w:instrText>
        </w:r>
        <w:r>
          <w:rPr>
            <w:rFonts w:eastAsiaTheme="minorEastAsia" w:cs="Times New Roman"/>
          </w:rPr>
          <w:fldChar w:fldCharType="separate"/>
        </w:r>
        <w:r>
          <w:rPr>
            <w:rFonts w:asciiTheme="majorHAnsi" w:eastAsiaTheme="majorEastAsia" w:hAnsiTheme="majorHAnsi" w:cstheme="majorBidi"/>
            <w:sz w:val="28"/>
            <w:szCs w:val="28"/>
          </w:rPr>
          <w:t>2</w:t>
        </w:r>
        <w:r>
          <w:rPr>
            <w:rFonts w:asciiTheme="majorHAnsi" w:eastAsiaTheme="majorEastAsia" w:hAnsiTheme="majorHAnsi" w:cstheme="majorBidi"/>
            <w:sz w:val="28"/>
            <w:szCs w:val="28"/>
          </w:rPr>
          <w:fldChar w:fldCharType="end"/>
        </w:r>
      </w:p>
    </w:sdtContent>
  </w:sdt>
  <w:p w14:paraId="1FF13A2E" w14:textId="77777777" w:rsidR="00735AA5" w:rsidRDefault="00735AA5">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7B9373" w14:textId="77777777" w:rsidR="00A752FF" w:rsidRDefault="00A752FF" w:rsidP="00735AA5">
      <w:pPr>
        <w:spacing w:after="0" w:line="240" w:lineRule="auto"/>
      </w:pPr>
      <w:r>
        <w:separator/>
      </w:r>
    </w:p>
  </w:footnote>
  <w:footnote w:type="continuationSeparator" w:id="0">
    <w:p w14:paraId="3DB7744F" w14:textId="77777777" w:rsidR="00A752FF" w:rsidRDefault="00A752FF" w:rsidP="00735AA5">
      <w:pPr>
        <w:spacing w:after="0" w:line="240" w:lineRule="auto"/>
      </w:pPr>
      <w:r>
        <w:continuationSeparator/>
      </w:r>
    </w:p>
  </w:footnote>
  <w:footnote w:type="continuationNotice" w:id="1">
    <w:p w14:paraId="0F603E60" w14:textId="77777777" w:rsidR="00A752FF" w:rsidRDefault="00A752FF">
      <w:pPr>
        <w:spacing w:after="0" w:line="240" w:lineRule="auto"/>
      </w:pPr>
    </w:p>
  </w:footnote>
  <w:footnote w:id="2">
    <w:p w14:paraId="1BEA0111" w14:textId="77777777" w:rsidR="00F574A2" w:rsidRDefault="00F574A2" w:rsidP="00196ED2">
      <w:pPr>
        <w:pStyle w:val="Tekstprzypisudolnego"/>
        <w:rPr>
          <w:lang w:val="en-GB"/>
        </w:rPr>
      </w:pPr>
      <w:r>
        <w:rPr>
          <w:rStyle w:val="Odwoanieprzypisudolnego"/>
        </w:rPr>
        <w:footnoteRef/>
      </w:r>
      <w:r>
        <w:rPr>
          <w:lang w:val="en-GB"/>
        </w:rPr>
        <w:t xml:space="preserve"> </w:t>
      </w:r>
      <w:hyperlink r:id="rId1" w:history="1">
        <w:r>
          <w:rPr>
            <w:rStyle w:val="Hipercze"/>
            <w:lang w:val="en-GB"/>
          </w:rPr>
          <w:t>2025.12.01-15.17_IndustryEndorsement_FullDocument.pdf</w:t>
        </w:r>
      </w:hyperlink>
    </w:p>
  </w:footnote>
  <w:footnote w:id="3">
    <w:p w14:paraId="7B37B53A" w14:textId="77777777" w:rsidR="00F574A2" w:rsidRDefault="00F574A2" w:rsidP="00196ED2">
      <w:pPr>
        <w:pStyle w:val="Tekstprzypisudolnego"/>
        <w:rPr>
          <w:lang w:val="en-GB"/>
        </w:rPr>
      </w:pPr>
      <w:r>
        <w:rPr>
          <w:rStyle w:val="Odwoanieprzypisudolnego"/>
        </w:rPr>
        <w:footnoteRef/>
      </w:r>
      <w:r>
        <w:rPr>
          <w:lang w:val="en-GB"/>
        </w:rPr>
        <w:t xml:space="preserve"> </w:t>
      </w:r>
      <w:hyperlink r:id="rId2" w:history="1">
        <w:r>
          <w:rPr>
            <w:rStyle w:val="Hipercze"/>
            <w:lang w:val="en-GB"/>
          </w:rPr>
          <w:t>GlobalElectronicsAssocChipsActPlusPosition.pdf</w:t>
        </w:r>
      </w:hyperlink>
    </w:p>
  </w:footnote>
  <w:footnote w:id="4">
    <w:p w14:paraId="6AE53D3B" w14:textId="77777777" w:rsidR="00F574A2" w:rsidRDefault="00F574A2" w:rsidP="00E84A03">
      <w:pPr>
        <w:pStyle w:val="Tekstprzypisudolnego"/>
        <w:rPr>
          <w:kern w:val="2"/>
          <w:lang w:val="en-GB"/>
        </w:rPr>
      </w:pPr>
      <w:r>
        <w:rPr>
          <w:rStyle w:val="Odwoanieprzypisudolnego"/>
        </w:rPr>
        <w:footnoteRef/>
      </w:r>
      <w:r>
        <w:rPr>
          <w:lang w:val="en-GB"/>
        </w:rPr>
        <w:t xml:space="preserve"> https://youtu.be/r_8XClnnvIk?si=1Qdfcmd4K5rfIaHN</w:t>
      </w:r>
    </w:p>
    <w:p w14:paraId="776B0175" w14:textId="77777777" w:rsidR="00F574A2" w:rsidRDefault="00F574A2" w:rsidP="00E84A03">
      <w:pPr>
        <w:pStyle w:val="Tekstprzypisudolnego"/>
        <w:rPr>
          <w:lang w:val="en-GB"/>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10097D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97FDA68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98A02C7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E1DA93EF"/>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0111133F"/>
    <w:multiLevelType w:val="hybridMultilevel"/>
    <w:tmpl w:val="FFFFFFFF"/>
    <w:lvl w:ilvl="0" w:tplc="A6B02908">
      <w:start w:val="1"/>
      <w:numFmt w:val="decimal"/>
      <w:lvlText w:val="%1."/>
      <w:lvlJc w:val="left"/>
      <w:pPr>
        <w:ind w:left="1080" w:hanging="360"/>
      </w:pPr>
    </w:lvl>
    <w:lvl w:ilvl="1" w:tplc="85CEB9C8">
      <w:start w:val="1"/>
      <w:numFmt w:val="lowerLetter"/>
      <w:lvlText w:val="%2."/>
      <w:lvlJc w:val="left"/>
      <w:pPr>
        <w:ind w:left="1800" w:hanging="360"/>
      </w:pPr>
    </w:lvl>
    <w:lvl w:ilvl="2" w:tplc="C6F43AF6">
      <w:start w:val="1"/>
      <w:numFmt w:val="lowerRoman"/>
      <w:lvlText w:val="%3."/>
      <w:lvlJc w:val="right"/>
      <w:pPr>
        <w:ind w:left="2520" w:hanging="180"/>
      </w:pPr>
    </w:lvl>
    <w:lvl w:ilvl="3" w:tplc="72A46F4E">
      <w:start w:val="1"/>
      <w:numFmt w:val="decimal"/>
      <w:lvlText w:val="%4."/>
      <w:lvlJc w:val="left"/>
      <w:pPr>
        <w:ind w:left="3240" w:hanging="360"/>
      </w:pPr>
    </w:lvl>
    <w:lvl w:ilvl="4" w:tplc="8748702A">
      <w:start w:val="1"/>
      <w:numFmt w:val="lowerLetter"/>
      <w:lvlText w:val="%5."/>
      <w:lvlJc w:val="left"/>
      <w:pPr>
        <w:ind w:left="3960" w:hanging="360"/>
      </w:pPr>
    </w:lvl>
    <w:lvl w:ilvl="5" w:tplc="9CCCD35E">
      <w:start w:val="1"/>
      <w:numFmt w:val="lowerRoman"/>
      <w:lvlText w:val="%6."/>
      <w:lvlJc w:val="right"/>
      <w:pPr>
        <w:ind w:left="4680" w:hanging="180"/>
      </w:pPr>
    </w:lvl>
    <w:lvl w:ilvl="6" w:tplc="500C4482">
      <w:start w:val="1"/>
      <w:numFmt w:val="decimal"/>
      <w:lvlText w:val="%7."/>
      <w:lvlJc w:val="left"/>
      <w:pPr>
        <w:ind w:left="5400" w:hanging="360"/>
      </w:pPr>
    </w:lvl>
    <w:lvl w:ilvl="7" w:tplc="8AE2AC7E">
      <w:start w:val="1"/>
      <w:numFmt w:val="lowerLetter"/>
      <w:lvlText w:val="%8."/>
      <w:lvlJc w:val="left"/>
      <w:pPr>
        <w:ind w:left="6120" w:hanging="360"/>
      </w:pPr>
    </w:lvl>
    <w:lvl w:ilvl="8" w:tplc="F14217A0">
      <w:start w:val="1"/>
      <w:numFmt w:val="lowerRoman"/>
      <w:lvlText w:val="%9."/>
      <w:lvlJc w:val="right"/>
      <w:pPr>
        <w:ind w:left="6840" w:hanging="180"/>
      </w:pPr>
    </w:lvl>
  </w:abstractNum>
  <w:abstractNum w:abstractNumId="5" w15:restartNumberingAfterBreak="0">
    <w:nsid w:val="04B67806"/>
    <w:multiLevelType w:val="multilevel"/>
    <w:tmpl w:val="B6682A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4F25D50"/>
    <w:multiLevelType w:val="multilevel"/>
    <w:tmpl w:val="20C6AE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59A1311"/>
    <w:multiLevelType w:val="multilevel"/>
    <w:tmpl w:val="4C5253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B933D85"/>
    <w:multiLevelType w:val="hybridMultilevel"/>
    <w:tmpl w:val="9A787A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0D576537"/>
    <w:multiLevelType w:val="multilevel"/>
    <w:tmpl w:val="803AD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EA009B1"/>
    <w:multiLevelType w:val="hybridMultilevel"/>
    <w:tmpl w:val="FFFFFFFF"/>
    <w:lvl w:ilvl="0" w:tplc="EACC4F32">
      <w:start w:val="1"/>
      <w:numFmt w:val="decimal"/>
      <w:lvlText w:val="%1."/>
      <w:lvlJc w:val="left"/>
      <w:pPr>
        <w:ind w:left="360" w:hanging="360"/>
      </w:pPr>
    </w:lvl>
    <w:lvl w:ilvl="1" w:tplc="AFCE0518">
      <w:start w:val="1"/>
      <w:numFmt w:val="lowerLetter"/>
      <w:lvlText w:val="%2."/>
      <w:lvlJc w:val="left"/>
      <w:pPr>
        <w:ind w:left="1080" w:hanging="360"/>
      </w:pPr>
    </w:lvl>
    <w:lvl w:ilvl="2" w:tplc="D1BCB6B6">
      <w:start w:val="1"/>
      <w:numFmt w:val="lowerRoman"/>
      <w:lvlText w:val="%3."/>
      <w:lvlJc w:val="right"/>
      <w:pPr>
        <w:ind w:left="1800" w:hanging="180"/>
      </w:pPr>
    </w:lvl>
    <w:lvl w:ilvl="3" w:tplc="19287C46">
      <w:start w:val="1"/>
      <w:numFmt w:val="decimal"/>
      <w:lvlText w:val="%4."/>
      <w:lvlJc w:val="left"/>
      <w:pPr>
        <w:ind w:left="2520" w:hanging="360"/>
      </w:pPr>
    </w:lvl>
    <w:lvl w:ilvl="4" w:tplc="EF9AAD40">
      <w:start w:val="1"/>
      <w:numFmt w:val="lowerLetter"/>
      <w:lvlText w:val="%5."/>
      <w:lvlJc w:val="left"/>
      <w:pPr>
        <w:ind w:left="3240" w:hanging="360"/>
      </w:pPr>
    </w:lvl>
    <w:lvl w:ilvl="5" w:tplc="020246C8">
      <w:start w:val="1"/>
      <w:numFmt w:val="lowerRoman"/>
      <w:lvlText w:val="%6."/>
      <w:lvlJc w:val="right"/>
      <w:pPr>
        <w:ind w:left="3960" w:hanging="180"/>
      </w:pPr>
    </w:lvl>
    <w:lvl w:ilvl="6" w:tplc="C406981E">
      <w:start w:val="1"/>
      <w:numFmt w:val="decimal"/>
      <w:lvlText w:val="%7."/>
      <w:lvlJc w:val="left"/>
      <w:pPr>
        <w:ind w:left="4680" w:hanging="360"/>
      </w:pPr>
    </w:lvl>
    <w:lvl w:ilvl="7" w:tplc="5B6A642A">
      <w:start w:val="1"/>
      <w:numFmt w:val="lowerLetter"/>
      <w:lvlText w:val="%8."/>
      <w:lvlJc w:val="left"/>
      <w:pPr>
        <w:ind w:left="5400" w:hanging="360"/>
      </w:pPr>
    </w:lvl>
    <w:lvl w:ilvl="8" w:tplc="3F841D48">
      <w:start w:val="1"/>
      <w:numFmt w:val="lowerRoman"/>
      <w:lvlText w:val="%9."/>
      <w:lvlJc w:val="right"/>
      <w:pPr>
        <w:ind w:left="6120" w:hanging="180"/>
      </w:pPr>
    </w:lvl>
  </w:abstractNum>
  <w:abstractNum w:abstractNumId="11" w15:restartNumberingAfterBreak="0">
    <w:nsid w:val="0EED5F64"/>
    <w:multiLevelType w:val="multilevel"/>
    <w:tmpl w:val="7D64C6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0F5FD3E5"/>
    <w:multiLevelType w:val="hybridMultilevel"/>
    <w:tmpl w:val="FFFFFFFF"/>
    <w:lvl w:ilvl="0" w:tplc="8E861F66">
      <w:start w:val="1"/>
      <w:numFmt w:val="decimal"/>
      <w:lvlText w:val="%1."/>
      <w:lvlJc w:val="left"/>
      <w:pPr>
        <w:ind w:left="1080" w:hanging="360"/>
      </w:pPr>
    </w:lvl>
    <w:lvl w:ilvl="1" w:tplc="F3D6200C">
      <w:start w:val="1"/>
      <w:numFmt w:val="lowerLetter"/>
      <w:lvlText w:val="%2."/>
      <w:lvlJc w:val="left"/>
      <w:pPr>
        <w:ind w:left="1800" w:hanging="360"/>
      </w:pPr>
    </w:lvl>
    <w:lvl w:ilvl="2" w:tplc="D1CE5DEE">
      <w:start w:val="1"/>
      <w:numFmt w:val="lowerRoman"/>
      <w:lvlText w:val="%3."/>
      <w:lvlJc w:val="right"/>
      <w:pPr>
        <w:ind w:left="2520" w:hanging="180"/>
      </w:pPr>
    </w:lvl>
    <w:lvl w:ilvl="3" w:tplc="D0D29F08">
      <w:start w:val="1"/>
      <w:numFmt w:val="decimal"/>
      <w:lvlText w:val="%4."/>
      <w:lvlJc w:val="left"/>
      <w:pPr>
        <w:ind w:left="3240" w:hanging="360"/>
      </w:pPr>
    </w:lvl>
    <w:lvl w:ilvl="4" w:tplc="A3DCC35A">
      <w:start w:val="1"/>
      <w:numFmt w:val="lowerLetter"/>
      <w:lvlText w:val="%5."/>
      <w:lvlJc w:val="left"/>
      <w:pPr>
        <w:ind w:left="3960" w:hanging="360"/>
      </w:pPr>
    </w:lvl>
    <w:lvl w:ilvl="5" w:tplc="D6421950">
      <w:start w:val="1"/>
      <w:numFmt w:val="lowerRoman"/>
      <w:lvlText w:val="%6."/>
      <w:lvlJc w:val="right"/>
      <w:pPr>
        <w:ind w:left="4680" w:hanging="180"/>
      </w:pPr>
    </w:lvl>
    <w:lvl w:ilvl="6" w:tplc="74986878">
      <w:start w:val="1"/>
      <w:numFmt w:val="decimal"/>
      <w:lvlText w:val="%7."/>
      <w:lvlJc w:val="left"/>
      <w:pPr>
        <w:ind w:left="5400" w:hanging="360"/>
      </w:pPr>
    </w:lvl>
    <w:lvl w:ilvl="7" w:tplc="354C14D6">
      <w:start w:val="1"/>
      <w:numFmt w:val="lowerLetter"/>
      <w:lvlText w:val="%8."/>
      <w:lvlJc w:val="left"/>
      <w:pPr>
        <w:ind w:left="6120" w:hanging="360"/>
      </w:pPr>
    </w:lvl>
    <w:lvl w:ilvl="8" w:tplc="D3B8E064">
      <w:start w:val="1"/>
      <w:numFmt w:val="lowerRoman"/>
      <w:lvlText w:val="%9."/>
      <w:lvlJc w:val="right"/>
      <w:pPr>
        <w:ind w:left="6840" w:hanging="180"/>
      </w:pPr>
    </w:lvl>
  </w:abstractNum>
  <w:abstractNum w:abstractNumId="13" w15:restartNumberingAfterBreak="0">
    <w:nsid w:val="109D78F1"/>
    <w:multiLevelType w:val="hybridMultilevel"/>
    <w:tmpl w:val="25CED34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4" w15:restartNumberingAfterBreak="0">
    <w:nsid w:val="123771E7"/>
    <w:multiLevelType w:val="hybridMultilevel"/>
    <w:tmpl w:val="F7A2BCF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158848F3"/>
    <w:multiLevelType w:val="multilevel"/>
    <w:tmpl w:val="A25667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18A942D0"/>
    <w:multiLevelType w:val="hybridMultilevel"/>
    <w:tmpl w:val="FB62636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B21EA70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E7E7D94"/>
    <w:multiLevelType w:val="multilevel"/>
    <w:tmpl w:val="DDF211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15F74A8"/>
    <w:multiLevelType w:val="multilevel"/>
    <w:tmpl w:val="3F3E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69F6770"/>
    <w:multiLevelType w:val="hybridMultilevel"/>
    <w:tmpl w:val="A2F6400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29EF7700"/>
    <w:multiLevelType w:val="multilevel"/>
    <w:tmpl w:val="3ADC87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B40756B"/>
    <w:multiLevelType w:val="multilevel"/>
    <w:tmpl w:val="9664E7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EF4482D"/>
    <w:multiLevelType w:val="hybridMultilevel"/>
    <w:tmpl w:val="07A49E90"/>
    <w:lvl w:ilvl="0" w:tplc="8D348004">
      <w:start w:val="1"/>
      <w:numFmt w:val="decimal"/>
      <w:lvlText w:val="%1."/>
      <w:lvlJc w:val="left"/>
      <w:pPr>
        <w:ind w:left="786" w:hanging="360"/>
      </w:pPr>
    </w:lvl>
    <w:lvl w:ilvl="1" w:tplc="80BE91B8">
      <w:start w:val="1"/>
      <w:numFmt w:val="lowerLetter"/>
      <w:lvlText w:val="%2."/>
      <w:lvlJc w:val="left"/>
      <w:pPr>
        <w:ind w:left="1440" w:hanging="360"/>
      </w:pPr>
    </w:lvl>
    <w:lvl w:ilvl="2" w:tplc="EB303CA4">
      <w:start w:val="1"/>
      <w:numFmt w:val="lowerRoman"/>
      <w:lvlText w:val="%3."/>
      <w:lvlJc w:val="right"/>
      <w:pPr>
        <w:ind w:left="2160" w:hanging="180"/>
      </w:pPr>
    </w:lvl>
    <w:lvl w:ilvl="3" w:tplc="CAF22278">
      <w:start w:val="1"/>
      <w:numFmt w:val="decimal"/>
      <w:lvlText w:val="%4."/>
      <w:lvlJc w:val="left"/>
      <w:pPr>
        <w:ind w:left="2880" w:hanging="360"/>
      </w:pPr>
    </w:lvl>
    <w:lvl w:ilvl="4" w:tplc="C0C4C9C4">
      <w:start w:val="1"/>
      <w:numFmt w:val="lowerLetter"/>
      <w:lvlText w:val="%5."/>
      <w:lvlJc w:val="left"/>
      <w:pPr>
        <w:ind w:left="3600" w:hanging="360"/>
      </w:pPr>
    </w:lvl>
    <w:lvl w:ilvl="5" w:tplc="11BCAD3C">
      <w:start w:val="1"/>
      <w:numFmt w:val="lowerRoman"/>
      <w:lvlText w:val="%6."/>
      <w:lvlJc w:val="right"/>
      <w:pPr>
        <w:ind w:left="4320" w:hanging="180"/>
      </w:pPr>
    </w:lvl>
    <w:lvl w:ilvl="6" w:tplc="8B92D470">
      <w:start w:val="1"/>
      <w:numFmt w:val="decimal"/>
      <w:lvlText w:val="%7."/>
      <w:lvlJc w:val="left"/>
      <w:pPr>
        <w:ind w:left="5040" w:hanging="360"/>
      </w:pPr>
    </w:lvl>
    <w:lvl w:ilvl="7" w:tplc="83281962">
      <w:start w:val="1"/>
      <w:numFmt w:val="lowerLetter"/>
      <w:lvlText w:val="%8."/>
      <w:lvlJc w:val="left"/>
      <w:pPr>
        <w:ind w:left="5760" w:hanging="360"/>
      </w:pPr>
    </w:lvl>
    <w:lvl w:ilvl="8" w:tplc="23BA031C">
      <w:start w:val="1"/>
      <w:numFmt w:val="lowerRoman"/>
      <w:lvlText w:val="%9."/>
      <w:lvlJc w:val="right"/>
      <w:pPr>
        <w:ind w:left="6480" w:hanging="180"/>
      </w:pPr>
    </w:lvl>
  </w:abstractNum>
  <w:abstractNum w:abstractNumId="23" w15:restartNumberingAfterBreak="0">
    <w:nsid w:val="30AA28A3"/>
    <w:multiLevelType w:val="multilevel"/>
    <w:tmpl w:val="64B02D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315D02F0"/>
    <w:multiLevelType w:val="hybridMultilevel"/>
    <w:tmpl w:val="E5708608"/>
    <w:lvl w:ilvl="0" w:tplc="04150001">
      <w:start w:val="1"/>
      <w:numFmt w:val="bullet"/>
      <w:lvlText w:val=""/>
      <w:lvlJc w:val="left"/>
      <w:pPr>
        <w:ind w:left="1068" w:hanging="360"/>
      </w:pPr>
      <w:rPr>
        <w:rFonts w:ascii="Symbol" w:hAnsi="Symbol" w:hint="default"/>
      </w:rPr>
    </w:lvl>
    <w:lvl w:ilvl="1" w:tplc="04150003">
      <w:start w:val="1"/>
      <w:numFmt w:val="bullet"/>
      <w:lvlText w:val="o"/>
      <w:lvlJc w:val="left"/>
      <w:pPr>
        <w:ind w:left="1788" w:hanging="360"/>
      </w:pPr>
      <w:rPr>
        <w:rFonts w:ascii="Courier New" w:hAnsi="Courier New" w:cs="Courier New" w:hint="default"/>
      </w:rPr>
    </w:lvl>
    <w:lvl w:ilvl="2" w:tplc="04150005" w:tentative="1">
      <w:start w:val="1"/>
      <w:numFmt w:val="bullet"/>
      <w:lvlText w:val=""/>
      <w:lvlJc w:val="left"/>
      <w:pPr>
        <w:ind w:left="2508" w:hanging="360"/>
      </w:pPr>
      <w:rPr>
        <w:rFonts w:ascii="Wingdings" w:hAnsi="Wingdings" w:hint="default"/>
      </w:rPr>
    </w:lvl>
    <w:lvl w:ilvl="3" w:tplc="04150001" w:tentative="1">
      <w:start w:val="1"/>
      <w:numFmt w:val="bullet"/>
      <w:lvlText w:val=""/>
      <w:lvlJc w:val="left"/>
      <w:pPr>
        <w:ind w:left="3228" w:hanging="360"/>
      </w:pPr>
      <w:rPr>
        <w:rFonts w:ascii="Symbol" w:hAnsi="Symbol" w:hint="default"/>
      </w:rPr>
    </w:lvl>
    <w:lvl w:ilvl="4" w:tplc="04150003" w:tentative="1">
      <w:start w:val="1"/>
      <w:numFmt w:val="bullet"/>
      <w:lvlText w:val="o"/>
      <w:lvlJc w:val="left"/>
      <w:pPr>
        <w:ind w:left="3948" w:hanging="360"/>
      </w:pPr>
      <w:rPr>
        <w:rFonts w:ascii="Courier New" w:hAnsi="Courier New" w:cs="Courier New" w:hint="default"/>
      </w:rPr>
    </w:lvl>
    <w:lvl w:ilvl="5" w:tplc="04150005" w:tentative="1">
      <w:start w:val="1"/>
      <w:numFmt w:val="bullet"/>
      <w:lvlText w:val=""/>
      <w:lvlJc w:val="left"/>
      <w:pPr>
        <w:ind w:left="4668" w:hanging="360"/>
      </w:pPr>
      <w:rPr>
        <w:rFonts w:ascii="Wingdings" w:hAnsi="Wingdings" w:hint="default"/>
      </w:rPr>
    </w:lvl>
    <w:lvl w:ilvl="6" w:tplc="04150001" w:tentative="1">
      <w:start w:val="1"/>
      <w:numFmt w:val="bullet"/>
      <w:lvlText w:val=""/>
      <w:lvlJc w:val="left"/>
      <w:pPr>
        <w:ind w:left="5388" w:hanging="360"/>
      </w:pPr>
      <w:rPr>
        <w:rFonts w:ascii="Symbol" w:hAnsi="Symbol" w:hint="default"/>
      </w:rPr>
    </w:lvl>
    <w:lvl w:ilvl="7" w:tplc="04150003" w:tentative="1">
      <w:start w:val="1"/>
      <w:numFmt w:val="bullet"/>
      <w:lvlText w:val="o"/>
      <w:lvlJc w:val="left"/>
      <w:pPr>
        <w:ind w:left="6108" w:hanging="360"/>
      </w:pPr>
      <w:rPr>
        <w:rFonts w:ascii="Courier New" w:hAnsi="Courier New" w:cs="Courier New" w:hint="default"/>
      </w:rPr>
    </w:lvl>
    <w:lvl w:ilvl="8" w:tplc="04150005" w:tentative="1">
      <w:start w:val="1"/>
      <w:numFmt w:val="bullet"/>
      <w:lvlText w:val=""/>
      <w:lvlJc w:val="left"/>
      <w:pPr>
        <w:ind w:left="6828" w:hanging="360"/>
      </w:pPr>
      <w:rPr>
        <w:rFonts w:ascii="Wingdings" w:hAnsi="Wingdings" w:hint="default"/>
      </w:rPr>
    </w:lvl>
  </w:abstractNum>
  <w:abstractNum w:abstractNumId="25" w15:restartNumberingAfterBreak="0">
    <w:nsid w:val="34A01065"/>
    <w:multiLevelType w:val="hybridMultilevel"/>
    <w:tmpl w:val="7986A15E"/>
    <w:lvl w:ilvl="0" w:tplc="0415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35DEEEDE"/>
    <w:multiLevelType w:val="hybridMultilevel"/>
    <w:tmpl w:val="FFFFFFFF"/>
    <w:lvl w:ilvl="0" w:tplc="C75EF7E6">
      <w:start w:val="1"/>
      <w:numFmt w:val="decimal"/>
      <w:lvlText w:val="%1."/>
      <w:lvlJc w:val="left"/>
      <w:pPr>
        <w:ind w:left="1080" w:hanging="360"/>
      </w:pPr>
    </w:lvl>
    <w:lvl w:ilvl="1" w:tplc="F710C01A">
      <w:start w:val="1"/>
      <w:numFmt w:val="lowerLetter"/>
      <w:lvlText w:val="%2."/>
      <w:lvlJc w:val="left"/>
      <w:pPr>
        <w:ind w:left="1800" w:hanging="360"/>
      </w:pPr>
    </w:lvl>
    <w:lvl w:ilvl="2" w:tplc="5C581840">
      <w:start w:val="1"/>
      <w:numFmt w:val="lowerRoman"/>
      <w:lvlText w:val="%3."/>
      <w:lvlJc w:val="right"/>
      <w:pPr>
        <w:ind w:left="2520" w:hanging="180"/>
      </w:pPr>
    </w:lvl>
    <w:lvl w:ilvl="3" w:tplc="C0D4F740">
      <w:start w:val="1"/>
      <w:numFmt w:val="decimal"/>
      <w:lvlText w:val="%4."/>
      <w:lvlJc w:val="left"/>
      <w:pPr>
        <w:ind w:left="3240" w:hanging="360"/>
      </w:pPr>
    </w:lvl>
    <w:lvl w:ilvl="4" w:tplc="FC02A098">
      <w:start w:val="1"/>
      <w:numFmt w:val="lowerLetter"/>
      <w:lvlText w:val="%5."/>
      <w:lvlJc w:val="left"/>
      <w:pPr>
        <w:ind w:left="3960" w:hanging="360"/>
      </w:pPr>
    </w:lvl>
    <w:lvl w:ilvl="5" w:tplc="52F88CD2">
      <w:start w:val="1"/>
      <w:numFmt w:val="lowerRoman"/>
      <w:lvlText w:val="%6."/>
      <w:lvlJc w:val="right"/>
      <w:pPr>
        <w:ind w:left="4680" w:hanging="180"/>
      </w:pPr>
    </w:lvl>
    <w:lvl w:ilvl="6" w:tplc="D5E6876E">
      <w:start w:val="1"/>
      <w:numFmt w:val="decimal"/>
      <w:lvlText w:val="%7."/>
      <w:lvlJc w:val="left"/>
      <w:pPr>
        <w:ind w:left="5400" w:hanging="360"/>
      </w:pPr>
    </w:lvl>
    <w:lvl w:ilvl="7" w:tplc="0234CFC4">
      <w:start w:val="1"/>
      <w:numFmt w:val="lowerLetter"/>
      <w:lvlText w:val="%8."/>
      <w:lvlJc w:val="left"/>
      <w:pPr>
        <w:ind w:left="6120" w:hanging="360"/>
      </w:pPr>
    </w:lvl>
    <w:lvl w:ilvl="8" w:tplc="420C28C6">
      <w:start w:val="1"/>
      <w:numFmt w:val="lowerRoman"/>
      <w:lvlText w:val="%9."/>
      <w:lvlJc w:val="right"/>
      <w:pPr>
        <w:ind w:left="6840" w:hanging="180"/>
      </w:pPr>
    </w:lvl>
  </w:abstractNum>
  <w:abstractNum w:abstractNumId="27" w15:restartNumberingAfterBreak="0">
    <w:nsid w:val="38194E1F"/>
    <w:multiLevelType w:val="multilevel"/>
    <w:tmpl w:val="A224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B766CE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3C5377A1"/>
    <w:multiLevelType w:val="multilevel"/>
    <w:tmpl w:val="57D03B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ascii="Lato" w:eastAsia="Lato" w:hAnsi="Lato" w:cs="Lato" w:hint="default"/>
        <w:color w:val="auto"/>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C8F707E"/>
    <w:multiLevelType w:val="hybridMultilevel"/>
    <w:tmpl w:val="2938C41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3EC67292"/>
    <w:multiLevelType w:val="hybridMultilevel"/>
    <w:tmpl w:val="62ACF9B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2" w15:restartNumberingAfterBreak="0">
    <w:nsid w:val="46487AB9"/>
    <w:multiLevelType w:val="multilevel"/>
    <w:tmpl w:val="D2A8F4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7FF4FD6"/>
    <w:multiLevelType w:val="multilevel"/>
    <w:tmpl w:val="179C0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8594CFD"/>
    <w:multiLevelType w:val="multilevel"/>
    <w:tmpl w:val="8DA0C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4A8E63BC"/>
    <w:multiLevelType w:val="multilevel"/>
    <w:tmpl w:val="C108C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C094887"/>
    <w:multiLevelType w:val="hybridMultilevel"/>
    <w:tmpl w:val="F7A2BCFA"/>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7" w15:restartNumberingAfterBreak="0">
    <w:nsid w:val="4C5355B5"/>
    <w:multiLevelType w:val="hybridMultilevel"/>
    <w:tmpl w:val="991AE5E4"/>
    <w:lvl w:ilvl="0" w:tplc="04150001">
      <w:start w:val="1"/>
      <w:numFmt w:val="bullet"/>
      <w:lvlText w:val=""/>
      <w:lvlJc w:val="left"/>
      <w:pPr>
        <w:ind w:left="768" w:hanging="360"/>
      </w:pPr>
      <w:rPr>
        <w:rFonts w:ascii="Symbol" w:hAnsi="Symbol" w:hint="default"/>
      </w:rPr>
    </w:lvl>
    <w:lvl w:ilvl="1" w:tplc="04150003" w:tentative="1">
      <w:start w:val="1"/>
      <w:numFmt w:val="bullet"/>
      <w:lvlText w:val="o"/>
      <w:lvlJc w:val="left"/>
      <w:pPr>
        <w:ind w:left="1488" w:hanging="360"/>
      </w:pPr>
      <w:rPr>
        <w:rFonts w:ascii="Courier New" w:hAnsi="Courier New" w:cs="Courier New" w:hint="default"/>
      </w:rPr>
    </w:lvl>
    <w:lvl w:ilvl="2" w:tplc="04150005" w:tentative="1">
      <w:start w:val="1"/>
      <w:numFmt w:val="bullet"/>
      <w:lvlText w:val=""/>
      <w:lvlJc w:val="left"/>
      <w:pPr>
        <w:ind w:left="2208" w:hanging="360"/>
      </w:pPr>
      <w:rPr>
        <w:rFonts w:ascii="Wingdings" w:hAnsi="Wingdings" w:hint="default"/>
      </w:rPr>
    </w:lvl>
    <w:lvl w:ilvl="3" w:tplc="04150001" w:tentative="1">
      <w:start w:val="1"/>
      <w:numFmt w:val="bullet"/>
      <w:lvlText w:val=""/>
      <w:lvlJc w:val="left"/>
      <w:pPr>
        <w:ind w:left="2928" w:hanging="360"/>
      </w:pPr>
      <w:rPr>
        <w:rFonts w:ascii="Symbol" w:hAnsi="Symbol" w:hint="default"/>
      </w:rPr>
    </w:lvl>
    <w:lvl w:ilvl="4" w:tplc="04150003" w:tentative="1">
      <w:start w:val="1"/>
      <w:numFmt w:val="bullet"/>
      <w:lvlText w:val="o"/>
      <w:lvlJc w:val="left"/>
      <w:pPr>
        <w:ind w:left="3648" w:hanging="360"/>
      </w:pPr>
      <w:rPr>
        <w:rFonts w:ascii="Courier New" w:hAnsi="Courier New" w:cs="Courier New" w:hint="default"/>
      </w:rPr>
    </w:lvl>
    <w:lvl w:ilvl="5" w:tplc="04150005" w:tentative="1">
      <w:start w:val="1"/>
      <w:numFmt w:val="bullet"/>
      <w:lvlText w:val=""/>
      <w:lvlJc w:val="left"/>
      <w:pPr>
        <w:ind w:left="4368" w:hanging="360"/>
      </w:pPr>
      <w:rPr>
        <w:rFonts w:ascii="Wingdings" w:hAnsi="Wingdings" w:hint="default"/>
      </w:rPr>
    </w:lvl>
    <w:lvl w:ilvl="6" w:tplc="04150001" w:tentative="1">
      <w:start w:val="1"/>
      <w:numFmt w:val="bullet"/>
      <w:lvlText w:val=""/>
      <w:lvlJc w:val="left"/>
      <w:pPr>
        <w:ind w:left="5088" w:hanging="360"/>
      </w:pPr>
      <w:rPr>
        <w:rFonts w:ascii="Symbol" w:hAnsi="Symbol" w:hint="default"/>
      </w:rPr>
    </w:lvl>
    <w:lvl w:ilvl="7" w:tplc="04150003" w:tentative="1">
      <w:start w:val="1"/>
      <w:numFmt w:val="bullet"/>
      <w:lvlText w:val="o"/>
      <w:lvlJc w:val="left"/>
      <w:pPr>
        <w:ind w:left="5808" w:hanging="360"/>
      </w:pPr>
      <w:rPr>
        <w:rFonts w:ascii="Courier New" w:hAnsi="Courier New" w:cs="Courier New" w:hint="default"/>
      </w:rPr>
    </w:lvl>
    <w:lvl w:ilvl="8" w:tplc="04150005" w:tentative="1">
      <w:start w:val="1"/>
      <w:numFmt w:val="bullet"/>
      <w:lvlText w:val=""/>
      <w:lvlJc w:val="left"/>
      <w:pPr>
        <w:ind w:left="6528" w:hanging="360"/>
      </w:pPr>
      <w:rPr>
        <w:rFonts w:ascii="Wingdings" w:hAnsi="Wingdings" w:hint="default"/>
      </w:rPr>
    </w:lvl>
  </w:abstractNum>
  <w:abstractNum w:abstractNumId="38" w15:restartNumberingAfterBreak="0">
    <w:nsid w:val="5366C036"/>
    <w:multiLevelType w:val="hybridMultilevel"/>
    <w:tmpl w:val="E29CF7C0"/>
    <w:lvl w:ilvl="0" w:tplc="10D88E7E">
      <w:start w:val="1"/>
      <w:numFmt w:val="decimal"/>
      <w:lvlText w:val="%1."/>
      <w:lvlJc w:val="left"/>
      <w:pPr>
        <w:ind w:left="1080" w:hanging="360"/>
      </w:pPr>
    </w:lvl>
    <w:lvl w:ilvl="1" w:tplc="1B9455B4">
      <w:start w:val="1"/>
      <w:numFmt w:val="lowerLetter"/>
      <w:lvlText w:val="%2."/>
      <w:lvlJc w:val="left"/>
      <w:pPr>
        <w:ind w:left="1800" w:hanging="360"/>
      </w:pPr>
    </w:lvl>
    <w:lvl w:ilvl="2" w:tplc="5F5A529E">
      <w:start w:val="1"/>
      <w:numFmt w:val="lowerRoman"/>
      <w:lvlText w:val="%3."/>
      <w:lvlJc w:val="right"/>
      <w:pPr>
        <w:ind w:left="2520" w:hanging="180"/>
      </w:pPr>
    </w:lvl>
    <w:lvl w:ilvl="3" w:tplc="052A9AC8">
      <w:start w:val="1"/>
      <w:numFmt w:val="decimal"/>
      <w:lvlText w:val="%4."/>
      <w:lvlJc w:val="left"/>
      <w:pPr>
        <w:ind w:left="3240" w:hanging="360"/>
      </w:pPr>
    </w:lvl>
    <w:lvl w:ilvl="4" w:tplc="57A0FD3C">
      <w:start w:val="1"/>
      <w:numFmt w:val="lowerLetter"/>
      <w:lvlText w:val="%5."/>
      <w:lvlJc w:val="left"/>
      <w:pPr>
        <w:ind w:left="3960" w:hanging="360"/>
      </w:pPr>
    </w:lvl>
    <w:lvl w:ilvl="5" w:tplc="A6080818">
      <w:start w:val="1"/>
      <w:numFmt w:val="lowerRoman"/>
      <w:lvlText w:val="%6."/>
      <w:lvlJc w:val="right"/>
      <w:pPr>
        <w:ind w:left="4680" w:hanging="180"/>
      </w:pPr>
    </w:lvl>
    <w:lvl w:ilvl="6" w:tplc="C1CEA5CC">
      <w:start w:val="1"/>
      <w:numFmt w:val="decimal"/>
      <w:lvlText w:val="%7."/>
      <w:lvlJc w:val="left"/>
      <w:pPr>
        <w:ind w:left="5400" w:hanging="360"/>
      </w:pPr>
    </w:lvl>
    <w:lvl w:ilvl="7" w:tplc="1010774E">
      <w:start w:val="1"/>
      <w:numFmt w:val="lowerLetter"/>
      <w:lvlText w:val="%8."/>
      <w:lvlJc w:val="left"/>
      <w:pPr>
        <w:ind w:left="6120" w:hanging="360"/>
      </w:pPr>
    </w:lvl>
    <w:lvl w:ilvl="8" w:tplc="752EE6D2">
      <w:start w:val="1"/>
      <w:numFmt w:val="lowerRoman"/>
      <w:lvlText w:val="%9."/>
      <w:lvlJc w:val="right"/>
      <w:pPr>
        <w:ind w:left="6840" w:hanging="180"/>
      </w:pPr>
    </w:lvl>
  </w:abstractNum>
  <w:abstractNum w:abstractNumId="39" w15:restartNumberingAfterBreak="0">
    <w:nsid w:val="53933B49"/>
    <w:multiLevelType w:val="hybridMultilevel"/>
    <w:tmpl w:val="EF4A8254"/>
    <w:lvl w:ilvl="0" w:tplc="7938D8C8">
      <w:start w:val="1"/>
      <w:numFmt w:val="decimal"/>
      <w:lvlText w:val="%1."/>
      <w:lvlJc w:val="left"/>
      <w:pPr>
        <w:ind w:left="720" w:hanging="360"/>
      </w:pPr>
    </w:lvl>
    <w:lvl w:ilvl="1" w:tplc="2090AA10">
      <w:start w:val="1"/>
      <w:numFmt w:val="lowerLetter"/>
      <w:lvlText w:val="%2."/>
      <w:lvlJc w:val="left"/>
      <w:pPr>
        <w:ind w:left="1440" w:hanging="360"/>
      </w:pPr>
    </w:lvl>
    <w:lvl w:ilvl="2" w:tplc="B9128760">
      <w:start w:val="1"/>
      <w:numFmt w:val="lowerRoman"/>
      <w:lvlText w:val="%3."/>
      <w:lvlJc w:val="right"/>
      <w:pPr>
        <w:ind w:left="2160" w:hanging="180"/>
      </w:pPr>
    </w:lvl>
    <w:lvl w:ilvl="3" w:tplc="12E670F6">
      <w:start w:val="1"/>
      <w:numFmt w:val="decimal"/>
      <w:lvlText w:val="%4."/>
      <w:lvlJc w:val="left"/>
      <w:pPr>
        <w:ind w:left="2880" w:hanging="360"/>
      </w:pPr>
    </w:lvl>
    <w:lvl w:ilvl="4" w:tplc="EB2470AE">
      <w:start w:val="1"/>
      <w:numFmt w:val="lowerLetter"/>
      <w:lvlText w:val="%5."/>
      <w:lvlJc w:val="left"/>
      <w:pPr>
        <w:ind w:left="3600" w:hanging="360"/>
      </w:pPr>
    </w:lvl>
    <w:lvl w:ilvl="5" w:tplc="43905E78">
      <w:start w:val="1"/>
      <w:numFmt w:val="lowerRoman"/>
      <w:lvlText w:val="%6."/>
      <w:lvlJc w:val="right"/>
      <w:pPr>
        <w:ind w:left="4320" w:hanging="180"/>
      </w:pPr>
    </w:lvl>
    <w:lvl w:ilvl="6" w:tplc="880470E4">
      <w:start w:val="1"/>
      <w:numFmt w:val="decimal"/>
      <w:lvlText w:val="%7."/>
      <w:lvlJc w:val="left"/>
      <w:pPr>
        <w:ind w:left="5040" w:hanging="360"/>
      </w:pPr>
    </w:lvl>
    <w:lvl w:ilvl="7" w:tplc="60DC765C">
      <w:start w:val="1"/>
      <w:numFmt w:val="lowerLetter"/>
      <w:lvlText w:val="%8."/>
      <w:lvlJc w:val="left"/>
      <w:pPr>
        <w:ind w:left="5760" w:hanging="360"/>
      </w:pPr>
    </w:lvl>
    <w:lvl w:ilvl="8" w:tplc="45AC5892">
      <w:start w:val="1"/>
      <w:numFmt w:val="lowerRoman"/>
      <w:lvlText w:val="%9."/>
      <w:lvlJc w:val="right"/>
      <w:pPr>
        <w:ind w:left="6480" w:hanging="180"/>
      </w:pPr>
    </w:lvl>
  </w:abstractNum>
  <w:abstractNum w:abstractNumId="40" w15:restartNumberingAfterBreak="0">
    <w:nsid w:val="5499EA91"/>
    <w:multiLevelType w:val="hybridMultilevel"/>
    <w:tmpl w:val="FFFFFFFF"/>
    <w:lvl w:ilvl="0" w:tplc="7EEA3F00">
      <w:start w:val="1"/>
      <w:numFmt w:val="decimal"/>
      <w:lvlText w:val="%1."/>
      <w:lvlJc w:val="left"/>
      <w:pPr>
        <w:ind w:left="1080" w:hanging="360"/>
      </w:pPr>
    </w:lvl>
    <w:lvl w:ilvl="1" w:tplc="6BDEA050">
      <w:start w:val="1"/>
      <w:numFmt w:val="lowerLetter"/>
      <w:lvlText w:val="%2."/>
      <w:lvlJc w:val="left"/>
      <w:pPr>
        <w:ind w:left="1800" w:hanging="360"/>
      </w:pPr>
    </w:lvl>
    <w:lvl w:ilvl="2" w:tplc="B9464882">
      <w:start w:val="1"/>
      <w:numFmt w:val="lowerRoman"/>
      <w:lvlText w:val="%3."/>
      <w:lvlJc w:val="right"/>
      <w:pPr>
        <w:ind w:left="2520" w:hanging="180"/>
      </w:pPr>
    </w:lvl>
    <w:lvl w:ilvl="3" w:tplc="21D2F874">
      <w:start w:val="1"/>
      <w:numFmt w:val="decimal"/>
      <w:lvlText w:val="%4."/>
      <w:lvlJc w:val="left"/>
      <w:pPr>
        <w:ind w:left="3240" w:hanging="360"/>
      </w:pPr>
    </w:lvl>
    <w:lvl w:ilvl="4" w:tplc="193EC81A">
      <w:start w:val="1"/>
      <w:numFmt w:val="lowerLetter"/>
      <w:lvlText w:val="%5."/>
      <w:lvlJc w:val="left"/>
      <w:pPr>
        <w:ind w:left="3960" w:hanging="360"/>
      </w:pPr>
    </w:lvl>
    <w:lvl w:ilvl="5" w:tplc="04CC74EC">
      <w:start w:val="1"/>
      <w:numFmt w:val="lowerRoman"/>
      <w:lvlText w:val="%6."/>
      <w:lvlJc w:val="right"/>
      <w:pPr>
        <w:ind w:left="4680" w:hanging="180"/>
      </w:pPr>
    </w:lvl>
    <w:lvl w:ilvl="6" w:tplc="ED78B694">
      <w:start w:val="1"/>
      <w:numFmt w:val="decimal"/>
      <w:lvlText w:val="%7."/>
      <w:lvlJc w:val="left"/>
      <w:pPr>
        <w:ind w:left="5400" w:hanging="360"/>
      </w:pPr>
    </w:lvl>
    <w:lvl w:ilvl="7" w:tplc="CA34B6B4">
      <w:start w:val="1"/>
      <w:numFmt w:val="lowerLetter"/>
      <w:lvlText w:val="%8."/>
      <w:lvlJc w:val="left"/>
      <w:pPr>
        <w:ind w:left="6120" w:hanging="360"/>
      </w:pPr>
    </w:lvl>
    <w:lvl w:ilvl="8" w:tplc="AC8AD7E4">
      <w:start w:val="1"/>
      <w:numFmt w:val="lowerRoman"/>
      <w:lvlText w:val="%9."/>
      <w:lvlJc w:val="right"/>
      <w:pPr>
        <w:ind w:left="6840" w:hanging="180"/>
      </w:pPr>
    </w:lvl>
  </w:abstractNum>
  <w:abstractNum w:abstractNumId="41" w15:restartNumberingAfterBreak="0">
    <w:nsid w:val="5B72675C"/>
    <w:multiLevelType w:val="multilevel"/>
    <w:tmpl w:val="14A663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EA071A5"/>
    <w:multiLevelType w:val="multilevel"/>
    <w:tmpl w:val="20C221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F1574A6"/>
    <w:multiLevelType w:val="multilevel"/>
    <w:tmpl w:val="AF96A3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196747B"/>
    <w:multiLevelType w:val="multilevel"/>
    <w:tmpl w:val="D5142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61F42240"/>
    <w:multiLevelType w:val="multilevel"/>
    <w:tmpl w:val="32703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63A8115D"/>
    <w:multiLevelType w:val="hybridMultilevel"/>
    <w:tmpl w:val="FFFFFFFF"/>
    <w:lvl w:ilvl="0" w:tplc="B90211E8">
      <w:start w:val="1"/>
      <w:numFmt w:val="decimal"/>
      <w:lvlText w:val="%1."/>
      <w:lvlJc w:val="left"/>
      <w:pPr>
        <w:ind w:left="1080" w:hanging="360"/>
      </w:pPr>
    </w:lvl>
    <w:lvl w:ilvl="1" w:tplc="649C250A">
      <w:start w:val="1"/>
      <w:numFmt w:val="lowerLetter"/>
      <w:lvlText w:val="%2."/>
      <w:lvlJc w:val="left"/>
      <w:pPr>
        <w:ind w:left="1800" w:hanging="360"/>
      </w:pPr>
    </w:lvl>
    <w:lvl w:ilvl="2" w:tplc="51106404">
      <w:start w:val="1"/>
      <w:numFmt w:val="lowerRoman"/>
      <w:lvlText w:val="%3."/>
      <w:lvlJc w:val="right"/>
      <w:pPr>
        <w:ind w:left="2520" w:hanging="180"/>
      </w:pPr>
    </w:lvl>
    <w:lvl w:ilvl="3" w:tplc="5CC460C4">
      <w:start w:val="1"/>
      <w:numFmt w:val="decimal"/>
      <w:lvlText w:val="%4."/>
      <w:lvlJc w:val="left"/>
      <w:pPr>
        <w:ind w:left="3240" w:hanging="360"/>
      </w:pPr>
    </w:lvl>
    <w:lvl w:ilvl="4" w:tplc="DEE82A82">
      <w:start w:val="1"/>
      <w:numFmt w:val="lowerLetter"/>
      <w:lvlText w:val="%5."/>
      <w:lvlJc w:val="left"/>
      <w:pPr>
        <w:ind w:left="3960" w:hanging="360"/>
      </w:pPr>
    </w:lvl>
    <w:lvl w:ilvl="5" w:tplc="0E541524">
      <w:start w:val="1"/>
      <w:numFmt w:val="lowerRoman"/>
      <w:lvlText w:val="%6."/>
      <w:lvlJc w:val="right"/>
      <w:pPr>
        <w:ind w:left="4680" w:hanging="180"/>
      </w:pPr>
    </w:lvl>
    <w:lvl w:ilvl="6" w:tplc="4A7CDF56">
      <w:start w:val="1"/>
      <w:numFmt w:val="decimal"/>
      <w:lvlText w:val="%7."/>
      <w:lvlJc w:val="left"/>
      <w:pPr>
        <w:ind w:left="5400" w:hanging="360"/>
      </w:pPr>
    </w:lvl>
    <w:lvl w:ilvl="7" w:tplc="9DB6D484">
      <w:start w:val="1"/>
      <w:numFmt w:val="lowerLetter"/>
      <w:lvlText w:val="%8."/>
      <w:lvlJc w:val="left"/>
      <w:pPr>
        <w:ind w:left="6120" w:hanging="360"/>
      </w:pPr>
    </w:lvl>
    <w:lvl w:ilvl="8" w:tplc="678860AE">
      <w:start w:val="1"/>
      <w:numFmt w:val="lowerRoman"/>
      <w:lvlText w:val="%9."/>
      <w:lvlJc w:val="right"/>
      <w:pPr>
        <w:ind w:left="6840" w:hanging="180"/>
      </w:pPr>
    </w:lvl>
  </w:abstractNum>
  <w:abstractNum w:abstractNumId="47" w15:restartNumberingAfterBreak="0">
    <w:nsid w:val="64060E7D"/>
    <w:multiLevelType w:val="hybridMultilevel"/>
    <w:tmpl w:val="F59604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8" w15:restartNumberingAfterBreak="0">
    <w:nsid w:val="65BB0936"/>
    <w:multiLevelType w:val="multilevel"/>
    <w:tmpl w:val="17C67C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6B9E5EB6"/>
    <w:multiLevelType w:val="multilevel"/>
    <w:tmpl w:val="7FAEC5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6D1F7EF2"/>
    <w:multiLevelType w:val="multilevel"/>
    <w:tmpl w:val="D42400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EC67244"/>
    <w:multiLevelType w:val="multilevel"/>
    <w:tmpl w:val="C726B9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4AE1981"/>
    <w:multiLevelType w:val="hybridMultilevel"/>
    <w:tmpl w:val="530C4748"/>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3" w15:restartNumberingAfterBreak="0">
    <w:nsid w:val="781B7742"/>
    <w:multiLevelType w:val="multilevel"/>
    <w:tmpl w:val="C5B2D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78B7E04B"/>
    <w:multiLevelType w:val="hybridMultilevel"/>
    <w:tmpl w:val="FFFFFFFF"/>
    <w:lvl w:ilvl="0" w:tplc="0EC88B34">
      <w:start w:val="1"/>
      <w:numFmt w:val="decimal"/>
      <w:lvlText w:val="%1."/>
      <w:lvlJc w:val="left"/>
      <w:pPr>
        <w:ind w:left="1080" w:hanging="360"/>
      </w:pPr>
    </w:lvl>
    <w:lvl w:ilvl="1" w:tplc="E2709D00">
      <w:start w:val="1"/>
      <w:numFmt w:val="lowerLetter"/>
      <w:lvlText w:val="%2."/>
      <w:lvlJc w:val="left"/>
      <w:pPr>
        <w:ind w:left="1800" w:hanging="360"/>
      </w:pPr>
    </w:lvl>
    <w:lvl w:ilvl="2" w:tplc="9526582E">
      <w:start w:val="1"/>
      <w:numFmt w:val="lowerRoman"/>
      <w:lvlText w:val="%3."/>
      <w:lvlJc w:val="right"/>
      <w:pPr>
        <w:ind w:left="2520" w:hanging="180"/>
      </w:pPr>
    </w:lvl>
    <w:lvl w:ilvl="3" w:tplc="702E14B0">
      <w:start w:val="1"/>
      <w:numFmt w:val="decimal"/>
      <w:lvlText w:val="%4."/>
      <w:lvlJc w:val="left"/>
      <w:pPr>
        <w:ind w:left="3240" w:hanging="360"/>
      </w:pPr>
    </w:lvl>
    <w:lvl w:ilvl="4" w:tplc="19C893B4">
      <w:start w:val="1"/>
      <w:numFmt w:val="lowerLetter"/>
      <w:lvlText w:val="%5."/>
      <w:lvlJc w:val="left"/>
      <w:pPr>
        <w:ind w:left="3960" w:hanging="360"/>
      </w:pPr>
    </w:lvl>
    <w:lvl w:ilvl="5" w:tplc="0352CB06">
      <w:start w:val="1"/>
      <w:numFmt w:val="lowerRoman"/>
      <w:lvlText w:val="%6."/>
      <w:lvlJc w:val="right"/>
      <w:pPr>
        <w:ind w:left="4680" w:hanging="180"/>
      </w:pPr>
    </w:lvl>
    <w:lvl w:ilvl="6" w:tplc="2DC66666">
      <w:start w:val="1"/>
      <w:numFmt w:val="decimal"/>
      <w:lvlText w:val="%7."/>
      <w:lvlJc w:val="left"/>
      <w:pPr>
        <w:ind w:left="5400" w:hanging="360"/>
      </w:pPr>
    </w:lvl>
    <w:lvl w:ilvl="7" w:tplc="F85C73AC">
      <w:start w:val="1"/>
      <w:numFmt w:val="lowerLetter"/>
      <w:lvlText w:val="%8."/>
      <w:lvlJc w:val="left"/>
      <w:pPr>
        <w:ind w:left="6120" w:hanging="360"/>
      </w:pPr>
    </w:lvl>
    <w:lvl w:ilvl="8" w:tplc="14B0FA8E">
      <w:start w:val="1"/>
      <w:numFmt w:val="lowerRoman"/>
      <w:lvlText w:val="%9."/>
      <w:lvlJc w:val="right"/>
      <w:pPr>
        <w:ind w:left="6840" w:hanging="180"/>
      </w:pPr>
    </w:lvl>
  </w:abstractNum>
  <w:abstractNum w:abstractNumId="55" w15:restartNumberingAfterBreak="0">
    <w:nsid w:val="7E3B6FFE"/>
    <w:multiLevelType w:val="multilevel"/>
    <w:tmpl w:val="66AE84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38884919">
    <w:abstractNumId w:val="22"/>
  </w:num>
  <w:num w:numId="2" w16cid:durableId="871921032">
    <w:abstractNumId w:val="39"/>
  </w:num>
  <w:num w:numId="3" w16cid:durableId="387729347">
    <w:abstractNumId w:val="30"/>
  </w:num>
  <w:num w:numId="4" w16cid:durableId="1893997048">
    <w:abstractNumId w:val="38"/>
  </w:num>
  <w:num w:numId="5" w16cid:durableId="1066756282">
    <w:abstractNumId w:val="28"/>
  </w:num>
  <w:num w:numId="6" w16cid:durableId="779884918">
    <w:abstractNumId w:val="1"/>
  </w:num>
  <w:num w:numId="7" w16cid:durableId="455374380">
    <w:abstractNumId w:val="3"/>
  </w:num>
  <w:num w:numId="8" w16cid:durableId="1570966789">
    <w:abstractNumId w:val="2"/>
  </w:num>
  <w:num w:numId="9" w16cid:durableId="1766223633">
    <w:abstractNumId w:val="0"/>
  </w:num>
  <w:num w:numId="10" w16cid:durableId="494614275">
    <w:abstractNumId w:val="12"/>
  </w:num>
  <w:num w:numId="11" w16cid:durableId="961227662">
    <w:abstractNumId w:val="40"/>
  </w:num>
  <w:num w:numId="12" w16cid:durableId="1130169781">
    <w:abstractNumId w:val="54"/>
  </w:num>
  <w:num w:numId="13" w16cid:durableId="1853911268">
    <w:abstractNumId w:val="26"/>
  </w:num>
  <w:num w:numId="14" w16cid:durableId="2135557198">
    <w:abstractNumId w:val="46"/>
  </w:num>
  <w:num w:numId="15" w16cid:durableId="658463827">
    <w:abstractNumId w:val="50"/>
  </w:num>
  <w:num w:numId="16" w16cid:durableId="1498961988">
    <w:abstractNumId w:val="21"/>
  </w:num>
  <w:num w:numId="17" w16cid:durableId="1214076114">
    <w:abstractNumId w:val="43"/>
  </w:num>
  <w:num w:numId="18" w16cid:durableId="363025605">
    <w:abstractNumId w:val="6"/>
  </w:num>
  <w:num w:numId="19" w16cid:durableId="242616806">
    <w:abstractNumId w:val="34"/>
  </w:num>
  <w:num w:numId="20" w16cid:durableId="1311208862">
    <w:abstractNumId w:val="49"/>
  </w:num>
  <w:num w:numId="21" w16cid:durableId="1016274781">
    <w:abstractNumId w:val="5"/>
  </w:num>
  <w:num w:numId="22" w16cid:durableId="1595362228">
    <w:abstractNumId w:val="42"/>
  </w:num>
  <w:num w:numId="23" w16cid:durableId="1358237455">
    <w:abstractNumId w:val="7"/>
  </w:num>
  <w:num w:numId="24" w16cid:durableId="960578079">
    <w:abstractNumId w:val="45"/>
  </w:num>
  <w:num w:numId="25" w16cid:durableId="202837214">
    <w:abstractNumId w:val="53"/>
  </w:num>
  <w:num w:numId="26" w16cid:durableId="1038437119">
    <w:abstractNumId w:val="32"/>
  </w:num>
  <w:num w:numId="27" w16cid:durableId="1113789427">
    <w:abstractNumId w:val="48"/>
  </w:num>
  <w:num w:numId="28" w16cid:durableId="1429814081">
    <w:abstractNumId w:val="11"/>
  </w:num>
  <w:num w:numId="29" w16cid:durableId="1176724081">
    <w:abstractNumId w:val="20"/>
  </w:num>
  <w:num w:numId="30" w16cid:durableId="293953679">
    <w:abstractNumId w:val="35"/>
  </w:num>
  <w:num w:numId="31" w16cid:durableId="1732073288">
    <w:abstractNumId w:val="15"/>
  </w:num>
  <w:num w:numId="32" w16cid:durableId="1003971658">
    <w:abstractNumId w:val="18"/>
  </w:num>
  <w:num w:numId="33" w16cid:durableId="1401101907">
    <w:abstractNumId w:val="44"/>
  </w:num>
  <w:num w:numId="34" w16cid:durableId="38238672">
    <w:abstractNumId w:val="17"/>
  </w:num>
  <w:num w:numId="35" w16cid:durableId="245893043">
    <w:abstractNumId w:val="51"/>
  </w:num>
  <w:num w:numId="36" w16cid:durableId="1879657681">
    <w:abstractNumId w:val="9"/>
  </w:num>
  <w:num w:numId="37" w16cid:durableId="1571384776">
    <w:abstractNumId w:val="23"/>
  </w:num>
  <w:num w:numId="38" w16cid:durableId="467743431">
    <w:abstractNumId w:val="41"/>
  </w:num>
  <w:num w:numId="39" w16cid:durableId="371468043">
    <w:abstractNumId w:val="29"/>
  </w:num>
  <w:num w:numId="40" w16cid:durableId="700205687">
    <w:abstractNumId w:val="33"/>
  </w:num>
  <w:num w:numId="41" w16cid:durableId="61140068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774180825">
    <w:abstractNumId w:val="25"/>
  </w:num>
  <w:num w:numId="43" w16cid:durableId="862475308">
    <w:abstractNumId w:val="47"/>
  </w:num>
  <w:num w:numId="44" w16cid:durableId="1586917296">
    <w:abstractNumId w:val="13"/>
  </w:num>
  <w:num w:numId="45" w16cid:durableId="2061857944">
    <w:abstractNumId w:val="37"/>
  </w:num>
  <w:num w:numId="46" w16cid:durableId="291598413">
    <w:abstractNumId w:val="8"/>
  </w:num>
  <w:num w:numId="47" w16cid:durableId="2062362780">
    <w:abstractNumId w:val="16"/>
  </w:num>
  <w:num w:numId="48" w16cid:durableId="1489252572">
    <w:abstractNumId w:val="24"/>
  </w:num>
  <w:num w:numId="49" w16cid:durableId="457458651">
    <w:abstractNumId w:val="52"/>
  </w:num>
  <w:num w:numId="50" w16cid:durableId="211347504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73690899">
    <w:abstractNumId w:val="4"/>
  </w:num>
  <w:num w:numId="52" w16cid:durableId="1345127950">
    <w:abstractNumId w:val="27"/>
  </w:num>
  <w:num w:numId="53" w16cid:durableId="112988807">
    <w:abstractNumId w:val="55"/>
  </w:num>
  <w:num w:numId="54" w16cid:durableId="202762880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40075753">
    <w:abstractNumId w:val="14"/>
  </w:num>
  <w:num w:numId="56" w16cid:durableId="360664158">
    <w:abstractNumId w:val="36"/>
  </w:num>
  <w:num w:numId="57" w16cid:durableId="460196762">
    <w:abstractNumId w:val="31"/>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1157"/>
    <w:rsid w:val="000002F3"/>
    <w:rsid w:val="000003E1"/>
    <w:rsid w:val="00000805"/>
    <w:rsid w:val="00000D82"/>
    <w:rsid w:val="00000F53"/>
    <w:rsid w:val="00001E46"/>
    <w:rsid w:val="000021B6"/>
    <w:rsid w:val="00002468"/>
    <w:rsid w:val="000027F7"/>
    <w:rsid w:val="0000293A"/>
    <w:rsid w:val="00002F99"/>
    <w:rsid w:val="00003193"/>
    <w:rsid w:val="000035C8"/>
    <w:rsid w:val="0000393F"/>
    <w:rsid w:val="00005034"/>
    <w:rsid w:val="0000562D"/>
    <w:rsid w:val="00005D8E"/>
    <w:rsid w:val="00005DBB"/>
    <w:rsid w:val="00006081"/>
    <w:rsid w:val="0000675F"/>
    <w:rsid w:val="00006A01"/>
    <w:rsid w:val="00006B59"/>
    <w:rsid w:val="00006C2D"/>
    <w:rsid w:val="00006C96"/>
    <w:rsid w:val="000070AB"/>
    <w:rsid w:val="00007969"/>
    <w:rsid w:val="00007A33"/>
    <w:rsid w:val="000100A0"/>
    <w:rsid w:val="0001073F"/>
    <w:rsid w:val="0001093A"/>
    <w:rsid w:val="00010A91"/>
    <w:rsid w:val="00010E63"/>
    <w:rsid w:val="00011CCF"/>
    <w:rsid w:val="000122C8"/>
    <w:rsid w:val="00012C75"/>
    <w:rsid w:val="00013C67"/>
    <w:rsid w:val="00014335"/>
    <w:rsid w:val="00014348"/>
    <w:rsid w:val="00014C08"/>
    <w:rsid w:val="0001501B"/>
    <w:rsid w:val="0001531F"/>
    <w:rsid w:val="000153D6"/>
    <w:rsid w:val="00015C26"/>
    <w:rsid w:val="0001614E"/>
    <w:rsid w:val="000161F5"/>
    <w:rsid w:val="0001636B"/>
    <w:rsid w:val="00016E72"/>
    <w:rsid w:val="0001710A"/>
    <w:rsid w:val="00017337"/>
    <w:rsid w:val="000179BD"/>
    <w:rsid w:val="00017E22"/>
    <w:rsid w:val="00017EF1"/>
    <w:rsid w:val="00017F99"/>
    <w:rsid w:val="00017FC3"/>
    <w:rsid w:val="000201EB"/>
    <w:rsid w:val="00020425"/>
    <w:rsid w:val="00020502"/>
    <w:rsid w:val="00021225"/>
    <w:rsid w:val="000218AA"/>
    <w:rsid w:val="0002291B"/>
    <w:rsid w:val="00022956"/>
    <w:rsid w:val="00022A37"/>
    <w:rsid w:val="00022A80"/>
    <w:rsid w:val="00022EDC"/>
    <w:rsid w:val="00022F6E"/>
    <w:rsid w:val="00023220"/>
    <w:rsid w:val="000232FE"/>
    <w:rsid w:val="000239A4"/>
    <w:rsid w:val="00023A1D"/>
    <w:rsid w:val="00024059"/>
    <w:rsid w:val="000240F5"/>
    <w:rsid w:val="00024C79"/>
    <w:rsid w:val="00025797"/>
    <w:rsid w:val="00026ABC"/>
    <w:rsid w:val="00027280"/>
    <w:rsid w:val="0002790B"/>
    <w:rsid w:val="00030970"/>
    <w:rsid w:val="000312CB"/>
    <w:rsid w:val="00031707"/>
    <w:rsid w:val="0003171A"/>
    <w:rsid w:val="000319B9"/>
    <w:rsid w:val="00031E7D"/>
    <w:rsid w:val="00032CA0"/>
    <w:rsid w:val="0003304D"/>
    <w:rsid w:val="000332C1"/>
    <w:rsid w:val="00033A96"/>
    <w:rsid w:val="00034644"/>
    <w:rsid w:val="000354B8"/>
    <w:rsid w:val="000356BE"/>
    <w:rsid w:val="0003586D"/>
    <w:rsid w:val="00035D54"/>
    <w:rsid w:val="000361E2"/>
    <w:rsid w:val="00036209"/>
    <w:rsid w:val="000362F7"/>
    <w:rsid w:val="00036601"/>
    <w:rsid w:val="000368D6"/>
    <w:rsid w:val="00037149"/>
    <w:rsid w:val="0003716C"/>
    <w:rsid w:val="0003762E"/>
    <w:rsid w:val="00037890"/>
    <w:rsid w:val="00037D0A"/>
    <w:rsid w:val="0004030F"/>
    <w:rsid w:val="0004052E"/>
    <w:rsid w:val="00040609"/>
    <w:rsid w:val="00040750"/>
    <w:rsid w:val="00041055"/>
    <w:rsid w:val="00041448"/>
    <w:rsid w:val="000414B2"/>
    <w:rsid w:val="000416FE"/>
    <w:rsid w:val="00041C5E"/>
    <w:rsid w:val="0004200D"/>
    <w:rsid w:val="00042595"/>
    <w:rsid w:val="000428A1"/>
    <w:rsid w:val="00042B7C"/>
    <w:rsid w:val="00042D5B"/>
    <w:rsid w:val="000434BD"/>
    <w:rsid w:val="00043864"/>
    <w:rsid w:val="000439FD"/>
    <w:rsid w:val="00043A3D"/>
    <w:rsid w:val="00043A94"/>
    <w:rsid w:val="00043CDA"/>
    <w:rsid w:val="000445CB"/>
    <w:rsid w:val="000445D1"/>
    <w:rsid w:val="00044627"/>
    <w:rsid w:val="0004462F"/>
    <w:rsid w:val="0004472A"/>
    <w:rsid w:val="00045069"/>
    <w:rsid w:val="0004522F"/>
    <w:rsid w:val="00045493"/>
    <w:rsid w:val="0004564C"/>
    <w:rsid w:val="00045A24"/>
    <w:rsid w:val="00045ACF"/>
    <w:rsid w:val="00045ED2"/>
    <w:rsid w:val="000461CF"/>
    <w:rsid w:val="00046840"/>
    <w:rsid w:val="00046900"/>
    <w:rsid w:val="00047194"/>
    <w:rsid w:val="00047253"/>
    <w:rsid w:val="000473DB"/>
    <w:rsid w:val="00050A74"/>
    <w:rsid w:val="00051B68"/>
    <w:rsid w:val="000521EB"/>
    <w:rsid w:val="00052223"/>
    <w:rsid w:val="00052281"/>
    <w:rsid w:val="000522C9"/>
    <w:rsid w:val="00052B6C"/>
    <w:rsid w:val="000534FF"/>
    <w:rsid w:val="00053D65"/>
    <w:rsid w:val="00053E8E"/>
    <w:rsid w:val="0005440D"/>
    <w:rsid w:val="00054E7C"/>
    <w:rsid w:val="000555BE"/>
    <w:rsid w:val="000558F3"/>
    <w:rsid w:val="00055C47"/>
    <w:rsid w:val="00055CCA"/>
    <w:rsid w:val="00055ED9"/>
    <w:rsid w:val="000561B1"/>
    <w:rsid w:val="000566FC"/>
    <w:rsid w:val="000568D3"/>
    <w:rsid w:val="0005719E"/>
    <w:rsid w:val="000571B6"/>
    <w:rsid w:val="00057640"/>
    <w:rsid w:val="000577CC"/>
    <w:rsid w:val="00057837"/>
    <w:rsid w:val="0005A9D7"/>
    <w:rsid w:val="00060754"/>
    <w:rsid w:val="00060DB1"/>
    <w:rsid w:val="000616C1"/>
    <w:rsid w:val="000620FD"/>
    <w:rsid w:val="00063390"/>
    <w:rsid w:val="000639A5"/>
    <w:rsid w:val="00063B65"/>
    <w:rsid w:val="00063FB5"/>
    <w:rsid w:val="0006407F"/>
    <w:rsid w:val="0006412F"/>
    <w:rsid w:val="000645B2"/>
    <w:rsid w:val="0006532D"/>
    <w:rsid w:val="000653CF"/>
    <w:rsid w:val="00065514"/>
    <w:rsid w:val="000662BB"/>
    <w:rsid w:val="00066376"/>
    <w:rsid w:val="000664E6"/>
    <w:rsid w:val="00066723"/>
    <w:rsid w:val="0006741F"/>
    <w:rsid w:val="00070C4A"/>
    <w:rsid w:val="00070D5A"/>
    <w:rsid w:val="00070FA3"/>
    <w:rsid w:val="00071ADF"/>
    <w:rsid w:val="00071C74"/>
    <w:rsid w:val="00071E36"/>
    <w:rsid w:val="000722E6"/>
    <w:rsid w:val="00072F0B"/>
    <w:rsid w:val="00073112"/>
    <w:rsid w:val="00073CE4"/>
    <w:rsid w:val="00073DF1"/>
    <w:rsid w:val="00074001"/>
    <w:rsid w:val="000741A4"/>
    <w:rsid w:val="00074AB9"/>
    <w:rsid w:val="00074C89"/>
    <w:rsid w:val="00074DF2"/>
    <w:rsid w:val="0007502D"/>
    <w:rsid w:val="00075409"/>
    <w:rsid w:val="00075A7D"/>
    <w:rsid w:val="00075B5D"/>
    <w:rsid w:val="00075D0D"/>
    <w:rsid w:val="00075EF4"/>
    <w:rsid w:val="00075F91"/>
    <w:rsid w:val="000765AE"/>
    <w:rsid w:val="000765F3"/>
    <w:rsid w:val="000774D6"/>
    <w:rsid w:val="0007763A"/>
    <w:rsid w:val="00077727"/>
    <w:rsid w:val="00077F19"/>
    <w:rsid w:val="00080075"/>
    <w:rsid w:val="0008098A"/>
    <w:rsid w:val="00080A06"/>
    <w:rsid w:val="00081031"/>
    <w:rsid w:val="00081056"/>
    <w:rsid w:val="00081B9C"/>
    <w:rsid w:val="00081D35"/>
    <w:rsid w:val="00081F71"/>
    <w:rsid w:val="0008206C"/>
    <w:rsid w:val="00082545"/>
    <w:rsid w:val="00082CB2"/>
    <w:rsid w:val="00082E57"/>
    <w:rsid w:val="00083184"/>
    <w:rsid w:val="0008333E"/>
    <w:rsid w:val="00083935"/>
    <w:rsid w:val="00083FC1"/>
    <w:rsid w:val="00084004"/>
    <w:rsid w:val="0008409F"/>
    <w:rsid w:val="00084268"/>
    <w:rsid w:val="00084817"/>
    <w:rsid w:val="00084A2A"/>
    <w:rsid w:val="00084E10"/>
    <w:rsid w:val="00084EAF"/>
    <w:rsid w:val="000852F5"/>
    <w:rsid w:val="00085E2E"/>
    <w:rsid w:val="000861FB"/>
    <w:rsid w:val="000862FD"/>
    <w:rsid w:val="000864EF"/>
    <w:rsid w:val="000868D6"/>
    <w:rsid w:val="000872BD"/>
    <w:rsid w:val="00087AD1"/>
    <w:rsid w:val="00090305"/>
    <w:rsid w:val="000905E7"/>
    <w:rsid w:val="000911E2"/>
    <w:rsid w:val="00091F2A"/>
    <w:rsid w:val="000924DA"/>
    <w:rsid w:val="00092A9C"/>
    <w:rsid w:val="00092ACB"/>
    <w:rsid w:val="0009306F"/>
    <w:rsid w:val="0009312D"/>
    <w:rsid w:val="000932CA"/>
    <w:rsid w:val="00093F29"/>
    <w:rsid w:val="00094268"/>
    <w:rsid w:val="0009498F"/>
    <w:rsid w:val="00095047"/>
    <w:rsid w:val="000956B3"/>
    <w:rsid w:val="000956F2"/>
    <w:rsid w:val="0009589C"/>
    <w:rsid w:val="00095915"/>
    <w:rsid w:val="00095967"/>
    <w:rsid w:val="00095D97"/>
    <w:rsid w:val="00096548"/>
    <w:rsid w:val="00097331"/>
    <w:rsid w:val="0009779F"/>
    <w:rsid w:val="000979DC"/>
    <w:rsid w:val="000A033B"/>
    <w:rsid w:val="000A042D"/>
    <w:rsid w:val="000A045D"/>
    <w:rsid w:val="000A1628"/>
    <w:rsid w:val="000A1882"/>
    <w:rsid w:val="000A22BB"/>
    <w:rsid w:val="000A298C"/>
    <w:rsid w:val="000A2BB3"/>
    <w:rsid w:val="000A2C0A"/>
    <w:rsid w:val="000A2EDE"/>
    <w:rsid w:val="000A32E5"/>
    <w:rsid w:val="000A3884"/>
    <w:rsid w:val="000A39F3"/>
    <w:rsid w:val="000A3D07"/>
    <w:rsid w:val="000A429A"/>
    <w:rsid w:val="000A4D31"/>
    <w:rsid w:val="000A4FE5"/>
    <w:rsid w:val="000A551F"/>
    <w:rsid w:val="000A5D6D"/>
    <w:rsid w:val="000A5D72"/>
    <w:rsid w:val="000A5EE2"/>
    <w:rsid w:val="000A62DB"/>
    <w:rsid w:val="000A672F"/>
    <w:rsid w:val="000A6970"/>
    <w:rsid w:val="000A6E0F"/>
    <w:rsid w:val="000A701E"/>
    <w:rsid w:val="000B0311"/>
    <w:rsid w:val="000B08E1"/>
    <w:rsid w:val="000B0C75"/>
    <w:rsid w:val="000B1157"/>
    <w:rsid w:val="000B16AC"/>
    <w:rsid w:val="000B1861"/>
    <w:rsid w:val="000B1A48"/>
    <w:rsid w:val="000B1AA1"/>
    <w:rsid w:val="000B1D04"/>
    <w:rsid w:val="000B1FD1"/>
    <w:rsid w:val="000B1FF7"/>
    <w:rsid w:val="000B221E"/>
    <w:rsid w:val="000B2939"/>
    <w:rsid w:val="000B2AC8"/>
    <w:rsid w:val="000B311A"/>
    <w:rsid w:val="000B3189"/>
    <w:rsid w:val="000B346A"/>
    <w:rsid w:val="000B3790"/>
    <w:rsid w:val="000B37F6"/>
    <w:rsid w:val="000B388A"/>
    <w:rsid w:val="000B3B4A"/>
    <w:rsid w:val="000B3C25"/>
    <w:rsid w:val="000B3DD7"/>
    <w:rsid w:val="000B402C"/>
    <w:rsid w:val="000B49F6"/>
    <w:rsid w:val="000B4B92"/>
    <w:rsid w:val="000B4FBC"/>
    <w:rsid w:val="000B5466"/>
    <w:rsid w:val="000B5ECE"/>
    <w:rsid w:val="000B62C9"/>
    <w:rsid w:val="000B67DC"/>
    <w:rsid w:val="000B6FD2"/>
    <w:rsid w:val="000B7CCF"/>
    <w:rsid w:val="000C00BA"/>
    <w:rsid w:val="000C01D3"/>
    <w:rsid w:val="000C02C6"/>
    <w:rsid w:val="000C04FA"/>
    <w:rsid w:val="000C0641"/>
    <w:rsid w:val="000C0FFC"/>
    <w:rsid w:val="000C209D"/>
    <w:rsid w:val="000C2269"/>
    <w:rsid w:val="000C2581"/>
    <w:rsid w:val="000C2E71"/>
    <w:rsid w:val="000C3432"/>
    <w:rsid w:val="000C3443"/>
    <w:rsid w:val="000C360E"/>
    <w:rsid w:val="000C361D"/>
    <w:rsid w:val="000C3EFF"/>
    <w:rsid w:val="000C40DA"/>
    <w:rsid w:val="000C511F"/>
    <w:rsid w:val="000C5565"/>
    <w:rsid w:val="000C57E3"/>
    <w:rsid w:val="000C60CF"/>
    <w:rsid w:val="000C62FC"/>
    <w:rsid w:val="000C6C78"/>
    <w:rsid w:val="000C70F2"/>
    <w:rsid w:val="000C712F"/>
    <w:rsid w:val="000C73A8"/>
    <w:rsid w:val="000D0070"/>
    <w:rsid w:val="000D0843"/>
    <w:rsid w:val="000D0CC6"/>
    <w:rsid w:val="000D0ED0"/>
    <w:rsid w:val="000D102E"/>
    <w:rsid w:val="000D13E6"/>
    <w:rsid w:val="000D1404"/>
    <w:rsid w:val="000D186E"/>
    <w:rsid w:val="000D1D4D"/>
    <w:rsid w:val="000D241C"/>
    <w:rsid w:val="000D24B8"/>
    <w:rsid w:val="000D2E38"/>
    <w:rsid w:val="000D2F04"/>
    <w:rsid w:val="000D3780"/>
    <w:rsid w:val="000D448E"/>
    <w:rsid w:val="000D4A9E"/>
    <w:rsid w:val="000D4D69"/>
    <w:rsid w:val="000D4F29"/>
    <w:rsid w:val="000D4F32"/>
    <w:rsid w:val="000D4FAD"/>
    <w:rsid w:val="000D5B0B"/>
    <w:rsid w:val="000D6845"/>
    <w:rsid w:val="000D6BD0"/>
    <w:rsid w:val="000D7461"/>
    <w:rsid w:val="000D7D92"/>
    <w:rsid w:val="000E0047"/>
    <w:rsid w:val="000E00F1"/>
    <w:rsid w:val="000E01B7"/>
    <w:rsid w:val="000E0365"/>
    <w:rsid w:val="000E133F"/>
    <w:rsid w:val="000E15AE"/>
    <w:rsid w:val="000E1675"/>
    <w:rsid w:val="000E1923"/>
    <w:rsid w:val="000E2402"/>
    <w:rsid w:val="000E2758"/>
    <w:rsid w:val="000E337B"/>
    <w:rsid w:val="000E3A14"/>
    <w:rsid w:val="000E3A9B"/>
    <w:rsid w:val="000E3F1F"/>
    <w:rsid w:val="000E46E3"/>
    <w:rsid w:val="000E482A"/>
    <w:rsid w:val="000E4E9B"/>
    <w:rsid w:val="000E4F36"/>
    <w:rsid w:val="000E57BA"/>
    <w:rsid w:val="000E5BEA"/>
    <w:rsid w:val="000E5D66"/>
    <w:rsid w:val="000E5FAD"/>
    <w:rsid w:val="000E6BCD"/>
    <w:rsid w:val="000E6BF8"/>
    <w:rsid w:val="000E7FA7"/>
    <w:rsid w:val="000E8981"/>
    <w:rsid w:val="000F0103"/>
    <w:rsid w:val="000F04D0"/>
    <w:rsid w:val="000F05F8"/>
    <w:rsid w:val="000F0A9E"/>
    <w:rsid w:val="000F1375"/>
    <w:rsid w:val="000F15B8"/>
    <w:rsid w:val="000F1B69"/>
    <w:rsid w:val="000F2507"/>
    <w:rsid w:val="000F2A4E"/>
    <w:rsid w:val="000F2B9B"/>
    <w:rsid w:val="000F2BB7"/>
    <w:rsid w:val="000F3584"/>
    <w:rsid w:val="000F3AEF"/>
    <w:rsid w:val="000F3C29"/>
    <w:rsid w:val="000F427B"/>
    <w:rsid w:val="000F49F2"/>
    <w:rsid w:val="000F4A5F"/>
    <w:rsid w:val="000F56B1"/>
    <w:rsid w:val="000F5DE8"/>
    <w:rsid w:val="000F606B"/>
    <w:rsid w:val="000F60F2"/>
    <w:rsid w:val="000F611D"/>
    <w:rsid w:val="000F630B"/>
    <w:rsid w:val="000F63D4"/>
    <w:rsid w:val="000F6528"/>
    <w:rsid w:val="000F66D1"/>
    <w:rsid w:val="000F6DEC"/>
    <w:rsid w:val="000F6F5E"/>
    <w:rsid w:val="000F74AB"/>
    <w:rsid w:val="000F7536"/>
    <w:rsid w:val="000F78D3"/>
    <w:rsid w:val="000F7CE0"/>
    <w:rsid w:val="000F7D66"/>
    <w:rsid w:val="000F7D90"/>
    <w:rsid w:val="000F7FC8"/>
    <w:rsid w:val="001006F9"/>
    <w:rsid w:val="001008E9"/>
    <w:rsid w:val="00100D9F"/>
    <w:rsid w:val="00100F6C"/>
    <w:rsid w:val="00101101"/>
    <w:rsid w:val="001011A2"/>
    <w:rsid w:val="00101293"/>
    <w:rsid w:val="00101C01"/>
    <w:rsid w:val="00101FCF"/>
    <w:rsid w:val="00101FEA"/>
    <w:rsid w:val="001026B8"/>
    <w:rsid w:val="001029EA"/>
    <w:rsid w:val="00103188"/>
    <w:rsid w:val="001034EC"/>
    <w:rsid w:val="00103515"/>
    <w:rsid w:val="00103D5A"/>
    <w:rsid w:val="00104605"/>
    <w:rsid w:val="00104C6A"/>
    <w:rsid w:val="00104E31"/>
    <w:rsid w:val="00104F5B"/>
    <w:rsid w:val="001054B6"/>
    <w:rsid w:val="00105F3C"/>
    <w:rsid w:val="00106F0F"/>
    <w:rsid w:val="001074B3"/>
    <w:rsid w:val="00107C2D"/>
    <w:rsid w:val="00107D3E"/>
    <w:rsid w:val="00110AA7"/>
    <w:rsid w:val="00110F64"/>
    <w:rsid w:val="001110FC"/>
    <w:rsid w:val="0011134A"/>
    <w:rsid w:val="0011154E"/>
    <w:rsid w:val="001119D3"/>
    <w:rsid w:val="00112140"/>
    <w:rsid w:val="0011273F"/>
    <w:rsid w:val="0011275D"/>
    <w:rsid w:val="001128F2"/>
    <w:rsid w:val="00113185"/>
    <w:rsid w:val="0011330A"/>
    <w:rsid w:val="00113C39"/>
    <w:rsid w:val="00113EE2"/>
    <w:rsid w:val="00113FA2"/>
    <w:rsid w:val="001141B1"/>
    <w:rsid w:val="001146C0"/>
    <w:rsid w:val="001147B2"/>
    <w:rsid w:val="00114A9B"/>
    <w:rsid w:val="00114BF7"/>
    <w:rsid w:val="00114EB5"/>
    <w:rsid w:val="00115622"/>
    <w:rsid w:val="00115FA5"/>
    <w:rsid w:val="001169AD"/>
    <w:rsid w:val="001169DB"/>
    <w:rsid w:val="00116ABC"/>
    <w:rsid w:val="00117CAB"/>
    <w:rsid w:val="0012036D"/>
    <w:rsid w:val="0012042D"/>
    <w:rsid w:val="001208FA"/>
    <w:rsid w:val="00120F6A"/>
    <w:rsid w:val="00121EB0"/>
    <w:rsid w:val="00122F38"/>
    <w:rsid w:val="00123098"/>
    <w:rsid w:val="00123224"/>
    <w:rsid w:val="00123CA3"/>
    <w:rsid w:val="00124030"/>
    <w:rsid w:val="001244DF"/>
    <w:rsid w:val="0012452C"/>
    <w:rsid w:val="0012467D"/>
    <w:rsid w:val="001247EC"/>
    <w:rsid w:val="00126131"/>
    <w:rsid w:val="00126599"/>
    <w:rsid w:val="00126CED"/>
    <w:rsid w:val="00127078"/>
    <w:rsid w:val="0012713F"/>
    <w:rsid w:val="001277BB"/>
    <w:rsid w:val="00127E4A"/>
    <w:rsid w:val="0013033A"/>
    <w:rsid w:val="0013083D"/>
    <w:rsid w:val="001309B3"/>
    <w:rsid w:val="001309CF"/>
    <w:rsid w:val="00130B1A"/>
    <w:rsid w:val="001310C1"/>
    <w:rsid w:val="00131541"/>
    <w:rsid w:val="00131571"/>
    <w:rsid w:val="001316A4"/>
    <w:rsid w:val="00131723"/>
    <w:rsid w:val="00131A60"/>
    <w:rsid w:val="00132037"/>
    <w:rsid w:val="00132813"/>
    <w:rsid w:val="001328A9"/>
    <w:rsid w:val="00132BA3"/>
    <w:rsid w:val="00132BD6"/>
    <w:rsid w:val="00132D19"/>
    <w:rsid w:val="00133DFF"/>
    <w:rsid w:val="00134365"/>
    <w:rsid w:val="00134367"/>
    <w:rsid w:val="00134E62"/>
    <w:rsid w:val="00134F90"/>
    <w:rsid w:val="00135DF6"/>
    <w:rsid w:val="0013605B"/>
    <w:rsid w:val="00136152"/>
    <w:rsid w:val="001361B5"/>
    <w:rsid w:val="00136365"/>
    <w:rsid w:val="00136551"/>
    <w:rsid w:val="0013692C"/>
    <w:rsid w:val="001402AF"/>
    <w:rsid w:val="00140448"/>
    <w:rsid w:val="001404D5"/>
    <w:rsid w:val="0014085C"/>
    <w:rsid w:val="00140C32"/>
    <w:rsid w:val="00141155"/>
    <w:rsid w:val="001412D7"/>
    <w:rsid w:val="001416A4"/>
    <w:rsid w:val="001417AD"/>
    <w:rsid w:val="00141978"/>
    <w:rsid w:val="00141A5E"/>
    <w:rsid w:val="00141E66"/>
    <w:rsid w:val="00141F08"/>
    <w:rsid w:val="00143D61"/>
    <w:rsid w:val="0014440C"/>
    <w:rsid w:val="0014450F"/>
    <w:rsid w:val="00144861"/>
    <w:rsid w:val="00144C56"/>
    <w:rsid w:val="0014531F"/>
    <w:rsid w:val="0014534C"/>
    <w:rsid w:val="0014546B"/>
    <w:rsid w:val="00146610"/>
    <w:rsid w:val="001470CE"/>
    <w:rsid w:val="0014753B"/>
    <w:rsid w:val="00147817"/>
    <w:rsid w:val="00150312"/>
    <w:rsid w:val="00150345"/>
    <w:rsid w:val="00150787"/>
    <w:rsid w:val="00150B2A"/>
    <w:rsid w:val="00151185"/>
    <w:rsid w:val="00151C2E"/>
    <w:rsid w:val="001522BD"/>
    <w:rsid w:val="001524CD"/>
    <w:rsid w:val="00152656"/>
    <w:rsid w:val="00152CB0"/>
    <w:rsid w:val="001538B2"/>
    <w:rsid w:val="0015463D"/>
    <w:rsid w:val="00154812"/>
    <w:rsid w:val="0015570C"/>
    <w:rsid w:val="00155B41"/>
    <w:rsid w:val="00155B85"/>
    <w:rsid w:val="00155DEE"/>
    <w:rsid w:val="0015624A"/>
    <w:rsid w:val="00156359"/>
    <w:rsid w:val="00156C65"/>
    <w:rsid w:val="001575B0"/>
    <w:rsid w:val="00157FB4"/>
    <w:rsid w:val="0016005C"/>
    <w:rsid w:val="00160112"/>
    <w:rsid w:val="00160566"/>
    <w:rsid w:val="001607C5"/>
    <w:rsid w:val="00160C20"/>
    <w:rsid w:val="00160DFF"/>
    <w:rsid w:val="00160E69"/>
    <w:rsid w:val="00160F1E"/>
    <w:rsid w:val="00160F58"/>
    <w:rsid w:val="00161032"/>
    <w:rsid w:val="00161263"/>
    <w:rsid w:val="0016158A"/>
    <w:rsid w:val="001617DD"/>
    <w:rsid w:val="00161AC9"/>
    <w:rsid w:val="0016206C"/>
    <w:rsid w:val="0016208F"/>
    <w:rsid w:val="0016217F"/>
    <w:rsid w:val="001627C7"/>
    <w:rsid w:val="00162B10"/>
    <w:rsid w:val="00162D63"/>
    <w:rsid w:val="00162E17"/>
    <w:rsid w:val="001639A4"/>
    <w:rsid w:val="00163C08"/>
    <w:rsid w:val="00163E27"/>
    <w:rsid w:val="0016456F"/>
    <w:rsid w:val="00164A5F"/>
    <w:rsid w:val="00165C16"/>
    <w:rsid w:val="00166669"/>
    <w:rsid w:val="001669FB"/>
    <w:rsid w:val="00166B1C"/>
    <w:rsid w:val="00167095"/>
    <w:rsid w:val="001673DC"/>
    <w:rsid w:val="00167567"/>
    <w:rsid w:val="001703AE"/>
    <w:rsid w:val="0017062C"/>
    <w:rsid w:val="0017087B"/>
    <w:rsid w:val="00170A9C"/>
    <w:rsid w:val="00170B25"/>
    <w:rsid w:val="00170B98"/>
    <w:rsid w:val="00170E91"/>
    <w:rsid w:val="001719DB"/>
    <w:rsid w:val="00172E90"/>
    <w:rsid w:val="0017318D"/>
    <w:rsid w:val="001732AB"/>
    <w:rsid w:val="00173B7C"/>
    <w:rsid w:val="00173DB0"/>
    <w:rsid w:val="00173E3D"/>
    <w:rsid w:val="0017475F"/>
    <w:rsid w:val="00174BCC"/>
    <w:rsid w:val="00174C3C"/>
    <w:rsid w:val="00174ED8"/>
    <w:rsid w:val="0017568B"/>
    <w:rsid w:val="00175768"/>
    <w:rsid w:val="001757EF"/>
    <w:rsid w:val="00175A5E"/>
    <w:rsid w:val="00175D10"/>
    <w:rsid w:val="00176266"/>
    <w:rsid w:val="00176394"/>
    <w:rsid w:val="00176756"/>
    <w:rsid w:val="001768A9"/>
    <w:rsid w:val="00176D72"/>
    <w:rsid w:val="0017704A"/>
    <w:rsid w:val="0017722D"/>
    <w:rsid w:val="00177B85"/>
    <w:rsid w:val="00177EAD"/>
    <w:rsid w:val="00177EC3"/>
    <w:rsid w:val="00180CD5"/>
    <w:rsid w:val="00180E4F"/>
    <w:rsid w:val="00180F54"/>
    <w:rsid w:val="0018214A"/>
    <w:rsid w:val="001827A6"/>
    <w:rsid w:val="00182BCC"/>
    <w:rsid w:val="00182C3E"/>
    <w:rsid w:val="00182E25"/>
    <w:rsid w:val="00183202"/>
    <w:rsid w:val="001834B6"/>
    <w:rsid w:val="001839B6"/>
    <w:rsid w:val="001846D6"/>
    <w:rsid w:val="00184AE7"/>
    <w:rsid w:val="00185112"/>
    <w:rsid w:val="00185163"/>
    <w:rsid w:val="00185DAC"/>
    <w:rsid w:val="00185DD1"/>
    <w:rsid w:val="00185FA0"/>
    <w:rsid w:val="0018648F"/>
    <w:rsid w:val="001866B8"/>
    <w:rsid w:val="00186B6F"/>
    <w:rsid w:val="001870E5"/>
    <w:rsid w:val="0018772D"/>
    <w:rsid w:val="00187C8A"/>
    <w:rsid w:val="00187D24"/>
    <w:rsid w:val="00187E3D"/>
    <w:rsid w:val="0019026D"/>
    <w:rsid w:val="00190272"/>
    <w:rsid w:val="001906E4"/>
    <w:rsid w:val="0019092F"/>
    <w:rsid w:val="00190B3C"/>
    <w:rsid w:val="00190C60"/>
    <w:rsid w:val="001914E4"/>
    <w:rsid w:val="00191732"/>
    <w:rsid w:val="00191745"/>
    <w:rsid w:val="00191F9D"/>
    <w:rsid w:val="001928C4"/>
    <w:rsid w:val="00192B0A"/>
    <w:rsid w:val="00192D8F"/>
    <w:rsid w:val="00192F1B"/>
    <w:rsid w:val="0019322F"/>
    <w:rsid w:val="0019335E"/>
    <w:rsid w:val="00193543"/>
    <w:rsid w:val="001935FA"/>
    <w:rsid w:val="00193AB3"/>
    <w:rsid w:val="001943C9"/>
    <w:rsid w:val="001945BA"/>
    <w:rsid w:val="0019468C"/>
    <w:rsid w:val="00194C51"/>
    <w:rsid w:val="0019515B"/>
    <w:rsid w:val="001951A0"/>
    <w:rsid w:val="0019552B"/>
    <w:rsid w:val="0019578D"/>
    <w:rsid w:val="00195792"/>
    <w:rsid w:val="00195DA6"/>
    <w:rsid w:val="00195F14"/>
    <w:rsid w:val="0019654C"/>
    <w:rsid w:val="00196658"/>
    <w:rsid w:val="001966DC"/>
    <w:rsid w:val="0019670B"/>
    <w:rsid w:val="00196B94"/>
    <w:rsid w:val="00196ED2"/>
    <w:rsid w:val="00196EFE"/>
    <w:rsid w:val="001971A0"/>
    <w:rsid w:val="0019723D"/>
    <w:rsid w:val="001978E0"/>
    <w:rsid w:val="001A05C8"/>
    <w:rsid w:val="001A0B74"/>
    <w:rsid w:val="001A0BB7"/>
    <w:rsid w:val="001A10DE"/>
    <w:rsid w:val="001A167D"/>
    <w:rsid w:val="001A2486"/>
    <w:rsid w:val="001A2781"/>
    <w:rsid w:val="001A2C24"/>
    <w:rsid w:val="001A327E"/>
    <w:rsid w:val="001A33FA"/>
    <w:rsid w:val="001A3614"/>
    <w:rsid w:val="001A3A9F"/>
    <w:rsid w:val="001A3C91"/>
    <w:rsid w:val="001A3CDB"/>
    <w:rsid w:val="001A3DA5"/>
    <w:rsid w:val="001A3F17"/>
    <w:rsid w:val="001A3F51"/>
    <w:rsid w:val="001A3FD9"/>
    <w:rsid w:val="001A524D"/>
    <w:rsid w:val="001A5960"/>
    <w:rsid w:val="001A5CFC"/>
    <w:rsid w:val="001A6A56"/>
    <w:rsid w:val="001A6CDB"/>
    <w:rsid w:val="001A6F98"/>
    <w:rsid w:val="001A71F3"/>
    <w:rsid w:val="001A75E7"/>
    <w:rsid w:val="001A7925"/>
    <w:rsid w:val="001A7C5A"/>
    <w:rsid w:val="001B02BB"/>
    <w:rsid w:val="001B07FC"/>
    <w:rsid w:val="001B090B"/>
    <w:rsid w:val="001B0946"/>
    <w:rsid w:val="001B0976"/>
    <w:rsid w:val="001B0A8F"/>
    <w:rsid w:val="001B0D31"/>
    <w:rsid w:val="001B1F20"/>
    <w:rsid w:val="001B1FA8"/>
    <w:rsid w:val="001B2AF9"/>
    <w:rsid w:val="001B3046"/>
    <w:rsid w:val="001B348D"/>
    <w:rsid w:val="001B367B"/>
    <w:rsid w:val="001B372B"/>
    <w:rsid w:val="001B372F"/>
    <w:rsid w:val="001B3793"/>
    <w:rsid w:val="001B3B10"/>
    <w:rsid w:val="001B3E6B"/>
    <w:rsid w:val="001B3FB0"/>
    <w:rsid w:val="001B469D"/>
    <w:rsid w:val="001B4C29"/>
    <w:rsid w:val="001B4C91"/>
    <w:rsid w:val="001B4DED"/>
    <w:rsid w:val="001B5291"/>
    <w:rsid w:val="001B5418"/>
    <w:rsid w:val="001B5A95"/>
    <w:rsid w:val="001B5DD3"/>
    <w:rsid w:val="001B6349"/>
    <w:rsid w:val="001B65EC"/>
    <w:rsid w:val="001B68F9"/>
    <w:rsid w:val="001B7427"/>
    <w:rsid w:val="001B7751"/>
    <w:rsid w:val="001B7AB0"/>
    <w:rsid w:val="001B7F57"/>
    <w:rsid w:val="001C022F"/>
    <w:rsid w:val="001C1338"/>
    <w:rsid w:val="001C1930"/>
    <w:rsid w:val="001C1A79"/>
    <w:rsid w:val="001C1B66"/>
    <w:rsid w:val="001C1B6E"/>
    <w:rsid w:val="001C1CB4"/>
    <w:rsid w:val="001C1DBE"/>
    <w:rsid w:val="001C24FC"/>
    <w:rsid w:val="001C2AA6"/>
    <w:rsid w:val="001C3368"/>
    <w:rsid w:val="001C383E"/>
    <w:rsid w:val="001C3DA3"/>
    <w:rsid w:val="001C4318"/>
    <w:rsid w:val="001C43C4"/>
    <w:rsid w:val="001C467D"/>
    <w:rsid w:val="001C47EC"/>
    <w:rsid w:val="001C48C3"/>
    <w:rsid w:val="001C4E87"/>
    <w:rsid w:val="001C54FF"/>
    <w:rsid w:val="001C5609"/>
    <w:rsid w:val="001C5A02"/>
    <w:rsid w:val="001C5B82"/>
    <w:rsid w:val="001C5F66"/>
    <w:rsid w:val="001C69DC"/>
    <w:rsid w:val="001C6B2F"/>
    <w:rsid w:val="001C6DB5"/>
    <w:rsid w:val="001C70A2"/>
    <w:rsid w:val="001C7176"/>
    <w:rsid w:val="001D047C"/>
    <w:rsid w:val="001D0658"/>
    <w:rsid w:val="001D06E9"/>
    <w:rsid w:val="001D14D7"/>
    <w:rsid w:val="001D161E"/>
    <w:rsid w:val="001D243C"/>
    <w:rsid w:val="001D2549"/>
    <w:rsid w:val="001D2647"/>
    <w:rsid w:val="001D3044"/>
    <w:rsid w:val="001D3319"/>
    <w:rsid w:val="001D3EE2"/>
    <w:rsid w:val="001D4876"/>
    <w:rsid w:val="001D557D"/>
    <w:rsid w:val="001D564D"/>
    <w:rsid w:val="001D5768"/>
    <w:rsid w:val="001D5B0F"/>
    <w:rsid w:val="001D5C4D"/>
    <w:rsid w:val="001D6149"/>
    <w:rsid w:val="001D624A"/>
    <w:rsid w:val="001D624D"/>
    <w:rsid w:val="001D6879"/>
    <w:rsid w:val="001D6BFF"/>
    <w:rsid w:val="001D6DA6"/>
    <w:rsid w:val="001D6DC4"/>
    <w:rsid w:val="001D7428"/>
    <w:rsid w:val="001D7CBE"/>
    <w:rsid w:val="001D7CF4"/>
    <w:rsid w:val="001D7D6A"/>
    <w:rsid w:val="001D7E73"/>
    <w:rsid w:val="001E0027"/>
    <w:rsid w:val="001E01AE"/>
    <w:rsid w:val="001E0777"/>
    <w:rsid w:val="001E1BA5"/>
    <w:rsid w:val="001E2535"/>
    <w:rsid w:val="001E25C0"/>
    <w:rsid w:val="001E289F"/>
    <w:rsid w:val="001E2E53"/>
    <w:rsid w:val="001E2E59"/>
    <w:rsid w:val="001E2F49"/>
    <w:rsid w:val="001E304A"/>
    <w:rsid w:val="001E31FA"/>
    <w:rsid w:val="001E3943"/>
    <w:rsid w:val="001E3D47"/>
    <w:rsid w:val="001E4311"/>
    <w:rsid w:val="001E459D"/>
    <w:rsid w:val="001E4729"/>
    <w:rsid w:val="001E4996"/>
    <w:rsid w:val="001E4D32"/>
    <w:rsid w:val="001E4F2A"/>
    <w:rsid w:val="001E54F5"/>
    <w:rsid w:val="001E59E8"/>
    <w:rsid w:val="001E708A"/>
    <w:rsid w:val="001E7259"/>
    <w:rsid w:val="001E796B"/>
    <w:rsid w:val="001F01BD"/>
    <w:rsid w:val="001F037C"/>
    <w:rsid w:val="001F03BF"/>
    <w:rsid w:val="001F0431"/>
    <w:rsid w:val="001F087C"/>
    <w:rsid w:val="001F0E49"/>
    <w:rsid w:val="001F158B"/>
    <w:rsid w:val="001F1668"/>
    <w:rsid w:val="001F1C1B"/>
    <w:rsid w:val="001F1F78"/>
    <w:rsid w:val="001F23B5"/>
    <w:rsid w:val="001F24DD"/>
    <w:rsid w:val="001F25E2"/>
    <w:rsid w:val="001F299B"/>
    <w:rsid w:val="001F2CF6"/>
    <w:rsid w:val="001F3974"/>
    <w:rsid w:val="001F3995"/>
    <w:rsid w:val="001F3A0F"/>
    <w:rsid w:val="001F3A2C"/>
    <w:rsid w:val="001F3F7E"/>
    <w:rsid w:val="001F407A"/>
    <w:rsid w:val="001F4819"/>
    <w:rsid w:val="001F4958"/>
    <w:rsid w:val="001F4A28"/>
    <w:rsid w:val="001F51B9"/>
    <w:rsid w:val="001F547E"/>
    <w:rsid w:val="001F64CD"/>
    <w:rsid w:val="001F748C"/>
    <w:rsid w:val="001F769D"/>
    <w:rsid w:val="001F77BE"/>
    <w:rsid w:val="001F78BA"/>
    <w:rsid w:val="001F7F38"/>
    <w:rsid w:val="001F7F7A"/>
    <w:rsid w:val="00200246"/>
    <w:rsid w:val="0020065F"/>
    <w:rsid w:val="002008E8"/>
    <w:rsid w:val="00200FAC"/>
    <w:rsid w:val="00200FEF"/>
    <w:rsid w:val="00201A22"/>
    <w:rsid w:val="00201B18"/>
    <w:rsid w:val="00201EB4"/>
    <w:rsid w:val="00201EF7"/>
    <w:rsid w:val="0020210D"/>
    <w:rsid w:val="002023F5"/>
    <w:rsid w:val="002026E0"/>
    <w:rsid w:val="00202843"/>
    <w:rsid w:val="002034A5"/>
    <w:rsid w:val="0020383B"/>
    <w:rsid w:val="0020404B"/>
    <w:rsid w:val="0020456B"/>
    <w:rsid w:val="002046FD"/>
    <w:rsid w:val="00204BA8"/>
    <w:rsid w:val="002054E3"/>
    <w:rsid w:val="00205C1F"/>
    <w:rsid w:val="00205D73"/>
    <w:rsid w:val="00206455"/>
    <w:rsid w:val="00206A25"/>
    <w:rsid w:val="002078EA"/>
    <w:rsid w:val="002079D2"/>
    <w:rsid w:val="00210028"/>
    <w:rsid w:val="00210366"/>
    <w:rsid w:val="00210755"/>
    <w:rsid w:val="00210C52"/>
    <w:rsid w:val="0021107B"/>
    <w:rsid w:val="0021142E"/>
    <w:rsid w:val="0021152F"/>
    <w:rsid w:val="0021165D"/>
    <w:rsid w:val="00211E49"/>
    <w:rsid w:val="00211EF3"/>
    <w:rsid w:val="00212656"/>
    <w:rsid w:val="00212F19"/>
    <w:rsid w:val="00213DBC"/>
    <w:rsid w:val="00213E1A"/>
    <w:rsid w:val="0021405D"/>
    <w:rsid w:val="00214068"/>
    <w:rsid w:val="002141A6"/>
    <w:rsid w:val="002148B4"/>
    <w:rsid w:val="00214F2E"/>
    <w:rsid w:val="002156F0"/>
    <w:rsid w:val="0021594C"/>
    <w:rsid w:val="00215AB3"/>
    <w:rsid w:val="00215C49"/>
    <w:rsid w:val="002167EB"/>
    <w:rsid w:val="00216CD7"/>
    <w:rsid w:val="00216E5D"/>
    <w:rsid w:val="00216E64"/>
    <w:rsid w:val="00220DA9"/>
    <w:rsid w:val="00221986"/>
    <w:rsid w:val="00221999"/>
    <w:rsid w:val="00223757"/>
    <w:rsid w:val="00224149"/>
    <w:rsid w:val="002249B5"/>
    <w:rsid w:val="00224A21"/>
    <w:rsid w:val="00224AA7"/>
    <w:rsid w:val="00224DB2"/>
    <w:rsid w:val="00224DE0"/>
    <w:rsid w:val="002262A9"/>
    <w:rsid w:val="002265F7"/>
    <w:rsid w:val="00226810"/>
    <w:rsid w:val="00226ABA"/>
    <w:rsid w:val="00226F7A"/>
    <w:rsid w:val="002271C9"/>
    <w:rsid w:val="002271E7"/>
    <w:rsid w:val="00227480"/>
    <w:rsid w:val="00227B78"/>
    <w:rsid w:val="0023035C"/>
    <w:rsid w:val="0023083D"/>
    <w:rsid w:val="00230C80"/>
    <w:rsid w:val="002315C6"/>
    <w:rsid w:val="00231C76"/>
    <w:rsid w:val="00231D54"/>
    <w:rsid w:val="00232AA5"/>
    <w:rsid w:val="00232FE8"/>
    <w:rsid w:val="00233CF9"/>
    <w:rsid w:val="00234B50"/>
    <w:rsid w:val="00234EF8"/>
    <w:rsid w:val="00234FBF"/>
    <w:rsid w:val="00235588"/>
    <w:rsid w:val="00235704"/>
    <w:rsid w:val="00235A21"/>
    <w:rsid w:val="00235D25"/>
    <w:rsid w:val="00235DC0"/>
    <w:rsid w:val="00235FAB"/>
    <w:rsid w:val="00236125"/>
    <w:rsid w:val="002370E3"/>
    <w:rsid w:val="00240731"/>
    <w:rsid w:val="00241A9B"/>
    <w:rsid w:val="00242233"/>
    <w:rsid w:val="00242527"/>
    <w:rsid w:val="0024282A"/>
    <w:rsid w:val="00242941"/>
    <w:rsid w:val="00243058"/>
    <w:rsid w:val="002434A7"/>
    <w:rsid w:val="00243586"/>
    <w:rsid w:val="00243706"/>
    <w:rsid w:val="00243DC6"/>
    <w:rsid w:val="00244071"/>
    <w:rsid w:val="00244309"/>
    <w:rsid w:val="00244699"/>
    <w:rsid w:val="0024476B"/>
    <w:rsid w:val="00244B9A"/>
    <w:rsid w:val="00245C07"/>
    <w:rsid w:val="00245F8B"/>
    <w:rsid w:val="002467E3"/>
    <w:rsid w:val="00246B95"/>
    <w:rsid w:val="00247046"/>
    <w:rsid w:val="002470FD"/>
    <w:rsid w:val="00247A56"/>
    <w:rsid w:val="00247B44"/>
    <w:rsid w:val="00247E95"/>
    <w:rsid w:val="00250609"/>
    <w:rsid w:val="002507E3"/>
    <w:rsid w:val="00250948"/>
    <w:rsid w:val="002513AA"/>
    <w:rsid w:val="002515F4"/>
    <w:rsid w:val="00251885"/>
    <w:rsid w:val="002518E5"/>
    <w:rsid w:val="00251E5D"/>
    <w:rsid w:val="00252B6D"/>
    <w:rsid w:val="00252B74"/>
    <w:rsid w:val="00252CDE"/>
    <w:rsid w:val="00252F32"/>
    <w:rsid w:val="00252F35"/>
    <w:rsid w:val="00253019"/>
    <w:rsid w:val="002535E4"/>
    <w:rsid w:val="00253B04"/>
    <w:rsid w:val="00253EA6"/>
    <w:rsid w:val="00255021"/>
    <w:rsid w:val="0025506E"/>
    <w:rsid w:val="00255187"/>
    <w:rsid w:val="00255313"/>
    <w:rsid w:val="00255678"/>
    <w:rsid w:val="00255748"/>
    <w:rsid w:val="00255892"/>
    <w:rsid w:val="00255917"/>
    <w:rsid w:val="00256958"/>
    <w:rsid w:val="002571FA"/>
    <w:rsid w:val="00257232"/>
    <w:rsid w:val="0025770B"/>
    <w:rsid w:val="002577E5"/>
    <w:rsid w:val="00257A5A"/>
    <w:rsid w:val="00257D94"/>
    <w:rsid w:val="00257F1C"/>
    <w:rsid w:val="00260279"/>
    <w:rsid w:val="00260368"/>
    <w:rsid w:val="00260AFF"/>
    <w:rsid w:val="002610A8"/>
    <w:rsid w:val="002618F3"/>
    <w:rsid w:val="00261EB7"/>
    <w:rsid w:val="00261F46"/>
    <w:rsid w:val="00261FF2"/>
    <w:rsid w:val="00262250"/>
    <w:rsid w:val="00262D39"/>
    <w:rsid w:val="0026310C"/>
    <w:rsid w:val="00263533"/>
    <w:rsid w:val="00263974"/>
    <w:rsid w:val="00263AE4"/>
    <w:rsid w:val="00263B71"/>
    <w:rsid w:val="00263BA6"/>
    <w:rsid w:val="00263C7B"/>
    <w:rsid w:val="00263F26"/>
    <w:rsid w:val="0026436B"/>
    <w:rsid w:val="0026462B"/>
    <w:rsid w:val="002646E9"/>
    <w:rsid w:val="00264B6F"/>
    <w:rsid w:val="00264E04"/>
    <w:rsid w:val="00264F64"/>
    <w:rsid w:val="002652EF"/>
    <w:rsid w:val="00265583"/>
    <w:rsid w:val="0026563A"/>
    <w:rsid w:val="00265AC8"/>
    <w:rsid w:val="00265F82"/>
    <w:rsid w:val="002662EA"/>
    <w:rsid w:val="002671B4"/>
    <w:rsid w:val="0026730D"/>
    <w:rsid w:val="00267352"/>
    <w:rsid w:val="002675F4"/>
    <w:rsid w:val="002676DD"/>
    <w:rsid w:val="00267BEA"/>
    <w:rsid w:val="00267E01"/>
    <w:rsid w:val="002711E4"/>
    <w:rsid w:val="00271AAA"/>
    <w:rsid w:val="00271B94"/>
    <w:rsid w:val="002724CC"/>
    <w:rsid w:val="00272882"/>
    <w:rsid w:val="00272AEA"/>
    <w:rsid w:val="00272DCB"/>
    <w:rsid w:val="0027333E"/>
    <w:rsid w:val="0027384F"/>
    <w:rsid w:val="0027396B"/>
    <w:rsid w:val="002742E1"/>
    <w:rsid w:val="002747B0"/>
    <w:rsid w:val="00274B7C"/>
    <w:rsid w:val="002755CA"/>
    <w:rsid w:val="00275A53"/>
    <w:rsid w:val="00275A99"/>
    <w:rsid w:val="0027601F"/>
    <w:rsid w:val="00276687"/>
    <w:rsid w:val="002768FC"/>
    <w:rsid w:val="00276AE9"/>
    <w:rsid w:val="00276D61"/>
    <w:rsid w:val="0027792F"/>
    <w:rsid w:val="002779BC"/>
    <w:rsid w:val="002801AA"/>
    <w:rsid w:val="00280F70"/>
    <w:rsid w:val="002815F2"/>
    <w:rsid w:val="00281735"/>
    <w:rsid w:val="00281D73"/>
    <w:rsid w:val="00281F6A"/>
    <w:rsid w:val="00282190"/>
    <w:rsid w:val="00282ADB"/>
    <w:rsid w:val="0028351A"/>
    <w:rsid w:val="00283A87"/>
    <w:rsid w:val="002843F6"/>
    <w:rsid w:val="002846A2"/>
    <w:rsid w:val="0028475B"/>
    <w:rsid w:val="00284A62"/>
    <w:rsid w:val="00284DF4"/>
    <w:rsid w:val="00284FDB"/>
    <w:rsid w:val="00285496"/>
    <w:rsid w:val="002856EE"/>
    <w:rsid w:val="002856F9"/>
    <w:rsid w:val="0028588E"/>
    <w:rsid w:val="002858D2"/>
    <w:rsid w:val="00285FDC"/>
    <w:rsid w:val="002860D9"/>
    <w:rsid w:val="00286AEB"/>
    <w:rsid w:val="00286FAD"/>
    <w:rsid w:val="00287118"/>
    <w:rsid w:val="00287887"/>
    <w:rsid w:val="00287B21"/>
    <w:rsid w:val="00287DC7"/>
    <w:rsid w:val="00287FCD"/>
    <w:rsid w:val="00290A6F"/>
    <w:rsid w:val="00290EB4"/>
    <w:rsid w:val="00291299"/>
    <w:rsid w:val="002913F1"/>
    <w:rsid w:val="0029203E"/>
    <w:rsid w:val="00292045"/>
    <w:rsid w:val="002921E8"/>
    <w:rsid w:val="00292E11"/>
    <w:rsid w:val="00292E2C"/>
    <w:rsid w:val="00292FBA"/>
    <w:rsid w:val="0029350B"/>
    <w:rsid w:val="002936DB"/>
    <w:rsid w:val="00293BFD"/>
    <w:rsid w:val="0029412B"/>
    <w:rsid w:val="002943DD"/>
    <w:rsid w:val="00294420"/>
    <w:rsid w:val="00294632"/>
    <w:rsid w:val="00294BDA"/>
    <w:rsid w:val="00294BE2"/>
    <w:rsid w:val="00295194"/>
    <w:rsid w:val="002953A2"/>
    <w:rsid w:val="0029554F"/>
    <w:rsid w:val="0029688C"/>
    <w:rsid w:val="002968B9"/>
    <w:rsid w:val="002968CB"/>
    <w:rsid w:val="00296C60"/>
    <w:rsid w:val="00296D19"/>
    <w:rsid w:val="00296F1F"/>
    <w:rsid w:val="00296F23"/>
    <w:rsid w:val="00297377"/>
    <w:rsid w:val="002978C8"/>
    <w:rsid w:val="002A02CC"/>
    <w:rsid w:val="002A075B"/>
    <w:rsid w:val="002A11F8"/>
    <w:rsid w:val="002A13D7"/>
    <w:rsid w:val="002A1BA6"/>
    <w:rsid w:val="002A1D33"/>
    <w:rsid w:val="002A1D93"/>
    <w:rsid w:val="002A2213"/>
    <w:rsid w:val="002A2320"/>
    <w:rsid w:val="002A298D"/>
    <w:rsid w:val="002A2A2A"/>
    <w:rsid w:val="002A2E4C"/>
    <w:rsid w:val="002A3124"/>
    <w:rsid w:val="002A340C"/>
    <w:rsid w:val="002A37F0"/>
    <w:rsid w:val="002A3B3E"/>
    <w:rsid w:val="002A3E82"/>
    <w:rsid w:val="002A3F06"/>
    <w:rsid w:val="002A40E7"/>
    <w:rsid w:val="002A42DB"/>
    <w:rsid w:val="002A4837"/>
    <w:rsid w:val="002A4D5F"/>
    <w:rsid w:val="002A4FD2"/>
    <w:rsid w:val="002A530A"/>
    <w:rsid w:val="002A552B"/>
    <w:rsid w:val="002A5CF9"/>
    <w:rsid w:val="002A67C3"/>
    <w:rsid w:val="002A67DD"/>
    <w:rsid w:val="002A6ED8"/>
    <w:rsid w:val="002A7410"/>
    <w:rsid w:val="002A7881"/>
    <w:rsid w:val="002A7A11"/>
    <w:rsid w:val="002A7E09"/>
    <w:rsid w:val="002B0155"/>
    <w:rsid w:val="002B09B2"/>
    <w:rsid w:val="002B0A88"/>
    <w:rsid w:val="002B0F6E"/>
    <w:rsid w:val="002B0FCA"/>
    <w:rsid w:val="002B198A"/>
    <w:rsid w:val="002B1BE2"/>
    <w:rsid w:val="002B1C98"/>
    <w:rsid w:val="002B208B"/>
    <w:rsid w:val="002B234B"/>
    <w:rsid w:val="002B2643"/>
    <w:rsid w:val="002B2C5B"/>
    <w:rsid w:val="002B2CBF"/>
    <w:rsid w:val="002B2F89"/>
    <w:rsid w:val="002B2FB6"/>
    <w:rsid w:val="002B2FCB"/>
    <w:rsid w:val="002B327D"/>
    <w:rsid w:val="002B3401"/>
    <w:rsid w:val="002B34F0"/>
    <w:rsid w:val="002B377F"/>
    <w:rsid w:val="002B3CA5"/>
    <w:rsid w:val="002B3D3E"/>
    <w:rsid w:val="002B3D61"/>
    <w:rsid w:val="002B44C2"/>
    <w:rsid w:val="002B44EC"/>
    <w:rsid w:val="002B4601"/>
    <w:rsid w:val="002B4B9C"/>
    <w:rsid w:val="002B4EE1"/>
    <w:rsid w:val="002B51BD"/>
    <w:rsid w:val="002B546A"/>
    <w:rsid w:val="002B5650"/>
    <w:rsid w:val="002B5A0A"/>
    <w:rsid w:val="002B5E1E"/>
    <w:rsid w:val="002B5E24"/>
    <w:rsid w:val="002B5FE3"/>
    <w:rsid w:val="002B6126"/>
    <w:rsid w:val="002B7981"/>
    <w:rsid w:val="002C0926"/>
    <w:rsid w:val="002C0B85"/>
    <w:rsid w:val="002C1054"/>
    <w:rsid w:val="002C112B"/>
    <w:rsid w:val="002C153B"/>
    <w:rsid w:val="002C23C4"/>
    <w:rsid w:val="002C2495"/>
    <w:rsid w:val="002C26B6"/>
    <w:rsid w:val="002C2B5C"/>
    <w:rsid w:val="002C2D0F"/>
    <w:rsid w:val="002C2D36"/>
    <w:rsid w:val="002C2FEF"/>
    <w:rsid w:val="002C313D"/>
    <w:rsid w:val="002C3526"/>
    <w:rsid w:val="002C379B"/>
    <w:rsid w:val="002C3A0B"/>
    <w:rsid w:val="002C3E3A"/>
    <w:rsid w:val="002C3E6F"/>
    <w:rsid w:val="002C46ED"/>
    <w:rsid w:val="002C4A5A"/>
    <w:rsid w:val="002C4C0B"/>
    <w:rsid w:val="002C4D3C"/>
    <w:rsid w:val="002C52CD"/>
    <w:rsid w:val="002C53B8"/>
    <w:rsid w:val="002C5499"/>
    <w:rsid w:val="002C587B"/>
    <w:rsid w:val="002C5EA8"/>
    <w:rsid w:val="002C640E"/>
    <w:rsid w:val="002C6BD4"/>
    <w:rsid w:val="002C7518"/>
    <w:rsid w:val="002D03AD"/>
    <w:rsid w:val="002D0450"/>
    <w:rsid w:val="002D0F19"/>
    <w:rsid w:val="002D1453"/>
    <w:rsid w:val="002D16A8"/>
    <w:rsid w:val="002D1AEF"/>
    <w:rsid w:val="002D1BDA"/>
    <w:rsid w:val="002D2492"/>
    <w:rsid w:val="002D2792"/>
    <w:rsid w:val="002D2D4C"/>
    <w:rsid w:val="002D2E57"/>
    <w:rsid w:val="002D32AB"/>
    <w:rsid w:val="002D344F"/>
    <w:rsid w:val="002D3905"/>
    <w:rsid w:val="002D3939"/>
    <w:rsid w:val="002D48DC"/>
    <w:rsid w:val="002D4BD5"/>
    <w:rsid w:val="002D5707"/>
    <w:rsid w:val="002D571D"/>
    <w:rsid w:val="002D57AD"/>
    <w:rsid w:val="002D5BE7"/>
    <w:rsid w:val="002D60B8"/>
    <w:rsid w:val="002D614C"/>
    <w:rsid w:val="002D6A1A"/>
    <w:rsid w:val="002D6AD2"/>
    <w:rsid w:val="002D6B01"/>
    <w:rsid w:val="002D706C"/>
    <w:rsid w:val="002D7268"/>
    <w:rsid w:val="002E02B7"/>
    <w:rsid w:val="002E08BB"/>
    <w:rsid w:val="002E0918"/>
    <w:rsid w:val="002E0A62"/>
    <w:rsid w:val="002E0AFD"/>
    <w:rsid w:val="002E1008"/>
    <w:rsid w:val="002E1399"/>
    <w:rsid w:val="002E1933"/>
    <w:rsid w:val="002E25D0"/>
    <w:rsid w:val="002E2E83"/>
    <w:rsid w:val="002E3114"/>
    <w:rsid w:val="002E3AE0"/>
    <w:rsid w:val="002E3BA2"/>
    <w:rsid w:val="002E3DA9"/>
    <w:rsid w:val="002E3EF8"/>
    <w:rsid w:val="002E4A22"/>
    <w:rsid w:val="002E4F88"/>
    <w:rsid w:val="002E4FC9"/>
    <w:rsid w:val="002E50F0"/>
    <w:rsid w:val="002E521A"/>
    <w:rsid w:val="002E5227"/>
    <w:rsid w:val="002E5557"/>
    <w:rsid w:val="002E56B9"/>
    <w:rsid w:val="002E585B"/>
    <w:rsid w:val="002E59F5"/>
    <w:rsid w:val="002E5BD9"/>
    <w:rsid w:val="002E5D19"/>
    <w:rsid w:val="002E5DCC"/>
    <w:rsid w:val="002E69A6"/>
    <w:rsid w:val="002E69C4"/>
    <w:rsid w:val="002E69C6"/>
    <w:rsid w:val="002E6A39"/>
    <w:rsid w:val="002E71A9"/>
    <w:rsid w:val="002E7462"/>
    <w:rsid w:val="002E7617"/>
    <w:rsid w:val="002E7950"/>
    <w:rsid w:val="002E79E9"/>
    <w:rsid w:val="002E7B91"/>
    <w:rsid w:val="002F0015"/>
    <w:rsid w:val="002F0A38"/>
    <w:rsid w:val="002F13A0"/>
    <w:rsid w:val="002F1484"/>
    <w:rsid w:val="002F16AC"/>
    <w:rsid w:val="002F16D5"/>
    <w:rsid w:val="002F1BE1"/>
    <w:rsid w:val="002F1E56"/>
    <w:rsid w:val="002F271D"/>
    <w:rsid w:val="002F29C1"/>
    <w:rsid w:val="002F2B99"/>
    <w:rsid w:val="002F302C"/>
    <w:rsid w:val="002F30CB"/>
    <w:rsid w:val="002F3E65"/>
    <w:rsid w:val="002F506B"/>
    <w:rsid w:val="002F5576"/>
    <w:rsid w:val="002F577C"/>
    <w:rsid w:val="002F57E6"/>
    <w:rsid w:val="002F5970"/>
    <w:rsid w:val="002F5DB2"/>
    <w:rsid w:val="002F63C1"/>
    <w:rsid w:val="002F642F"/>
    <w:rsid w:val="002F6657"/>
    <w:rsid w:val="002F6711"/>
    <w:rsid w:val="002F69B5"/>
    <w:rsid w:val="003001E1"/>
    <w:rsid w:val="0030029F"/>
    <w:rsid w:val="00300615"/>
    <w:rsid w:val="00300B3D"/>
    <w:rsid w:val="003011C9"/>
    <w:rsid w:val="00301273"/>
    <w:rsid w:val="003020AD"/>
    <w:rsid w:val="003021B2"/>
    <w:rsid w:val="0030245B"/>
    <w:rsid w:val="00302951"/>
    <w:rsid w:val="00302A34"/>
    <w:rsid w:val="00302B5D"/>
    <w:rsid w:val="003035B0"/>
    <w:rsid w:val="003037CE"/>
    <w:rsid w:val="003043C0"/>
    <w:rsid w:val="003047F5"/>
    <w:rsid w:val="00304827"/>
    <w:rsid w:val="003050C6"/>
    <w:rsid w:val="00305483"/>
    <w:rsid w:val="00305612"/>
    <w:rsid w:val="00306284"/>
    <w:rsid w:val="003063B4"/>
    <w:rsid w:val="00306662"/>
    <w:rsid w:val="00306A51"/>
    <w:rsid w:val="00306BAF"/>
    <w:rsid w:val="00306BE3"/>
    <w:rsid w:val="00307905"/>
    <w:rsid w:val="0031024D"/>
    <w:rsid w:val="0031028A"/>
    <w:rsid w:val="00310E0C"/>
    <w:rsid w:val="00310F13"/>
    <w:rsid w:val="00311CE1"/>
    <w:rsid w:val="00312F0B"/>
    <w:rsid w:val="00312F3D"/>
    <w:rsid w:val="00313066"/>
    <w:rsid w:val="00313824"/>
    <w:rsid w:val="00313B8E"/>
    <w:rsid w:val="0031484D"/>
    <w:rsid w:val="00314CFD"/>
    <w:rsid w:val="00314F11"/>
    <w:rsid w:val="00315348"/>
    <w:rsid w:val="003159B9"/>
    <w:rsid w:val="00316107"/>
    <w:rsid w:val="00316A6D"/>
    <w:rsid w:val="0031731C"/>
    <w:rsid w:val="0031742A"/>
    <w:rsid w:val="00317858"/>
    <w:rsid w:val="00317C12"/>
    <w:rsid w:val="00320B91"/>
    <w:rsid w:val="00320C04"/>
    <w:rsid w:val="00320E80"/>
    <w:rsid w:val="00321356"/>
    <w:rsid w:val="00321725"/>
    <w:rsid w:val="00322544"/>
    <w:rsid w:val="003225C0"/>
    <w:rsid w:val="00322AC3"/>
    <w:rsid w:val="00322BC5"/>
    <w:rsid w:val="00322C66"/>
    <w:rsid w:val="00322D12"/>
    <w:rsid w:val="00322EE0"/>
    <w:rsid w:val="00322FDC"/>
    <w:rsid w:val="0032305A"/>
    <w:rsid w:val="00323A45"/>
    <w:rsid w:val="00323EAF"/>
    <w:rsid w:val="00323FE1"/>
    <w:rsid w:val="00324069"/>
    <w:rsid w:val="003243F9"/>
    <w:rsid w:val="00324587"/>
    <w:rsid w:val="00324A93"/>
    <w:rsid w:val="00324C7A"/>
    <w:rsid w:val="00325628"/>
    <w:rsid w:val="00325D20"/>
    <w:rsid w:val="0032659F"/>
    <w:rsid w:val="00326C3A"/>
    <w:rsid w:val="003277B7"/>
    <w:rsid w:val="00327BA3"/>
    <w:rsid w:val="00330216"/>
    <w:rsid w:val="00330254"/>
    <w:rsid w:val="003302D3"/>
    <w:rsid w:val="003302FC"/>
    <w:rsid w:val="003304FC"/>
    <w:rsid w:val="0033066F"/>
    <w:rsid w:val="00330D74"/>
    <w:rsid w:val="00330F97"/>
    <w:rsid w:val="003310AA"/>
    <w:rsid w:val="00331C37"/>
    <w:rsid w:val="003324FA"/>
    <w:rsid w:val="00332511"/>
    <w:rsid w:val="003326C1"/>
    <w:rsid w:val="003329C8"/>
    <w:rsid w:val="00333495"/>
    <w:rsid w:val="00333CA1"/>
    <w:rsid w:val="00333D20"/>
    <w:rsid w:val="00333E70"/>
    <w:rsid w:val="00333FDF"/>
    <w:rsid w:val="00334041"/>
    <w:rsid w:val="003344E3"/>
    <w:rsid w:val="003345A6"/>
    <w:rsid w:val="003345B5"/>
    <w:rsid w:val="003347F3"/>
    <w:rsid w:val="00335679"/>
    <w:rsid w:val="003359D0"/>
    <w:rsid w:val="00335C6F"/>
    <w:rsid w:val="00335D18"/>
    <w:rsid w:val="00335F0A"/>
    <w:rsid w:val="00335F40"/>
    <w:rsid w:val="003362EA"/>
    <w:rsid w:val="00336F53"/>
    <w:rsid w:val="00337050"/>
    <w:rsid w:val="0033736E"/>
    <w:rsid w:val="0033797A"/>
    <w:rsid w:val="00337D23"/>
    <w:rsid w:val="003405EB"/>
    <w:rsid w:val="00340C9D"/>
    <w:rsid w:val="003411AD"/>
    <w:rsid w:val="003413F4"/>
    <w:rsid w:val="00342482"/>
    <w:rsid w:val="003427AF"/>
    <w:rsid w:val="00343488"/>
    <w:rsid w:val="00343566"/>
    <w:rsid w:val="003436AB"/>
    <w:rsid w:val="003437CE"/>
    <w:rsid w:val="003439C2"/>
    <w:rsid w:val="00344700"/>
    <w:rsid w:val="00344BC5"/>
    <w:rsid w:val="00345627"/>
    <w:rsid w:val="00345740"/>
    <w:rsid w:val="00345FD6"/>
    <w:rsid w:val="003461A0"/>
    <w:rsid w:val="003462B1"/>
    <w:rsid w:val="0034684A"/>
    <w:rsid w:val="003468FB"/>
    <w:rsid w:val="003471F8"/>
    <w:rsid w:val="00347447"/>
    <w:rsid w:val="00347AFA"/>
    <w:rsid w:val="00347C08"/>
    <w:rsid w:val="00347D52"/>
    <w:rsid w:val="003504EE"/>
    <w:rsid w:val="00350D03"/>
    <w:rsid w:val="00350FCE"/>
    <w:rsid w:val="003514BB"/>
    <w:rsid w:val="00351879"/>
    <w:rsid w:val="00351C2B"/>
    <w:rsid w:val="0035217C"/>
    <w:rsid w:val="003524D8"/>
    <w:rsid w:val="003528B1"/>
    <w:rsid w:val="00352900"/>
    <w:rsid w:val="0035334D"/>
    <w:rsid w:val="003533D4"/>
    <w:rsid w:val="0035379D"/>
    <w:rsid w:val="003537D2"/>
    <w:rsid w:val="00353B5E"/>
    <w:rsid w:val="00354408"/>
    <w:rsid w:val="003546D7"/>
    <w:rsid w:val="00354746"/>
    <w:rsid w:val="00355039"/>
    <w:rsid w:val="0035556A"/>
    <w:rsid w:val="00355FE3"/>
    <w:rsid w:val="003565A1"/>
    <w:rsid w:val="003565DF"/>
    <w:rsid w:val="0035666D"/>
    <w:rsid w:val="00356B1A"/>
    <w:rsid w:val="00356D9B"/>
    <w:rsid w:val="00356E00"/>
    <w:rsid w:val="00356E01"/>
    <w:rsid w:val="0035705B"/>
    <w:rsid w:val="00357AAE"/>
    <w:rsid w:val="00357E39"/>
    <w:rsid w:val="003606F7"/>
    <w:rsid w:val="003607B2"/>
    <w:rsid w:val="003608D2"/>
    <w:rsid w:val="00360E47"/>
    <w:rsid w:val="0036229A"/>
    <w:rsid w:val="00362444"/>
    <w:rsid w:val="00362C0E"/>
    <w:rsid w:val="00362EFC"/>
    <w:rsid w:val="003632C5"/>
    <w:rsid w:val="003639B1"/>
    <w:rsid w:val="00363A2F"/>
    <w:rsid w:val="00364361"/>
    <w:rsid w:val="00364471"/>
    <w:rsid w:val="0036461E"/>
    <w:rsid w:val="003648CD"/>
    <w:rsid w:val="00364BD3"/>
    <w:rsid w:val="00364CDF"/>
    <w:rsid w:val="00364D61"/>
    <w:rsid w:val="00364D78"/>
    <w:rsid w:val="003653CA"/>
    <w:rsid w:val="00365DFD"/>
    <w:rsid w:val="00366F33"/>
    <w:rsid w:val="003679DE"/>
    <w:rsid w:val="00367DE5"/>
    <w:rsid w:val="00370242"/>
    <w:rsid w:val="003706A6"/>
    <w:rsid w:val="003707C1"/>
    <w:rsid w:val="00370EBA"/>
    <w:rsid w:val="003717A5"/>
    <w:rsid w:val="00371AE9"/>
    <w:rsid w:val="00371BD9"/>
    <w:rsid w:val="00372074"/>
    <w:rsid w:val="00372801"/>
    <w:rsid w:val="003742D1"/>
    <w:rsid w:val="00374909"/>
    <w:rsid w:val="0037494D"/>
    <w:rsid w:val="00374B7E"/>
    <w:rsid w:val="00374ECA"/>
    <w:rsid w:val="0037554D"/>
    <w:rsid w:val="00375950"/>
    <w:rsid w:val="00376686"/>
    <w:rsid w:val="00377136"/>
    <w:rsid w:val="00380055"/>
    <w:rsid w:val="003800DE"/>
    <w:rsid w:val="003805AD"/>
    <w:rsid w:val="003807F6"/>
    <w:rsid w:val="00380CBA"/>
    <w:rsid w:val="00380EF3"/>
    <w:rsid w:val="00381572"/>
    <w:rsid w:val="00381C74"/>
    <w:rsid w:val="00382D3C"/>
    <w:rsid w:val="00382F02"/>
    <w:rsid w:val="00382F85"/>
    <w:rsid w:val="00383412"/>
    <w:rsid w:val="00383B5E"/>
    <w:rsid w:val="003845EF"/>
    <w:rsid w:val="00385665"/>
    <w:rsid w:val="00386273"/>
    <w:rsid w:val="003864A8"/>
    <w:rsid w:val="0038672F"/>
    <w:rsid w:val="00387A2F"/>
    <w:rsid w:val="00387F6C"/>
    <w:rsid w:val="00387F80"/>
    <w:rsid w:val="00390399"/>
    <w:rsid w:val="00390CBC"/>
    <w:rsid w:val="003910E1"/>
    <w:rsid w:val="003915F7"/>
    <w:rsid w:val="003925DE"/>
    <w:rsid w:val="00392864"/>
    <w:rsid w:val="003929F3"/>
    <w:rsid w:val="00392C6D"/>
    <w:rsid w:val="00393015"/>
    <w:rsid w:val="0039306F"/>
    <w:rsid w:val="0039368F"/>
    <w:rsid w:val="00393CA8"/>
    <w:rsid w:val="00394AE2"/>
    <w:rsid w:val="00394B95"/>
    <w:rsid w:val="00394C57"/>
    <w:rsid w:val="0039548D"/>
    <w:rsid w:val="0039579C"/>
    <w:rsid w:val="00395F25"/>
    <w:rsid w:val="00396518"/>
    <w:rsid w:val="00397338"/>
    <w:rsid w:val="00397514"/>
    <w:rsid w:val="003977A4"/>
    <w:rsid w:val="00397A7E"/>
    <w:rsid w:val="00397E7F"/>
    <w:rsid w:val="003A01EC"/>
    <w:rsid w:val="003A08B9"/>
    <w:rsid w:val="003A0CB9"/>
    <w:rsid w:val="003A0DAE"/>
    <w:rsid w:val="003A0DB5"/>
    <w:rsid w:val="003A0DDC"/>
    <w:rsid w:val="003A1269"/>
    <w:rsid w:val="003A13CC"/>
    <w:rsid w:val="003A1A59"/>
    <w:rsid w:val="003A21DB"/>
    <w:rsid w:val="003A25DB"/>
    <w:rsid w:val="003A2625"/>
    <w:rsid w:val="003A26D2"/>
    <w:rsid w:val="003A28B0"/>
    <w:rsid w:val="003A41FF"/>
    <w:rsid w:val="003A430E"/>
    <w:rsid w:val="003A4708"/>
    <w:rsid w:val="003A490C"/>
    <w:rsid w:val="003A49AB"/>
    <w:rsid w:val="003A4BC5"/>
    <w:rsid w:val="003A4D66"/>
    <w:rsid w:val="003A4DE6"/>
    <w:rsid w:val="003A60FA"/>
    <w:rsid w:val="003A6A61"/>
    <w:rsid w:val="003A6CFB"/>
    <w:rsid w:val="003A7001"/>
    <w:rsid w:val="003A7540"/>
    <w:rsid w:val="003A767E"/>
    <w:rsid w:val="003A7863"/>
    <w:rsid w:val="003A7F19"/>
    <w:rsid w:val="003B020F"/>
    <w:rsid w:val="003B027D"/>
    <w:rsid w:val="003B04ED"/>
    <w:rsid w:val="003B0569"/>
    <w:rsid w:val="003B17CB"/>
    <w:rsid w:val="003B1850"/>
    <w:rsid w:val="003B1B39"/>
    <w:rsid w:val="003B1D30"/>
    <w:rsid w:val="003B2147"/>
    <w:rsid w:val="003B22AA"/>
    <w:rsid w:val="003B29C2"/>
    <w:rsid w:val="003B2CCB"/>
    <w:rsid w:val="003B2D1B"/>
    <w:rsid w:val="003B3729"/>
    <w:rsid w:val="003B3EAC"/>
    <w:rsid w:val="003B4320"/>
    <w:rsid w:val="003B48CA"/>
    <w:rsid w:val="003B4B0D"/>
    <w:rsid w:val="003B4BC4"/>
    <w:rsid w:val="003B5008"/>
    <w:rsid w:val="003B530E"/>
    <w:rsid w:val="003B56DA"/>
    <w:rsid w:val="003B59A4"/>
    <w:rsid w:val="003B601A"/>
    <w:rsid w:val="003B6033"/>
    <w:rsid w:val="003B616D"/>
    <w:rsid w:val="003B6690"/>
    <w:rsid w:val="003B6E01"/>
    <w:rsid w:val="003B6E82"/>
    <w:rsid w:val="003B73A1"/>
    <w:rsid w:val="003B758F"/>
    <w:rsid w:val="003B765C"/>
    <w:rsid w:val="003B78A8"/>
    <w:rsid w:val="003B7E33"/>
    <w:rsid w:val="003C00A5"/>
    <w:rsid w:val="003C06AA"/>
    <w:rsid w:val="003C080B"/>
    <w:rsid w:val="003C098E"/>
    <w:rsid w:val="003C1000"/>
    <w:rsid w:val="003C1701"/>
    <w:rsid w:val="003C19A0"/>
    <w:rsid w:val="003C1DA7"/>
    <w:rsid w:val="003C247E"/>
    <w:rsid w:val="003C256E"/>
    <w:rsid w:val="003C3DE3"/>
    <w:rsid w:val="003C40EB"/>
    <w:rsid w:val="003C43C0"/>
    <w:rsid w:val="003C47C5"/>
    <w:rsid w:val="003C48DD"/>
    <w:rsid w:val="003C526D"/>
    <w:rsid w:val="003C531B"/>
    <w:rsid w:val="003C68CC"/>
    <w:rsid w:val="003C6A05"/>
    <w:rsid w:val="003C6AC6"/>
    <w:rsid w:val="003C6FDD"/>
    <w:rsid w:val="003C71EB"/>
    <w:rsid w:val="003C725C"/>
    <w:rsid w:val="003C7290"/>
    <w:rsid w:val="003C7303"/>
    <w:rsid w:val="003C772C"/>
    <w:rsid w:val="003C7A5F"/>
    <w:rsid w:val="003C7BB0"/>
    <w:rsid w:val="003D082A"/>
    <w:rsid w:val="003D08E6"/>
    <w:rsid w:val="003D0D93"/>
    <w:rsid w:val="003D0F47"/>
    <w:rsid w:val="003D14D5"/>
    <w:rsid w:val="003D17EC"/>
    <w:rsid w:val="003D1CAB"/>
    <w:rsid w:val="003D1F0C"/>
    <w:rsid w:val="003D22F5"/>
    <w:rsid w:val="003D29BF"/>
    <w:rsid w:val="003D2B9E"/>
    <w:rsid w:val="003D38BE"/>
    <w:rsid w:val="003D4DE2"/>
    <w:rsid w:val="003D51CF"/>
    <w:rsid w:val="003D51D4"/>
    <w:rsid w:val="003D54AB"/>
    <w:rsid w:val="003D55E3"/>
    <w:rsid w:val="003D6285"/>
    <w:rsid w:val="003D6298"/>
    <w:rsid w:val="003D62A5"/>
    <w:rsid w:val="003D62E6"/>
    <w:rsid w:val="003D642F"/>
    <w:rsid w:val="003D6770"/>
    <w:rsid w:val="003D6EA1"/>
    <w:rsid w:val="003D7042"/>
    <w:rsid w:val="003D7079"/>
    <w:rsid w:val="003D7B33"/>
    <w:rsid w:val="003D7D21"/>
    <w:rsid w:val="003D7E06"/>
    <w:rsid w:val="003E0550"/>
    <w:rsid w:val="003E0CC4"/>
    <w:rsid w:val="003E0FB3"/>
    <w:rsid w:val="003E1780"/>
    <w:rsid w:val="003E19E9"/>
    <w:rsid w:val="003E20A9"/>
    <w:rsid w:val="003E20EB"/>
    <w:rsid w:val="003E267A"/>
    <w:rsid w:val="003E2B83"/>
    <w:rsid w:val="003E3B8E"/>
    <w:rsid w:val="003E3C1A"/>
    <w:rsid w:val="003E3FB5"/>
    <w:rsid w:val="003E3FDD"/>
    <w:rsid w:val="003E427B"/>
    <w:rsid w:val="003E42CB"/>
    <w:rsid w:val="003E4477"/>
    <w:rsid w:val="003E4883"/>
    <w:rsid w:val="003E4CBE"/>
    <w:rsid w:val="003E51AF"/>
    <w:rsid w:val="003E52FB"/>
    <w:rsid w:val="003E55C8"/>
    <w:rsid w:val="003E5D74"/>
    <w:rsid w:val="003E602F"/>
    <w:rsid w:val="003E6141"/>
    <w:rsid w:val="003E638B"/>
    <w:rsid w:val="003E65EA"/>
    <w:rsid w:val="003E78D0"/>
    <w:rsid w:val="003E78F0"/>
    <w:rsid w:val="003E7C50"/>
    <w:rsid w:val="003E7CED"/>
    <w:rsid w:val="003E7D40"/>
    <w:rsid w:val="003E7FE6"/>
    <w:rsid w:val="003F0347"/>
    <w:rsid w:val="003F0432"/>
    <w:rsid w:val="003F148E"/>
    <w:rsid w:val="003F1709"/>
    <w:rsid w:val="003F1FB8"/>
    <w:rsid w:val="003F2044"/>
    <w:rsid w:val="003F2785"/>
    <w:rsid w:val="003F2CFB"/>
    <w:rsid w:val="003F2D1A"/>
    <w:rsid w:val="003F2ED2"/>
    <w:rsid w:val="003F3B48"/>
    <w:rsid w:val="003F3CE1"/>
    <w:rsid w:val="003F4092"/>
    <w:rsid w:val="003F47B6"/>
    <w:rsid w:val="003F47E9"/>
    <w:rsid w:val="003F4A3A"/>
    <w:rsid w:val="003F4CE1"/>
    <w:rsid w:val="003F4F80"/>
    <w:rsid w:val="003F55FB"/>
    <w:rsid w:val="003F5CA0"/>
    <w:rsid w:val="003F5E9A"/>
    <w:rsid w:val="003F6E76"/>
    <w:rsid w:val="003F7231"/>
    <w:rsid w:val="003F7332"/>
    <w:rsid w:val="003F7662"/>
    <w:rsid w:val="003F7A93"/>
    <w:rsid w:val="004002B9"/>
    <w:rsid w:val="004003B6"/>
    <w:rsid w:val="00400575"/>
    <w:rsid w:val="004005B0"/>
    <w:rsid w:val="00400893"/>
    <w:rsid w:val="00400C85"/>
    <w:rsid w:val="00400E97"/>
    <w:rsid w:val="00401512"/>
    <w:rsid w:val="0040155A"/>
    <w:rsid w:val="00401A89"/>
    <w:rsid w:val="00401FEB"/>
    <w:rsid w:val="0040296D"/>
    <w:rsid w:val="00402EE9"/>
    <w:rsid w:val="00403430"/>
    <w:rsid w:val="00404192"/>
    <w:rsid w:val="004042B9"/>
    <w:rsid w:val="0040472E"/>
    <w:rsid w:val="00404D51"/>
    <w:rsid w:val="00404FA3"/>
    <w:rsid w:val="00405079"/>
    <w:rsid w:val="00405265"/>
    <w:rsid w:val="004052FF"/>
    <w:rsid w:val="0040550E"/>
    <w:rsid w:val="004056A0"/>
    <w:rsid w:val="00405764"/>
    <w:rsid w:val="00405A00"/>
    <w:rsid w:val="00405A25"/>
    <w:rsid w:val="00406339"/>
    <w:rsid w:val="00406416"/>
    <w:rsid w:val="00407030"/>
    <w:rsid w:val="004072D4"/>
    <w:rsid w:val="00407455"/>
    <w:rsid w:val="004077CD"/>
    <w:rsid w:val="004078A1"/>
    <w:rsid w:val="004078A2"/>
    <w:rsid w:val="00407F1A"/>
    <w:rsid w:val="004101E7"/>
    <w:rsid w:val="004103C1"/>
    <w:rsid w:val="004105D0"/>
    <w:rsid w:val="00411017"/>
    <w:rsid w:val="00411033"/>
    <w:rsid w:val="00411B68"/>
    <w:rsid w:val="00411D8E"/>
    <w:rsid w:val="00412159"/>
    <w:rsid w:val="00412246"/>
    <w:rsid w:val="00412430"/>
    <w:rsid w:val="00412705"/>
    <w:rsid w:val="00412BE9"/>
    <w:rsid w:val="00412C45"/>
    <w:rsid w:val="00412C84"/>
    <w:rsid w:val="004137EC"/>
    <w:rsid w:val="00413CE9"/>
    <w:rsid w:val="004148BF"/>
    <w:rsid w:val="00414A91"/>
    <w:rsid w:val="00414B8C"/>
    <w:rsid w:val="00414EA2"/>
    <w:rsid w:val="00414EA8"/>
    <w:rsid w:val="00415293"/>
    <w:rsid w:val="00415669"/>
    <w:rsid w:val="00415C10"/>
    <w:rsid w:val="00415D4D"/>
    <w:rsid w:val="00415E25"/>
    <w:rsid w:val="0041625A"/>
    <w:rsid w:val="00416395"/>
    <w:rsid w:val="00416716"/>
    <w:rsid w:val="00416896"/>
    <w:rsid w:val="00416ABA"/>
    <w:rsid w:val="00416FD4"/>
    <w:rsid w:val="00417166"/>
    <w:rsid w:val="00417C19"/>
    <w:rsid w:val="0042038E"/>
    <w:rsid w:val="00421022"/>
    <w:rsid w:val="0042107F"/>
    <w:rsid w:val="00421670"/>
    <w:rsid w:val="00422890"/>
    <w:rsid w:val="00422C3A"/>
    <w:rsid w:val="004230E2"/>
    <w:rsid w:val="00423184"/>
    <w:rsid w:val="0042407F"/>
    <w:rsid w:val="00424616"/>
    <w:rsid w:val="0042476B"/>
    <w:rsid w:val="00424814"/>
    <w:rsid w:val="00424A31"/>
    <w:rsid w:val="00424C61"/>
    <w:rsid w:val="00424C7B"/>
    <w:rsid w:val="00425229"/>
    <w:rsid w:val="004258BA"/>
    <w:rsid w:val="0042627B"/>
    <w:rsid w:val="00426A76"/>
    <w:rsid w:val="00426C44"/>
    <w:rsid w:val="00426C7C"/>
    <w:rsid w:val="00426E3B"/>
    <w:rsid w:val="004274D8"/>
    <w:rsid w:val="004276D4"/>
    <w:rsid w:val="00427BB1"/>
    <w:rsid w:val="0043017A"/>
    <w:rsid w:val="004303D2"/>
    <w:rsid w:val="004308EA"/>
    <w:rsid w:val="0043092E"/>
    <w:rsid w:val="00430ADA"/>
    <w:rsid w:val="00430C56"/>
    <w:rsid w:val="00431143"/>
    <w:rsid w:val="0043142B"/>
    <w:rsid w:val="004314A5"/>
    <w:rsid w:val="004315A0"/>
    <w:rsid w:val="004316C5"/>
    <w:rsid w:val="00431735"/>
    <w:rsid w:val="00432BE2"/>
    <w:rsid w:val="00433125"/>
    <w:rsid w:val="00433294"/>
    <w:rsid w:val="00433C78"/>
    <w:rsid w:val="00433F23"/>
    <w:rsid w:val="00434536"/>
    <w:rsid w:val="004348A5"/>
    <w:rsid w:val="00434F77"/>
    <w:rsid w:val="00435523"/>
    <w:rsid w:val="00435AC5"/>
    <w:rsid w:val="00435F91"/>
    <w:rsid w:val="0043641F"/>
    <w:rsid w:val="00436506"/>
    <w:rsid w:val="004365F3"/>
    <w:rsid w:val="004369B0"/>
    <w:rsid w:val="00436EDB"/>
    <w:rsid w:val="0043729B"/>
    <w:rsid w:val="00437959"/>
    <w:rsid w:val="00437D91"/>
    <w:rsid w:val="00440261"/>
    <w:rsid w:val="00440BDD"/>
    <w:rsid w:val="004423D6"/>
    <w:rsid w:val="00442C8D"/>
    <w:rsid w:val="00442F86"/>
    <w:rsid w:val="00443077"/>
    <w:rsid w:val="004435CE"/>
    <w:rsid w:val="00443C9B"/>
    <w:rsid w:val="00444316"/>
    <w:rsid w:val="00444811"/>
    <w:rsid w:val="00444F61"/>
    <w:rsid w:val="00445393"/>
    <w:rsid w:val="004454A2"/>
    <w:rsid w:val="0044696D"/>
    <w:rsid w:val="00446A9A"/>
    <w:rsid w:val="00446F73"/>
    <w:rsid w:val="004471C5"/>
    <w:rsid w:val="0044784C"/>
    <w:rsid w:val="00447896"/>
    <w:rsid w:val="0044789E"/>
    <w:rsid w:val="00447953"/>
    <w:rsid w:val="00447EDC"/>
    <w:rsid w:val="00450399"/>
    <w:rsid w:val="00451A54"/>
    <w:rsid w:val="00452E52"/>
    <w:rsid w:val="00452F0E"/>
    <w:rsid w:val="00453A12"/>
    <w:rsid w:val="00453EFE"/>
    <w:rsid w:val="00454584"/>
    <w:rsid w:val="00454A02"/>
    <w:rsid w:val="004551B6"/>
    <w:rsid w:val="004553A0"/>
    <w:rsid w:val="00455813"/>
    <w:rsid w:val="00455E25"/>
    <w:rsid w:val="00455F6A"/>
    <w:rsid w:val="004568D8"/>
    <w:rsid w:val="00456DF9"/>
    <w:rsid w:val="00456F4F"/>
    <w:rsid w:val="004572CC"/>
    <w:rsid w:val="004575A1"/>
    <w:rsid w:val="004577CA"/>
    <w:rsid w:val="00457969"/>
    <w:rsid w:val="00460198"/>
    <w:rsid w:val="00460379"/>
    <w:rsid w:val="00460416"/>
    <w:rsid w:val="00460A9F"/>
    <w:rsid w:val="0046124F"/>
    <w:rsid w:val="00461702"/>
    <w:rsid w:val="0046261A"/>
    <w:rsid w:val="00462E07"/>
    <w:rsid w:val="00462F0E"/>
    <w:rsid w:val="0046320A"/>
    <w:rsid w:val="004632CF"/>
    <w:rsid w:val="00463763"/>
    <w:rsid w:val="0046389D"/>
    <w:rsid w:val="00463C00"/>
    <w:rsid w:val="00464087"/>
    <w:rsid w:val="004643A1"/>
    <w:rsid w:val="004645D3"/>
    <w:rsid w:val="00464688"/>
    <w:rsid w:val="00464A7D"/>
    <w:rsid w:val="00464C42"/>
    <w:rsid w:val="00464F72"/>
    <w:rsid w:val="00465123"/>
    <w:rsid w:val="004653CB"/>
    <w:rsid w:val="00465AE8"/>
    <w:rsid w:val="00465FDE"/>
    <w:rsid w:val="004661B2"/>
    <w:rsid w:val="0046674C"/>
    <w:rsid w:val="00466D65"/>
    <w:rsid w:val="004672A8"/>
    <w:rsid w:val="0046734E"/>
    <w:rsid w:val="00470C21"/>
    <w:rsid w:val="00470CF0"/>
    <w:rsid w:val="00470EAD"/>
    <w:rsid w:val="004714E3"/>
    <w:rsid w:val="00471510"/>
    <w:rsid w:val="00471D2D"/>
    <w:rsid w:val="00471E6A"/>
    <w:rsid w:val="00471F38"/>
    <w:rsid w:val="004727DA"/>
    <w:rsid w:val="004735B2"/>
    <w:rsid w:val="00473A68"/>
    <w:rsid w:val="0047424D"/>
    <w:rsid w:val="004750C4"/>
    <w:rsid w:val="0047582C"/>
    <w:rsid w:val="00475B42"/>
    <w:rsid w:val="00476341"/>
    <w:rsid w:val="004764BB"/>
    <w:rsid w:val="0047695D"/>
    <w:rsid w:val="00476BAA"/>
    <w:rsid w:val="00477454"/>
    <w:rsid w:val="004774AF"/>
    <w:rsid w:val="004804F0"/>
    <w:rsid w:val="00480694"/>
    <w:rsid w:val="00480C12"/>
    <w:rsid w:val="0048118B"/>
    <w:rsid w:val="0048142D"/>
    <w:rsid w:val="00481AD6"/>
    <w:rsid w:val="00481D11"/>
    <w:rsid w:val="00481D66"/>
    <w:rsid w:val="00482210"/>
    <w:rsid w:val="00482747"/>
    <w:rsid w:val="00482AE2"/>
    <w:rsid w:val="00482AE5"/>
    <w:rsid w:val="00482C42"/>
    <w:rsid w:val="004831B1"/>
    <w:rsid w:val="00483A12"/>
    <w:rsid w:val="00483A9E"/>
    <w:rsid w:val="00483E88"/>
    <w:rsid w:val="0048407B"/>
    <w:rsid w:val="00484456"/>
    <w:rsid w:val="00485BD8"/>
    <w:rsid w:val="00486100"/>
    <w:rsid w:val="00486C87"/>
    <w:rsid w:val="00486CC8"/>
    <w:rsid w:val="0048756E"/>
    <w:rsid w:val="00487BB5"/>
    <w:rsid w:val="00487D52"/>
    <w:rsid w:val="00487E45"/>
    <w:rsid w:val="0049006D"/>
    <w:rsid w:val="00490DC4"/>
    <w:rsid w:val="00490DDA"/>
    <w:rsid w:val="00490DF8"/>
    <w:rsid w:val="00490E82"/>
    <w:rsid w:val="0049115F"/>
    <w:rsid w:val="00491445"/>
    <w:rsid w:val="0049149C"/>
    <w:rsid w:val="004916B9"/>
    <w:rsid w:val="0049178B"/>
    <w:rsid w:val="0049192C"/>
    <w:rsid w:val="00491A85"/>
    <w:rsid w:val="004920F9"/>
    <w:rsid w:val="004921A3"/>
    <w:rsid w:val="004921AB"/>
    <w:rsid w:val="00492344"/>
    <w:rsid w:val="00492607"/>
    <w:rsid w:val="0049280D"/>
    <w:rsid w:val="00492E26"/>
    <w:rsid w:val="00492F72"/>
    <w:rsid w:val="004938D5"/>
    <w:rsid w:val="004939AF"/>
    <w:rsid w:val="00494089"/>
    <w:rsid w:val="004940D1"/>
    <w:rsid w:val="00494710"/>
    <w:rsid w:val="00494D15"/>
    <w:rsid w:val="004955EA"/>
    <w:rsid w:val="00495745"/>
    <w:rsid w:val="0049595C"/>
    <w:rsid w:val="0049651A"/>
    <w:rsid w:val="0049680C"/>
    <w:rsid w:val="00497047"/>
    <w:rsid w:val="0049735F"/>
    <w:rsid w:val="004973B4"/>
    <w:rsid w:val="004976DA"/>
    <w:rsid w:val="004977F7"/>
    <w:rsid w:val="00497883"/>
    <w:rsid w:val="004A0193"/>
    <w:rsid w:val="004A0262"/>
    <w:rsid w:val="004A0536"/>
    <w:rsid w:val="004A0817"/>
    <w:rsid w:val="004A09A6"/>
    <w:rsid w:val="004A09F4"/>
    <w:rsid w:val="004A109A"/>
    <w:rsid w:val="004A2075"/>
    <w:rsid w:val="004A2432"/>
    <w:rsid w:val="004A2588"/>
    <w:rsid w:val="004A28E0"/>
    <w:rsid w:val="004A2D96"/>
    <w:rsid w:val="004A3B69"/>
    <w:rsid w:val="004A48F6"/>
    <w:rsid w:val="004A4AA2"/>
    <w:rsid w:val="004A4B07"/>
    <w:rsid w:val="004A4B46"/>
    <w:rsid w:val="004A51FC"/>
    <w:rsid w:val="004A54E7"/>
    <w:rsid w:val="004A5624"/>
    <w:rsid w:val="004A7422"/>
    <w:rsid w:val="004A7895"/>
    <w:rsid w:val="004B0F90"/>
    <w:rsid w:val="004B1553"/>
    <w:rsid w:val="004B1644"/>
    <w:rsid w:val="004B1828"/>
    <w:rsid w:val="004B1C39"/>
    <w:rsid w:val="004B1C97"/>
    <w:rsid w:val="004B22C1"/>
    <w:rsid w:val="004B27BC"/>
    <w:rsid w:val="004B29DE"/>
    <w:rsid w:val="004B305E"/>
    <w:rsid w:val="004B32EB"/>
    <w:rsid w:val="004B538B"/>
    <w:rsid w:val="004B60DF"/>
    <w:rsid w:val="004B6854"/>
    <w:rsid w:val="004B7397"/>
    <w:rsid w:val="004B7FDD"/>
    <w:rsid w:val="004C00D6"/>
    <w:rsid w:val="004C01F6"/>
    <w:rsid w:val="004C06D1"/>
    <w:rsid w:val="004C09EB"/>
    <w:rsid w:val="004C0A43"/>
    <w:rsid w:val="004C0BB3"/>
    <w:rsid w:val="004C12D4"/>
    <w:rsid w:val="004C1303"/>
    <w:rsid w:val="004C230D"/>
    <w:rsid w:val="004C26AB"/>
    <w:rsid w:val="004C283C"/>
    <w:rsid w:val="004C2DF2"/>
    <w:rsid w:val="004C2F6D"/>
    <w:rsid w:val="004C3024"/>
    <w:rsid w:val="004C31D7"/>
    <w:rsid w:val="004C38BB"/>
    <w:rsid w:val="004C3AAC"/>
    <w:rsid w:val="004C3C5C"/>
    <w:rsid w:val="004C3EDD"/>
    <w:rsid w:val="004C4175"/>
    <w:rsid w:val="004C4E95"/>
    <w:rsid w:val="004C5A6A"/>
    <w:rsid w:val="004C6037"/>
    <w:rsid w:val="004C694F"/>
    <w:rsid w:val="004C74B0"/>
    <w:rsid w:val="004C7AC8"/>
    <w:rsid w:val="004C7BC5"/>
    <w:rsid w:val="004C7C42"/>
    <w:rsid w:val="004D0864"/>
    <w:rsid w:val="004D0A4D"/>
    <w:rsid w:val="004D0DC9"/>
    <w:rsid w:val="004D1345"/>
    <w:rsid w:val="004D177D"/>
    <w:rsid w:val="004D189D"/>
    <w:rsid w:val="004D1B98"/>
    <w:rsid w:val="004D1FDB"/>
    <w:rsid w:val="004D227C"/>
    <w:rsid w:val="004D39F8"/>
    <w:rsid w:val="004D40BE"/>
    <w:rsid w:val="004D433C"/>
    <w:rsid w:val="004D45B2"/>
    <w:rsid w:val="004D4731"/>
    <w:rsid w:val="004D47B4"/>
    <w:rsid w:val="004D4B04"/>
    <w:rsid w:val="004D5365"/>
    <w:rsid w:val="004D576E"/>
    <w:rsid w:val="004D578E"/>
    <w:rsid w:val="004D5DEB"/>
    <w:rsid w:val="004D6038"/>
    <w:rsid w:val="004D63B9"/>
    <w:rsid w:val="004D64A4"/>
    <w:rsid w:val="004D66DE"/>
    <w:rsid w:val="004D7070"/>
    <w:rsid w:val="004D7E8B"/>
    <w:rsid w:val="004D7F96"/>
    <w:rsid w:val="004E01F0"/>
    <w:rsid w:val="004E033B"/>
    <w:rsid w:val="004E0430"/>
    <w:rsid w:val="004E07B3"/>
    <w:rsid w:val="004E0816"/>
    <w:rsid w:val="004E097C"/>
    <w:rsid w:val="004E0D82"/>
    <w:rsid w:val="004E1459"/>
    <w:rsid w:val="004E16DA"/>
    <w:rsid w:val="004E1E06"/>
    <w:rsid w:val="004E20F6"/>
    <w:rsid w:val="004E25F0"/>
    <w:rsid w:val="004E2AF2"/>
    <w:rsid w:val="004E2B68"/>
    <w:rsid w:val="004E2CF0"/>
    <w:rsid w:val="004E2F1E"/>
    <w:rsid w:val="004E2FF5"/>
    <w:rsid w:val="004E4255"/>
    <w:rsid w:val="004E44BB"/>
    <w:rsid w:val="004E4699"/>
    <w:rsid w:val="004E5027"/>
    <w:rsid w:val="004E539C"/>
    <w:rsid w:val="004E5493"/>
    <w:rsid w:val="004E5CE7"/>
    <w:rsid w:val="004E6108"/>
    <w:rsid w:val="004E61D0"/>
    <w:rsid w:val="004E69C1"/>
    <w:rsid w:val="004E6A98"/>
    <w:rsid w:val="004E7212"/>
    <w:rsid w:val="004E7323"/>
    <w:rsid w:val="004E7772"/>
    <w:rsid w:val="004E7994"/>
    <w:rsid w:val="004E79E7"/>
    <w:rsid w:val="004E7AAE"/>
    <w:rsid w:val="004F039F"/>
    <w:rsid w:val="004F08F4"/>
    <w:rsid w:val="004F1549"/>
    <w:rsid w:val="004F1965"/>
    <w:rsid w:val="004F2296"/>
    <w:rsid w:val="004F23A4"/>
    <w:rsid w:val="004F2AA4"/>
    <w:rsid w:val="004F2BA3"/>
    <w:rsid w:val="004F2D65"/>
    <w:rsid w:val="004F3511"/>
    <w:rsid w:val="004F35DB"/>
    <w:rsid w:val="004F39F1"/>
    <w:rsid w:val="004F3B94"/>
    <w:rsid w:val="004F425A"/>
    <w:rsid w:val="004F4593"/>
    <w:rsid w:val="004F464A"/>
    <w:rsid w:val="004F491B"/>
    <w:rsid w:val="004F4AB5"/>
    <w:rsid w:val="004F4CBF"/>
    <w:rsid w:val="004F50BD"/>
    <w:rsid w:val="004F5F18"/>
    <w:rsid w:val="004F5FFC"/>
    <w:rsid w:val="004F61C8"/>
    <w:rsid w:val="004F6529"/>
    <w:rsid w:val="004F6A33"/>
    <w:rsid w:val="004F79B7"/>
    <w:rsid w:val="004F7C6D"/>
    <w:rsid w:val="0050045E"/>
    <w:rsid w:val="00501199"/>
    <w:rsid w:val="005011C7"/>
    <w:rsid w:val="005017C9"/>
    <w:rsid w:val="00501EF7"/>
    <w:rsid w:val="00502176"/>
    <w:rsid w:val="005021F6"/>
    <w:rsid w:val="0050243F"/>
    <w:rsid w:val="00502C73"/>
    <w:rsid w:val="00502CA1"/>
    <w:rsid w:val="005031D1"/>
    <w:rsid w:val="0050362F"/>
    <w:rsid w:val="00503D74"/>
    <w:rsid w:val="005040BC"/>
    <w:rsid w:val="00504B3E"/>
    <w:rsid w:val="00504CD4"/>
    <w:rsid w:val="00504E2F"/>
    <w:rsid w:val="005054C0"/>
    <w:rsid w:val="0050677B"/>
    <w:rsid w:val="00506935"/>
    <w:rsid w:val="00506A59"/>
    <w:rsid w:val="00507076"/>
    <w:rsid w:val="0050775D"/>
    <w:rsid w:val="00507C46"/>
    <w:rsid w:val="00507DF5"/>
    <w:rsid w:val="00507F6C"/>
    <w:rsid w:val="00510151"/>
    <w:rsid w:val="005106CF"/>
    <w:rsid w:val="00510CE7"/>
    <w:rsid w:val="00510DFE"/>
    <w:rsid w:val="00510F3F"/>
    <w:rsid w:val="00511478"/>
    <w:rsid w:val="00511D8D"/>
    <w:rsid w:val="00511E95"/>
    <w:rsid w:val="0051283E"/>
    <w:rsid w:val="00512B26"/>
    <w:rsid w:val="00512EB1"/>
    <w:rsid w:val="005130E7"/>
    <w:rsid w:val="0051337C"/>
    <w:rsid w:val="0051338A"/>
    <w:rsid w:val="00513844"/>
    <w:rsid w:val="0051390D"/>
    <w:rsid w:val="00513E1E"/>
    <w:rsid w:val="0051405F"/>
    <w:rsid w:val="0051434B"/>
    <w:rsid w:val="00514F50"/>
    <w:rsid w:val="00514FA8"/>
    <w:rsid w:val="00515366"/>
    <w:rsid w:val="005154AF"/>
    <w:rsid w:val="005154EC"/>
    <w:rsid w:val="00515781"/>
    <w:rsid w:val="005159DF"/>
    <w:rsid w:val="00515AAE"/>
    <w:rsid w:val="00515EE1"/>
    <w:rsid w:val="00516075"/>
    <w:rsid w:val="005166E4"/>
    <w:rsid w:val="00516E0D"/>
    <w:rsid w:val="0051743F"/>
    <w:rsid w:val="005174FD"/>
    <w:rsid w:val="0052053D"/>
    <w:rsid w:val="005208CE"/>
    <w:rsid w:val="00520E0F"/>
    <w:rsid w:val="00520E26"/>
    <w:rsid w:val="00521683"/>
    <w:rsid w:val="00521A61"/>
    <w:rsid w:val="005222CA"/>
    <w:rsid w:val="0052276A"/>
    <w:rsid w:val="00523385"/>
    <w:rsid w:val="005233BE"/>
    <w:rsid w:val="005233DF"/>
    <w:rsid w:val="0052372E"/>
    <w:rsid w:val="00523971"/>
    <w:rsid w:val="00523A25"/>
    <w:rsid w:val="00523ABB"/>
    <w:rsid w:val="0052409A"/>
    <w:rsid w:val="00524A50"/>
    <w:rsid w:val="00525604"/>
    <w:rsid w:val="00525BBF"/>
    <w:rsid w:val="00526194"/>
    <w:rsid w:val="00526425"/>
    <w:rsid w:val="0052666C"/>
    <w:rsid w:val="00526729"/>
    <w:rsid w:val="00526B55"/>
    <w:rsid w:val="0052709A"/>
    <w:rsid w:val="0052745C"/>
    <w:rsid w:val="005302C0"/>
    <w:rsid w:val="0053041F"/>
    <w:rsid w:val="0053050E"/>
    <w:rsid w:val="0053123D"/>
    <w:rsid w:val="005315B8"/>
    <w:rsid w:val="005316AD"/>
    <w:rsid w:val="00531A41"/>
    <w:rsid w:val="00531C1E"/>
    <w:rsid w:val="00531FBE"/>
    <w:rsid w:val="0053216B"/>
    <w:rsid w:val="00532594"/>
    <w:rsid w:val="005328AF"/>
    <w:rsid w:val="00532B13"/>
    <w:rsid w:val="00532FEE"/>
    <w:rsid w:val="0053307C"/>
    <w:rsid w:val="005330CD"/>
    <w:rsid w:val="00533D76"/>
    <w:rsid w:val="00533D7F"/>
    <w:rsid w:val="00534D4D"/>
    <w:rsid w:val="00534D8A"/>
    <w:rsid w:val="00534FD3"/>
    <w:rsid w:val="00535604"/>
    <w:rsid w:val="0053561E"/>
    <w:rsid w:val="00536071"/>
    <w:rsid w:val="005360ED"/>
    <w:rsid w:val="005369CC"/>
    <w:rsid w:val="00536ECE"/>
    <w:rsid w:val="00537305"/>
    <w:rsid w:val="0053735C"/>
    <w:rsid w:val="005375C3"/>
    <w:rsid w:val="00537D58"/>
    <w:rsid w:val="00537F4C"/>
    <w:rsid w:val="0054065C"/>
    <w:rsid w:val="0054065E"/>
    <w:rsid w:val="00540BD2"/>
    <w:rsid w:val="00540DD3"/>
    <w:rsid w:val="00540DD8"/>
    <w:rsid w:val="00540E21"/>
    <w:rsid w:val="005416A5"/>
    <w:rsid w:val="005418E2"/>
    <w:rsid w:val="00541DB7"/>
    <w:rsid w:val="00541E89"/>
    <w:rsid w:val="00541FB7"/>
    <w:rsid w:val="005421DE"/>
    <w:rsid w:val="00542AE6"/>
    <w:rsid w:val="00542E9F"/>
    <w:rsid w:val="00542EFB"/>
    <w:rsid w:val="005438DB"/>
    <w:rsid w:val="00543DB5"/>
    <w:rsid w:val="00543DE6"/>
    <w:rsid w:val="005447FD"/>
    <w:rsid w:val="00544931"/>
    <w:rsid w:val="00544D17"/>
    <w:rsid w:val="0054553B"/>
    <w:rsid w:val="0054575C"/>
    <w:rsid w:val="00545785"/>
    <w:rsid w:val="00545CD3"/>
    <w:rsid w:val="00546233"/>
    <w:rsid w:val="00546518"/>
    <w:rsid w:val="0054683C"/>
    <w:rsid w:val="005469D6"/>
    <w:rsid w:val="00546C05"/>
    <w:rsid w:val="00546FD5"/>
    <w:rsid w:val="005471C2"/>
    <w:rsid w:val="005471DD"/>
    <w:rsid w:val="00547DE4"/>
    <w:rsid w:val="005501A1"/>
    <w:rsid w:val="00550603"/>
    <w:rsid w:val="00550EAD"/>
    <w:rsid w:val="00551441"/>
    <w:rsid w:val="00551C5F"/>
    <w:rsid w:val="00551E6F"/>
    <w:rsid w:val="00551E8C"/>
    <w:rsid w:val="00551F4D"/>
    <w:rsid w:val="00552726"/>
    <w:rsid w:val="00552AB2"/>
    <w:rsid w:val="00552E2A"/>
    <w:rsid w:val="0055303E"/>
    <w:rsid w:val="00553107"/>
    <w:rsid w:val="005531A0"/>
    <w:rsid w:val="005531CB"/>
    <w:rsid w:val="0055367C"/>
    <w:rsid w:val="00553AC2"/>
    <w:rsid w:val="005540F9"/>
    <w:rsid w:val="005546FF"/>
    <w:rsid w:val="00554BDD"/>
    <w:rsid w:val="0055521B"/>
    <w:rsid w:val="00555265"/>
    <w:rsid w:val="0055573D"/>
    <w:rsid w:val="00555A0F"/>
    <w:rsid w:val="00556188"/>
    <w:rsid w:val="005568CF"/>
    <w:rsid w:val="005569EC"/>
    <w:rsid w:val="00556E78"/>
    <w:rsid w:val="0055757A"/>
    <w:rsid w:val="005577C6"/>
    <w:rsid w:val="005601F3"/>
    <w:rsid w:val="00560305"/>
    <w:rsid w:val="005603BF"/>
    <w:rsid w:val="005606EA"/>
    <w:rsid w:val="00560C40"/>
    <w:rsid w:val="00560CF4"/>
    <w:rsid w:val="00560E92"/>
    <w:rsid w:val="00561C5B"/>
    <w:rsid w:val="005622CC"/>
    <w:rsid w:val="005624BB"/>
    <w:rsid w:val="005625B2"/>
    <w:rsid w:val="005628A2"/>
    <w:rsid w:val="005633D6"/>
    <w:rsid w:val="00563A78"/>
    <w:rsid w:val="00563B9D"/>
    <w:rsid w:val="00563D42"/>
    <w:rsid w:val="00563D53"/>
    <w:rsid w:val="005643B4"/>
    <w:rsid w:val="00564666"/>
    <w:rsid w:val="0056501B"/>
    <w:rsid w:val="00565188"/>
    <w:rsid w:val="00565578"/>
    <w:rsid w:val="00565B12"/>
    <w:rsid w:val="00565FE7"/>
    <w:rsid w:val="00566153"/>
    <w:rsid w:val="00566BC8"/>
    <w:rsid w:val="0056712D"/>
    <w:rsid w:val="00567671"/>
    <w:rsid w:val="005677BD"/>
    <w:rsid w:val="00567B35"/>
    <w:rsid w:val="00570352"/>
    <w:rsid w:val="0057046B"/>
    <w:rsid w:val="005704CA"/>
    <w:rsid w:val="0057084D"/>
    <w:rsid w:val="00570A30"/>
    <w:rsid w:val="00571229"/>
    <w:rsid w:val="0057151E"/>
    <w:rsid w:val="00571814"/>
    <w:rsid w:val="00571899"/>
    <w:rsid w:val="00571DC8"/>
    <w:rsid w:val="00571E25"/>
    <w:rsid w:val="005724B8"/>
    <w:rsid w:val="00572548"/>
    <w:rsid w:val="00572DAA"/>
    <w:rsid w:val="00572E1B"/>
    <w:rsid w:val="00572F2D"/>
    <w:rsid w:val="005734E9"/>
    <w:rsid w:val="00573B70"/>
    <w:rsid w:val="00573F4C"/>
    <w:rsid w:val="005744E4"/>
    <w:rsid w:val="0057476B"/>
    <w:rsid w:val="0057527B"/>
    <w:rsid w:val="00575437"/>
    <w:rsid w:val="005755A8"/>
    <w:rsid w:val="005756BE"/>
    <w:rsid w:val="0057581E"/>
    <w:rsid w:val="00575AC1"/>
    <w:rsid w:val="00575BE0"/>
    <w:rsid w:val="0057609A"/>
    <w:rsid w:val="005762B4"/>
    <w:rsid w:val="00576742"/>
    <w:rsid w:val="005767D7"/>
    <w:rsid w:val="00576817"/>
    <w:rsid w:val="00576925"/>
    <w:rsid w:val="00576D40"/>
    <w:rsid w:val="00576EEC"/>
    <w:rsid w:val="005777B9"/>
    <w:rsid w:val="00577DED"/>
    <w:rsid w:val="00577DF3"/>
    <w:rsid w:val="005803A0"/>
    <w:rsid w:val="005805DD"/>
    <w:rsid w:val="00580897"/>
    <w:rsid w:val="005814FF"/>
    <w:rsid w:val="00581778"/>
    <w:rsid w:val="00581A26"/>
    <w:rsid w:val="00581D48"/>
    <w:rsid w:val="00582215"/>
    <w:rsid w:val="005823AC"/>
    <w:rsid w:val="0058259F"/>
    <w:rsid w:val="00582E59"/>
    <w:rsid w:val="005835FB"/>
    <w:rsid w:val="00583C64"/>
    <w:rsid w:val="00584221"/>
    <w:rsid w:val="005842CC"/>
    <w:rsid w:val="005848F5"/>
    <w:rsid w:val="00584CE8"/>
    <w:rsid w:val="00584E89"/>
    <w:rsid w:val="00584E92"/>
    <w:rsid w:val="00585038"/>
    <w:rsid w:val="0058523B"/>
    <w:rsid w:val="005852F6"/>
    <w:rsid w:val="0058530C"/>
    <w:rsid w:val="00585BAD"/>
    <w:rsid w:val="00586B4A"/>
    <w:rsid w:val="00587708"/>
    <w:rsid w:val="005904E0"/>
    <w:rsid w:val="00590B58"/>
    <w:rsid w:val="00590F15"/>
    <w:rsid w:val="00591901"/>
    <w:rsid w:val="00591E1B"/>
    <w:rsid w:val="00592953"/>
    <w:rsid w:val="005935D2"/>
    <w:rsid w:val="0059367D"/>
    <w:rsid w:val="0059385B"/>
    <w:rsid w:val="00594319"/>
    <w:rsid w:val="005947E2"/>
    <w:rsid w:val="005951B4"/>
    <w:rsid w:val="00595867"/>
    <w:rsid w:val="005958E3"/>
    <w:rsid w:val="00595E48"/>
    <w:rsid w:val="00595EB8"/>
    <w:rsid w:val="00596043"/>
    <w:rsid w:val="0059642C"/>
    <w:rsid w:val="0059691C"/>
    <w:rsid w:val="00596994"/>
    <w:rsid w:val="0059699A"/>
    <w:rsid w:val="00596B46"/>
    <w:rsid w:val="00596EC9"/>
    <w:rsid w:val="005970B0"/>
    <w:rsid w:val="005971B9"/>
    <w:rsid w:val="005971D5"/>
    <w:rsid w:val="005971FD"/>
    <w:rsid w:val="005973D1"/>
    <w:rsid w:val="0059765D"/>
    <w:rsid w:val="00597CA2"/>
    <w:rsid w:val="00597CF5"/>
    <w:rsid w:val="005A074A"/>
    <w:rsid w:val="005A0C08"/>
    <w:rsid w:val="005A12DF"/>
    <w:rsid w:val="005A150D"/>
    <w:rsid w:val="005A1525"/>
    <w:rsid w:val="005A1A69"/>
    <w:rsid w:val="005A1B1B"/>
    <w:rsid w:val="005A279F"/>
    <w:rsid w:val="005A28D6"/>
    <w:rsid w:val="005A2E09"/>
    <w:rsid w:val="005A2FD8"/>
    <w:rsid w:val="005A3039"/>
    <w:rsid w:val="005A310F"/>
    <w:rsid w:val="005A483A"/>
    <w:rsid w:val="005A5099"/>
    <w:rsid w:val="005A53AA"/>
    <w:rsid w:val="005A57CD"/>
    <w:rsid w:val="005A5DD9"/>
    <w:rsid w:val="005A5E45"/>
    <w:rsid w:val="005A60F7"/>
    <w:rsid w:val="005A62DA"/>
    <w:rsid w:val="005A6674"/>
    <w:rsid w:val="005A69F1"/>
    <w:rsid w:val="005A7AD5"/>
    <w:rsid w:val="005B00E9"/>
    <w:rsid w:val="005B08C0"/>
    <w:rsid w:val="005B0E22"/>
    <w:rsid w:val="005B172A"/>
    <w:rsid w:val="005B18A8"/>
    <w:rsid w:val="005B1CC7"/>
    <w:rsid w:val="005B1D8F"/>
    <w:rsid w:val="005B1F0E"/>
    <w:rsid w:val="005B2CA3"/>
    <w:rsid w:val="005B2DBF"/>
    <w:rsid w:val="005B3148"/>
    <w:rsid w:val="005B367E"/>
    <w:rsid w:val="005B3A1C"/>
    <w:rsid w:val="005B3A71"/>
    <w:rsid w:val="005B3EA8"/>
    <w:rsid w:val="005B40C1"/>
    <w:rsid w:val="005B45B3"/>
    <w:rsid w:val="005B4734"/>
    <w:rsid w:val="005B4A56"/>
    <w:rsid w:val="005B51DB"/>
    <w:rsid w:val="005B52BD"/>
    <w:rsid w:val="005B58BF"/>
    <w:rsid w:val="005B58DD"/>
    <w:rsid w:val="005B5DB2"/>
    <w:rsid w:val="005B5EC1"/>
    <w:rsid w:val="005B5F0B"/>
    <w:rsid w:val="005B642E"/>
    <w:rsid w:val="005B6460"/>
    <w:rsid w:val="005B6898"/>
    <w:rsid w:val="005B7004"/>
    <w:rsid w:val="005B7022"/>
    <w:rsid w:val="005B74CD"/>
    <w:rsid w:val="005B7BB3"/>
    <w:rsid w:val="005B7E6D"/>
    <w:rsid w:val="005C0CE1"/>
    <w:rsid w:val="005C14F6"/>
    <w:rsid w:val="005C23F7"/>
    <w:rsid w:val="005C24A0"/>
    <w:rsid w:val="005C284E"/>
    <w:rsid w:val="005C315F"/>
    <w:rsid w:val="005C3218"/>
    <w:rsid w:val="005C33B4"/>
    <w:rsid w:val="005C4183"/>
    <w:rsid w:val="005C41F1"/>
    <w:rsid w:val="005C4A44"/>
    <w:rsid w:val="005C5459"/>
    <w:rsid w:val="005C561B"/>
    <w:rsid w:val="005C5AF9"/>
    <w:rsid w:val="005C5D0F"/>
    <w:rsid w:val="005C5F54"/>
    <w:rsid w:val="005C5FC0"/>
    <w:rsid w:val="005C644D"/>
    <w:rsid w:val="005C6A9C"/>
    <w:rsid w:val="005C758E"/>
    <w:rsid w:val="005D0179"/>
    <w:rsid w:val="005D018F"/>
    <w:rsid w:val="005D066D"/>
    <w:rsid w:val="005D0894"/>
    <w:rsid w:val="005D0B9D"/>
    <w:rsid w:val="005D16F2"/>
    <w:rsid w:val="005D1735"/>
    <w:rsid w:val="005D1A8A"/>
    <w:rsid w:val="005D1D12"/>
    <w:rsid w:val="005D1E21"/>
    <w:rsid w:val="005D2001"/>
    <w:rsid w:val="005D237D"/>
    <w:rsid w:val="005D276D"/>
    <w:rsid w:val="005D279F"/>
    <w:rsid w:val="005D29A0"/>
    <w:rsid w:val="005D3536"/>
    <w:rsid w:val="005D360D"/>
    <w:rsid w:val="005D3B09"/>
    <w:rsid w:val="005D3C84"/>
    <w:rsid w:val="005D442D"/>
    <w:rsid w:val="005D467F"/>
    <w:rsid w:val="005D492B"/>
    <w:rsid w:val="005D5F0C"/>
    <w:rsid w:val="005D64A2"/>
    <w:rsid w:val="005D6583"/>
    <w:rsid w:val="005D66D3"/>
    <w:rsid w:val="005D68AA"/>
    <w:rsid w:val="005D6DFE"/>
    <w:rsid w:val="005D7164"/>
    <w:rsid w:val="005D74B9"/>
    <w:rsid w:val="005D77A0"/>
    <w:rsid w:val="005D785A"/>
    <w:rsid w:val="005D7B16"/>
    <w:rsid w:val="005D7F59"/>
    <w:rsid w:val="005E02AF"/>
    <w:rsid w:val="005E07BA"/>
    <w:rsid w:val="005E0990"/>
    <w:rsid w:val="005E0BDA"/>
    <w:rsid w:val="005E1158"/>
    <w:rsid w:val="005E12BE"/>
    <w:rsid w:val="005E15D9"/>
    <w:rsid w:val="005E1A07"/>
    <w:rsid w:val="005E1CAE"/>
    <w:rsid w:val="005E1D1D"/>
    <w:rsid w:val="005E2599"/>
    <w:rsid w:val="005E3463"/>
    <w:rsid w:val="005E3599"/>
    <w:rsid w:val="005E370C"/>
    <w:rsid w:val="005E3BDF"/>
    <w:rsid w:val="005E3D24"/>
    <w:rsid w:val="005E4904"/>
    <w:rsid w:val="005E4BE7"/>
    <w:rsid w:val="005E510C"/>
    <w:rsid w:val="005E540D"/>
    <w:rsid w:val="005E5BC4"/>
    <w:rsid w:val="005E638F"/>
    <w:rsid w:val="005E6D98"/>
    <w:rsid w:val="005E6E1F"/>
    <w:rsid w:val="005E70F3"/>
    <w:rsid w:val="005E7167"/>
    <w:rsid w:val="005E7277"/>
    <w:rsid w:val="005E794B"/>
    <w:rsid w:val="005E7FCA"/>
    <w:rsid w:val="005F0790"/>
    <w:rsid w:val="005F0C44"/>
    <w:rsid w:val="005F1215"/>
    <w:rsid w:val="005F15D8"/>
    <w:rsid w:val="005F1676"/>
    <w:rsid w:val="005F17BF"/>
    <w:rsid w:val="005F17FC"/>
    <w:rsid w:val="005F1C8B"/>
    <w:rsid w:val="005F22E9"/>
    <w:rsid w:val="005F24CD"/>
    <w:rsid w:val="005F28B6"/>
    <w:rsid w:val="005F2A47"/>
    <w:rsid w:val="005F2D92"/>
    <w:rsid w:val="005F30B8"/>
    <w:rsid w:val="005F30D5"/>
    <w:rsid w:val="005F3673"/>
    <w:rsid w:val="005F3AD2"/>
    <w:rsid w:val="005F4664"/>
    <w:rsid w:val="005F4D98"/>
    <w:rsid w:val="005F4E8C"/>
    <w:rsid w:val="005F5020"/>
    <w:rsid w:val="005F50D0"/>
    <w:rsid w:val="005F5792"/>
    <w:rsid w:val="005F5C4D"/>
    <w:rsid w:val="005F7563"/>
    <w:rsid w:val="005F7C07"/>
    <w:rsid w:val="005F7F7F"/>
    <w:rsid w:val="0060027C"/>
    <w:rsid w:val="006002B3"/>
    <w:rsid w:val="00600B09"/>
    <w:rsid w:val="00600C0C"/>
    <w:rsid w:val="006019F1"/>
    <w:rsid w:val="00601BA6"/>
    <w:rsid w:val="00601F87"/>
    <w:rsid w:val="006023F9"/>
    <w:rsid w:val="00602983"/>
    <w:rsid w:val="00602A5A"/>
    <w:rsid w:val="00602B0B"/>
    <w:rsid w:val="00602B1F"/>
    <w:rsid w:val="00602C63"/>
    <w:rsid w:val="00602CEE"/>
    <w:rsid w:val="00602F35"/>
    <w:rsid w:val="0060304C"/>
    <w:rsid w:val="006030A0"/>
    <w:rsid w:val="0060329A"/>
    <w:rsid w:val="006036EA"/>
    <w:rsid w:val="00603EC1"/>
    <w:rsid w:val="00604302"/>
    <w:rsid w:val="00604CDE"/>
    <w:rsid w:val="00604FF9"/>
    <w:rsid w:val="0060500C"/>
    <w:rsid w:val="006056EE"/>
    <w:rsid w:val="00605804"/>
    <w:rsid w:val="006058C7"/>
    <w:rsid w:val="006059FC"/>
    <w:rsid w:val="00605A5B"/>
    <w:rsid w:val="00605DFD"/>
    <w:rsid w:val="00605E13"/>
    <w:rsid w:val="00605ED3"/>
    <w:rsid w:val="00605F3D"/>
    <w:rsid w:val="0060618E"/>
    <w:rsid w:val="00607547"/>
    <w:rsid w:val="00607B8F"/>
    <w:rsid w:val="00607BF7"/>
    <w:rsid w:val="00610FF2"/>
    <w:rsid w:val="00611583"/>
    <w:rsid w:val="006116E6"/>
    <w:rsid w:val="0061171B"/>
    <w:rsid w:val="00611ABE"/>
    <w:rsid w:val="00611AF2"/>
    <w:rsid w:val="00611E52"/>
    <w:rsid w:val="00611EF1"/>
    <w:rsid w:val="006126F4"/>
    <w:rsid w:val="0061277E"/>
    <w:rsid w:val="006133D0"/>
    <w:rsid w:val="00613B0D"/>
    <w:rsid w:val="00613F1E"/>
    <w:rsid w:val="006145D9"/>
    <w:rsid w:val="00614CE6"/>
    <w:rsid w:val="006154F7"/>
    <w:rsid w:val="00615583"/>
    <w:rsid w:val="006156DE"/>
    <w:rsid w:val="00615794"/>
    <w:rsid w:val="00615A5E"/>
    <w:rsid w:val="00615EB5"/>
    <w:rsid w:val="00616463"/>
    <w:rsid w:val="006165BE"/>
    <w:rsid w:val="006166C7"/>
    <w:rsid w:val="00616999"/>
    <w:rsid w:val="00616E9D"/>
    <w:rsid w:val="00617665"/>
    <w:rsid w:val="0061769C"/>
    <w:rsid w:val="00617D19"/>
    <w:rsid w:val="00620564"/>
    <w:rsid w:val="006206DB"/>
    <w:rsid w:val="00621301"/>
    <w:rsid w:val="00621334"/>
    <w:rsid w:val="00621660"/>
    <w:rsid w:val="006217B4"/>
    <w:rsid w:val="00621B28"/>
    <w:rsid w:val="006224A9"/>
    <w:rsid w:val="006226CA"/>
    <w:rsid w:val="00622735"/>
    <w:rsid w:val="00622F7A"/>
    <w:rsid w:val="006231C1"/>
    <w:rsid w:val="006244CB"/>
    <w:rsid w:val="00625A98"/>
    <w:rsid w:val="00625B07"/>
    <w:rsid w:val="00626307"/>
    <w:rsid w:val="006264E6"/>
    <w:rsid w:val="006269B7"/>
    <w:rsid w:val="00626A2B"/>
    <w:rsid w:val="00626BA8"/>
    <w:rsid w:val="00626C33"/>
    <w:rsid w:val="00626CC6"/>
    <w:rsid w:val="006276E4"/>
    <w:rsid w:val="00627821"/>
    <w:rsid w:val="006279F1"/>
    <w:rsid w:val="00627E31"/>
    <w:rsid w:val="0063071F"/>
    <w:rsid w:val="00630754"/>
    <w:rsid w:val="00630C54"/>
    <w:rsid w:val="00630C96"/>
    <w:rsid w:val="00631490"/>
    <w:rsid w:val="006315C4"/>
    <w:rsid w:val="006321D1"/>
    <w:rsid w:val="00632273"/>
    <w:rsid w:val="0063240B"/>
    <w:rsid w:val="006324A5"/>
    <w:rsid w:val="006327E6"/>
    <w:rsid w:val="006327FC"/>
    <w:rsid w:val="006329D9"/>
    <w:rsid w:val="00632ACC"/>
    <w:rsid w:val="00633EDA"/>
    <w:rsid w:val="00634A4E"/>
    <w:rsid w:val="00634FC6"/>
    <w:rsid w:val="00635172"/>
    <w:rsid w:val="0063541C"/>
    <w:rsid w:val="006354CF"/>
    <w:rsid w:val="006354D3"/>
    <w:rsid w:val="00635A3E"/>
    <w:rsid w:val="00635D96"/>
    <w:rsid w:val="00635E82"/>
    <w:rsid w:val="0063637A"/>
    <w:rsid w:val="00636AF7"/>
    <w:rsid w:val="00636B2B"/>
    <w:rsid w:val="00636D96"/>
    <w:rsid w:val="00636E4D"/>
    <w:rsid w:val="00637200"/>
    <w:rsid w:val="006372F9"/>
    <w:rsid w:val="00637455"/>
    <w:rsid w:val="006375BD"/>
    <w:rsid w:val="0064058A"/>
    <w:rsid w:val="0064069E"/>
    <w:rsid w:val="00640BA9"/>
    <w:rsid w:val="00640C0E"/>
    <w:rsid w:val="00640D55"/>
    <w:rsid w:val="00641E26"/>
    <w:rsid w:val="00642422"/>
    <w:rsid w:val="006424D3"/>
    <w:rsid w:val="006427C3"/>
    <w:rsid w:val="006430AC"/>
    <w:rsid w:val="00643845"/>
    <w:rsid w:val="00643C30"/>
    <w:rsid w:val="00644344"/>
    <w:rsid w:val="0064442E"/>
    <w:rsid w:val="00644B48"/>
    <w:rsid w:val="00644B8A"/>
    <w:rsid w:val="00644BE1"/>
    <w:rsid w:val="00645385"/>
    <w:rsid w:val="006453C1"/>
    <w:rsid w:val="00645844"/>
    <w:rsid w:val="00645F03"/>
    <w:rsid w:val="0064623E"/>
    <w:rsid w:val="00646BFC"/>
    <w:rsid w:val="00646D06"/>
    <w:rsid w:val="00646E57"/>
    <w:rsid w:val="00647391"/>
    <w:rsid w:val="00647741"/>
    <w:rsid w:val="00647929"/>
    <w:rsid w:val="00650E16"/>
    <w:rsid w:val="00651427"/>
    <w:rsid w:val="006516F2"/>
    <w:rsid w:val="00651E71"/>
    <w:rsid w:val="00651F01"/>
    <w:rsid w:val="00652801"/>
    <w:rsid w:val="006531BD"/>
    <w:rsid w:val="006532F0"/>
    <w:rsid w:val="0065351C"/>
    <w:rsid w:val="00653A03"/>
    <w:rsid w:val="00653F3D"/>
    <w:rsid w:val="006540FB"/>
    <w:rsid w:val="006542FE"/>
    <w:rsid w:val="006545B9"/>
    <w:rsid w:val="00654DBB"/>
    <w:rsid w:val="00654DBC"/>
    <w:rsid w:val="00654EC5"/>
    <w:rsid w:val="00654FD3"/>
    <w:rsid w:val="00655021"/>
    <w:rsid w:val="00655335"/>
    <w:rsid w:val="00655658"/>
    <w:rsid w:val="00655776"/>
    <w:rsid w:val="00656647"/>
    <w:rsid w:val="0065703C"/>
    <w:rsid w:val="00657FA5"/>
    <w:rsid w:val="0065C868"/>
    <w:rsid w:val="006601BD"/>
    <w:rsid w:val="00660405"/>
    <w:rsid w:val="00661208"/>
    <w:rsid w:val="0066147C"/>
    <w:rsid w:val="0066160C"/>
    <w:rsid w:val="00661670"/>
    <w:rsid w:val="006617D5"/>
    <w:rsid w:val="00661EB1"/>
    <w:rsid w:val="00662AB0"/>
    <w:rsid w:val="00663944"/>
    <w:rsid w:val="00664016"/>
    <w:rsid w:val="0066406E"/>
    <w:rsid w:val="006641A8"/>
    <w:rsid w:val="00664802"/>
    <w:rsid w:val="0066483A"/>
    <w:rsid w:val="00664C63"/>
    <w:rsid w:val="00664C87"/>
    <w:rsid w:val="00664EB9"/>
    <w:rsid w:val="006656CB"/>
    <w:rsid w:val="006658DA"/>
    <w:rsid w:val="00665D75"/>
    <w:rsid w:val="006663C4"/>
    <w:rsid w:val="006666A5"/>
    <w:rsid w:val="00666884"/>
    <w:rsid w:val="006669AD"/>
    <w:rsid w:val="006669BF"/>
    <w:rsid w:val="00666B2B"/>
    <w:rsid w:val="00666CAE"/>
    <w:rsid w:val="006671C1"/>
    <w:rsid w:val="006671D4"/>
    <w:rsid w:val="006672F7"/>
    <w:rsid w:val="00667300"/>
    <w:rsid w:val="00667973"/>
    <w:rsid w:val="00667C90"/>
    <w:rsid w:val="00667DF9"/>
    <w:rsid w:val="00667F94"/>
    <w:rsid w:val="006700B6"/>
    <w:rsid w:val="006705E0"/>
    <w:rsid w:val="006711BC"/>
    <w:rsid w:val="006713CA"/>
    <w:rsid w:val="00671474"/>
    <w:rsid w:val="00671496"/>
    <w:rsid w:val="00671AA1"/>
    <w:rsid w:val="00671AD8"/>
    <w:rsid w:val="00671CC6"/>
    <w:rsid w:val="00671DEE"/>
    <w:rsid w:val="0067212E"/>
    <w:rsid w:val="0067271E"/>
    <w:rsid w:val="006727EA"/>
    <w:rsid w:val="00672DF9"/>
    <w:rsid w:val="00673A95"/>
    <w:rsid w:val="006742D0"/>
    <w:rsid w:val="006746A4"/>
    <w:rsid w:val="006747CC"/>
    <w:rsid w:val="006749A7"/>
    <w:rsid w:val="00674BCF"/>
    <w:rsid w:val="00674CA5"/>
    <w:rsid w:val="00675108"/>
    <w:rsid w:val="006753AC"/>
    <w:rsid w:val="00675B25"/>
    <w:rsid w:val="00675DD7"/>
    <w:rsid w:val="00675EB8"/>
    <w:rsid w:val="00676807"/>
    <w:rsid w:val="00676A79"/>
    <w:rsid w:val="00676BDF"/>
    <w:rsid w:val="00676CFC"/>
    <w:rsid w:val="00676EBC"/>
    <w:rsid w:val="006771BA"/>
    <w:rsid w:val="00677D4E"/>
    <w:rsid w:val="00677EA7"/>
    <w:rsid w:val="0068026C"/>
    <w:rsid w:val="00680508"/>
    <w:rsid w:val="00680782"/>
    <w:rsid w:val="00681237"/>
    <w:rsid w:val="006813B7"/>
    <w:rsid w:val="00681A8F"/>
    <w:rsid w:val="00682003"/>
    <w:rsid w:val="0068215A"/>
    <w:rsid w:val="00682517"/>
    <w:rsid w:val="00682B73"/>
    <w:rsid w:val="00682C1C"/>
    <w:rsid w:val="00682FDD"/>
    <w:rsid w:val="0068394F"/>
    <w:rsid w:val="00683A74"/>
    <w:rsid w:val="00683BF8"/>
    <w:rsid w:val="00683F56"/>
    <w:rsid w:val="00684704"/>
    <w:rsid w:val="00684AEA"/>
    <w:rsid w:val="00684D2A"/>
    <w:rsid w:val="00684F61"/>
    <w:rsid w:val="00684F88"/>
    <w:rsid w:val="006856BC"/>
    <w:rsid w:val="00686261"/>
    <w:rsid w:val="00686304"/>
    <w:rsid w:val="00686805"/>
    <w:rsid w:val="00686C0A"/>
    <w:rsid w:val="006873FD"/>
    <w:rsid w:val="00687C0B"/>
    <w:rsid w:val="00687D21"/>
    <w:rsid w:val="00687D33"/>
    <w:rsid w:val="0069022B"/>
    <w:rsid w:val="00690416"/>
    <w:rsid w:val="00691113"/>
    <w:rsid w:val="006913F1"/>
    <w:rsid w:val="00692553"/>
    <w:rsid w:val="006927AF"/>
    <w:rsid w:val="00692C45"/>
    <w:rsid w:val="00692D48"/>
    <w:rsid w:val="0069368F"/>
    <w:rsid w:val="0069389F"/>
    <w:rsid w:val="006943C4"/>
    <w:rsid w:val="006947FD"/>
    <w:rsid w:val="00694B9A"/>
    <w:rsid w:val="00694D43"/>
    <w:rsid w:val="00694DF0"/>
    <w:rsid w:val="00694F99"/>
    <w:rsid w:val="006950CE"/>
    <w:rsid w:val="00695511"/>
    <w:rsid w:val="006957F4"/>
    <w:rsid w:val="00695A55"/>
    <w:rsid w:val="00695D35"/>
    <w:rsid w:val="00695FFA"/>
    <w:rsid w:val="00696058"/>
    <w:rsid w:val="00697069"/>
    <w:rsid w:val="006976C7"/>
    <w:rsid w:val="00697B9B"/>
    <w:rsid w:val="00697E00"/>
    <w:rsid w:val="006A044E"/>
    <w:rsid w:val="006A0707"/>
    <w:rsid w:val="006A0F19"/>
    <w:rsid w:val="006A11BF"/>
    <w:rsid w:val="006A1823"/>
    <w:rsid w:val="006A1A87"/>
    <w:rsid w:val="006A1B89"/>
    <w:rsid w:val="006A1D66"/>
    <w:rsid w:val="006A2224"/>
    <w:rsid w:val="006A2348"/>
    <w:rsid w:val="006A25AA"/>
    <w:rsid w:val="006A2680"/>
    <w:rsid w:val="006A2A4B"/>
    <w:rsid w:val="006A2E88"/>
    <w:rsid w:val="006A3155"/>
    <w:rsid w:val="006A3B0F"/>
    <w:rsid w:val="006A3EFE"/>
    <w:rsid w:val="006A4564"/>
    <w:rsid w:val="006A45EB"/>
    <w:rsid w:val="006A4F39"/>
    <w:rsid w:val="006A57D1"/>
    <w:rsid w:val="006A5DCB"/>
    <w:rsid w:val="006A631D"/>
    <w:rsid w:val="006A6416"/>
    <w:rsid w:val="006A656C"/>
    <w:rsid w:val="006A7037"/>
    <w:rsid w:val="006A779A"/>
    <w:rsid w:val="006A7D03"/>
    <w:rsid w:val="006A7D67"/>
    <w:rsid w:val="006A7EF2"/>
    <w:rsid w:val="006B0336"/>
    <w:rsid w:val="006B04F9"/>
    <w:rsid w:val="006B05D9"/>
    <w:rsid w:val="006B0666"/>
    <w:rsid w:val="006B076F"/>
    <w:rsid w:val="006B08E5"/>
    <w:rsid w:val="006B0ECD"/>
    <w:rsid w:val="006B0EF2"/>
    <w:rsid w:val="006B152E"/>
    <w:rsid w:val="006B1ABB"/>
    <w:rsid w:val="006B2346"/>
    <w:rsid w:val="006B2B4B"/>
    <w:rsid w:val="006B2F06"/>
    <w:rsid w:val="006B2FD3"/>
    <w:rsid w:val="006B3B70"/>
    <w:rsid w:val="006B419B"/>
    <w:rsid w:val="006B4712"/>
    <w:rsid w:val="006B47AE"/>
    <w:rsid w:val="006B49AE"/>
    <w:rsid w:val="006B4C52"/>
    <w:rsid w:val="006B5498"/>
    <w:rsid w:val="006B54D7"/>
    <w:rsid w:val="006B5A26"/>
    <w:rsid w:val="006B5A82"/>
    <w:rsid w:val="006B5E6E"/>
    <w:rsid w:val="006B66A5"/>
    <w:rsid w:val="006B7036"/>
    <w:rsid w:val="006B75DC"/>
    <w:rsid w:val="006B7E93"/>
    <w:rsid w:val="006C0620"/>
    <w:rsid w:val="006C0E57"/>
    <w:rsid w:val="006C15FB"/>
    <w:rsid w:val="006C17CB"/>
    <w:rsid w:val="006C1948"/>
    <w:rsid w:val="006C195D"/>
    <w:rsid w:val="006C232F"/>
    <w:rsid w:val="006C2BC9"/>
    <w:rsid w:val="006C35C9"/>
    <w:rsid w:val="006C3D64"/>
    <w:rsid w:val="006C3D65"/>
    <w:rsid w:val="006C3DAC"/>
    <w:rsid w:val="006C3E78"/>
    <w:rsid w:val="006C42B2"/>
    <w:rsid w:val="006C452A"/>
    <w:rsid w:val="006C47D5"/>
    <w:rsid w:val="006C5FC5"/>
    <w:rsid w:val="006C605E"/>
    <w:rsid w:val="006C64FB"/>
    <w:rsid w:val="006C730C"/>
    <w:rsid w:val="006C7390"/>
    <w:rsid w:val="006C74DD"/>
    <w:rsid w:val="006C78A8"/>
    <w:rsid w:val="006C7994"/>
    <w:rsid w:val="006C7A44"/>
    <w:rsid w:val="006D014D"/>
    <w:rsid w:val="006D022D"/>
    <w:rsid w:val="006D051B"/>
    <w:rsid w:val="006D0958"/>
    <w:rsid w:val="006D0AE4"/>
    <w:rsid w:val="006D1175"/>
    <w:rsid w:val="006D12D7"/>
    <w:rsid w:val="006D1458"/>
    <w:rsid w:val="006D158F"/>
    <w:rsid w:val="006D164F"/>
    <w:rsid w:val="006D17DD"/>
    <w:rsid w:val="006D17EF"/>
    <w:rsid w:val="006D1E7A"/>
    <w:rsid w:val="006D1FB5"/>
    <w:rsid w:val="006D2026"/>
    <w:rsid w:val="006D2496"/>
    <w:rsid w:val="006D297A"/>
    <w:rsid w:val="006D2A9D"/>
    <w:rsid w:val="006D307A"/>
    <w:rsid w:val="006D35B5"/>
    <w:rsid w:val="006D502D"/>
    <w:rsid w:val="006D53E9"/>
    <w:rsid w:val="006D69EA"/>
    <w:rsid w:val="006D6C3F"/>
    <w:rsid w:val="006D6E5F"/>
    <w:rsid w:val="006D707E"/>
    <w:rsid w:val="006D77BB"/>
    <w:rsid w:val="006D78DA"/>
    <w:rsid w:val="006D7971"/>
    <w:rsid w:val="006D7D70"/>
    <w:rsid w:val="006E080D"/>
    <w:rsid w:val="006E090A"/>
    <w:rsid w:val="006E0AFB"/>
    <w:rsid w:val="006E1248"/>
    <w:rsid w:val="006E1D5B"/>
    <w:rsid w:val="006E2389"/>
    <w:rsid w:val="006E25F8"/>
    <w:rsid w:val="006E2938"/>
    <w:rsid w:val="006E2EC3"/>
    <w:rsid w:val="006E33AB"/>
    <w:rsid w:val="006E379F"/>
    <w:rsid w:val="006E3E8F"/>
    <w:rsid w:val="006E45FB"/>
    <w:rsid w:val="006E48F6"/>
    <w:rsid w:val="006E49F9"/>
    <w:rsid w:val="006E4E93"/>
    <w:rsid w:val="006E4FAA"/>
    <w:rsid w:val="006E531F"/>
    <w:rsid w:val="006E582E"/>
    <w:rsid w:val="006E5D0E"/>
    <w:rsid w:val="006E5F37"/>
    <w:rsid w:val="006E67D3"/>
    <w:rsid w:val="006E6A0B"/>
    <w:rsid w:val="006E7903"/>
    <w:rsid w:val="006F0150"/>
    <w:rsid w:val="006F0619"/>
    <w:rsid w:val="006F0D7B"/>
    <w:rsid w:val="006F0E22"/>
    <w:rsid w:val="006F1092"/>
    <w:rsid w:val="006F1155"/>
    <w:rsid w:val="006F2051"/>
    <w:rsid w:val="006F25D4"/>
    <w:rsid w:val="006F27B8"/>
    <w:rsid w:val="006F2EB6"/>
    <w:rsid w:val="006F3A4C"/>
    <w:rsid w:val="006F3A98"/>
    <w:rsid w:val="006F3EA3"/>
    <w:rsid w:val="006F3FCF"/>
    <w:rsid w:val="006F4B9A"/>
    <w:rsid w:val="006F4C32"/>
    <w:rsid w:val="006F4C8E"/>
    <w:rsid w:val="006F4EC0"/>
    <w:rsid w:val="006F55CD"/>
    <w:rsid w:val="006F5737"/>
    <w:rsid w:val="006F5F36"/>
    <w:rsid w:val="006F6079"/>
    <w:rsid w:val="006F6137"/>
    <w:rsid w:val="006F66DF"/>
    <w:rsid w:val="006F71B7"/>
    <w:rsid w:val="006F771B"/>
    <w:rsid w:val="006F788C"/>
    <w:rsid w:val="006F7BD6"/>
    <w:rsid w:val="006F7C6F"/>
    <w:rsid w:val="00700047"/>
    <w:rsid w:val="00700242"/>
    <w:rsid w:val="00700505"/>
    <w:rsid w:val="00700551"/>
    <w:rsid w:val="0070071F"/>
    <w:rsid w:val="007018E8"/>
    <w:rsid w:val="00701F01"/>
    <w:rsid w:val="007021F1"/>
    <w:rsid w:val="007023BB"/>
    <w:rsid w:val="007028D6"/>
    <w:rsid w:val="007031F0"/>
    <w:rsid w:val="00703445"/>
    <w:rsid w:val="00703FB0"/>
    <w:rsid w:val="007041D6"/>
    <w:rsid w:val="007048D8"/>
    <w:rsid w:val="00704C6F"/>
    <w:rsid w:val="00704E7F"/>
    <w:rsid w:val="00704FB0"/>
    <w:rsid w:val="007051DA"/>
    <w:rsid w:val="0070586C"/>
    <w:rsid w:val="0070641B"/>
    <w:rsid w:val="007066E7"/>
    <w:rsid w:val="00706889"/>
    <w:rsid w:val="00706BB3"/>
    <w:rsid w:val="00706C9E"/>
    <w:rsid w:val="00707043"/>
    <w:rsid w:val="007070CA"/>
    <w:rsid w:val="007073D0"/>
    <w:rsid w:val="00707785"/>
    <w:rsid w:val="00707DB4"/>
    <w:rsid w:val="0071037F"/>
    <w:rsid w:val="00710D4A"/>
    <w:rsid w:val="00711A91"/>
    <w:rsid w:val="00711ABA"/>
    <w:rsid w:val="00711F8F"/>
    <w:rsid w:val="00712188"/>
    <w:rsid w:val="00712752"/>
    <w:rsid w:val="0071348B"/>
    <w:rsid w:val="00713A72"/>
    <w:rsid w:val="007144A0"/>
    <w:rsid w:val="007144B3"/>
    <w:rsid w:val="007146C4"/>
    <w:rsid w:val="007149C2"/>
    <w:rsid w:val="007151FC"/>
    <w:rsid w:val="007152B3"/>
    <w:rsid w:val="00715C4C"/>
    <w:rsid w:val="00715F15"/>
    <w:rsid w:val="007160D8"/>
    <w:rsid w:val="00716209"/>
    <w:rsid w:val="0071652A"/>
    <w:rsid w:val="007166EC"/>
    <w:rsid w:val="00716A83"/>
    <w:rsid w:val="00716F9B"/>
    <w:rsid w:val="007174BF"/>
    <w:rsid w:val="00717F29"/>
    <w:rsid w:val="00720042"/>
    <w:rsid w:val="0072080E"/>
    <w:rsid w:val="00720C58"/>
    <w:rsid w:val="00720F55"/>
    <w:rsid w:val="00721829"/>
    <w:rsid w:val="00721C1D"/>
    <w:rsid w:val="00721F4E"/>
    <w:rsid w:val="00722130"/>
    <w:rsid w:val="00722863"/>
    <w:rsid w:val="00722CA2"/>
    <w:rsid w:val="00723ABA"/>
    <w:rsid w:val="00723D93"/>
    <w:rsid w:val="00723DE6"/>
    <w:rsid w:val="00723F71"/>
    <w:rsid w:val="00723FE1"/>
    <w:rsid w:val="00723FE7"/>
    <w:rsid w:val="0072434B"/>
    <w:rsid w:val="007243E4"/>
    <w:rsid w:val="00724A4C"/>
    <w:rsid w:val="007254FD"/>
    <w:rsid w:val="0072643E"/>
    <w:rsid w:val="00726D09"/>
    <w:rsid w:val="007270DB"/>
    <w:rsid w:val="0072767E"/>
    <w:rsid w:val="00727827"/>
    <w:rsid w:val="007278BE"/>
    <w:rsid w:val="00727D30"/>
    <w:rsid w:val="00727E89"/>
    <w:rsid w:val="00730A1D"/>
    <w:rsid w:val="00730C35"/>
    <w:rsid w:val="00730F1F"/>
    <w:rsid w:val="0073103F"/>
    <w:rsid w:val="007310D7"/>
    <w:rsid w:val="007317C0"/>
    <w:rsid w:val="00731AA1"/>
    <w:rsid w:val="007321BB"/>
    <w:rsid w:val="0073220D"/>
    <w:rsid w:val="00732313"/>
    <w:rsid w:val="00732358"/>
    <w:rsid w:val="007324D5"/>
    <w:rsid w:val="00732BAA"/>
    <w:rsid w:val="00732E6A"/>
    <w:rsid w:val="007336F8"/>
    <w:rsid w:val="00733897"/>
    <w:rsid w:val="007339B3"/>
    <w:rsid w:val="00733CD5"/>
    <w:rsid w:val="007344CA"/>
    <w:rsid w:val="007357EA"/>
    <w:rsid w:val="00735812"/>
    <w:rsid w:val="00735AA5"/>
    <w:rsid w:val="007360FB"/>
    <w:rsid w:val="00736929"/>
    <w:rsid w:val="007369B8"/>
    <w:rsid w:val="00737014"/>
    <w:rsid w:val="0073712A"/>
    <w:rsid w:val="007377CD"/>
    <w:rsid w:val="007378CE"/>
    <w:rsid w:val="00737C25"/>
    <w:rsid w:val="00737D21"/>
    <w:rsid w:val="00737F87"/>
    <w:rsid w:val="00740007"/>
    <w:rsid w:val="00740153"/>
    <w:rsid w:val="00740828"/>
    <w:rsid w:val="007409DA"/>
    <w:rsid w:val="00740B59"/>
    <w:rsid w:val="007414B4"/>
    <w:rsid w:val="00741647"/>
    <w:rsid w:val="00741A58"/>
    <w:rsid w:val="00742660"/>
    <w:rsid w:val="00743735"/>
    <w:rsid w:val="00743BB2"/>
    <w:rsid w:val="0074410E"/>
    <w:rsid w:val="007441FD"/>
    <w:rsid w:val="007442BD"/>
    <w:rsid w:val="00744450"/>
    <w:rsid w:val="0074482B"/>
    <w:rsid w:val="00744BD1"/>
    <w:rsid w:val="007450C6"/>
    <w:rsid w:val="00745533"/>
    <w:rsid w:val="00745540"/>
    <w:rsid w:val="007461C5"/>
    <w:rsid w:val="0074708E"/>
    <w:rsid w:val="00747538"/>
    <w:rsid w:val="0074760B"/>
    <w:rsid w:val="00747BA8"/>
    <w:rsid w:val="00747C29"/>
    <w:rsid w:val="00747CDA"/>
    <w:rsid w:val="0075000E"/>
    <w:rsid w:val="0075063E"/>
    <w:rsid w:val="00750661"/>
    <w:rsid w:val="007509A6"/>
    <w:rsid w:val="00750AA8"/>
    <w:rsid w:val="00750CCB"/>
    <w:rsid w:val="0075110C"/>
    <w:rsid w:val="007513D7"/>
    <w:rsid w:val="007514CB"/>
    <w:rsid w:val="00751914"/>
    <w:rsid w:val="00751B0F"/>
    <w:rsid w:val="00751FD4"/>
    <w:rsid w:val="0075270B"/>
    <w:rsid w:val="0075295E"/>
    <w:rsid w:val="00752C40"/>
    <w:rsid w:val="007530FE"/>
    <w:rsid w:val="00753334"/>
    <w:rsid w:val="007535B2"/>
    <w:rsid w:val="00753E70"/>
    <w:rsid w:val="00754118"/>
    <w:rsid w:val="00754592"/>
    <w:rsid w:val="007548CA"/>
    <w:rsid w:val="007551DC"/>
    <w:rsid w:val="007553D6"/>
    <w:rsid w:val="0075545E"/>
    <w:rsid w:val="00755562"/>
    <w:rsid w:val="00755601"/>
    <w:rsid w:val="00755E89"/>
    <w:rsid w:val="00755FF3"/>
    <w:rsid w:val="00756491"/>
    <w:rsid w:val="0075662F"/>
    <w:rsid w:val="00756A51"/>
    <w:rsid w:val="00756A7F"/>
    <w:rsid w:val="00757B5F"/>
    <w:rsid w:val="00757D56"/>
    <w:rsid w:val="00757D73"/>
    <w:rsid w:val="00760582"/>
    <w:rsid w:val="0076077D"/>
    <w:rsid w:val="00761603"/>
    <w:rsid w:val="00761F47"/>
    <w:rsid w:val="0076283B"/>
    <w:rsid w:val="007629DF"/>
    <w:rsid w:val="007635F7"/>
    <w:rsid w:val="0076408A"/>
    <w:rsid w:val="007646B7"/>
    <w:rsid w:val="00764AC3"/>
    <w:rsid w:val="00765230"/>
    <w:rsid w:val="007653FF"/>
    <w:rsid w:val="00765939"/>
    <w:rsid w:val="007669CC"/>
    <w:rsid w:val="00766A75"/>
    <w:rsid w:val="00766AC6"/>
    <w:rsid w:val="00766DC7"/>
    <w:rsid w:val="00766F26"/>
    <w:rsid w:val="00766F62"/>
    <w:rsid w:val="00766F90"/>
    <w:rsid w:val="007670CE"/>
    <w:rsid w:val="00767906"/>
    <w:rsid w:val="00767E5D"/>
    <w:rsid w:val="00767EAF"/>
    <w:rsid w:val="0077067E"/>
    <w:rsid w:val="0077080B"/>
    <w:rsid w:val="00771684"/>
    <w:rsid w:val="00771B20"/>
    <w:rsid w:val="00771B32"/>
    <w:rsid w:val="00771EF3"/>
    <w:rsid w:val="007728F4"/>
    <w:rsid w:val="00773162"/>
    <w:rsid w:val="0077337F"/>
    <w:rsid w:val="00773DAB"/>
    <w:rsid w:val="00776372"/>
    <w:rsid w:val="007769CB"/>
    <w:rsid w:val="00776BE3"/>
    <w:rsid w:val="00776CD4"/>
    <w:rsid w:val="00776F97"/>
    <w:rsid w:val="007776CE"/>
    <w:rsid w:val="00781217"/>
    <w:rsid w:val="00781579"/>
    <w:rsid w:val="0078223E"/>
    <w:rsid w:val="0078230E"/>
    <w:rsid w:val="00783038"/>
    <w:rsid w:val="007831C6"/>
    <w:rsid w:val="00783717"/>
    <w:rsid w:val="00783A39"/>
    <w:rsid w:val="00783A98"/>
    <w:rsid w:val="00783A9B"/>
    <w:rsid w:val="00784042"/>
    <w:rsid w:val="007844C0"/>
    <w:rsid w:val="007844F6"/>
    <w:rsid w:val="00784E50"/>
    <w:rsid w:val="007851FA"/>
    <w:rsid w:val="00785255"/>
    <w:rsid w:val="007856C5"/>
    <w:rsid w:val="0078576B"/>
    <w:rsid w:val="00785E4E"/>
    <w:rsid w:val="00786D59"/>
    <w:rsid w:val="00787202"/>
    <w:rsid w:val="007874F9"/>
    <w:rsid w:val="007877B7"/>
    <w:rsid w:val="0079001E"/>
    <w:rsid w:val="007907E0"/>
    <w:rsid w:val="007912A2"/>
    <w:rsid w:val="00791FE5"/>
    <w:rsid w:val="00792AB7"/>
    <w:rsid w:val="0079309F"/>
    <w:rsid w:val="007930C7"/>
    <w:rsid w:val="007939F1"/>
    <w:rsid w:val="00793A85"/>
    <w:rsid w:val="00794052"/>
    <w:rsid w:val="007941E6"/>
    <w:rsid w:val="00795B71"/>
    <w:rsid w:val="00795BDF"/>
    <w:rsid w:val="00795E6F"/>
    <w:rsid w:val="007963F4"/>
    <w:rsid w:val="00796750"/>
    <w:rsid w:val="0079714F"/>
    <w:rsid w:val="007978C7"/>
    <w:rsid w:val="007A04C0"/>
    <w:rsid w:val="007A0618"/>
    <w:rsid w:val="007A0DF6"/>
    <w:rsid w:val="007A1603"/>
    <w:rsid w:val="007A16C4"/>
    <w:rsid w:val="007A1AA4"/>
    <w:rsid w:val="007A1D9B"/>
    <w:rsid w:val="007A2105"/>
    <w:rsid w:val="007A215E"/>
    <w:rsid w:val="007A231E"/>
    <w:rsid w:val="007A293D"/>
    <w:rsid w:val="007A2E09"/>
    <w:rsid w:val="007A363B"/>
    <w:rsid w:val="007A398A"/>
    <w:rsid w:val="007A3BA0"/>
    <w:rsid w:val="007A3FBD"/>
    <w:rsid w:val="007A45F1"/>
    <w:rsid w:val="007A4A96"/>
    <w:rsid w:val="007A4F0B"/>
    <w:rsid w:val="007A58B8"/>
    <w:rsid w:val="007A58ED"/>
    <w:rsid w:val="007A5917"/>
    <w:rsid w:val="007A5F15"/>
    <w:rsid w:val="007A5FD2"/>
    <w:rsid w:val="007A6042"/>
    <w:rsid w:val="007A627A"/>
    <w:rsid w:val="007A68D5"/>
    <w:rsid w:val="007A6AB5"/>
    <w:rsid w:val="007A7138"/>
    <w:rsid w:val="007A7423"/>
    <w:rsid w:val="007A7597"/>
    <w:rsid w:val="007A7EE2"/>
    <w:rsid w:val="007B042F"/>
    <w:rsid w:val="007B04C3"/>
    <w:rsid w:val="007B0A1D"/>
    <w:rsid w:val="007B1BB1"/>
    <w:rsid w:val="007B1D90"/>
    <w:rsid w:val="007B1E5C"/>
    <w:rsid w:val="007B22B2"/>
    <w:rsid w:val="007B2B40"/>
    <w:rsid w:val="007B2DBC"/>
    <w:rsid w:val="007B2F12"/>
    <w:rsid w:val="007B2FF2"/>
    <w:rsid w:val="007B3547"/>
    <w:rsid w:val="007B38AB"/>
    <w:rsid w:val="007B4139"/>
    <w:rsid w:val="007B41C9"/>
    <w:rsid w:val="007B4266"/>
    <w:rsid w:val="007B429F"/>
    <w:rsid w:val="007B464C"/>
    <w:rsid w:val="007B4A5C"/>
    <w:rsid w:val="007B4C59"/>
    <w:rsid w:val="007B4CCC"/>
    <w:rsid w:val="007B51A3"/>
    <w:rsid w:val="007B5450"/>
    <w:rsid w:val="007B57F8"/>
    <w:rsid w:val="007B5983"/>
    <w:rsid w:val="007B5A90"/>
    <w:rsid w:val="007B6324"/>
    <w:rsid w:val="007B6702"/>
    <w:rsid w:val="007B7055"/>
    <w:rsid w:val="007B759E"/>
    <w:rsid w:val="007B7CC5"/>
    <w:rsid w:val="007C060D"/>
    <w:rsid w:val="007C0866"/>
    <w:rsid w:val="007C0C21"/>
    <w:rsid w:val="007C12DD"/>
    <w:rsid w:val="007C1702"/>
    <w:rsid w:val="007C1782"/>
    <w:rsid w:val="007C18BC"/>
    <w:rsid w:val="007C1A28"/>
    <w:rsid w:val="007C1E30"/>
    <w:rsid w:val="007C23E1"/>
    <w:rsid w:val="007C2560"/>
    <w:rsid w:val="007C29BE"/>
    <w:rsid w:val="007C2C18"/>
    <w:rsid w:val="007C3230"/>
    <w:rsid w:val="007C38C2"/>
    <w:rsid w:val="007C3E09"/>
    <w:rsid w:val="007C3E8C"/>
    <w:rsid w:val="007C4186"/>
    <w:rsid w:val="007C45F9"/>
    <w:rsid w:val="007C473F"/>
    <w:rsid w:val="007C4C4C"/>
    <w:rsid w:val="007C4EC5"/>
    <w:rsid w:val="007C4FAD"/>
    <w:rsid w:val="007C5FB6"/>
    <w:rsid w:val="007C65CA"/>
    <w:rsid w:val="007C686E"/>
    <w:rsid w:val="007C694B"/>
    <w:rsid w:val="007C6E5A"/>
    <w:rsid w:val="007C7958"/>
    <w:rsid w:val="007C7994"/>
    <w:rsid w:val="007D01A7"/>
    <w:rsid w:val="007D021B"/>
    <w:rsid w:val="007D04C2"/>
    <w:rsid w:val="007D0714"/>
    <w:rsid w:val="007D094C"/>
    <w:rsid w:val="007D096C"/>
    <w:rsid w:val="007D09F1"/>
    <w:rsid w:val="007D0B00"/>
    <w:rsid w:val="007D120A"/>
    <w:rsid w:val="007D1C0E"/>
    <w:rsid w:val="007D1C64"/>
    <w:rsid w:val="007D2ADE"/>
    <w:rsid w:val="007D3378"/>
    <w:rsid w:val="007D4477"/>
    <w:rsid w:val="007D4940"/>
    <w:rsid w:val="007D4E29"/>
    <w:rsid w:val="007D5053"/>
    <w:rsid w:val="007D5F27"/>
    <w:rsid w:val="007D657E"/>
    <w:rsid w:val="007D6D89"/>
    <w:rsid w:val="007D6ED2"/>
    <w:rsid w:val="007D70B4"/>
    <w:rsid w:val="007D7B2E"/>
    <w:rsid w:val="007D7C91"/>
    <w:rsid w:val="007E09AE"/>
    <w:rsid w:val="007E1121"/>
    <w:rsid w:val="007E16DE"/>
    <w:rsid w:val="007E1A0C"/>
    <w:rsid w:val="007E1B11"/>
    <w:rsid w:val="007E20D5"/>
    <w:rsid w:val="007E2425"/>
    <w:rsid w:val="007E2FBD"/>
    <w:rsid w:val="007E31BE"/>
    <w:rsid w:val="007E3360"/>
    <w:rsid w:val="007E3633"/>
    <w:rsid w:val="007E37BF"/>
    <w:rsid w:val="007E3C23"/>
    <w:rsid w:val="007E3DE0"/>
    <w:rsid w:val="007E44D8"/>
    <w:rsid w:val="007E464D"/>
    <w:rsid w:val="007E4CBE"/>
    <w:rsid w:val="007E4E00"/>
    <w:rsid w:val="007E526E"/>
    <w:rsid w:val="007E6010"/>
    <w:rsid w:val="007E6C51"/>
    <w:rsid w:val="007E6CF5"/>
    <w:rsid w:val="007E71A5"/>
    <w:rsid w:val="007E75D6"/>
    <w:rsid w:val="007F02A1"/>
    <w:rsid w:val="007F0585"/>
    <w:rsid w:val="007F0785"/>
    <w:rsid w:val="007F1945"/>
    <w:rsid w:val="007F1960"/>
    <w:rsid w:val="007F1AF7"/>
    <w:rsid w:val="007F242C"/>
    <w:rsid w:val="007F269A"/>
    <w:rsid w:val="007F2ADB"/>
    <w:rsid w:val="007F322B"/>
    <w:rsid w:val="007F360B"/>
    <w:rsid w:val="007F39C0"/>
    <w:rsid w:val="007F3F15"/>
    <w:rsid w:val="007F4008"/>
    <w:rsid w:val="007F45D3"/>
    <w:rsid w:val="007F45FC"/>
    <w:rsid w:val="007F46A6"/>
    <w:rsid w:val="007F4AAF"/>
    <w:rsid w:val="007F4DEC"/>
    <w:rsid w:val="007F5167"/>
    <w:rsid w:val="007F5512"/>
    <w:rsid w:val="007F6B1B"/>
    <w:rsid w:val="007F7185"/>
    <w:rsid w:val="007F768A"/>
    <w:rsid w:val="007F77A9"/>
    <w:rsid w:val="007F7FDD"/>
    <w:rsid w:val="008002B1"/>
    <w:rsid w:val="0080045F"/>
    <w:rsid w:val="0080066B"/>
    <w:rsid w:val="00800A48"/>
    <w:rsid w:val="00800D89"/>
    <w:rsid w:val="00800ECC"/>
    <w:rsid w:val="008014F1"/>
    <w:rsid w:val="008015B9"/>
    <w:rsid w:val="00801752"/>
    <w:rsid w:val="00801D49"/>
    <w:rsid w:val="00801F6C"/>
    <w:rsid w:val="008020B6"/>
    <w:rsid w:val="00802126"/>
    <w:rsid w:val="008021E9"/>
    <w:rsid w:val="00802F16"/>
    <w:rsid w:val="00803523"/>
    <w:rsid w:val="00803583"/>
    <w:rsid w:val="00803AD8"/>
    <w:rsid w:val="008041B1"/>
    <w:rsid w:val="00804317"/>
    <w:rsid w:val="0080431D"/>
    <w:rsid w:val="00805683"/>
    <w:rsid w:val="008059B7"/>
    <w:rsid w:val="00805F7B"/>
    <w:rsid w:val="00806C8D"/>
    <w:rsid w:val="00806E84"/>
    <w:rsid w:val="00807EEA"/>
    <w:rsid w:val="0081020A"/>
    <w:rsid w:val="00810778"/>
    <w:rsid w:val="00810AB4"/>
    <w:rsid w:val="00811F13"/>
    <w:rsid w:val="0081253F"/>
    <w:rsid w:val="00812B62"/>
    <w:rsid w:val="00812F41"/>
    <w:rsid w:val="00812F5E"/>
    <w:rsid w:val="00813014"/>
    <w:rsid w:val="008131AB"/>
    <w:rsid w:val="00814405"/>
    <w:rsid w:val="008145C9"/>
    <w:rsid w:val="00814CE9"/>
    <w:rsid w:val="00815763"/>
    <w:rsid w:val="00815987"/>
    <w:rsid w:val="00815CDA"/>
    <w:rsid w:val="00816274"/>
    <w:rsid w:val="00816693"/>
    <w:rsid w:val="00816B6A"/>
    <w:rsid w:val="00816FE3"/>
    <w:rsid w:val="00817095"/>
    <w:rsid w:val="008173CE"/>
    <w:rsid w:val="00817AEF"/>
    <w:rsid w:val="00817F69"/>
    <w:rsid w:val="008203C9"/>
    <w:rsid w:val="008203CF"/>
    <w:rsid w:val="00820B78"/>
    <w:rsid w:val="0082107A"/>
    <w:rsid w:val="0082195A"/>
    <w:rsid w:val="00821A5E"/>
    <w:rsid w:val="0082250A"/>
    <w:rsid w:val="008228D2"/>
    <w:rsid w:val="00822D0E"/>
    <w:rsid w:val="008230A6"/>
    <w:rsid w:val="008231A6"/>
    <w:rsid w:val="008234A7"/>
    <w:rsid w:val="0082408B"/>
    <w:rsid w:val="008243A9"/>
    <w:rsid w:val="0082461B"/>
    <w:rsid w:val="00825D70"/>
    <w:rsid w:val="00825DE4"/>
    <w:rsid w:val="00827910"/>
    <w:rsid w:val="00830131"/>
    <w:rsid w:val="00830132"/>
    <w:rsid w:val="0083072E"/>
    <w:rsid w:val="0083092B"/>
    <w:rsid w:val="00831064"/>
    <w:rsid w:val="00831113"/>
    <w:rsid w:val="00831DF2"/>
    <w:rsid w:val="00831EA6"/>
    <w:rsid w:val="008322C5"/>
    <w:rsid w:val="008324B6"/>
    <w:rsid w:val="008324E4"/>
    <w:rsid w:val="00832C9B"/>
    <w:rsid w:val="00833253"/>
    <w:rsid w:val="00833516"/>
    <w:rsid w:val="008337B8"/>
    <w:rsid w:val="008347F7"/>
    <w:rsid w:val="008349AF"/>
    <w:rsid w:val="008349F1"/>
    <w:rsid w:val="0083519A"/>
    <w:rsid w:val="00835A21"/>
    <w:rsid w:val="00836086"/>
    <w:rsid w:val="008360E9"/>
    <w:rsid w:val="008365F0"/>
    <w:rsid w:val="008366B2"/>
    <w:rsid w:val="00836839"/>
    <w:rsid w:val="00836E0C"/>
    <w:rsid w:val="00836EFA"/>
    <w:rsid w:val="0083765E"/>
    <w:rsid w:val="00837C53"/>
    <w:rsid w:val="00837DA0"/>
    <w:rsid w:val="00837F42"/>
    <w:rsid w:val="008406D0"/>
    <w:rsid w:val="00840840"/>
    <w:rsid w:val="008409DF"/>
    <w:rsid w:val="00840DE4"/>
    <w:rsid w:val="00840E72"/>
    <w:rsid w:val="0084142E"/>
    <w:rsid w:val="00841680"/>
    <w:rsid w:val="0084173C"/>
    <w:rsid w:val="008417FD"/>
    <w:rsid w:val="0084192B"/>
    <w:rsid w:val="00841F2F"/>
    <w:rsid w:val="00842097"/>
    <w:rsid w:val="008421D0"/>
    <w:rsid w:val="00842816"/>
    <w:rsid w:val="008430B9"/>
    <w:rsid w:val="00843418"/>
    <w:rsid w:val="00844057"/>
    <w:rsid w:val="008441C0"/>
    <w:rsid w:val="008446EF"/>
    <w:rsid w:val="00844A28"/>
    <w:rsid w:val="00844DAD"/>
    <w:rsid w:val="008452CC"/>
    <w:rsid w:val="0084553B"/>
    <w:rsid w:val="00846370"/>
    <w:rsid w:val="008464CF"/>
    <w:rsid w:val="0084721C"/>
    <w:rsid w:val="00847346"/>
    <w:rsid w:val="008473CB"/>
    <w:rsid w:val="00847A89"/>
    <w:rsid w:val="00847E1A"/>
    <w:rsid w:val="008502BD"/>
    <w:rsid w:val="00850B29"/>
    <w:rsid w:val="00850CA3"/>
    <w:rsid w:val="00850D12"/>
    <w:rsid w:val="00851356"/>
    <w:rsid w:val="00851381"/>
    <w:rsid w:val="0085163A"/>
    <w:rsid w:val="00851B98"/>
    <w:rsid w:val="00851BAD"/>
    <w:rsid w:val="0085206A"/>
    <w:rsid w:val="0085250B"/>
    <w:rsid w:val="00852651"/>
    <w:rsid w:val="00852861"/>
    <w:rsid w:val="00852A4D"/>
    <w:rsid w:val="00852D75"/>
    <w:rsid w:val="008531D9"/>
    <w:rsid w:val="00853616"/>
    <w:rsid w:val="008536F3"/>
    <w:rsid w:val="0085374E"/>
    <w:rsid w:val="008537CA"/>
    <w:rsid w:val="0085384F"/>
    <w:rsid w:val="0085387A"/>
    <w:rsid w:val="00853F55"/>
    <w:rsid w:val="00854524"/>
    <w:rsid w:val="008546E3"/>
    <w:rsid w:val="00854DAF"/>
    <w:rsid w:val="00855125"/>
    <w:rsid w:val="00855230"/>
    <w:rsid w:val="00855314"/>
    <w:rsid w:val="00855358"/>
    <w:rsid w:val="00855FB6"/>
    <w:rsid w:val="00856D63"/>
    <w:rsid w:val="00856DB2"/>
    <w:rsid w:val="00856E27"/>
    <w:rsid w:val="008572C7"/>
    <w:rsid w:val="008574AB"/>
    <w:rsid w:val="0085780A"/>
    <w:rsid w:val="008579CC"/>
    <w:rsid w:val="00857F64"/>
    <w:rsid w:val="00860094"/>
    <w:rsid w:val="00860133"/>
    <w:rsid w:val="0086055E"/>
    <w:rsid w:val="00860BE8"/>
    <w:rsid w:val="00860E82"/>
    <w:rsid w:val="00862327"/>
    <w:rsid w:val="008626A3"/>
    <w:rsid w:val="00862FF9"/>
    <w:rsid w:val="00863032"/>
    <w:rsid w:val="0086313F"/>
    <w:rsid w:val="0086321C"/>
    <w:rsid w:val="008632FD"/>
    <w:rsid w:val="00863348"/>
    <w:rsid w:val="00863356"/>
    <w:rsid w:val="00863442"/>
    <w:rsid w:val="00863B4E"/>
    <w:rsid w:val="00864837"/>
    <w:rsid w:val="00864A17"/>
    <w:rsid w:val="00864FAF"/>
    <w:rsid w:val="0086506A"/>
    <w:rsid w:val="008659B6"/>
    <w:rsid w:val="00865AF4"/>
    <w:rsid w:val="00865C83"/>
    <w:rsid w:val="00866781"/>
    <w:rsid w:val="00866B5B"/>
    <w:rsid w:val="00866B91"/>
    <w:rsid w:val="008672C8"/>
    <w:rsid w:val="00867974"/>
    <w:rsid w:val="00867DDC"/>
    <w:rsid w:val="0087005F"/>
    <w:rsid w:val="008701B0"/>
    <w:rsid w:val="008701CC"/>
    <w:rsid w:val="0087043B"/>
    <w:rsid w:val="0087079E"/>
    <w:rsid w:val="00870851"/>
    <w:rsid w:val="00870858"/>
    <w:rsid w:val="008711E1"/>
    <w:rsid w:val="008715F3"/>
    <w:rsid w:val="00871D0A"/>
    <w:rsid w:val="00872092"/>
    <w:rsid w:val="0087300E"/>
    <w:rsid w:val="0087303F"/>
    <w:rsid w:val="00873415"/>
    <w:rsid w:val="00873471"/>
    <w:rsid w:val="0087357E"/>
    <w:rsid w:val="008735CF"/>
    <w:rsid w:val="008738D0"/>
    <w:rsid w:val="00873CDE"/>
    <w:rsid w:val="00874147"/>
    <w:rsid w:val="00874EA0"/>
    <w:rsid w:val="008753C5"/>
    <w:rsid w:val="00875600"/>
    <w:rsid w:val="00875991"/>
    <w:rsid w:val="00875B58"/>
    <w:rsid w:val="00876088"/>
    <w:rsid w:val="008761F4"/>
    <w:rsid w:val="008763FA"/>
    <w:rsid w:val="0087658E"/>
    <w:rsid w:val="00876CE8"/>
    <w:rsid w:val="00876D30"/>
    <w:rsid w:val="00877571"/>
    <w:rsid w:val="008801D4"/>
    <w:rsid w:val="00880874"/>
    <w:rsid w:val="00880C14"/>
    <w:rsid w:val="00880C8C"/>
    <w:rsid w:val="00880D67"/>
    <w:rsid w:val="00881168"/>
    <w:rsid w:val="00881C4D"/>
    <w:rsid w:val="008824AB"/>
    <w:rsid w:val="008825B8"/>
    <w:rsid w:val="00882637"/>
    <w:rsid w:val="00882903"/>
    <w:rsid w:val="00882C08"/>
    <w:rsid w:val="00882F40"/>
    <w:rsid w:val="00882F4A"/>
    <w:rsid w:val="008830CE"/>
    <w:rsid w:val="008831A8"/>
    <w:rsid w:val="008833B1"/>
    <w:rsid w:val="00883465"/>
    <w:rsid w:val="0088362B"/>
    <w:rsid w:val="00883800"/>
    <w:rsid w:val="008838EE"/>
    <w:rsid w:val="008842F2"/>
    <w:rsid w:val="0088458F"/>
    <w:rsid w:val="00884F8C"/>
    <w:rsid w:val="008855B2"/>
    <w:rsid w:val="00885803"/>
    <w:rsid w:val="00885852"/>
    <w:rsid w:val="008865B8"/>
    <w:rsid w:val="00886BF3"/>
    <w:rsid w:val="0088768B"/>
    <w:rsid w:val="008878F3"/>
    <w:rsid w:val="00887AD7"/>
    <w:rsid w:val="00887F64"/>
    <w:rsid w:val="00890746"/>
    <w:rsid w:val="0089076F"/>
    <w:rsid w:val="0089106B"/>
    <w:rsid w:val="008911D0"/>
    <w:rsid w:val="008914D0"/>
    <w:rsid w:val="00891D40"/>
    <w:rsid w:val="00892028"/>
    <w:rsid w:val="008924DF"/>
    <w:rsid w:val="008927A8"/>
    <w:rsid w:val="008934C6"/>
    <w:rsid w:val="00893A9D"/>
    <w:rsid w:val="00893EC1"/>
    <w:rsid w:val="00893F18"/>
    <w:rsid w:val="00893FCC"/>
    <w:rsid w:val="00894085"/>
    <w:rsid w:val="00895244"/>
    <w:rsid w:val="00895341"/>
    <w:rsid w:val="00896017"/>
    <w:rsid w:val="008960F8"/>
    <w:rsid w:val="0089694F"/>
    <w:rsid w:val="00896C81"/>
    <w:rsid w:val="008970A5"/>
    <w:rsid w:val="00897437"/>
    <w:rsid w:val="008976C4"/>
    <w:rsid w:val="00897A10"/>
    <w:rsid w:val="00897C86"/>
    <w:rsid w:val="00897CDD"/>
    <w:rsid w:val="00897F78"/>
    <w:rsid w:val="008A01B4"/>
    <w:rsid w:val="008A025D"/>
    <w:rsid w:val="008A05DE"/>
    <w:rsid w:val="008A07FB"/>
    <w:rsid w:val="008A09FE"/>
    <w:rsid w:val="008A0E2F"/>
    <w:rsid w:val="008A1938"/>
    <w:rsid w:val="008A1E33"/>
    <w:rsid w:val="008A37E4"/>
    <w:rsid w:val="008A3DD2"/>
    <w:rsid w:val="008A3EF1"/>
    <w:rsid w:val="008A4C05"/>
    <w:rsid w:val="008A5789"/>
    <w:rsid w:val="008A60FE"/>
    <w:rsid w:val="008A64B3"/>
    <w:rsid w:val="008A6F61"/>
    <w:rsid w:val="008A6F65"/>
    <w:rsid w:val="008A7000"/>
    <w:rsid w:val="008A71A6"/>
    <w:rsid w:val="008A73FF"/>
    <w:rsid w:val="008A7529"/>
    <w:rsid w:val="008A76A9"/>
    <w:rsid w:val="008A7A05"/>
    <w:rsid w:val="008B050C"/>
    <w:rsid w:val="008B0BB9"/>
    <w:rsid w:val="008B0C45"/>
    <w:rsid w:val="008B18B4"/>
    <w:rsid w:val="008B1AF6"/>
    <w:rsid w:val="008B1DA8"/>
    <w:rsid w:val="008B206C"/>
    <w:rsid w:val="008B2283"/>
    <w:rsid w:val="008B28C1"/>
    <w:rsid w:val="008B2A0D"/>
    <w:rsid w:val="008B2C3D"/>
    <w:rsid w:val="008B2D2A"/>
    <w:rsid w:val="008B319D"/>
    <w:rsid w:val="008B31A0"/>
    <w:rsid w:val="008B35EB"/>
    <w:rsid w:val="008B369A"/>
    <w:rsid w:val="008B43A3"/>
    <w:rsid w:val="008B43E6"/>
    <w:rsid w:val="008B48A2"/>
    <w:rsid w:val="008B4AC7"/>
    <w:rsid w:val="008B51E9"/>
    <w:rsid w:val="008B521B"/>
    <w:rsid w:val="008B5375"/>
    <w:rsid w:val="008B5749"/>
    <w:rsid w:val="008B5B6E"/>
    <w:rsid w:val="008B67EE"/>
    <w:rsid w:val="008B686C"/>
    <w:rsid w:val="008B68BE"/>
    <w:rsid w:val="008B6D66"/>
    <w:rsid w:val="008B6F96"/>
    <w:rsid w:val="008B7A6B"/>
    <w:rsid w:val="008B7B3B"/>
    <w:rsid w:val="008C00FD"/>
    <w:rsid w:val="008C0193"/>
    <w:rsid w:val="008C0238"/>
    <w:rsid w:val="008C0841"/>
    <w:rsid w:val="008C0E11"/>
    <w:rsid w:val="008C1693"/>
    <w:rsid w:val="008C198B"/>
    <w:rsid w:val="008C1F0E"/>
    <w:rsid w:val="008C343F"/>
    <w:rsid w:val="008C3E38"/>
    <w:rsid w:val="008C4CDE"/>
    <w:rsid w:val="008C53B8"/>
    <w:rsid w:val="008C55F1"/>
    <w:rsid w:val="008C56EA"/>
    <w:rsid w:val="008C5BEE"/>
    <w:rsid w:val="008C5BFD"/>
    <w:rsid w:val="008C5E65"/>
    <w:rsid w:val="008C62E8"/>
    <w:rsid w:val="008C65C0"/>
    <w:rsid w:val="008C66ED"/>
    <w:rsid w:val="008C6C71"/>
    <w:rsid w:val="008C70AE"/>
    <w:rsid w:val="008C7127"/>
    <w:rsid w:val="008C73E7"/>
    <w:rsid w:val="008C78C5"/>
    <w:rsid w:val="008C7CCC"/>
    <w:rsid w:val="008C7E40"/>
    <w:rsid w:val="008C7F95"/>
    <w:rsid w:val="008CAEF1"/>
    <w:rsid w:val="008D0763"/>
    <w:rsid w:val="008D1031"/>
    <w:rsid w:val="008D2120"/>
    <w:rsid w:val="008D26E6"/>
    <w:rsid w:val="008D27BD"/>
    <w:rsid w:val="008D3259"/>
    <w:rsid w:val="008D3AA4"/>
    <w:rsid w:val="008D3D7C"/>
    <w:rsid w:val="008D4176"/>
    <w:rsid w:val="008D4AD8"/>
    <w:rsid w:val="008D5261"/>
    <w:rsid w:val="008D5291"/>
    <w:rsid w:val="008D55F6"/>
    <w:rsid w:val="008D5749"/>
    <w:rsid w:val="008D5DBD"/>
    <w:rsid w:val="008D64B8"/>
    <w:rsid w:val="008D652E"/>
    <w:rsid w:val="008D68FD"/>
    <w:rsid w:val="008D6B3D"/>
    <w:rsid w:val="008D788C"/>
    <w:rsid w:val="008D7F4C"/>
    <w:rsid w:val="008E055E"/>
    <w:rsid w:val="008E08F6"/>
    <w:rsid w:val="008E0AD1"/>
    <w:rsid w:val="008E0BDA"/>
    <w:rsid w:val="008E0ED4"/>
    <w:rsid w:val="008E1439"/>
    <w:rsid w:val="008E15F6"/>
    <w:rsid w:val="008E184A"/>
    <w:rsid w:val="008E1EEA"/>
    <w:rsid w:val="008E29DC"/>
    <w:rsid w:val="008E2BA6"/>
    <w:rsid w:val="008E2CE5"/>
    <w:rsid w:val="008E2EBD"/>
    <w:rsid w:val="008E2F83"/>
    <w:rsid w:val="008E3179"/>
    <w:rsid w:val="008E4364"/>
    <w:rsid w:val="008E4880"/>
    <w:rsid w:val="008E4BDB"/>
    <w:rsid w:val="008E4C44"/>
    <w:rsid w:val="008E4D2E"/>
    <w:rsid w:val="008E5455"/>
    <w:rsid w:val="008E549D"/>
    <w:rsid w:val="008E5879"/>
    <w:rsid w:val="008E5894"/>
    <w:rsid w:val="008E5B83"/>
    <w:rsid w:val="008E5BB1"/>
    <w:rsid w:val="008E5DB1"/>
    <w:rsid w:val="008E61D6"/>
    <w:rsid w:val="008E6444"/>
    <w:rsid w:val="008E6F14"/>
    <w:rsid w:val="008E7456"/>
    <w:rsid w:val="008E756B"/>
    <w:rsid w:val="008E7A56"/>
    <w:rsid w:val="008F00EE"/>
    <w:rsid w:val="008F0D2F"/>
    <w:rsid w:val="008F17B4"/>
    <w:rsid w:val="008F1F63"/>
    <w:rsid w:val="008F291F"/>
    <w:rsid w:val="008F3091"/>
    <w:rsid w:val="008F3262"/>
    <w:rsid w:val="008F3EB1"/>
    <w:rsid w:val="008F4083"/>
    <w:rsid w:val="008F4A69"/>
    <w:rsid w:val="008F4EBE"/>
    <w:rsid w:val="008F503F"/>
    <w:rsid w:val="008F5098"/>
    <w:rsid w:val="008F52B6"/>
    <w:rsid w:val="008F56D6"/>
    <w:rsid w:val="008F5932"/>
    <w:rsid w:val="008F596D"/>
    <w:rsid w:val="008F5FCC"/>
    <w:rsid w:val="008F60C0"/>
    <w:rsid w:val="008F64C0"/>
    <w:rsid w:val="008F659C"/>
    <w:rsid w:val="008F6960"/>
    <w:rsid w:val="008F6B78"/>
    <w:rsid w:val="008F732B"/>
    <w:rsid w:val="008F7773"/>
    <w:rsid w:val="008F7824"/>
    <w:rsid w:val="008F790E"/>
    <w:rsid w:val="008F7EE1"/>
    <w:rsid w:val="008F7F4F"/>
    <w:rsid w:val="00900CFF"/>
    <w:rsid w:val="00900D37"/>
    <w:rsid w:val="009010F2"/>
    <w:rsid w:val="00901379"/>
    <w:rsid w:val="00901A00"/>
    <w:rsid w:val="00901B29"/>
    <w:rsid w:val="00902133"/>
    <w:rsid w:val="00902360"/>
    <w:rsid w:val="00903C55"/>
    <w:rsid w:val="00903FA0"/>
    <w:rsid w:val="009040BD"/>
    <w:rsid w:val="009042F0"/>
    <w:rsid w:val="009046E3"/>
    <w:rsid w:val="00904A34"/>
    <w:rsid w:val="00904E16"/>
    <w:rsid w:val="00905270"/>
    <w:rsid w:val="009054DC"/>
    <w:rsid w:val="00905502"/>
    <w:rsid w:val="00905A7E"/>
    <w:rsid w:val="009060C2"/>
    <w:rsid w:val="00906AAD"/>
    <w:rsid w:val="00906BE9"/>
    <w:rsid w:val="00906CCF"/>
    <w:rsid w:val="00906D05"/>
    <w:rsid w:val="00906F6B"/>
    <w:rsid w:val="0091000D"/>
    <w:rsid w:val="009107C2"/>
    <w:rsid w:val="00910830"/>
    <w:rsid w:val="00910874"/>
    <w:rsid w:val="00910D4B"/>
    <w:rsid w:val="0091140D"/>
    <w:rsid w:val="00911DB8"/>
    <w:rsid w:val="00911EB3"/>
    <w:rsid w:val="00912131"/>
    <w:rsid w:val="009130F1"/>
    <w:rsid w:val="00913427"/>
    <w:rsid w:val="00913981"/>
    <w:rsid w:val="00913E82"/>
    <w:rsid w:val="00914A53"/>
    <w:rsid w:val="00914B91"/>
    <w:rsid w:val="00914DCE"/>
    <w:rsid w:val="00915220"/>
    <w:rsid w:val="0091567A"/>
    <w:rsid w:val="00916032"/>
    <w:rsid w:val="00916201"/>
    <w:rsid w:val="0091630A"/>
    <w:rsid w:val="0091638E"/>
    <w:rsid w:val="00916FD0"/>
    <w:rsid w:val="0091708C"/>
    <w:rsid w:val="00917757"/>
    <w:rsid w:val="00917B41"/>
    <w:rsid w:val="00920725"/>
    <w:rsid w:val="00920F88"/>
    <w:rsid w:val="009210E7"/>
    <w:rsid w:val="0092130E"/>
    <w:rsid w:val="00921DC8"/>
    <w:rsid w:val="0092236B"/>
    <w:rsid w:val="009226EB"/>
    <w:rsid w:val="009235A9"/>
    <w:rsid w:val="00923B9C"/>
    <w:rsid w:val="00924466"/>
    <w:rsid w:val="00924878"/>
    <w:rsid w:val="00924D6F"/>
    <w:rsid w:val="00924EDD"/>
    <w:rsid w:val="009250ED"/>
    <w:rsid w:val="00925A44"/>
    <w:rsid w:val="00925A66"/>
    <w:rsid w:val="00925C19"/>
    <w:rsid w:val="00925C67"/>
    <w:rsid w:val="00925F56"/>
    <w:rsid w:val="00926452"/>
    <w:rsid w:val="00926621"/>
    <w:rsid w:val="00927367"/>
    <w:rsid w:val="0092746C"/>
    <w:rsid w:val="0092746E"/>
    <w:rsid w:val="00927878"/>
    <w:rsid w:val="00927BB6"/>
    <w:rsid w:val="00930415"/>
    <w:rsid w:val="009308E3"/>
    <w:rsid w:val="00930AF5"/>
    <w:rsid w:val="00930D4B"/>
    <w:rsid w:val="00930E61"/>
    <w:rsid w:val="00931A0F"/>
    <w:rsid w:val="00931B18"/>
    <w:rsid w:val="00931B38"/>
    <w:rsid w:val="009320DB"/>
    <w:rsid w:val="0093218E"/>
    <w:rsid w:val="0093241A"/>
    <w:rsid w:val="00932547"/>
    <w:rsid w:val="00932ACC"/>
    <w:rsid w:val="00932DD6"/>
    <w:rsid w:val="009330F2"/>
    <w:rsid w:val="009335D5"/>
    <w:rsid w:val="00933653"/>
    <w:rsid w:val="00933852"/>
    <w:rsid w:val="0093389E"/>
    <w:rsid w:val="009338D6"/>
    <w:rsid w:val="0093400A"/>
    <w:rsid w:val="00934464"/>
    <w:rsid w:val="00934535"/>
    <w:rsid w:val="0093462F"/>
    <w:rsid w:val="00935209"/>
    <w:rsid w:val="00935CFA"/>
    <w:rsid w:val="0093642D"/>
    <w:rsid w:val="00940611"/>
    <w:rsid w:val="0094076E"/>
    <w:rsid w:val="00940FB9"/>
    <w:rsid w:val="00941156"/>
    <w:rsid w:val="009416B0"/>
    <w:rsid w:val="00941811"/>
    <w:rsid w:val="00941BD2"/>
    <w:rsid w:val="00941FF7"/>
    <w:rsid w:val="00942265"/>
    <w:rsid w:val="0094296D"/>
    <w:rsid w:val="00942C97"/>
    <w:rsid w:val="00942CC2"/>
    <w:rsid w:val="00943DEA"/>
    <w:rsid w:val="00944064"/>
    <w:rsid w:val="009440A2"/>
    <w:rsid w:val="00944325"/>
    <w:rsid w:val="009447E5"/>
    <w:rsid w:val="00944A24"/>
    <w:rsid w:val="00944DCF"/>
    <w:rsid w:val="00944F0E"/>
    <w:rsid w:val="00945157"/>
    <w:rsid w:val="0094564B"/>
    <w:rsid w:val="00945D17"/>
    <w:rsid w:val="00945F16"/>
    <w:rsid w:val="00946593"/>
    <w:rsid w:val="00946752"/>
    <w:rsid w:val="009468D1"/>
    <w:rsid w:val="00946B76"/>
    <w:rsid w:val="00946DE1"/>
    <w:rsid w:val="0094775B"/>
    <w:rsid w:val="00950830"/>
    <w:rsid w:val="00950A13"/>
    <w:rsid w:val="00950B37"/>
    <w:rsid w:val="00951CF6"/>
    <w:rsid w:val="00951D48"/>
    <w:rsid w:val="00951F64"/>
    <w:rsid w:val="009520EA"/>
    <w:rsid w:val="0095225B"/>
    <w:rsid w:val="0095253C"/>
    <w:rsid w:val="00952E46"/>
    <w:rsid w:val="00952EA0"/>
    <w:rsid w:val="00953160"/>
    <w:rsid w:val="009532CB"/>
    <w:rsid w:val="0095342D"/>
    <w:rsid w:val="009538D0"/>
    <w:rsid w:val="00953A2F"/>
    <w:rsid w:val="00953F8E"/>
    <w:rsid w:val="009541E0"/>
    <w:rsid w:val="00954430"/>
    <w:rsid w:val="00954BBA"/>
    <w:rsid w:val="00954DA6"/>
    <w:rsid w:val="00954E14"/>
    <w:rsid w:val="009553BF"/>
    <w:rsid w:val="00955402"/>
    <w:rsid w:val="0095630A"/>
    <w:rsid w:val="00956325"/>
    <w:rsid w:val="00956BFF"/>
    <w:rsid w:val="00956C74"/>
    <w:rsid w:val="00956F2C"/>
    <w:rsid w:val="00957335"/>
    <w:rsid w:val="0095767B"/>
    <w:rsid w:val="00957753"/>
    <w:rsid w:val="0095790A"/>
    <w:rsid w:val="00957B24"/>
    <w:rsid w:val="00960599"/>
    <w:rsid w:val="009609CA"/>
    <w:rsid w:val="00960E7F"/>
    <w:rsid w:val="009616E7"/>
    <w:rsid w:val="00961928"/>
    <w:rsid w:val="00962648"/>
    <w:rsid w:val="009629E8"/>
    <w:rsid w:val="00962AD4"/>
    <w:rsid w:val="00962C6D"/>
    <w:rsid w:val="009632B1"/>
    <w:rsid w:val="00963378"/>
    <w:rsid w:val="00963B6A"/>
    <w:rsid w:val="00963DC2"/>
    <w:rsid w:val="00963E5D"/>
    <w:rsid w:val="009641E8"/>
    <w:rsid w:val="00964252"/>
    <w:rsid w:val="00964AED"/>
    <w:rsid w:val="00965DA3"/>
    <w:rsid w:val="00966746"/>
    <w:rsid w:val="0096689A"/>
    <w:rsid w:val="00966D7C"/>
    <w:rsid w:val="00966DAA"/>
    <w:rsid w:val="009670F6"/>
    <w:rsid w:val="009672B1"/>
    <w:rsid w:val="0097016A"/>
    <w:rsid w:val="009707F8"/>
    <w:rsid w:val="00971186"/>
    <w:rsid w:val="00971EF4"/>
    <w:rsid w:val="00972309"/>
    <w:rsid w:val="0097259D"/>
    <w:rsid w:val="009727AB"/>
    <w:rsid w:val="009729C9"/>
    <w:rsid w:val="00972E3C"/>
    <w:rsid w:val="009732E2"/>
    <w:rsid w:val="00974334"/>
    <w:rsid w:val="009743F9"/>
    <w:rsid w:val="00974543"/>
    <w:rsid w:val="00974E32"/>
    <w:rsid w:val="0097505B"/>
    <w:rsid w:val="009753E1"/>
    <w:rsid w:val="00975836"/>
    <w:rsid w:val="00975936"/>
    <w:rsid w:val="00975A95"/>
    <w:rsid w:val="00976543"/>
    <w:rsid w:val="0097661D"/>
    <w:rsid w:val="00976784"/>
    <w:rsid w:val="009768E8"/>
    <w:rsid w:val="00976F02"/>
    <w:rsid w:val="0097707C"/>
    <w:rsid w:val="00977239"/>
    <w:rsid w:val="0097757C"/>
    <w:rsid w:val="0097764E"/>
    <w:rsid w:val="00977D1C"/>
    <w:rsid w:val="009801F7"/>
    <w:rsid w:val="00980807"/>
    <w:rsid w:val="009811CD"/>
    <w:rsid w:val="00981277"/>
    <w:rsid w:val="0098179C"/>
    <w:rsid w:val="00981C29"/>
    <w:rsid w:val="00982460"/>
    <w:rsid w:val="009824A8"/>
    <w:rsid w:val="009827B3"/>
    <w:rsid w:val="0098314A"/>
    <w:rsid w:val="009832ED"/>
    <w:rsid w:val="009837D9"/>
    <w:rsid w:val="00983A14"/>
    <w:rsid w:val="00983CC5"/>
    <w:rsid w:val="00983DD6"/>
    <w:rsid w:val="00984167"/>
    <w:rsid w:val="00984266"/>
    <w:rsid w:val="009842A5"/>
    <w:rsid w:val="00984319"/>
    <w:rsid w:val="00984665"/>
    <w:rsid w:val="0098537E"/>
    <w:rsid w:val="00985738"/>
    <w:rsid w:val="00985A33"/>
    <w:rsid w:val="00985EA7"/>
    <w:rsid w:val="00985F68"/>
    <w:rsid w:val="00986067"/>
    <w:rsid w:val="009863F8"/>
    <w:rsid w:val="009864E7"/>
    <w:rsid w:val="00986782"/>
    <w:rsid w:val="0098733F"/>
    <w:rsid w:val="009874CA"/>
    <w:rsid w:val="00987FEE"/>
    <w:rsid w:val="00990AA1"/>
    <w:rsid w:val="009919AC"/>
    <w:rsid w:val="00991AC7"/>
    <w:rsid w:val="0099221A"/>
    <w:rsid w:val="009923DA"/>
    <w:rsid w:val="009923E7"/>
    <w:rsid w:val="00992EDF"/>
    <w:rsid w:val="00992F2F"/>
    <w:rsid w:val="0099401C"/>
    <w:rsid w:val="00994C8E"/>
    <w:rsid w:val="00995936"/>
    <w:rsid w:val="00995C14"/>
    <w:rsid w:val="00995F57"/>
    <w:rsid w:val="00996145"/>
    <w:rsid w:val="009961F9"/>
    <w:rsid w:val="00997096"/>
    <w:rsid w:val="00997769"/>
    <w:rsid w:val="009977BF"/>
    <w:rsid w:val="0099788C"/>
    <w:rsid w:val="00997C5C"/>
    <w:rsid w:val="009A01A6"/>
    <w:rsid w:val="009A0603"/>
    <w:rsid w:val="009A06EE"/>
    <w:rsid w:val="009A0E6A"/>
    <w:rsid w:val="009A0F8E"/>
    <w:rsid w:val="009A1864"/>
    <w:rsid w:val="009A2893"/>
    <w:rsid w:val="009A28C4"/>
    <w:rsid w:val="009A2A71"/>
    <w:rsid w:val="009A2B87"/>
    <w:rsid w:val="009A3389"/>
    <w:rsid w:val="009A383F"/>
    <w:rsid w:val="009A3A34"/>
    <w:rsid w:val="009A3A73"/>
    <w:rsid w:val="009A3CD5"/>
    <w:rsid w:val="009A3DD4"/>
    <w:rsid w:val="009A3EB4"/>
    <w:rsid w:val="009A50E6"/>
    <w:rsid w:val="009A5E06"/>
    <w:rsid w:val="009A6021"/>
    <w:rsid w:val="009A617A"/>
    <w:rsid w:val="009A6BB6"/>
    <w:rsid w:val="009A6BB8"/>
    <w:rsid w:val="009A7B18"/>
    <w:rsid w:val="009B0039"/>
    <w:rsid w:val="009B02CF"/>
    <w:rsid w:val="009B0B00"/>
    <w:rsid w:val="009B12F6"/>
    <w:rsid w:val="009B1542"/>
    <w:rsid w:val="009B1B26"/>
    <w:rsid w:val="009B1FC1"/>
    <w:rsid w:val="009B22F1"/>
    <w:rsid w:val="009B2C9A"/>
    <w:rsid w:val="009B2DB8"/>
    <w:rsid w:val="009B360E"/>
    <w:rsid w:val="009B3879"/>
    <w:rsid w:val="009B3D20"/>
    <w:rsid w:val="009B3D4F"/>
    <w:rsid w:val="009B4160"/>
    <w:rsid w:val="009B455F"/>
    <w:rsid w:val="009B4ADC"/>
    <w:rsid w:val="009B4C8C"/>
    <w:rsid w:val="009B4D23"/>
    <w:rsid w:val="009B4F65"/>
    <w:rsid w:val="009B50CA"/>
    <w:rsid w:val="009B528F"/>
    <w:rsid w:val="009B5498"/>
    <w:rsid w:val="009B5AD3"/>
    <w:rsid w:val="009B5BCD"/>
    <w:rsid w:val="009B5C29"/>
    <w:rsid w:val="009B5DD7"/>
    <w:rsid w:val="009B6363"/>
    <w:rsid w:val="009B6721"/>
    <w:rsid w:val="009B6825"/>
    <w:rsid w:val="009B6E5D"/>
    <w:rsid w:val="009B79AF"/>
    <w:rsid w:val="009B7C1F"/>
    <w:rsid w:val="009B7C83"/>
    <w:rsid w:val="009C1189"/>
    <w:rsid w:val="009C121B"/>
    <w:rsid w:val="009C1451"/>
    <w:rsid w:val="009C1660"/>
    <w:rsid w:val="009C1754"/>
    <w:rsid w:val="009C1EC1"/>
    <w:rsid w:val="009C22D2"/>
    <w:rsid w:val="009C3083"/>
    <w:rsid w:val="009C3303"/>
    <w:rsid w:val="009C3327"/>
    <w:rsid w:val="009C33E8"/>
    <w:rsid w:val="009C39F6"/>
    <w:rsid w:val="009C45A9"/>
    <w:rsid w:val="009C4787"/>
    <w:rsid w:val="009C4941"/>
    <w:rsid w:val="009C4FF2"/>
    <w:rsid w:val="009C5AD9"/>
    <w:rsid w:val="009C5C22"/>
    <w:rsid w:val="009C5F1B"/>
    <w:rsid w:val="009C62EB"/>
    <w:rsid w:val="009C6572"/>
    <w:rsid w:val="009C6738"/>
    <w:rsid w:val="009C6924"/>
    <w:rsid w:val="009C6BF4"/>
    <w:rsid w:val="009C6C13"/>
    <w:rsid w:val="009C6DB5"/>
    <w:rsid w:val="009C6E44"/>
    <w:rsid w:val="009C6EAB"/>
    <w:rsid w:val="009C7087"/>
    <w:rsid w:val="009C73D9"/>
    <w:rsid w:val="009C77C2"/>
    <w:rsid w:val="009C79C7"/>
    <w:rsid w:val="009C7DF3"/>
    <w:rsid w:val="009C7F43"/>
    <w:rsid w:val="009D02A7"/>
    <w:rsid w:val="009D0332"/>
    <w:rsid w:val="009D0511"/>
    <w:rsid w:val="009D06F3"/>
    <w:rsid w:val="009D086C"/>
    <w:rsid w:val="009D0DA1"/>
    <w:rsid w:val="009D163C"/>
    <w:rsid w:val="009D1775"/>
    <w:rsid w:val="009D18BA"/>
    <w:rsid w:val="009D19B9"/>
    <w:rsid w:val="009D1C87"/>
    <w:rsid w:val="009D1DF0"/>
    <w:rsid w:val="009D2838"/>
    <w:rsid w:val="009D2E28"/>
    <w:rsid w:val="009D30E0"/>
    <w:rsid w:val="009D37DC"/>
    <w:rsid w:val="009D3FB7"/>
    <w:rsid w:val="009D45C5"/>
    <w:rsid w:val="009D4953"/>
    <w:rsid w:val="009D5047"/>
    <w:rsid w:val="009D50CB"/>
    <w:rsid w:val="009D51F5"/>
    <w:rsid w:val="009D5482"/>
    <w:rsid w:val="009D59B8"/>
    <w:rsid w:val="009D60E0"/>
    <w:rsid w:val="009D70B0"/>
    <w:rsid w:val="009D742D"/>
    <w:rsid w:val="009D77E5"/>
    <w:rsid w:val="009D790B"/>
    <w:rsid w:val="009D7BFF"/>
    <w:rsid w:val="009E0007"/>
    <w:rsid w:val="009E02C5"/>
    <w:rsid w:val="009E03C8"/>
    <w:rsid w:val="009E054B"/>
    <w:rsid w:val="009E0C80"/>
    <w:rsid w:val="009E0D58"/>
    <w:rsid w:val="009E0E94"/>
    <w:rsid w:val="009E119C"/>
    <w:rsid w:val="009E14E9"/>
    <w:rsid w:val="009E1569"/>
    <w:rsid w:val="009E1A8A"/>
    <w:rsid w:val="009E1ABB"/>
    <w:rsid w:val="009E1F0D"/>
    <w:rsid w:val="009E2053"/>
    <w:rsid w:val="009E217E"/>
    <w:rsid w:val="009E27E9"/>
    <w:rsid w:val="009E2BE9"/>
    <w:rsid w:val="009E3046"/>
    <w:rsid w:val="009E3081"/>
    <w:rsid w:val="009E3436"/>
    <w:rsid w:val="009E34BB"/>
    <w:rsid w:val="009E4016"/>
    <w:rsid w:val="009E4311"/>
    <w:rsid w:val="009E4632"/>
    <w:rsid w:val="009E4DA0"/>
    <w:rsid w:val="009E5E77"/>
    <w:rsid w:val="009E64E4"/>
    <w:rsid w:val="009E6C04"/>
    <w:rsid w:val="009E70F7"/>
    <w:rsid w:val="009E7559"/>
    <w:rsid w:val="009E75A8"/>
    <w:rsid w:val="009E77B8"/>
    <w:rsid w:val="009F0D03"/>
    <w:rsid w:val="009F1137"/>
    <w:rsid w:val="009F1647"/>
    <w:rsid w:val="009F16EA"/>
    <w:rsid w:val="009F1891"/>
    <w:rsid w:val="009F1FA1"/>
    <w:rsid w:val="009F2BAC"/>
    <w:rsid w:val="009F314C"/>
    <w:rsid w:val="009F3567"/>
    <w:rsid w:val="009F3AFE"/>
    <w:rsid w:val="009F4048"/>
    <w:rsid w:val="009F44DD"/>
    <w:rsid w:val="009F4FFB"/>
    <w:rsid w:val="009F5405"/>
    <w:rsid w:val="009F57A8"/>
    <w:rsid w:val="009F5A39"/>
    <w:rsid w:val="009F5AEB"/>
    <w:rsid w:val="009F5CF6"/>
    <w:rsid w:val="009F67A5"/>
    <w:rsid w:val="009F74E5"/>
    <w:rsid w:val="009F7931"/>
    <w:rsid w:val="009F7E5C"/>
    <w:rsid w:val="00A00335"/>
    <w:rsid w:val="00A00788"/>
    <w:rsid w:val="00A00FBC"/>
    <w:rsid w:val="00A01708"/>
    <w:rsid w:val="00A01A57"/>
    <w:rsid w:val="00A0236A"/>
    <w:rsid w:val="00A023F8"/>
    <w:rsid w:val="00A02864"/>
    <w:rsid w:val="00A02AFB"/>
    <w:rsid w:val="00A02C74"/>
    <w:rsid w:val="00A02F31"/>
    <w:rsid w:val="00A03C0E"/>
    <w:rsid w:val="00A0415F"/>
    <w:rsid w:val="00A051C9"/>
    <w:rsid w:val="00A057E7"/>
    <w:rsid w:val="00A061B4"/>
    <w:rsid w:val="00A06518"/>
    <w:rsid w:val="00A06BDF"/>
    <w:rsid w:val="00A06E10"/>
    <w:rsid w:val="00A06F94"/>
    <w:rsid w:val="00A073C7"/>
    <w:rsid w:val="00A0749F"/>
    <w:rsid w:val="00A07500"/>
    <w:rsid w:val="00A07A46"/>
    <w:rsid w:val="00A07E65"/>
    <w:rsid w:val="00A10186"/>
    <w:rsid w:val="00A1036B"/>
    <w:rsid w:val="00A103AD"/>
    <w:rsid w:val="00A105E9"/>
    <w:rsid w:val="00A10651"/>
    <w:rsid w:val="00A1067E"/>
    <w:rsid w:val="00A11330"/>
    <w:rsid w:val="00A1143E"/>
    <w:rsid w:val="00A118CF"/>
    <w:rsid w:val="00A11B84"/>
    <w:rsid w:val="00A11E28"/>
    <w:rsid w:val="00A1210D"/>
    <w:rsid w:val="00A12410"/>
    <w:rsid w:val="00A12573"/>
    <w:rsid w:val="00A127AE"/>
    <w:rsid w:val="00A12E06"/>
    <w:rsid w:val="00A12F1D"/>
    <w:rsid w:val="00A1326C"/>
    <w:rsid w:val="00A132A7"/>
    <w:rsid w:val="00A13418"/>
    <w:rsid w:val="00A134DE"/>
    <w:rsid w:val="00A135CD"/>
    <w:rsid w:val="00A13773"/>
    <w:rsid w:val="00A13798"/>
    <w:rsid w:val="00A13F89"/>
    <w:rsid w:val="00A13FDF"/>
    <w:rsid w:val="00A140AA"/>
    <w:rsid w:val="00A140CB"/>
    <w:rsid w:val="00A14778"/>
    <w:rsid w:val="00A14F50"/>
    <w:rsid w:val="00A15493"/>
    <w:rsid w:val="00A15A54"/>
    <w:rsid w:val="00A15BD5"/>
    <w:rsid w:val="00A15D32"/>
    <w:rsid w:val="00A16087"/>
    <w:rsid w:val="00A164C1"/>
    <w:rsid w:val="00A176A0"/>
    <w:rsid w:val="00A17898"/>
    <w:rsid w:val="00A17B1F"/>
    <w:rsid w:val="00A17DF8"/>
    <w:rsid w:val="00A17F3F"/>
    <w:rsid w:val="00A209C1"/>
    <w:rsid w:val="00A20C55"/>
    <w:rsid w:val="00A20FEB"/>
    <w:rsid w:val="00A2126C"/>
    <w:rsid w:val="00A21401"/>
    <w:rsid w:val="00A217D4"/>
    <w:rsid w:val="00A218AE"/>
    <w:rsid w:val="00A2191F"/>
    <w:rsid w:val="00A2198F"/>
    <w:rsid w:val="00A21ABF"/>
    <w:rsid w:val="00A21C23"/>
    <w:rsid w:val="00A21CF5"/>
    <w:rsid w:val="00A2218B"/>
    <w:rsid w:val="00A2246F"/>
    <w:rsid w:val="00A22E9B"/>
    <w:rsid w:val="00A22F8A"/>
    <w:rsid w:val="00A23360"/>
    <w:rsid w:val="00A235B7"/>
    <w:rsid w:val="00A242ED"/>
    <w:rsid w:val="00A2441D"/>
    <w:rsid w:val="00A2465E"/>
    <w:rsid w:val="00A24819"/>
    <w:rsid w:val="00A24D43"/>
    <w:rsid w:val="00A27164"/>
    <w:rsid w:val="00A271A8"/>
    <w:rsid w:val="00A2721B"/>
    <w:rsid w:val="00A2737D"/>
    <w:rsid w:val="00A27539"/>
    <w:rsid w:val="00A275D5"/>
    <w:rsid w:val="00A27D59"/>
    <w:rsid w:val="00A30223"/>
    <w:rsid w:val="00A303B0"/>
    <w:rsid w:val="00A30A51"/>
    <w:rsid w:val="00A314A9"/>
    <w:rsid w:val="00A314C7"/>
    <w:rsid w:val="00A31FAF"/>
    <w:rsid w:val="00A3265A"/>
    <w:rsid w:val="00A32909"/>
    <w:rsid w:val="00A32A4C"/>
    <w:rsid w:val="00A32B67"/>
    <w:rsid w:val="00A32CC4"/>
    <w:rsid w:val="00A32DB0"/>
    <w:rsid w:val="00A32DC4"/>
    <w:rsid w:val="00A3315F"/>
    <w:rsid w:val="00A3318A"/>
    <w:rsid w:val="00A335F6"/>
    <w:rsid w:val="00A33CD6"/>
    <w:rsid w:val="00A344AE"/>
    <w:rsid w:val="00A34E32"/>
    <w:rsid w:val="00A35092"/>
    <w:rsid w:val="00A359AB"/>
    <w:rsid w:val="00A364B0"/>
    <w:rsid w:val="00A364B9"/>
    <w:rsid w:val="00A36C95"/>
    <w:rsid w:val="00A36E52"/>
    <w:rsid w:val="00A372AB"/>
    <w:rsid w:val="00A37B80"/>
    <w:rsid w:val="00A37FA8"/>
    <w:rsid w:val="00A407A4"/>
    <w:rsid w:val="00A407C5"/>
    <w:rsid w:val="00A40E2B"/>
    <w:rsid w:val="00A40FEA"/>
    <w:rsid w:val="00A41100"/>
    <w:rsid w:val="00A413B2"/>
    <w:rsid w:val="00A41469"/>
    <w:rsid w:val="00A4163A"/>
    <w:rsid w:val="00A419DE"/>
    <w:rsid w:val="00A41CC5"/>
    <w:rsid w:val="00A41FF8"/>
    <w:rsid w:val="00A4218F"/>
    <w:rsid w:val="00A42379"/>
    <w:rsid w:val="00A42516"/>
    <w:rsid w:val="00A425C1"/>
    <w:rsid w:val="00A4284C"/>
    <w:rsid w:val="00A42E75"/>
    <w:rsid w:val="00A4339A"/>
    <w:rsid w:val="00A43641"/>
    <w:rsid w:val="00A43BB8"/>
    <w:rsid w:val="00A43E12"/>
    <w:rsid w:val="00A446CF"/>
    <w:rsid w:val="00A44CE7"/>
    <w:rsid w:val="00A44F99"/>
    <w:rsid w:val="00A4515C"/>
    <w:rsid w:val="00A45285"/>
    <w:rsid w:val="00A4538A"/>
    <w:rsid w:val="00A45629"/>
    <w:rsid w:val="00A4583E"/>
    <w:rsid w:val="00A45848"/>
    <w:rsid w:val="00A45AE6"/>
    <w:rsid w:val="00A45B32"/>
    <w:rsid w:val="00A4612C"/>
    <w:rsid w:val="00A462A2"/>
    <w:rsid w:val="00A4638E"/>
    <w:rsid w:val="00A465FE"/>
    <w:rsid w:val="00A4669E"/>
    <w:rsid w:val="00A47176"/>
    <w:rsid w:val="00A47399"/>
    <w:rsid w:val="00A47B22"/>
    <w:rsid w:val="00A47C5D"/>
    <w:rsid w:val="00A47D32"/>
    <w:rsid w:val="00A47DF1"/>
    <w:rsid w:val="00A50517"/>
    <w:rsid w:val="00A50867"/>
    <w:rsid w:val="00A50C15"/>
    <w:rsid w:val="00A51CBF"/>
    <w:rsid w:val="00A52018"/>
    <w:rsid w:val="00A52325"/>
    <w:rsid w:val="00A5289F"/>
    <w:rsid w:val="00A529FC"/>
    <w:rsid w:val="00A52ECB"/>
    <w:rsid w:val="00A531E7"/>
    <w:rsid w:val="00A5362F"/>
    <w:rsid w:val="00A53CBC"/>
    <w:rsid w:val="00A5436B"/>
    <w:rsid w:val="00A54DE5"/>
    <w:rsid w:val="00A55036"/>
    <w:rsid w:val="00A55068"/>
    <w:rsid w:val="00A550F4"/>
    <w:rsid w:val="00A556D4"/>
    <w:rsid w:val="00A557A0"/>
    <w:rsid w:val="00A55FF2"/>
    <w:rsid w:val="00A5608F"/>
    <w:rsid w:val="00A561A9"/>
    <w:rsid w:val="00A56E9D"/>
    <w:rsid w:val="00A57425"/>
    <w:rsid w:val="00A57521"/>
    <w:rsid w:val="00A578F4"/>
    <w:rsid w:val="00A57E04"/>
    <w:rsid w:val="00A6014B"/>
    <w:rsid w:val="00A604F1"/>
    <w:rsid w:val="00A60534"/>
    <w:rsid w:val="00A60545"/>
    <w:rsid w:val="00A61477"/>
    <w:rsid w:val="00A61639"/>
    <w:rsid w:val="00A617C5"/>
    <w:rsid w:val="00A62394"/>
    <w:rsid w:val="00A62606"/>
    <w:rsid w:val="00A63A6B"/>
    <w:rsid w:val="00A64143"/>
    <w:rsid w:val="00A6457F"/>
    <w:rsid w:val="00A645F0"/>
    <w:rsid w:val="00A64778"/>
    <w:rsid w:val="00A65075"/>
    <w:rsid w:val="00A65160"/>
    <w:rsid w:val="00A652F8"/>
    <w:rsid w:val="00A65505"/>
    <w:rsid w:val="00A65542"/>
    <w:rsid w:val="00A65D8D"/>
    <w:rsid w:val="00A66840"/>
    <w:rsid w:val="00A6695D"/>
    <w:rsid w:val="00A677BC"/>
    <w:rsid w:val="00A6793F"/>
    <w:rsid w:val="00A70D53"/>
    <w:rsid w:val="00A70FB8"/>
    <w:rsid w:val="00A717CE"/>
    <w:rsid w:val="00A71D47"/>
    <w:rsid w:val="00A71E85"/>
    <w:rsid w:val="00A721A4"/>
    <w:rsid w:val="00A72310"/>
    <w:rsid w:val="00A72A3A"/>
    <w:rsid w:val="00A72CC8"/>
    <w:rsid w:val="00A72CF4"/>
    <w:rsid w:val="00A72DDC"/>
    <w:rsid w:val="00A73416"/>
    <w:rsid w:val="00A73732"/>
    <w:rsid w:val="00A73837"/>
    <w:rsid w:val="00A73ACE"/>
    <w:rsid w:val="00A74677"/>
    <w:rsid w:val="00A74D75"/>
    <w:rsid w:val="00A74FEA"/>
    <w:rsid w:val="00A752FF"/>
    <w:rsid w:val="00A755D8"/>
    <w:rsid w:val="00A75AA7"/>
    <w:rsid w:val="00A75AB7"/>
    <w:rsid w:val="00A75B50"/>
    <w:rsid w:val="00A75D29"/>
    <w:rsid w:val="00A75FC9"/>
    <w:rsid w:val="00A76210"/>
    <w:rsid w:val="00A76726"/>
    <w:rsid w:val="00A7691F"/>
    <w:rsid w:val="00A77280"/>
    <w:rsid w:val="00A77E68"/>
    <w:rsid w:val="00A77F0C"/>
    <w:rsid w:val="00A801DF"/>
    <w:rsid w:val="00A80DAA"/>
    <w:rsid w:val="00A80F7C"/>
    <w:rsid w:val="00A8153E"/>
    <w:rsid w:val="00A81EA3"/>
    <w:rsid w:val="00A82579"/>
    <w:rsid w:val="00A82711"/>
    <w:rsid w:val="00A82B46"/>
    <w:rsid w:val="00A82C9E"/>
    <w:rsid w:val="00A82FE8"/>
    <w:rsid w:val="00A8323C"/>
    <w:rsid w:val="00A83762"/>
    <w:rsid w:val="00A83D2D"/>
    <w:rsid w:val="00A84605"/>
    <w:rsid w:val="00A848CD"/>
    <w:rsid w:val="00A848FD"/>
    <w:rsid w:val="00A849A3"/>
    <w:rsid w:val="00A84FC9"/>
    <w:rsid w:val="00A851BA"/>
    <w:rsid w:val="00A85354"/>
    <w:rsid w:val="00A85AC5"/>
    <w:rsid w:val="00A85DEF"/>
    <w:rsid w:val="00A862AE"/>
    <w:rsid w:val="00A8649A"/>
    <w:rsid w:val="00A8665E"/>
    <w:rsid w:val="00A869E3"/>
    <w:rsid w:val="00A86A48"/>
    <w:rsid w:val="00A86B37"/>
    <w:rsid w:val="00A87709"/>
    <w:rsid w:val="00A87E3E"/>
    <w:rsid w:val="00A90818"/>
    <w:rsid w:val="00A913C4"/>
    <w:rsid w:val="00A91B8C"/>
    <w:rsid w:val="00A91C93"/>
    <w:rsid w:val="00A92424"/>
    <w:rsid w:val="00A92454"/>
    <w:rsid w:val="00A924A6"/>
    <w:rsid w:val="00A9317A"/>
    <w:rsid w:val="00A939BF"/>
    <w:rsid w:val="00A93BEB"/>
    <w:rsid w:val="00A93D3F"/>
    <w:rsid w:val="00A93F21"/>
    <w:rsid w:val="00A940EE"/>
    <w:rsid w:val="00A94660"/>
    <w:rsid w:val="00A95824"/>
    <w:rsid w:val="00A95BF2"/>
    <w:rsid w:val="00A961EA"/>
    <w:rsid w:val="00A96221"/>
    <w:rsid w:val="00A966A9"/>
    <w:rsid w:val="00A974A4"/>
    <w:rsid w:val="00A97FB3"/>
    <w:rsid w:val="00AA072C"/>
    <w:rsid w:val="00AA112C"/>
    <w:rsid w:val="00AA1570"/>
    <w:rsid w:val="00AA160F"/>
    <w:rsid w:val="00AA18C7"/>
    <w:rsid w:val="00AA18F5"/>
    <w:rsid w:val="00AA1DC8"/>
    <w:rsid w:val="00AA1DE8"/>
    <w:rsid w:val="00AA2859"/>
    <w:rsid w:val="00AA2C68"/>
    <w:rsid w:val="00AA305A"/>
    <w:rsid w:val="00AA3374"/>
    <w:rsid w:val="00AA3445"/>
    <w:rsid w:val="00AA3456"/>
    <w:rsid w:val="00AA38E6"/>
    <w:rsid w:val="00AA3A2B"/>
    <w:rsid w:val="00AA3A5F"/>
    <w:rsid w:val="00AA3AE7"/>
    <w:rsid w:val="00AA445C"/>
    <w:rsid w:val="00AA4635"/>
    <w:rsid w:val="00AA51E8"/>
    <w:rsid w:val="00AA55FE"/>
    <w:rsid w:val="00AA57DD"/>
    <w:rsid w:val="00AA5B70"/>
    <w:rsid w:val="00AA6D01"/>
    <w:rsid w:val="00AA71BB"/>
    <w:rsid w:val="00AA725C"/>
    <w:rsid w:val="00AA767C"/>
    <w:rsid w:val="00AB0064"/>
    <w:rsid w:val="00AB0232"/>
    <w:rsid w:val="00AB0616"/>
    <w:rsid w:val="00AB0981"/>
    <w:rsid w:val="00AB1353"/>
    <w:rsid w:val="00AB13D6"/>
    <w:rsid w:val="00AB1EF3"/>
    <w:rsid w:val="00AB290C"/>
    <w:rsid w:val="00AB29B6"/>
    <w:rsid w:val="00AB2EB3"/>
    <w:rsid w:val="00AB2F58"/>
    <w:rsid w:val="00AB30B2"/>
    <w:rsid w:val="00AB362E"/>
    <w:rsid w:val="00AB3E02"/>
    <w:rsid w:val="00AB570B"/>
    <w:rsid w:val="00AB5BF2"/>
    <w:rsid w:val="00AB623A"/>
    <w:rsid w:val="00AB65AA"/>
    <w:rsid w:val="00AB673F"/>
    <w:rsid w:val="00AB6809"/>
    <w:rsid w:val="00AB68A1"/>
    <w:rsid w:val="00AB6A35"/>
    <w:rsid w:val="00AB6D38"/>
    <w:rsid w:val="00AB7595"/>
    <w:rsid w:val="00AB7DA9"/>
    <w:rsid w:val="00AB7E42"/>
    <w:rsid w:val="00AC0365"/>
    <w:rsid w:val="00AC048B"/>
    <w:rsid w:val="00AC0E58"/>
    <w:rsid w:val="00AC0EC0"/>
    <w:rsid w:val="00AC19E1"/>
    <w:rsid w:val="00AC1B36"/>
    <w:rsid w:val="00AC244A"/>
    <w:rsid w:val="00AC2FB3"/>
    <w:rsid w:val="00AC3712"/>
    <w:rsid w:val="00AC4179"/>
    <w:rsid w:val="00AC436C"/>
    <w:rsid w:val="00AC4A6B"/>
    <w:rsid w:val="00AC4B57"/>
    <w:rsid w:val="00AC4CE6"/>
    <w:rsid w:val="00AC5769"/>
    <w:rsid w:val="00AC5D11"/>
    <w:rsid w:val="00AC6524"/>
    <w:rsid w:val="00AC68FA"/>
    <w:rsid w:val="00AC7080"/>
    <w:rsid w:val="00AC7283"/>
    <w:rsid w:val="00AC7684"/>
    <w:rsid w:val="00AC7AFF"/>
    <w:rsid w:val="00AC7B56"/>
    <w:rsid w:val="00AC7F81"/>
    <w:rsid w:val="00AD000C"/>
    <w:rsid w:val="00AD02D8"/>
    <w:rsid w:val="00AD06E3"/>
    <w:rsid w:val="00AD0B1E"/>
    <w:rsid w:val="00AD0D2B"/>
    <w:rsid w:val="00AD136C"/>
    <w:rsid w:val="00AD1AB1"/>
    <w:rsid w:val="00AD1BD7"/>
    <w:rsid w:val="00AD1E8B"/>
    <w:rsid w:val="00AD1F02"/>
    <w:rsid w:val="00AD22B3"/>
    <w:rsid w:val="00AD288F"/>
    <w:rsid w:val="00AD2A96"/>
    <w:rsid w:val="00AD2E3B"/>
    <w:rsid w:val="00AD3192"/>
    <w:rsid w:val="00AD3EC6"/>
    <w:rsid w:val="00AD6031"/>
    <w:rsid w:val="00AD62BA"/>
    <w:rsid w:val="00AD6615"/>
    <w:rsid w:val="00AD6FD9"/>
    <w:rsid w:val="00AD70C1"/>
    <w:rsid w:val="00AD7286"/>
    <w:rsid w:val="00AD72BC"/>
    <w:rsid w:val="00AD7B52"/>
    <w:rsid w:val="00AE0A9E"/>
    <w:rsid w:val="00AE1278"/>
    <w:rsid w:val="00AE1A7D"/>
    <w:rsid w:val="00AE1D9D"/>
    <w:rsid w:val="00AE23A4"/>
    <w:rsid w:val="00AE2433"/>
    <w:rsid w:val="00AE2673"/>
    <w:rsid w:val="00AE2BA4"/>
    <w:rsid w:val="00AE2D30"/>
    <w:rsid w:val="00AE2E98"/>
    <w:rsid w:val="00AE3555"/>
    <w:rsid w:val="00AE40F3"/>
    <w:rsid w:val="00AE4497"/>
    <w:rsid w:val="00AE501E"/>
    <w:rsid w:val="00AE57CB"/>
    <w:rsid w:val="00AE5B4E"/>
    <w:rsid w:val="00AE700F"/>
    <w:rsid w:val="00AE708A"/>
    <w:rsid w:val="00AE70AB"/>
    <w:rsid w:val="00AE712E"/>
    <w:rsid w:val="00AE7153"/>
    <w:rsid w:val="00AF082D"/>
    <w:rsid w:val="00AF09E3"/>
    <w:rsid w:val="00AF0A0A"/>
    <w:rsid w:val="00AF0DF5"/>
    <w:rsid w:val="00AF14B6"/>
    <w:rsid w:val="00AF1639"/>
    <w:rsid w:val="00AF1CEA"/>
    <w:rsid w:val="00AF1E62"/>
    <w:rsid w:val="00AF1EFA"/>
    <w:rsid w:val="00AF22F4"/>
    <w:rsid w:val="00AF2DCB"/>
    <w:rsid w:val="00AF2F1D"/>
    <w:rsid w:val="00AF302B"/>
    <w:rsid w:val="00AF380F"/>
    <w:rsid w:val="00AF3890"/>
    <w:rsid w:val="00AF4515"/>
    <w:rsid w:val="00AF4EFA"/>
    <w:rsid w:val="00AF5118"/>
    <w:rsid w:val="00AF522B"/>
    <w:rsid w:val="00AF535F"/>
    <w:rsid w:val="00AF54D6"/>
    <w:rsid w:val="00AF55FA"/>
    <w:rsid w:val="00AF5B3B"/>
    <w:rsid w:val="00AF5BBB"/>
    <w:rsid w:val="00AF5BE3"/>
    <w:rsid w:val="00AF5CDF"/>
    <w:rsid w:val="00AF63E6"/>
    <w:rsid w:val="00AF6C48"/>
    <w:rsid w:val="00AF73CB"/>
    <w:rsid w:val="00AF7A40"/>
    <w:rsid w:val="00AF7D05"/>
    <w:rsid w:val="00AF7D2E"/>
    <w:rsid w:val="00AF7D62"/>
    <w:rsid w:val="00B00357"/>
    <w:rsid w:val="00B0047B"/>
    <w:rsid w:val="00B0068C"/>
    <w:rsid w:val="00B00A89"/>
    <w:rsid w:val="00B00C55"/>
    <w:rsid w:val="00B01491"/>
    <w:rsid w:val="00B0181A"/>
    <w:rsid w:val="00B018A1"/>
    <w:rsid w:val="00B0197E"/>
    <w:rsid w:val="00B01EDA"/>
    <w:rsid w:val="00B021D0"/>
    <w:rsid w:val="00B0226A"/>
    <w:rsid w:val="00B022AC"/>
    <w:rsid w:val="00B02598"/>
    <w:rsid w:val="00B02C29"/>
    <w:rsid w:val="00B02DEA"/>
    <w:rsid w:val="00B0300B"/>
    <w:rsid w:val="00B03161"/>
    <w:rsid w:val="00B03A96"/>
    <w:rsid w:val="00B03F70"/>
    <w:rsid w:val="00B03FD2"/>
    <w:rsid w:val="00B0444E"/>
    <w:rsid w:val="00B0487A"/>
    <w:rsid w:val="00B057EE"/>
    <w:rsid w:val="00B0647A"/>
    <w:rsid w:val="00B06483"/>
    <w:rsid w:val="00B06672"/>
    <w:rsid w:val="00B06986"/>
    <w:rsid w:val="00B06B76"/>
    <w:rsid w:val="00B07607"/>
    <w:rsid w:val="00B10564"/>
    <w:rsid w:val="00B10A4F"/>
    <w:rsid w:val="00B110AD"/>
    <w:rsid w:val="00B1145B"/>
    <w:rsid w:val="00B11EC1"/>
    <w:rsid w:val="00B120B2"/>
    <w:rsid w:val="00B12671"/>
    <w:rsid w:val="00B12732"/>
    <w:rsid w:val="00B128C5"/>
    <w:rsid w:val="00B12B53"/>
    <w:rsid w:val="00B12DDA"/>
    <w:rsid w:val="00B12E35"/>
    <w:rsid w:val="00B12F84"/>
    <w:rsid w:val="00B1300A"/>
    <w:rsid w:val="00B1315B"/>
    <w:rsid w:val="00B1356D"/>
    <w:rsid w:val="00B13994"/>
    <w:rsid w:val="00B13AAB"/>
    <w:rsid w:val="00B13B18"/>
    <w:rsid w:val="00B13B6C"/>
    <w:rsid w:val="00B1469C"/>
    <w:rsid w:val="00B14BF7"/>
    <w:rsid w:val="00B14C5D"/>
    <w:rsid w:val="00B15A19"/>
    <w:rsid w:val="00B15DA2"/>
    <w:rsid w:val="00B15F59"/>
    <w:rsid w:val="00B1621F"/>
    <w:rsid w:val="00B16373"/>
    <w:rsid w:val="00B16453"/>
    <w:rsid w:val="00B165E5"/>
    <w:rsid w:val="00B16C3F"/>
    <w:rsid w:val="00B16C7E"/>
    <w:rsid w:val="00B1729F"/>
    <w:rsid w:val="00B175C8"/>
    <w:rsid w:val="00B17A71"/>
    <w:rsid w:val="00B17FED"/>
    <w:rsid w:val="00B1A720"/>
    <w:rsid w:val="00B20756"/>
    <w:rsid w:val="00B2103C"/>
    <w:rsid w:val="00B2139E"/>
    <w:rsid w:val="00B21FEB"/>
    <w:rsid w:val="00B22034"/>
    <w:rsid w:val="00B2211B"/>
    <w:rsid w:val="00B222F5"/>
    <w:rsid w:val="00B2240D"/>
    <w:rsid w:val="00B224AB"/>
    <w:rsid w:val="00B224D8"/>
    <w:rsid w:val="00B23283"/>
    <w:rsid w:val="00B23FF1"/>
    <w:rsid w:val="00B241C8"/>
    <w:rsid w:val="00B24840"/>
    <w:rsid w:val="00B257D6"/>
    <w:rsid w:val="00B26336"/>
    <w:rsid w:val="00B263EA"/>
    <w:rsid w:val="00B265F3"/>
    <w:rsid w:val="00B269C2"/>
    <w:rsid w:val="00B26A06"/>
    <w:rsid w:val="00B30551"/>
    <w:rsid w:val="00B315A4"/>
    <w:rsid w:val="00B315FA"/>
    <w:rsid w:val="00B31D32"/>
    <w:rsid w:val="00B32125"/>
    <w:rsid w:val="00B322D9"/>
    <w:rsid w:val="00B3256D"/>
    <w:rsid w:val="00B328E2"/>
    <w:rsid w:val="00B32997"/>
    <w:rsid w:val="00B33091"/>
    <w:rsid w:val="00B331BA"/>
    <w:rsid w:val="00B3322F"/>
    <w:rsid w:val="00B334A8"/>
    <w:rsid w:val="00B33557"/>
    <w:rsid w:val="00B3364A"/>
    <w:rsid w:val="00B338D4"/>
    <w:rsid w:val="00B33D43"/>
    <w:rsid w:val="00B34020"/>
    <w:rsid w:val="00B34455"/>
    <w:rsid w:val="00B34523"/>
    <w:rsid w:val="00B3477E"/>
    <w:rsid w:val="00B34D12"/>
    <w:rsid w:val="00B35081"/>
    <w:rsid w:val="00B35900"/>
    <w:rsid w:val="00B35C4A"/>
    <w:rsid w:val="00B35E88"/>
    <w:rsid w:val="00B363C9"/>
    <w:rsid w:val="00B36FA3"/>
    <w:rsid w:val="00B37241"/>
    <w:rsid w:val="00B3756C"/>
    <w:rsid w:val="00B37891"/>
    <w:rsid w:val="00B3799E"/>
    <w:rsid w:val="00B379A1"/>
    <w:rsid w:val="00B37CB9"/>
    <w:rsid w:val="00B404D3"/>
    <w:rsid w:val="00B4054D"/>
    <w:rsid w:val="00B406F1"/>
    <w:rsid w:val="00B40AD5"/>
    <w:rsid w:val="00B40D6D"/>
    <w:rsid w:val="00B40EB0"/>
    <w:rsid w:val="00B412DB"/>
    <w:rsid w:val="00B4135B"/>
    <w:rsid w:val="00B41527"/>
    <w:rsid w:val="00B41F0B"/>
    <w:rsid w:val="00B429DA"/>
    <w:rsid w:val="00B42C6A"/>
    <w:rsid w:val="00B42F71"/>
    <w:rsid w:val="00B42FDD"/>
    <w:rsid w:val="00B43344"/>
    <w:rsid w:val="00B43CBA"/>
    <w:rsid w:val="00B44478"/>
    <w:rsid w:val="00B4468D"/>
    <w:rsid w:val="00B44972"/>
    <w:rsid w:val="00B44CC8"/>
    <w:rsid w:val="00B44EA8"/>
    <w:rsid w:val="00B457B0"/>
    <w:rsid w:val="00B458FB"/>
    <w:rsid w:val="00B4624D"/>
    <w:rsid w:val="00B4688A"/>
    <w:rsid w:val="00B46AE3"/>
    <w:rsid w:val="00B46E04"/>
    <w:rsid w:val="00B4734D"/>
    <w:rsid w:val="00B478E6"/>
    <w:rsid w:val="00B47B68"/>
    <w:rsid w:val="00B501A4"/>
    <w:rsid w:val="00B50708"/>
    <w:rsid w:val="00B50A09"/>
    <w:rsid w:val="00B5107A"/>
    <w:rsid w:val="00B5137F"/>
    <w:rsid w:val="00B5140F"/>
    <w:rsid w:val="00B51717"/>
    <w:rsid w:val="00B51792"/>
    <w:rsid w:val="00B51A76"/>
    <w:rsid w:val="00B51EBE"/>
    <w:rsid w:val="00B5219B"/>
    <w:rsid w:val="00B52261"/>
    <w:rsid w:val="00B52292"/>
    <w:rsid w:val="00B52378"/>
    <w:rsid w:val="00B52407"/>
    <w:rsid w:val="00B525FD"/>
    <w:rsid w:val="00B53414"/>
    <w:rsid w:val="00B53DA3"/>
    <w:rsid w:val="00B53E5F"/>
    <w:rsid w:val="00B54306"/>
    <w:rsid w:val="00B54CD9"/>
    <w:rsid w:val="00B5516B"/>
    <w:rsid w:val="00B55739"/>
    <w:rsid w:val="00B55A68"/>
    <w:rsid w:val="00B55DA6"/>
    <w:rsid w:val="00B5606C"/>
    <w:rsid w:val="00B560B3"/>
    <w:rsid w:val="00B563FC"/>
    <w:rsid w:val="00B564A5"/>
    <w:rsid w:val="00B567E4"/>
    <w:rsid w:val="00B568F9"/>
    <w:rsid w:val="00B56A6D"/>
    <w:rsid w:val="00B56FCD"/>
    <w:rsid w:val="00B57997"/>
    <w:rsid w:val="00B60283"/>
    <w:rsid w:val="00B602B3"/>
    <w:rsid w:val="00B6038D"/>
    <w:rsid w:val="00B603F4"/>
    <w:rsid w:val="00B6074C"/>
    <w:rsid w:val="00B6080A"/>
    <w:rsid w:val="00B60943"/>
    <w:rsid w:val="00B61B0A"/>
    <w:rsid w:val="00B6254C"/>
    <w:rsid w:val="00B62965"/>
    <w:rsid w:val="00B62AC5"/>
    <w:rsid w:val="00B638E5"/>
    <w:rsid w:val="00B641D5"/>
    <w:rsid w:val="00B64A32"/>
    <w:rsid w:val="00B64B76"/>
    <w:rsid w:val="00B64EA9"/>
    <w:rsid w:val="00B65173"/>
    <w:rsid w:val="00B65209"/>
    <w:rsid w:val="00B653F0"/>
    <w:rsid w:val="00B65677"/>
    <w:rsid w:val="00B65750"/>
    <w:rsid w:val="00B658BB"/>
    <w:rsid w:val="00B65DB7"/>
    <w:rsid w:val="00B65F2A"/>
    <w:rsid w:val="00B662EC"/>
    <w:rsid w:val="00B6638C"/>
    <w:rsid w:val="00B666CE"/>
    <w:rsid w:val="00B66903"/>
    <w:rsid w:val="00B672DA"/>
    <w:rsid w:val="00B67851"/>
    <w:rsid w:val="00B67DE8"/>
    <w:rsid w:val="00B67F55"/>
    <w:rsid w:val="00B70889"/>
    <w:rsid w:val="00B717E3"/>
    <w:rsid w:val="00B71DAC"/>
    <w:rsid w:val="00B72216"/>
    <w:rsid w:val="00B7223A"/>
    <w:rsid w:val="00B72705"/>
    <w:rsid w:val="00B73362"/>
    <w:rsid w:val="00B736CD"/>
    <w:rsid w:val="00B73AFB"/>
    <w:rsid w:val="00B74395"/>
    <w:rsid w:val="00B743FD"/>
    <w:rsid w:val="00B753C4"/>
    <w:rsid w:val="00B754D2"/>
    <w:rsid w:val="00B75E72"/>
    <w:rsid w:val="00B7617F"/>
    <w:rsid w:val="00B761CE"/>
    <w:rsid w:val="00B76522"/>
    <w:rsid w:val="00B76612"/>
    <w:rsid w:val="00B7749D"/>
    <w:rsid w:val="00B77553"/>
    <w:rsid w:val="00B809BB"/>
    <w:rsid w:val="00B80D37"/>
    <w:rsid w:val="00B80E0C"/>
    <w:rsid w:val="00B81B71"/>
    <w:rsid w:val="00B81B90"/>
    <w:rsid w:val="00B81BCE"/>
    <w:rsid w:val="00B827B0"/>
    <w:rsid w:val="00B82904"/>
    <w:rsid w:val="00B8292F"/>
    <w:rsid w:val="00B82A6E"/>
    <w:rsid w:val="00B832FA"/>
    <w:rsid w:val="00B8367C"/>
    <w:rsid w:val="00B83DF5"/>
    <w:rsid w:val="00B84020"/>
    <w:rsid w:val="00B84200"/>
    <w:rsid w:val="00B8457C"/>
    <w:rsid w:val="00B84870"/>
    <w:rsid w:val="00B84909"/>
    <w:rsid w:val="00B84976"/>
    <w:rsid w:val="00B84B57"/>
    <w:rsid w:val="00B84E06"/>
    <w:rsid w:val="00B85335"/>
    <w:rsid w:val="00B86231"/>
    <w:rsid w:val="00B869F0"/>
    <w:rsid w:val="00B86AA2"/>
    <w:rsid w:val="00B86BCB"/>
    <w:rsid w:val="00B877F6"/>
    <w:rsid w:val="00B8785E"/>
    <w:rsid w:val="00B90353"/>
    <w:rsid w:val="00B90419"/>
    <w:rsid w:val="00B908A5"/>
    <w:rsid w:val="00B90EA3"/>
    <w:rsid w:val="00B910BF"/>
    <w:rsid w:val="00B9135D"/>
    <w:rsid w:val="00B919AF"/>
    <w:rsid w:val="00B91A6D"/>
    <w:rsid w:val="00B91E96"/>
    <w:rsid w:val="00B91EAF"/>
    <w:rsid w:val="00B927B2"/>
    <w:rsid w:val="00B92F6D"/>
    <w:rsid w:val="00B936C2"/>
    <w:rsid w:val="00B937A1"/>
    <w:rsid w:val="00B93925"/>
    <w:rsid w:val="00B939FA"/>
    <w:rsid w:val="00B93D2D"/>
    <w:rsid w:val="00B94FC2"/>
    <w:rsid w:val="00B95242"/>
    <w:rsid w:val="00B964EB"/>
    <w:rsid w:val="00B96501"/>
    <w:rsid w:val="00B9687D"/>
    <w:rsid w:val="00B96DF6"/>
    <w:rsid w:val="00B9706E"/>
    <w:rsid w:val="00B97120"/>
    <w:rsid w:val="00B978FE"/>
    <w:rsid w:val="00B97AE5"/>
    <w:rsid w:val="00B97ECB"/>
    <w:rsid w:val="00BA048D"/>
    <w:rsid w:val="00BA07E7"/>
    <w:rsid w:val="00BA0A44"/>
    <w:rsid w:val="00BA0BF7"/>
    <w:rsid w:val="00BA11F7"/>
    <w:rsid w:val="00BA129C"/>
    <w:rsid w:val="00BA1541"/>
    <w:rsid w:val="00BA173B"/>
    <w:rsid w:val="00BA1952"/>
    <w:rsid w:val="00BA1F50"/>
    <w:rsid w:val="00BA2105"/>
    <w:rsid w:val="00BA2B71"/>
    <w:rsid w:val="00BA2B82"/>
    <w:rsid w:val="00BA2CAC"/>
    <w:rsid w:val="00BA3B4D"/>
    <w:rsid w:val="00BA3D4B"/>
    <w:rsid w:val="00BA3F4E"/>
    <w:rsid w:val="00BA41A8"/>
    <w:rsid w:val="00BA4765"/>
    <w:rsid w:val="00BA586F"/>
    <w:rsid w:val="00BA5948"/>
    <w:rsid w:val="00BA5EB9"/>
    <w:rsid w:val="00BA6224"/>
    <w:rsid w:val="00BA6D76"/>
    <w:rsid w:val="00BA6F93"/>
    <w:rsid w:val="00BA731C"/>
    <w:rsid w:val="00BA7473"/>
    <w:rsid w:val="00BA785D"/>
    <w:rsid w:val="00BA7C43"/>
    <w:rsid w:val="00BB0095"/>
    <w:rsid w:val="00BB05DB"/>
    <w:rsid w:val="00BB05E7"/>
    <w:rsid w:val="00BB096B"/>
    <w:rsid w:val="00BB0A50"/>
    <w:rsid w:val="00BB0AC9"/>
    <w:rsid w:val="00BB15BE"/>
    <w:rsid w:val="00BB1FF4"/>
    <w:rsid w:val="00BB20EC"/>
    <w:rsid w:val="00BB219E"/>
    <w:rsid w:val="00BB2815"/>
    <w:rsid w:val="00BB2F3E"/>
    <w:rsid w:val="00BB2FF9"/>
    <w:rsid w:val="00BB3378"/>
    <w:rsid w:val="00BB3402"/>
    <w:rsid w:val="00BB3550"/>
    <w:rsid w:val="00BB366F"/>
    <w:rsid w:val="00BB399C"/>
    <w:rsid w:val="00BB45C9"/>
    <w:rsid w:val="00BB4A4B"/>
    <w:rsid w:val="00BB4D74"/>
    <w:rsid w:val="00BB4F19"/>
    <w:rsid w:val="00BB4FB6"/>
    <w:rsid w:val="00BB518D"/>
    <w:rsid w:val="00BB57FA"/>
    <w:rsid w:val="00BB5869"/>
    <w:rsid w:val="00BB6266"/>
    <w:rsid w:val="00BB648B"/>
    <w:rsid w:val="00BB67C9"/>
    <w:rsid w:val="00BB6AEB"/>
    <w:rsid w:val="00BB6C5D"/>
    <w:rsid w:val="00BB7EA4"/>
    <w:rsid w:val="00BB7F0A"/>
    <w:rsid w:val="00BB7F14"/>
    <w:rsid w:val="00BC1145"/>
    <w:rsid w:val="00BC118E"/>
    <w:rsid w:val="00BC1405"/>
    <w:rsid w:val="00BC15AE"/>
    <w:rsid w:val="00BC16D6"/>
    <w:rsid w:val="00BC1D33"/>
    <w:rsid w:val="00BC24B7"/>
    <w:rsid w:val="00BC24E4"/>
    <w:rsid w:val="00BC3106"/>
    <w:rsid w:val="00BC38A5"/>
    <w:rsid w:val="00BC3F3A"/>
    <w:rsid w:val="00BC4A9A"/>
    <w:rsid w:val="00BC4C34"/>
    <w:rsid w:val="00BC4E4A"/>
    <w:rsid w:val="00BC4E9C"/>
    <w:rsid w:val="00BC53F1"/>
    <w:rsid w:val="00BC57FF"/>
    <w:rsid w:val="00BC5E74"/>
    <w:rsid w:val="00BC628F"/>
    <w:rsid w:val="00BC6390"/>
    <w:rsid w:val="00BC6BBB"/>
    <w:rsid w:val="00BC7CF3"/>
    <w:rsid w:val="00BD001C"/>
    <w:rsid w:val="00BD0037"/>
    <w:rsid w:val="00BD078B"/>
    <w:rsid w:val="00BD079F"/>
    <w:rsid w:val="00BD0EE2"/>
    <w:rsid w:val="00BD1875"/>
    <w:rsid w:val="00BD19FD"/>
    <w:rsid w:val="00BD1AB7"/>
    <w:rsid w:val="00BD1FDD"/>
    <w:rsid w:val="00BD20E5"/>
    <w:rsid w:val="00BD2E5E"/>
    <w:rsid w:val="00BD3218"/>
    <w:rsid w:val="00BD33C0"/>
    <w:rsid w:val="00BD398A"/>
    <w:rsid w:val="00BD39FF"/>
    <w:rsid w:val="00BD3CE2"/>
    <w:rsid w:val="00BD4487"/>
    <w:rsid w:val="00BD492A"/>
    <w:rsid w:val="00BD5129"/>
    <w:rsid w:val="00BD5ED5"/>
    <w:rsid w:val="00BD6076"/>
    <w:rsid w:val="00BD64B8"/>
    <w:rsid w:val="00BD6AA6"/>
    <w:rsid w:val="00BD6E4F"/>
    <w:rsid w:val="00BD78D9"/>
    <w:rsid w:val="00BD7AD4"/>
    <w:rsid w:val="00BD7AD6"/>
    <w:rsid w:val="00BDDDBD"/>
    <w:rsid w:val="00BE031C"/>
    <w:rsid w:val="00BE0E20"/>
    <w:rsid w:val="00BE1EA4"/>
    <w:rsid w:val="00BE3081"/>
    <w:rsid w:val="00BE30F6"/>
    <w:rsid w:val="00BE3249"/>
    <w:rsid w:val="00BE3399"/>
    <w:rsid w:val="00BE36C3"/>
    <w:rsid w:val="00BE3A05"/>
    <w:rsid w:val="00BE3C61"/>
    <w:rsid w:val="00BE3D70"/>
    <w:rsid w:val="00BE4198"/>
    <w:rsid w:val="00BE4506"/>
    <w:rsid w:val="00BE4CE3"/>
    <w:rsid w:val="00BE4DF5"/>
    <w:rsid w:val="00BE4F63"/>
    <w:rsid w:val="00BE5250"/>
    <w:rsid w:val="00BE5447"/>
    <w:rsid w:val="00BE599E"/>
    <w:rsid w:val="00BE5C56"/>
    <w:rsid w:val="00BE5DA1"/>
    <w:rsid w:val="00BE6005"/>
    <w:rsid w:val="00BE6768"/>
    <w:rsid w:val="00BE67A6"/>
    <w:rsid w:val="00BE6FAC"/>
    <w:rsid w:val="00BE7758"/>
    <w:rsid w:val="00BE7D90"/>
    <w:rsid w:val="00BF009D"/>
    <w:rsid w:val="00BF081C"/>
    <w:rsid w:val="00BF1072"/>
    <w:rsid w:val="00BF15C5"/>
    <w:rsid w:val="00BF18D8"/>
    <w:rsid w:val="00BF22CB"/>
    <w:rsid w:val="00BF22D1"/>
    <w:rsid w:val="00BF235E"/>
    <w:rsid w:val="00BF2376"/>
    <w:rsid w:val="00BF269C"/>
    <w:rsid w:val="00BF26EE"/>
    <w:rsid w:val="00BF2B04"/>
    <w:rsid w:val="00BF3136"/>
    <w:rsid w:val="00BF33B0"/>
    <w:rsid w:val="00BF3C4A"/>
    <w:rsid w:val="00BF3E9E"/>
    <w:rsid w:val="00BF47E8"/>
    <w:rsid w:val="00BF4E30"/>
    <w:rsid w:val="00BF59C2"/>
    <w:rsid w:val="00BF5E99"/>
    <w:rsid w:val="00BF69E1"/>
    <w:rsid w:val="00BF6AA7"/>
    <w:rsid w:val="00BF6C1F"/>
    <w:rsid w:val="00BF6D10"/>
    <w:rsid w:val="00BF6E35"/>
    <w:rsid w:val="00BF6E99"/>
    <w:rsid w:val="00BF781F"/>
    <w:rsid w:val="00BF7EE6"/>
    <w:rsid w:val="00C0040F"/>
    <w:rsid w:val="00C00A43"/>
    <w:rsid w:val="00C00F45"/>
    <w:rsid w:val="00C010A8"/>
    <w:rsid w:val="00C011B9"/>
    <w:rsid w:val="00C0122A"/>
    <w:rsid w:val="00C01522"/>
    <w:rsid w:val="00C01577"/>
    <w:rsid w:val="00C019AD"/>
    <w:rsid w:val="00C01C45"/>
    <w:rsid w:val="00C025B5"/>
    <w:rsid w:val="00C02B44"/>
    <w:rsid w:val="00C030CF"/>
    <w:rsid w:val="00C0318A"/>
    <w:rsid w:val="00C0328A"/>
    <w:rsid w:val="00C0357A"/>
    <w:rsid w:val="00C03882"/>
    <w:rsid w:val="00C03896"/>
    <w:rsid w:val="00C03BF3"/>
    <w:rsid w:val="00C03C7E"/>
    <w:rsid w:val="00C03CB3"/>
    <w:rsid w:val="00C04033"/>
    <w:rsid w:val="00C040D1"/>
    <w:rsid w:val="00C045A8"/>
    <w:rsid w:val="00C04A78"/>
    <w:rsid w:val="00C04E5C"/>
    <w:rsid w:val="00C051ED"/>
    <w:rsid w:val="00C05E91"/>
    <w:rsid w:val="00C05FC8"/>
    <w:rsid w:val="00C0613F"/>
    <w:rsid w:val="00C0692C"/>
    <w:rsid w:val="00C0742C"/>
    <w:rsid w:val="00C10189"/>
    <w:rsid w:val="00C109E3"/>
    <w:rsid w:val="00C10C56"/>
    <w:rsid w:val="00C10C68"/>
    <w:rsid w:val="00C10CDB"/>
    <w:rsid w:val="00C10F83"/>
    <w:rsid w:val="00C10FE2"/>
    <w:rsid w:val="00C11129"/>
    <w:rsid w:val="00C112CD"/>
    <w:rsid w:val="00C115E1"/>
    <w:rsid w:val="00C116E1"/>
    <w:rsid w:val="00C1180C"/>
    <w:rsid w:val="00C11843"/>
    <w:rsid w:val="00C11954"/>
    <w:rsid w:val="00C119D8"/>
    <w:rsid w:val="00C119F6"/>
    <w:rsid w:val="00C11C36"/>
    <w:rsid w:val="00C11ED4"/>
    <w:rsid w:val="00C11F09"/>
    <w:rsid w:val="00C12120"/>
    <w:rsid w:val="00C12567"/>
    <w:rsid w:val="00C12B6E"/>
    <w:rsid w:val="00C13026"/>
    <w:rsid w:val="00C13C49"/>
    <w:rsid w:val="00C1427A"/>
    <w:rsid w:val="00C145E9"/>
    <w:rsid w:val="00C146FC"/>
    <w:rsid w:val="00C14830"/>
    <w:rsid w:val="00C14896"/>
    <w:rsid w:val="00C14B5D"/>
    <w:rsid w:val="00C14FFD"/>
    <w:rsid w:val="00C1516F"/>
    <w:rsid w:val="00C1577A"/>
    <w:rsid w:val="00C158DB"/>
    <w:rsid w:val="00C15A89"/>
    <w:rsid w:val="00C15CC7"/>
    <w:rsid w:val="00C15D25"/>
    <w:rsid w:val="00C15DA1"/>
    <w:rsid w:val="00C16ADD"/>
    <w:rsid w:val="00C16BFF"/>
    <w:rsid w:val="00C170B9"/>
    <w:rsid w:val="00C2074A"/>
    <w:rsid w:val="00C2110A"/>
    <w:rsid w:val="00C2136E"/>
    <w:rsid w:val="00C213F3"/>
    <w:rsid w:val="00C214BF"/>
    <w:rsid w:val="00C21958"/>
    <w:rsid w:val="00C21C17"/>
    <w:rsid w:val="00C21E72"/>
    <w:rsid w:val="00C22073"/>
    <w:rsid w:val="00C22A1F"/>
    <w:rsid w:val="00C22C2E"/>
    <w:rsid w:val="00C231E8"/>
    <w:rsid w:val="00C23A4E"/>
    <w:rsid w:val="00C23B62"/>
    <w:rsid w:val="00C246C4"/>
    <w:rsid w:val="00C24B07"/>
    <w:rsid w:val="00C24B84"/>
    <w:rsid w:val="00C24DE9"/>
    <w:rsid w:val="00C25996"/>
    <w:rsid w:val="00C25D58"/>
    <w:rsid w:val="00C26AC7"/>
    <w:rsid w:val="00C27CA8"/>
    <w:rsid w:val="00C27DFB"/>
    <w:rsid w:val="00C27E5D"/>
    <w:rsid w:val="00C27EC1"/>
    <w:rsid w:val="00C30288"/>
    <w:rsid w:val="00C30338"/>
    <w:rsid w:val="00C30452"/>
    <w:rsid w:val="00C30619"/>
    <w:rsid w:val="00C30A57"/>
    <w:rsid w:val="00C30CF8"/>
    <w:rsid w:val="00C30FD3"/>
    <w:rsid w:val="00C30FF0"/>
    <w:rsid w:val="00C31266"/>
    <w:rsid w:val="00C3134E"/>
    <w:rsid w:val="00C313B4"/>
    <w:rsid w:val="00C3238A"/>
    <w:rsid w:val="00C32441"/>
    <w:rsid w:val="00C3263D"/>
    <w:rsid w:val="00C33206"/>
    <w:rsid w:val="00C332A1"/>
    <w:rsid w:val="00C3365D"/>
    <w:rsid w:val="00C33A69"/>
    <w:rsid w:val="00C33D75"/>
    <w:rsid w:val="00C33D96"/>
    <w:rsid w:val="00C33DCE"/>
    <w:rsid w:val="00C34925"/>
    <w:rsid w:val="00C350D3"/>
    <w:rsid w:val="00C35268"/>
    <w:rsid w:val="00C354F6"/>
    <w:rsid w:val="00C356CA"/>
    <w:rsid w:val="00C35B26"/>
    <w:rsid w:val="00C35C25"/>
    <w:rsid w:val="00C363F1"/>
    <w:rsid w:val="00C36CD0"/>
    <w:rsid w:val="00C370A7"/>
    <w:rsid w:val="00C3792A"/>
    <w:rsid w:val="00C40C93"/>
    <w:rsid w:val="00C40D15"/>
    <w:rsid w:val="00C41082"/>
    <w:rsid w:val="00C41771"/>
    <w:rsid w:val="00C41892"/>
    <w:rsid w:val="00C42AAF"/>
    <w:rsid w:val="00C42DBA"/>
    <w:rsid w:val="00C43618"/>
    <w:rsid w:val="00C438B3"/>
    <w:rsid w:val="00C43F37"/>
    <w:rsid w:val="00C44DF5"/>
    <w:rsid w:val="00C45403"/>
    <w:rsid w:val="00C4579D"/>
    <w:rsid w:val="00C459C1"/>
    <w:rsid w:val="00C45B8C"/>
    <w:rsid w:val="00C45C5B"/>
    <w:rsid w:val="00C46093"/>
    <w:rsid w:val="00C4678E"/>
    <w:rsid w:val="00C469F5"/>
    <w:rsid w:val="00C46CCF"/>
    <w:rsid w:val="00C474FE"/>
    <w:rsid w:val="00C4751B"/>
    <w:rsid w:val="00C47FE6"/>
    <w:rsid w:val="00C50DBD"/>
    <w:rsid w:val="00C51465"/>
    <w:rsid w:val="00C519D2"/>
    <w:rsid w:val="00C51C30"/>
    <w:rsid w:val="00C5212C"/>
    <w:rsid w:val="00C52210"/>
    <w:rsid w:val="00C52302"/>
    <w:rsid w:val="00C526BB"/>
    <w:rsid w:val="00C52989"/>
    <w:rsid w:val="00C52CFC"/>
    <w:rsid w:val="00C52D69"/>
    <w:rsid w:val="00C53042"/>
    <w:rsid w:val="00C537EA"/>
    <w:rsid w:val="00C53899"/>
    <w:rsid w:val="00C53F48"/>
    <w:rsid w:val="00C5401A"/>
    <w:rsid w:val="00C541D9"/>
    <w:rsid w:val="00C541F5"/>
    <w:rsid w:val="00C5495A"/>
    <w:rsid w:val="00C55697"/>
    <w:rsid w:val="00C55F00"/>
    <w:rsid w:val="00C56C44"/>
    <w:rsid w:val="00C57233"/>
    <w:rsid w:val="00C574D4"/>
    <w:rsid w:val="00C6007D"/>
    <w:rsid w:val="00C602B7"/>
    <w:rsid w:val="00C60383"/>
    <w:rsid w:val="00C60990"/>
    <w:rsid w:val="00C60BA3"/>
    <w:rsid w:val="00C610D5"/>
    <w:rsid w:val="00C61397"/>
    <w:rsid w:val="00C61F05"/>
    <w:rsid w:val="00C625BA"/>
    <w:rsid w:val="00C62618"/>
    <w:rsid w:val="00C62E5D"/>
    <w:rsid w:val="00C62F33"/>
    <w:rsid w:val="00C6311B"/>
    <w:rsid w:val="00C637B9"/>
    <w:rsid w:val="00C63E93"/>
    <w:rsid w:val="00C63F1E"/>
    <w:rsid w:val="00C641EF"/>
    <w:rsid w:val="00C658ED"/>
    <w:rsid w:val="00C65E78"/>
    <w:rsid w:val="00C66867"/>
    <w:rsid w:val="00C66C3A"/>
    <w:rsid w:val="00C673D8"/>
    <w:rsid w:val="00C67652"/>
    <w:rsid w:val="00C6788F"/>
    <w:rsid w:val="00C67C2C"/>
    <w:rsid w:val="00C7058C"/>
    <w:rsid w:val="00C70BF5"/>
    <w:rsid w:val="00C71217"/>
    <w:rsid w:val="00C715D6"/>
    <w:rsid w:val="00C71AF8"/>
    <w:rsid w:val="00C71CAF"/>
    <w:rsid w:val="00C720DA"/>
    <w:rsid w:val="00C72705"/>
    <w:rsid w:val="00C72AAA"/>
    <w:rsid w:val="00C72D54"/>
    <w:rsid w:val="00C7333E"/>
    <w:rsid w:val="00C734D8"/>
    <w:rsid w:val="00C7350F"/>
    <w:rsid w:val="00C736F7"/>
    <w:rsid w:val="00C7379B"/>
    <w:rsid w:val="00C73955"/>
    <w:rsid w:val="00C73F0F"/>
    <w:rsid w:val="00C744AC"/>
    <w:rsid w:val="00C74CAF"/>
    <w:rsid w:val="00C74E8D"/>
    <w:rsid w:val="00C752A1"/>
    <w:rsid w:val="00C756B6"/>
    <w:rsid w:val="00C758CD"/>
    <w:rsid w:val="00C75992"/>
    <w:rsid w:val="00C75C60"/>
    <w:rsid w:val="00C761FE"/>
    <w:rsid w:val="00C766B6"/>
    <w:rsid w:val="00C76FEF"/>
    <w:rsid w:val="00C7772E"/>
    <w:rsid w:val="00C77B7D"/>
    <w:rsid w:val="00C77C10"/>
    <w:rsid w:val="00C77C85"/>
    <w:rsid w:val="00C8025B"/>
    <w:rsid w:val="00C80605"/>
    <w:rsid w:val="00C80880"/>
    <w:rsid w:val="00C80FE4"/>
    <w:rsid w:val="00C8105A"/>
    <w:rsid w:val="00C81089"/>
    <w:rsid w:val="00C81824"/>
    <w:rsid w:val="00C81ED2"/>
    <w:rsid w:val="00C81F24"/>
    <w:rsid w:val="00C8239D"/>
    <w:rsid w:val="00C8247A"/>
    <w:rsid w:val="00C82B17"/>
    <w:rsid w:val="00C82B65"/>
    <w:rsid w:val="00C82CC7"/>
    <w:rsid w:val="00C82E36"/>
    <w:rsid w:val="00C830B9"/>
    <w:rsid w:val="00C83218"/>
    <w:rsid w:val="00C83531"/>
    <w:rsid w:val="00C8362B"/>
    <w:rsid w:val="00C836F7"/>
    <w:rsid w:val="00C83775"/>
    <w:rsid w:val="00C8379C"/>
    <w:rsid w:val="00C83958"/>
    <w:rsid w:val="00C83ABA"/>
    <w:rsid w:val="00C84909"/>
    <w:rsid w:val="00C8496D"/>
    <w:rsid w:val="00C85288"/>
    <w:rsid w:val="00C856BE"/>
    <w:rsid w:val="00C86113"/>
    <w:rsid w:val="00C86287"/>
    <w:rsid w:val="00C86465"/>
    <w:rsid w:val="00C8BC81"/>
    <w:rsid w:val="00C90032"/>
    <w:rsid w:val="00C904FE"/>
    <w:rsid w:val="00C90C09"/>
    <w:rsid w:val="00C910E2"/>
    <w:rsid w:val="00C912A6"/>
    <w:rsid w:val="00C91550"/>
    <w:rsid w:val="00C9165A"/>
    <w:rsid w:val="00C91980"/>
    <w:rsid w:val="00C91F50"/>
    <w:rsid w:val="00C928E7"/>
    <w:rsid w:val="00C92DD4"/>
    <w:rsid w:val="00C92F51"/>
    <w:rsid w:val="00C938F6"/>
    <w:rsid w:val="00C93991"/>
    <w:rsid w:val="00C945D2"/>
    <w:rsid w:val="00C9480E"/>
    <w:rsid w:val="00C949E0"/>
    <w:rsid w:val="00C9578B"/>
    <w:rsid w:val="00C957D5"/>
    <w:rsid w:val="00C95EFE"/>
    <w:rsid w:val="00C962B8"/>
    <w:rsid w:val="00C96448"/>
    <w:rsid w:val="00C970D5"/>
    <w:rsid w:val="00C972A5"/>
    <w:rsid w:val="00C974D4"/>
    <w:rsid w:val="00C97773"/>
    <w:rsid w:val="00C97E46"/>
    <w:rsid w:val="00CA0351"/>
    <w:rsid w:val="00CA07EF"/>
    <w:rsid w:val="00CA0A9E"/>
    <w:rsid w:val="00CA10B4"/>
    <w:rsid w:val="00CA13C4"/>
    <w:rsid w:val="00CA1D9A"/>
    <w:rsid w:val="00CA2697"/>
    <w:rsid w:val="00CA2765"/>
    <w:rsid w:val="00CA2A44"/>
    <w:rsid w:val="00CA2AFF"/>
    <w:rsid w:val="00CA2C64"/>
    <w:rsid w:val="00CA2F18"/>
    <w:rsid w:val="00CA35D9"/>
    <w:rsid w:val="00CA39DF"/>
    <w:rsid w:val="00CA3A87"/>
    <w:rsid w:val="00CA420C"/>
    <w:rsid w:val="00CA4395"/>
    <w:rsid w:val="00CA4470"/>
    <w:rsid w:val="00CA4A93"/>
    <w:rsid w:val="00CA4BC1"/>
    <w:rsid w:val="00CA5481"/>
    <w:rsid w:val="00CA5E6A"/>
    <w:rsid w:val="00CA6572"/>
    <w:rsid w:val="00CA6716"/>
    <w:rsid w:val="00CA67C3"/>
    <w:rsid w:val="00CA6E32"/>
    <w:rsid w:val="00CA7513"/>
    <w:rsid w:val="00CA7685"/>
    <w:rsid w:val="00CA7BCE"/>
    <w:rsid w:val="00CB00C2"/>
    <w:rsid w:val="00CB06C5"/>
    <w:rsid w:val="00CB0971"/>
    <w:rsid w:val="00CB0CC9"/>
    <w:rsid w:val="00CB1083"/>
    <w:rsid w:val="00CB133E"/>
    <w:rsid w:val="00CB13BE"/>
    <w:rsid w:val="00CB14E3"/>
    <w:rsid w:val="00CB191C"/>
    <w:rsid w:val="00CB1C11"/>
    <w:rsid w:val="00CB1D7C"/>
    <w:rsid w:val="00CB20CD"/>
    <w:rsid w:val="00CB20ED"/>
    <w:rsid w:val="00CB217A"/>
    <w:rsid w:val="00CB295E"/>
    <w:rsid w:val="00CB29BD"/>
    <w:rsid w:val="00CB29E0"/>
    <w:rsid w:val="00CB29F7"/>
    <w:rsid w:val="00CB34AF"/>
    <w:rsid w:val="00CB3D4A"/>
    <w:rsid w:val="00CB3F0D"/>
    <w:rsid w:val="00CB523A"/>
    <w:rsid w:val="00CB526F"/>
    <w:rsid w:val="00CB5636"/>
    <w:rsid w:val="00CB5C61"/>
    <w:rsid w:val="00CB61AF"/>
    <w:rsid w:val="00CB6BF4"/>
    <w:rsid w:val="00CB6EA7"/>
    <w:rsid w:val="00CB7338"/>
    <w:rsid w:val="00CB7F86"/>
    <w:rsid w:val="00CC0040"/>
    <w:rsid w:val="00CC098C"/>
    <w:rsid w:val="00CC0C07"/>
    <w:rsid w:val="00CC124B"/>
    <w:rsid w:val="00CC1593"/>
    <w:rsid w:val="00CC1CE7"/>
    <w:rsid w:val="00CC23A1"/>
    <w:rsid w:val="00CC2495"/>
    <w:rsid w:val="00CC31D9"/>
    <w:rsid w:val="00CC3549"/>
    <w:rsid w:val="00CC36BC"/>
    <w:rsid w:val="00CC3F3F"/>
    <w:rsid w:val="00CC3F7C"/>
    <w:rsid w:val="00CC43E0"/>
    <w:rsid w:val="00CC466A"/>
    <w:rsid w:val="00CC46FD"/>
    <w:rsid w:val="00CC4731"/>
    <w:rsid w:val="00CC47AD"/>
    <w:rsid w:val="00CC4A00"/>
    <w:rsid w:val="00CC5102"/>
    <w:rsid w:val="00CC52C8"/>
    <w:rsid w:val="00CC569D"/>
    <w:rsid w:val="00CC56D9"/>
    <w:rsid w:val="00CC5937"/>
    <w:rsid w:val="00CC6189"/>
    <w:rsid w:val="00CC61EF"/>
    <w:rsid w:val="00CC66EA"/>
    <w:rsid w:val="00CC6701"/>
    <w:rsid w:val="00CC6939"/>
    <w:rsid w:val="00CC6C7D"/>
    <w:rsid w:val="00CC6CD5"/>
    <w:rsid w:val="00CC6CFF"/>
    <w:rsid w:val="00CC6DA3"/>
    <w:rsid w:val="00CC71D9"/>
    <w:rsid w:val="00CC73C4"/>
    <w:rsid w:val="00CC7618"/>
    <w:rsid w:val="00CC7AC3"/>
    <w:rsid w:val="00CD0557"/>
    <w:rsid w:val="00CD086E"/>
    <w:rsid w:val="00CD0947"/>
    <w:rsid w:val="00CD0B1B"/>
    <w:rsid w:val="00CD1102"/>
    <w:rsid w:val="00CD19EC"/>
    <w:rsid w:val="00CD1CD7"/>
    <w:rsid w:val="00CD1F2B"/>
    <w:rsid w:val="00CD2060"/>
    <w:rsid w:val="00CD2081"/>
    <w:rsid w:val="00CD20C7"/>
    <w:rsid w:val="00CD28A7"/>
    <w:rsid w:val="00CD3395"/>
    <w:rsid w:val="00CD3564"/>
    <w:rsid w:val="00CD3AEF"/>
    <w:rsid w:val="00CD3BF1"/>
    <w:rsid w:val="00CD45E4"/>
    <w:rsid w:val="00CD5017"/>
    <w:rsid w:val="00CD5F29"/>
    <w:rsid w:val="00CD63BA"/>
    <w:rsid w:val="00CD6567"/>
    <w:rsid w:val="00CD66BE"/>
    <w:rsid w:val="00CD6B4C"/>
    <w:rsid w:val="00CD6CF6"/>
    <w:rsid w:val="00CD7423"/>
    <w:rsid w:val="00CD75BF"/>
    <w:rsid w:val="00CD79B1"/>
    <w:rsid w:val="00CD7BEC"/>
    <w:rsid w:val="00CE00CE"/>
    <w:rsid w:val="00CE06AE"/>
    <w:rsid w:val="00CE0B3D"/>
    <w:rsid w:val="00CE12A5"/>
    <w:rsid w:val="00CE158A"/>
    <w:rsid w:val="00CE190F"/>
    <w:rsid w:val="00CE20A8"/>
    <w:rsid w:val="00CE2100"/>
    <w:rsid w:val="00CE2992"/>
    <w:rsid w:val="00CE2A95"/>
    <w:rsid w:val="00CE2AC3"/>
    <w:rsid w:val="00CE308D"/>
    <w:rsid w:val="00CE3975"/>
    <w:rsid w:val="00CE3A8C"/>
    <w:rsid w:val="00CE3B3E"/>
    <w:rsid w:val="00CE3B44"/>
    <w:rsid w:val="00CE3D07"/>
    <w:rsid w:val="00CE3D47"/>
    <w:rsid w:val="00CE4687"/>
    <w:rsid w:val="00CE4928"/>
    <w:rsid w:val="00CE498D"/>
    <w:rsid w:val="00CE49E4"/>
    <w:rsid w:val="00CE49EE"/>
    <w:rsid w:val="00CE4A21"/>
    <w:rsid w:val="00CE4C8A"/>
    <w:rsid w:val="00CE4E65"/>
    <w:rsid w:val="00CE5444"/>
    <w:rsid w:val="00CE590D"/>
    <w:rsid w:val="00CE5BBC"/>
    <w:rsid w:val="00CE5BD0"/>
    <w:rsid w:val="00CE5CFC"/>
    <w:rsid w:val="00CE6065"/>
    <w:rsid w:val="00CE63AB"/>
    <w:rsid w:val="00CE6766"/>
    <w:rsid w:val="00CE67E7"/>
    <w:rsid w:val="00CE7240"/>
    <w:rsid w:val="00CE7264"/>
    <w:rsid w:val="00CE74C5"/>
    <w:rsid w:val="00CE79A4"/>
    <w:rsid w:val="00CF0DD2"/>
    <w:rsid w:val="00CF0F8A"/>
    <w:rsid w:val="00CF10BB"/>
    <w:rsid w:val="00CF10C2"/>
    <w:rsid w:val="00CF1519"/>
    <w:rsid w:val="00CF1BCE"/>
    <w:rsid w:val="00CF1F34"/>
    <w:rsid w:val="00CF200C"/>
    <w:rsid w:val="00CF20DC"/>
    <w:rsid w:val="00CF21FC"/>
    <w:rsid w:val="00CF26B5"/>
    <w:rsid w:val="00CF2B24"/>
    <w:rsid w:val="00CF2DA9"/>
    <w:rsid w:val="00CF3106"/>
    <w:rsid w:val="00CF320F"/>
    <w:rsid w:val="00CF33D5"/>
    <w:rsid w:val="00CF36D2"/>
    <w:rsid w:val="00CF38E9"/>
    <w:rsid w:val="00CF3DF0"/>
    <w:rsid w:val="00CF4178"/>
    <w:rsid w:val="00CF4511"/>
    <w:rsid w:val="00CF4BB8"/>
    <w:rsid w:val="00CF519A"/>
    <w:rsid w:val="00CF5317"/>
    <w:rsid w:val="00CF5393"/>
    <w:rsid w:val="00CF576C"/>
    <w:rsid w:val="00CF579F"/>
    <w:rsid w:val="00CF5A31"/>
    <w:rsid w:val="00CF5C26"/>
    <w:rsid w:val="00CF5E80"/>
    <w:rsid w:val="00CF6E76"/>
    <w:rsid w:val="00CF75AA"/>
    <w:rsid w:val="00CF76FB"/>
    <w:rsid w:val="00CF76FF"/>
    <w:rsid w:val="00CF7A38"/>
    <w:rsid w:val="00CF7D88"/>
    <w:rsid w:val="00CF967F"/>
    <w:rsid w:val="00D00924"/>
    <w:rsid w:val="00D00DE8"/>
    <w:rsid w:val="00D01398"/>
    <w:rsid w:val="00D014F7"/>
    <w:rsid w:val="00D01803"/>
    <w:rsid w:val="00D01A36"/>
    <w:rsid w:val="00D02157"/>
    <w:rsid w:val="00D025EF"/>
    <w:rsid w:val="00D02768"/>
    <w:rsid w:val="00D027A5"/>
    <w:rsid w:val="00D02C3F"/>
    <w:rsid w:val="00D03732"/>
    <w:rsid w:val="00D03E78"/>
    <w:rsid w:val="00D03F2F"/>
    <w:rsid w:val="00D0417F"/>
    <w:rsid w:val="00D04440"/>
    <w:rsid w:val="00D0449C"/>
    <w:rsid w:val="00D04553"/>
    <w:rsid w:val="00D0494E"/>
    <w:rsid w:val="00D04C02"/>
    <w:rsid w:val="00D06011"/>
    <w:rsid w:val="00D064B9"/>
    <w:rsid w:val="00D067CA"/>
    <w:rsid w:val="00D06DE4"/>
    <w:rsid w:val="00D06F34"/>
    <w:rsid w:val="00D07772"/>
    <w:rsid w:val="00D07874"/>
    <w:rsid w:val="00D07AE2"/>
    <w:rsid w:val="00D101CC"/>
    <w:rsid w:val="00D1025B"/>
    <w:rsid w:val="00D10B4D"/>
    <w:rsid w:val="00D10F00"/>
    <w:rsid w:val="00D11389"/>
    <w:rsid w:val="00D11479"/>
    <w:rsid w:val="00D11C37"/>
    <w:rsid w:val="00D11CBE"/>
    <w:rsid w:val="00D1231C"/>
    <w:rsid w:val="00D1252C"/>
    <w:rsid w:val="00D12C53"/>
    <w:rsid w:val="00D1396D"/>
    <w:rsid w:val="00D13CAD"/>
    <w:rsid w:val="00D1413F"/>
    <w:rsid w:val="00D14408"/>
    <w:rsid w:val="00D14571"/>
    <w:rsid w:val="00D146C0"/>
    <w:rsid w:val="00D14831"/>
    <w:rsid w:val="00D14A62"/>
    <w:rsid w:val="00D14B79"/>
    <w:rsid w:val="00D1521B"/>
    <w:rsid w:val="00D1537B"/>
    <w:rsid w:val="00D15B8A"/>
    <w:rsid w:val="00D15F05"/>
    <w:rsid w:val="00D15FAC"/>
    <w:rsid w:val="00D16529"/>
    <w:rsid w:val="00D166C3"/>
    <w:rsid w:val="00D16BF5"/>
    <w:rsid w:val="00D16C25"/>
    <w:rsid w:val="00D16C63"/>
    <w:rsid w:val="00D16C8C"/>
    <w:rsid w:val="00D16D9C"/>
    <w:rsid w:val="00D1735D"/>
    <w:rsid w:val="00D17806"/>
    <w:rsid w:val="00D17960"/>
    <w:rsid w:val="00D179EA"/>
    <w:rsid w:val="00D17AEC"/>
    <w:rsid w:val="00D200BA"/>
    <w:rsid w:val="00D2038C"/>
    <w:rsid w:val="00D20619"/>
    <w:rsid w:val="00D20BEF"/>
    <w:rsid w:val="00D210CF"/>
    <w:rsid w:val="00D21491"/>
    <w:rsid w:val="00D21B36"/>
    <w:rsid w:val="00D21B3C"/>
    <w:rsid w:val="00D21D87"/>
    <w:rsid w:val="00D22239"/>
    <w:rsid w:val="00D22B66"/>
    <w:rsid w:val="00D22B98"/>
    <w:rsid w:val="00D22FDF"/>
    <w:rsid w:val="00D231B2"/>
    <w:rsid w:val="00D23483"/>
    <w:rsid w:val="00D2419A"/>
    <w:rsid w:val="00D2451D"/>
    <w:rsid w:val="00D24B08"/>
    <w:rsid w:val="00D252E0"/>
    <w:rsid w:val="00D25CD6"/>
    <w:rsid w:val="00D25CDB"/>
    <w:rsid w:val="00D262F4"/>
    <w:rsid w:val="00D267B7"/>
    <w:rsid w:val="00D26856"/>
    <w:rsid w:val="00D26A27"/>
    <w:rsid w:val="00D26F1F"/>
    <w:rsid w:val="00D277ED"/>
    <w:rsid w:val="00D2781A"/>
    <w:rsid w:val="00D279F9"/>
    <w:rsid w:val="00D3005B"/>
    <w:rsid w:val="00D30561"/>
    <w:rsid w:val="00D309BC"/>
    <w:rsid w:val="00D30BA2"/>
    <w:rsid w:val="00D30F47"/>
    <w:rsid w:val="00D31680"/>
    <w:rsid w:val="00D322D7"/>
    <w:rsid w:val="00D32BE0"/>
    <w:rsid w:val="00D34082"/>
    <w:rsid w:val="00D345DF"/>
    <w:rsid w:val="00D3469F"/>
    <w:rsid w:val="00D34801"/>
    <w:rsid w:val="00D3512C"/>
    <w:rsid w:val="00D35285"/>
    <w:rsid w:val="00D357F7"/>
    <w:rsid w:val="00D35B22"/>
    <w:rsid w:val="00D366CA"/>
    <w:rsid w:val="00D366EC"/>
    <w:rsid w:val="00D36AF1"/>
    <w:rsid w:val="00D37081"/>
    <w:rsid w:val="00D37208"/>
    <w:rsid w:val="00D37EA0"/>
    <w:rsid w:val="00D409BD"/>
    <w:rsid w:val="00D40FDF"/>
    <w:rsid w:val="00D41F67"/>
    <w:rsid w:val="00D4257F"/>
    <w:rsid w:val="00D426FB"/>
    <w:rsid w:val="00D4278E"/>
    <w:rsid w:val="00D42897"/>
    <w:rsid w:val="00D43043"/>
    <w:rsid w:val="00D4367A"/>
    <w:rsid w:val="00D43767"/>
    <w:rsid w:val="00D437B7"/>
    <w:rsid w:val="00D43875"/>
    <w:rsid w:val="00D441A8"/>
    <w:rsid w:val="00D444CD"/>
    <w:rsid w:val="00D447CF"/>
    <w:rsid w:val="00D44EB2"/>
    <w:rsid w:val="00D452F7"/>
    <w:rsid w:val="00D45330"/>
    <w:rsid w:val="00D4583F"/>
    <w:rsid w:val="00D459A0"/>
    <w:rsid w:val="00D45FBE"/>
    <w:rsid w:val="00D46017"/>
    <w:rsid w:val="00D46D5C"/>
    <w:rsid w:val="00D46D85"/>
    <w:rsid w:val="00D47224"/>
    <w:rsid w:val="00D47865"/>
    <w:rsid w:val="00D479D6"/>
    <w:rsid w:val="00D47DB9"/>
    <w:rsid w:val="00D50142"/>
    <w:rsid w:val="00D501ED"/>
    <w:rsid w:val="00D50437"/>
    <w:rsid w:val="00D50C16"/>
    <w:rsid w:val="00D5136C"/>
    <w:rsid w:val="00D51854"/>
    <w:rsid w:val="00D51966"/>
    <w:rsid w:val="00D51A38"/>
    <w:rsid w:val="00D51C07"/>
    <w:rsid w:val="00D51D18"/>
    <w:rsid w:val="00D525F1"/>
    <w:rsid w:val="00D52DF0"/>
    <w:rsid w:val="00D53619"/>
    <w:rsid w:val="00D53AB6"/>
    <w:rsid w:val="00D540A7"/>
    <w:rsid w:val="00D5484C"/>
    <w:rsid w:val="00D54DB1"/>
    <w:rsid w:val="00D5525A"/>
    <w:rsid w:val="00D55B53"/>
    <w:rsid w:val="00D55D89"/>
    <w:rsid w:val="00D560CC"/>
    <w:rsid w:val="00D571C5"/>
    <w:rsid w:val="00D576B9"/>
    <w:rsid w:val="00D578CE"/>
    <w:rsid w:val="00D57AB6"/>
    <w:rsid w:val="00D57AEF"/>
    <w:rsid w:val="00D57FBD"/>
    <w:rsid w:val="00D60076"/>
    <w:rsid w:val="00D6079D"/>
    <w:rsid w:val="00D60BE7"/>
    <w:rsid w:val="00D60EF1"/>
    <w:rsid w:val="00D614CE"/>
    <w:rsid w:val="00D6150B"/>
    <w:rsid w:val="00D617BC"/>
    <w:rsid w:val="00D61ACA"/>
    <w:rsid w:val="00D6235D"/>
    <w:rsid w:val="00D62635"/>
    <w:rsid w:val="00D62787"/>
    <w:rsid w:val="00D63223"/>
    <w:rsid w:val="00D64733"/>
    <w:rsid w:val="00D64EAB"/>
    <w:rsid w:val="00D64EF4"/>
    <w:rsid w:val="00D652C6"/>
    <w:rsid w:val="00D65320"/>
    <w:rsid w:val="00D65A8C"/>
    <w:rsid w:val="00D65C00"/>
    <w:rsid w:val="00D661BB"/>
    <w:rsid w:val="00D66706"/>
    <w:rsid w:val="00D667DA"/>
    <w:rsid w:val="00D67715"/>
    <w:rsid w:val="00D67728"/>
    <w:rsid w:val="00D67F93"/>
    <w:rsid w:val="00D6D85F"/>
    <w:rsid w:val="00D700B8"/>
    <w:rsid w:val="00D70CDD"/>
    <w:rsid w:val="00D71483"/>
    <w:rsid w:val="00D715F4"/>
    <w:rsid w:val="00D71CC6"/>
    <w:rsid w:val="00D71D48"/>
    <w:rsid w:val="00D72194"/>
    <w:rsid w:val="00D72311"/>
    <w:rsid w:val="00D72A24"/>
    <w:rsid w:val="00D72FBA"/>
    <w:rsid w:val="00D7334E"/>
    <w:rsid w:val="00D73577"/>
    <w:rsid w:val="00D739FF"/>
    <w:rsid w:val="00D73B6C"/>
    <w:rsid w:val="00D73CD2"/>
    <w:rsid w:val="00D73DF7"/>
    <w:rsid w:val="00D74845"/>
    <w:rsid w:val="00D74856"/>
    <w:rsid w:val="00D748E9"/>
    <w:rsid w:val="00D74967"/>
    <w:rsid w:val="00D750A7"/>
    <w:rsid w:val="00D75174"/>
    <w:rsid w:val="00D75382"/>
    <w:rsid w:val="00D7548C"/>
    <w:rsid w:val="00D75618"/>
    <w:rsid w:val="00D75ACA"/>
    <w:rsid w:val="00D75FF5"/>
    <w:rsid w:val="00D76016"/>
    <w:rsid w:val="00D761D7"/>
    <w:rsid w:val="00D764DF"/>
    <w:rsid w:val="00D765ED"/>
    <w:rsid w:val="00D76B48"/>
    <w:rsid w:val="00D77585"/>
    <w:rsid w:val="00D80179"/>
    <w:rsid w:val="00D801D3"/>
    <w:rsid w:val="00D803B0"/>
    <w:rsid w:val="00D8112D"/>
    <w:rsid w:val="00D82046"/>
    <w:rsid w:val="00D82955"/>
    <w:rsid w:val="00D82A20"/>
    <w:rsid w:val="00D8303D"/>
    <w:rsid w:val="00D833FC"/>
    <w:rsid w:val="00D83F3D"/>
    <w:rsid w:val="00D84099"/>
    <w:rsid w:val="00D84117"/>
    <w:rsid w:val="00D8483C"/>
    <w:rsid w:val="00D84DE2"/>
    <w:rsid w:val="00D8553C"/>
    <w:rsid w:val="00D85A9E"/>
    <w:rsid w:val="00D85B3E"/>
    <w:rsid w:val="00D85F22"/>
    <w:rsid w:val="00D8648B"/>
    <w:rsid w:val="00D8674A"/>
    <w:rsid w:val="00D86C3E"/>
    <w:rsid w:val="00D86CAF"/>
    <w:rsid w:val="00D872FC"/>
    <w:rsid w:val="00D874B4"/>
    <w:rsid w:val="00D87705"/>
    <w:rsid w:val="00D87969"/>
    <w:rsid w:val="00D87FEA"/>
    <w:rsid w:val="00D90360"/>
    <w:rsid w:val="00D904CA"/>
    <w:rsid w:val="00D9064C"/>
    <w:rsid w:val="00D90F28"/>
    <w:rsid w:val="00D914EA"/>
    <w:rsid w:val="00D919FF"/>
    <w:rsid w:val="00D9211A"/>
    <w:rsid w:val="00D92B75"/>
    <w:rsid w:val="00D92E4C"/>
    <w:rsid w:val="00D93605"/>
    <w:rsid w:val="00D93871"/>
    <w:rsid w:val="00D938B8"/>
    <w:rsid w:val="00D93E3D"/>
    <w:rsid w:val="00D94247"/>
    <w:rsid w:val="00D942E4"/>
    <w:rsid w:val="00D9520D"/>
    <w:rsid w:val="00D95599"/>
    <w:rsid w:val="00D95B3F"/>
    <w:rsid w:val="00D95B7D"/>
    <w:rsid w:val="00D95BEF"/>
    <w:rsid w:val="00D96A40"/>
    <w:rsid w:val="00D96E78"/>
    <w:rsid w:val="00D971C0"/>
    <w:rsid w:val="00D97B00"/>
    <w:rsid w:val="00D97C67"/>
    <w:rsid w:val="00D97EFA"/>
    <w:rsid w:val="00DA002E"/>
    <w:rsid w:val="00DA021A"/>
    <w:rsid w:val="00DA052A"/>
    <w:rsid w:val="00DA15D3"/>
    <w:rsid w:val="00DA2296"/>
    <w:rsid w:val="00DA2751"/>
    <w:rsid w:val="00DA3E43"/>
    <w:rsid w:val="00DA3EA5"/>
    <w:rsid w:val="00DA4633"/>
    <w:rsid w:val="00DA46D7"/>
    <w:rsid w:val="00DA4ECA"/>
    <w:rsid w:val="00DA50BC"/>
    <w:rsid w:val="00DA52D6"/>
    <w:rsid w:val="00DA5999"/>
    <w:rsid w:val="00DA5A22"/>
    <w:rsid w:val="00DA5D2D"/>
    <w:rsid w:val="00DA6545"/>
    <w:rsid w:val="00DA6A03"/>
    <w:rsid w:val="00DA7E5C"/>
    <w:rsid w:val="00DB02E6"/>
    <w:rsid w:val="00DB07E6"/>
    <w:rsid w:val="00DB08E7"/>
    <w:rsid w:val="00DB0F05"/>
    <w:rsid w:val="00DB1226"/>
    <w:rsid w:val="00DB12E8"/>
    <w:rsid w:val="00DB18D3"/>
    <w:rsid w:val="00DB1A63"/>
    <w:rsid w:val="00DB1D16"/>
    <w:rsid w:val="00DB2611"/>
    <w:rsid w:val="00DB29F4"/>
    <w:rsid w:val="00DB2FB9"/>
    <w:rsid w:val="00DB340D"/>
    <w:rsid w:val="00DB3459"/>
    <w:rsid w:val="00DB34A3"/>
    <w:rsid w:val="00DB3E9E"/>
    <w:rsid w:val="00DB42DA"/>
    <w:rsid w:val="00DB47AB"/>
    <w:rsid w:val="00DB4B48"/>
    <w:rsid w:val="00DB4EC5"/>
    <w:rsid w:val="00DB5964"/>
    <w:rsid w:val="00DB5C06"/>
    <w:rsid w:val="00DB5C7C"/>
    <w:rsid w:val="00DB5D86"/>
    <w:rsid w:val="00DB5F8C"/>
    <w:rsid w:val="00DB6075"/>
    <w:rsid w:val="00DB662D"/>
    <w:rsid w:val="00DB6A69"/>
    <w:rsid w:val="00DB6D60"/>
    <w:rsid w:val="00DB6EF4"/>
    <w:rsid w:val="00DB7243"/>
    <w:rsid w:val="00DB7896"/>
    <w:rsid w:val="00DB7C25"/>
    <w:rsid w:val="00DBC224"/>
    <w:rsid w:val="00DC01A7"/>
    <w:rsid w:val="00DC089B"/>
    <w:rsid w:val="00DC091E"/>
    <w:rsid w:val="00DC0B5E"/>
    <w:rsid w:val="00DC1401"/>
    <w:rsid w:val="00DC147C"/>
    <w:rsid w:val="00DC1571"/>
    <w:rsid w:val="00DC1792"/>
    <w:rsid w:val="00DC17C4"/>
    <w:rsid w:val="00DC1869"/>
    <w:rsid w:val="00DC1B4A"/>
    <w:rsid w:val="00DC20B2"/>
    <w:rsid w:val="00DC22E1"/>
    <w:rsid w:val="00DC23A6"/>
    <w:rsid w:val="00DC2A29"/>
    <w:rsid w:val="00DC3120"/>
    <w:rsid w:val="00DC329A"/>
    <w:rsid w:val="00DC3515"/>
    <w:rsid w:val="00DC38F3"/>
    <w:rsid w:val="00DC3BDB"/>
    <w:rsid w:val="00DC3FB0"/>
    <w:rsid w:val="00DC3FCD"/>
    <w:rsid w:val="00DC45B2"/>
    <w:rsid w:val="00DC4E1F"/>
    <w:rsid w:val="00DC53ED"/>
    <w:rsid w:val="00DC6016"/>
    <w:rsid w:val="00DC60B5"/>
    <w:rsid w:val="00DC623C"/>
    <w:rsid w:val="00DC635D"/>
    <w:rsid w:val="00DC69F9"/>
    <w:rsid w:val="00DC76D1"/>
    <w:rsid w:val="00DC7B95"/>
    <w:rsid w:val="00DC7D87"/>
    <w:rsid w:val="00DD058A"/>
    <w:rsid w:val="00DD0B46"/>
    <w:rsid w:val="00DD0B6D"/>
    <w:rsid w:val="00DD1C8B"/>
    <w:rsid w:val="00DD1D68"/>
    <w:rsid w:val="00DD2AB3"/>
    <w:rsid w:val="00DD2DD4"/>
    <w:rsid w:val="00DD2E4E"/>
    <w:rsid w:val="00DD37BC"/>
    <w:rsid w:val="00DD37EE"/>
    <w:rsid w:val="00DD3A6C"/>
    <w:rsid w:val="00DD440D"/>
    <w:rsid w:val="00DD4A87"/>
    <w:rsid w:val="00DD4F7F"/>
    <w:rsid w:val="00DD50B1"/>
    <w:rsid w:val="00DD5252"/>
    <w:rsid w:val="00DD563F"/>
    <w:rsid w:val="00DD5899"/>
    <w:rsid w:val="00DD64AD"/>
    <w:rsid w:val="00DD667C"/>
    <w:rsid w:val="00DD69D6"/>
    <w:rsid w:val="00DD6A6A"/>
    <w:rsid w:val="00DD6EAF"/>
    <w:rsid w:val="00DD6F43"/>
    <w:rsid w:val="00DD6F99"/>
    <w:rsid w:val="00DD7430"/>
    <w:rsid w:val="00DE0089"/>
    <w:rsid w:val="00DE0392"/>
    <w:rsid w:val="00DE0499"/>
    <w:rsid w:val="00DE08E7"/>
    <w:rsid w:val="00DE138A"/>
    <w:rsid w:val="00DE163F"/>
    <w:rsid w:val="00DE186F"/>
    <w:rsid w:val="00DE1EC8"/>
    <w:rsid w:val="00DE284D"/>
    <w:rsid w:val="00DE2E0B"/>
    <w:rsid w:val="00DE2E30"/>
    <w:rsid w:val="00DE3129"/>
    <w:rsid w:val="00DE3559"/>
    <w:rsid w:val="00DE3BF8"/>
    <w:rsid w:val="00DE47C9"/>
    <w:rsid w:val="00DE4983"/>
    <w:rsid w:val="00DE4B3F"/>
    <w:rsid w:val="00DE51DD"/>
    <w:rsid w:val="00DE54CC"/>
    <w:rsid w:val="00DE554E"/>
    <w:rsid w:val="00DE5AAF"/>
    <w:rsid w:val="00DE5BA0"/>
    <w:rsid w:val="00DE5F2A"/>
    <w:rsid w:val="00DE6221"/>
    <w:rsid w:val="00DE67AD"/>
    <w:rsid w:val="00DE6910"/>
    <w:rsid w:val="00DE6E3C"/>
    <w:rsid w:val="00DE6EFA"/>
    <w:rsid w:val="00DE78D6"/>
    <w:rsid w:val="00DE7992"/>
    <w:rsid w:val="00DE7A68"/>
    <w:rsid w:val="00DE7CAF"/>
    <w:rsid w:val="00DE7F30"/>
    <w:rsid w:val="00DF0072"/>
    <w:rsid w:val="00DF03A1"/>
    <w:rsid w:val="00DF055A"/>
    <w:rsid w:val="00DF06EB"/>
    <w:rsid w:val="00DF08A9"/>
    <w:rsid w:val="00DF0C92"/>
    <w:rsid w:val="00DF1A2A"/>
    <w:rsid w:val="00DF1B7C"/>
    <w:rsid w:val="00DF2134"/>
    <w:rsid w:val="00DF24FC"/>
    <w:rsid w:val="00DF25AA"/>
    <w:rsid w:val="00DF2E43"/>
    <w:rsid w:val="00DF35AF"/>
    <w:rsid w:val="00DF37EE"/>
    <w:rsid w:val="00DF3D8B"/>
    <w:rsid w:val="00DF4561"/>
    <w:rsid w:val="00DF464B"/>
    <w:rsid w:val="00DF49D8"/>
    <w:rsid w:val="00DF532D"/>
    <w:rsid w:val="00DF57C5"/>
    <w:rsid w:val="00DF5F14"/>
    <w:rsid w:val="00DF63BD"/>
    <w:rsid w:val="00DF6548"/>
    <w:rsid w:val="00DF7515"/>
    <w:rsid w:val="00DF7871"/>
    <w:rsid w:val="00DF79DA"/>
    <w:rsid w:val="00DF7FBC"/>
    <w:rsid w:val="00E002D3"/>
    <w:rsid w:val="00E00C19"/>
    <w:rsid w:val="00E011B9"/>
    <w:rsid w:val="00E017AE"/>
    <w:rsid w:val="00E0180B"/>
    <w:rsid w:val="00E01973"/>
    <w:rsid w:val="00E01F24"/>
    <w:rsid w:val="00E02EED"/>
    <w:rsid w:val="00E02FD8"/>
    <w:rsid w:val="00E03359"/>
    <w:rsid w:val="00E03821"/>
    <w:rsid w:val="00E03A8B"/>
    <w:rsid w:val="00E03C79"/>
    <w:rsid w:val="00E03EF4"/>
    <w:rsid w:val="00E043CF"/>
    <w:rsid w:val="00E043F9"/>
    <w:rsid w:val="00E04430"/>
    <w:rsid w:val="00E044D2"/>
    <w:rsid w:val="00E046F2"/>
    <w:rsid w:val="00E055D7"/>
    <w:rsid w:val="00E05E02"/>
    <w:rsid w:val="00E0651F"/>
    <w:rsid w:val="00E06767"/>
    <w:rsid w:val="00E067E7"/>
    <w:rsid w:val="00E0701A"/>
    <w:rsid w:val="00E071B0"/>
    <w:rsid w:val="00E07408"/>
    <w:rsid w:val="00E07D5B"/>
    <w:rsid w:val="00E07F75"/>
    <w:rsid w:val="00E100AF"/>
    <w:rsid w:val="00E1050E"/>
    <w:rsid w:val="00E107F6"/>
    <w:rsid w:val="00E114EA"/>
    <w:rsid w:val="00E11675"/>
    <w:rsid w:val="00E1168D"/>
    <w:rsid w:val="00E11718"/>
    <w:rsid w:val="00E1175D"/>
    <w:rsid w:val="00E11900"/>
    <w:rsid w:val="00E11B5C"/>
    <w:rsid w:val="00E11ECE"/>
    <w:rsid w:val="00E11FB9"/>
    <w:rsid w:val="00E130A9"/>
    <w:rsid w:val="00E1333B"/>
    <w:rsid w:val="00E133AB"/>
    <w:rsid w:val="00E13A56"/>
    <w:rsid w:val="00E143B0"/>
    <w:rsid w:val="00E14543"/>
    <w:rsid w:val="00E151D0"/>
    <w:rsid w:val="00E1521C"/>
    <w:rsid w:val="00E15450"/>
    <w:rsid w:val="00E155C3"/>
    <w:rsid w:val="00E1573E"/>
    <w:rsid w:val="00E15D56"/>
    <w:rsid w:val="00E15E07"/>
    <w:rsid w:val="00E179F0"/>
    <w:rsid w:val="00E17C71"/>
    <w:rsid w:val="00E205AE"/>
    <w:rsid w:val="00E205ED"/>
    <w:rsid w:val="00E206DE"/>
    <w:rsid w:val="00E208B9"/>
    <w:rsid w:val="00E20C41"/>
    <w:rsid w:val="00E21AE1"/>
    <w:rsid w:val="00E21B44"/>
    <w:rsid w:val="00E21B54"/>
    <w:rsid w:val="00E221D0"/>
    <w:rsid w:val="00E222C1"/>
    <w:rsid w:val="00E22AFD"/>
    <w:rsid w:val="00E22B60"/>
    <w:rsid w:val="00E2327A"/>
    <w:rsid w:val="00E23A7D"/>
    <w:rsid w:val="00E23AC2"/>
    <w:rsid w:val="00E23B3D"/>
    <w:rsid w:val="00E23F26"/>
    <w:rsid w:val="00E24279"/>
    <w:rsid w:val="00E24328"/>
    <w:rsid w:val="00E247AA"/>
    <w:rsid w:val="00E2493F"/>
    <w:rsid w:val="00E24C5D"/>
    <w:rsid w:val="00E25310"/>
    <w:rsid w:val="00E25499"/>
    <w:rsid w:val="00E257E2"/>
    <w:rsid w:val="00E25861"/>
    <w:rsid w:val="00E25C16"/>
    <w:rsid w:val="00E25FFF"/>
    <w:rsid w:val="00E26604"/>
    <w:rsid w:val="00E26643"/>
    <w:rsid w:val="00E27314"/>
    <w:rsid w:val="00E2744F"/>
    <w:rsid w:val="00E27604"/>
    <w:rsid w:val="00E276BA"/>
    <w:rsid w:val="00E30A01"/>
    <w:rsid w:val="00E31764"/>
    <w:rsid w:val="00E31DE8"/>
    <w:rsid w:val="00E32087"/>
    <w:rsid w:val="00E322BA"/>
    <w:rsid w:val="00E32454"/>
    <w:rsid w:val="00E32ED7"/>
    <w:rsid w:val="00E333DB"/>
    <w:rsid w:val="00E3369B"/>
    <w:rsid w:val="00E337A8"/>
    <w:rsid w:val="00E338F2"/>
    <w:rsid w:val="00E34964"/>
    <w:rsid w:val="00E34AA6"/>
    <w:rsid w:val="00E34C4B"/>
    <w:rsid w:val="00E34F5F"/>
    <w:rsid w:val="00E350E5"/>
    <w:rsid w:val="00E3532B"/>
    <w:rsid w:val="00E35534"/>
    <w:rsid w:val="00E35677"/>
    <w:rsid w:val="00E356F1"/>
    <w:rsid w:val="00E36191"/>
    <w:rsid w:val="00E3630E"/>
    <w:rsid w:val="00E366FA"/>
    <w:rsid w:val="00E36AE0"/>
    <w:rsid w:val="00E36E28"/>
    <w:rsid w:val="00E371AD"/>
    <w:rsid w:val="00E371D3"/>
    <w:rsid w:val="00E37297"/>
    <w:rsid w:val="00E372FA"/>
    <w:rsid w:val="00E37584"/>
    <w:rsid w:val="00E4001F"/>
    <w:rsid w:val="00E4003D"/>
    <w:rsid w:val="00E40494"/>
    <w:rsid w:val="00E40DDF"/>
    <w:rsid w:val="00E417EA"/>
    <w:rsid w:val="00E418E8"/>
    <w:rsid w:val="00E41A32"/>
    <w:rsid w:val="00E41ADC"/>
    <w:rsid w:val="00E420D2"/>
    <w:rsid w:val="00E42123"/>
    <w:rsid w:val="00E4232B"/>
    <w:rsid w:val="00E425D1"/>
    <w:rsid w:val="00E426D1"/>
    <w:rsid w:val="00E43DA7"/>
    <w:rsid w:val="00E44563"/>
    <w:rsid w:val="00E44822"/>
    <w:rsid w:val="00E44B1F"/>
    <w:rsid w:val="00E44B5C"/>
    <w:rsid w:val="00E45339"/>
    <w:rsid w:val="00E45467"/>
    <w:rsid w:val="00E456FA"/>
    <w:rsid w:val="00E45A5D"/>
    <w:rsid w:val="00E46218"/>
    <w:rsid w:val="00E46278"/>
    <w:rsid w:val="00E46AE0"/>
    <w:rsid w:val="00E46FBB"/>
    <w:rsid w:val="00E47753"/>
    <w:rsid w:val="00E47CC4"/>
    <w:rsid w:val="00E502AD"/>
    <w:rsid w:val="00E505B6"/>
    <w:rsid w:val="00E50A6C"/>
    <w:rsid w:val="00E50C7B"/>
    <w:rsid w:val="00E50F42"/>
    <w:rsid w:val="00E511EC"/>
    <w:rsid w:val="00E51407"/>
    <w:rsid w:val="00E521B6"/>
    <w:rsid w:val="00E521DD"/>
    <w:rsid w:val="00E5249D"/>
    <w:rsid w:val="00E529D7"/>
    <w:rsid w:val="00E52C15"/>
    <w:rsid w:val="00E52D58"/>
    <w:rsid w:val="00E52E69"/>
    <w:rsid w:val="00E53015"/>
    <w:rsid w:val="00E5332E"/>
    <w:rsid w:val="00E535AA"/>
    <w:rsid w:val="00E536FE"/>
    <w:rsid w:val="00E5376C"/>
    <w:rsid w:val="00E5461E"/>
    <w:rsid w:val="00E54887"/>
    <w:rsid w:val="00E54A8C"/>
    <w:rsid w:val="00E556B8"/>
    <w:rsid w:val="00E556F7"/>
    <w:rsid w:val="00E558EF"/>
    <w:rsid w:val="00E559C8"/>
    <w:rsid w:val="00E55F26"/>
    <w:rsid w:val="00E55F67"/>
    <w:rsid w:val="00E56274"/>
    <w:rsid w:val="00E571A7"/>
    <w:rsid w:val="00E57932"/>
    <w:rsid w:val="00E57B23"/>
    <w:rsid w:val="00E57E11"/>
    <w:rsid w:val="00E60A45"/>
    <w:rsid w:val="00E61038"/>
    <w:rsid w:val="00E61987"/>
    <w:rsid w:val="00E61DA3"/>
    <w:rsid w:val="00E61F11"/>
    <w:rsid w:val="00E61FB3"/>
    <w:rsid w:val="00E620A5"/>
    <w:rsid w:val="00E629E9"/>
    <w:rsid w:val="00E62C8A"/>
    <w:rsid w:val="00E62F17"/>
    <w:rsid w:val="00E63ED5"/>
    <w:rsid w:val="00E64689"/>
    <w:rsid w:val="00E64BD2"/>
    <w:rsid w:val="00E64DC3"/>
    <w:rsid w:val="00E64E45"/>
    <w:rsid w:val="00E64FC4"/>
    <w:rsid w:val="00E6509E"/>
    <w:rsid w:val="00E651CC"/>
    <w:rsid w:val="00E652A8"/>
    <w:rsid w:val="00E655C2"/>
    <w:rsid w:val="00E6577F"/>
    <w:rsid w:val="00E6578A"/>
    <w:rsid w:val="00E65A69"/>
    <w:rsid w:val="00E65A8D"/>
    <w:rsid w:val="00E65D36"/>
    <w:rsid w:val="00E65EEC"/>
    <w:rsid w:val="00E65FEB"/>
    <w:rsid w:val="00E6609A"/>
    <w:rsid w:val="00E6661F"/>
    <w:rsid w:val="00E666FE"/>
    <w:rsid w:val="00E67700"/>
    <w:rsid w:val="00E67BF3"/>
    <w:rsid w:val="00E70287"/>
    <w:rsid w:val="00E70339"/>
    <w:rsid w:val="00E70414"/>
    <w:rsid w:val="00E706B2"/>
    <w:rsid w:val="00E70949"/>
    <w:rsid w:val="00E71397"/>
    <w:rsid w:val="00E7199E"/>
    <w:rsid w:val="00E71A6A"/>
    <w:rsid w:val="00E71AF4"/>
    <w:rsid w:val="00E71D26"/>
    <w:rsid w:val="00E724B1"/>
    <w:rsid w:val="00E7267B"/>
    <w:rsid w:val="00E72BAC"/>
    <w:rsid w:val="00E731A5"/>
    <w:rsid w:val="00E73463"/>
    <w:rsid w:val="00E738A5"/>
    <w:rsid w:val="00E73C54"/>
    <w:rsid w:val="00E73FC9"/>
    <w:rsid w:val="00E74570"/>
    <w:rsid w:val="00E74CCF"/>
    <w:rsid w:val="00E74EB3"/>
    <w:rsid w:val="00E74EE0"/>
    <w:rsid w:val="00E74F02"/>
    <w:rsid w:val="00E75014"/>
    <w:rsid w:val="00E753E8"/>
    <w:rsid w:val="00E7542D"/>
    <w:rsid w:val="00E76162"/>
    <w:rsid w:val="00E7684D"/>
    <w:rsid w:val="00E768DF"/>
    <w:rsid w:val="00E7699F"/>
    <w:rsid w:val="00E76F0E"/>
    <w:rsid w:val="00E776E1"/>
    <w:rsid w:val="00E778FE"/>
    <w:rsid w:val="00E805E5"/>
    <w:rsid w:val="00E8072B"/>
    <w:rsid w:val="00E81310"/>
    <w:rsid w:val="00E81492"/>
    <w:rsid w:val="00E8155C"/>
    <w:rsid w:val="00E816D7"/>
    <w:rsid w:val="00E818CD"/>
    <w:rsid w:val="00E81F69"/>
    <w:rsid w:val="00E820D8"/>
    <w:rsid w:val="00E82B4D"/>
    <w:rsid w:val="00E82EE2"/>
    <w:rsid w:val="00E8312A"/>
    <w:rsid w:val="00E8316C"/>
    <w:rsid w:val="00E8363A"/>
    <w:rsid w:val="00E83A7E"/>
    <w:rsid w:val="00E83D3C"/>
    <w:rsid w:val="00E8492C"/>
    <w:rsid w:val="00E84A03"/>
    <w:rsid w:val="00E84B9A"/>
    <w:rsid w:val="00E84C57"/>
    <w:rsid w:val="00E84F16"/>
    <w:rsid w:val="00E84F9B"/>
    <w:rsid w:val="00E86C5C"/>
    <w:rsid w:val="00E86D3D"/>
    <w:rsid w:val="00E86DCC"/>
    <w:rsid w:val="00E86E12"/>
    <w:rsid w:val="00E874EA"/>
    <w:rsid w:val="00E87B3A"/>
    <w:rsid w:val="00E87F99"/>
    <w:rsid w:val="00E87FA1"/>
    <w:rsid w:val="00E901F5"/>
    <w:rsid w:val="00E90288"/>
    <w:rsid w:val="00E90FFF"/>
    <w:rsid w:val="00E912A8"/>
    <w:rsid w:val="00E9159C"/>
    <w:rsid w:val="00E91A2A"/>
    <w:rsid w:val="00E9247A"/>
    <w:rsid w:val="00E92742"/>
    <w:rsid w:val="00E927FF"/>
    <w:rsid w:val="00E92DC4"/>
    <w:rsid w:val="00E9345A"/>
    <w:rsid w:val="00E9352E"/>
    <w:rsid w:val="00E93A4F"/>
    <w:rsid w:val="00E94C26"/>
    <w:rsid w:val="00E94DEE"/>
    <w:rsid w:val="00E95011"/>
    <w:rsid w:val="00E955AB"/>
    <w:rsid w:val="00E95FCA"/>
    <w:rsid w:val="00E96EB8"/>
    <w:rsid w:val="00E97BB7"/>
    <w:rsid w:val="00E97BDC"/>
    <w:rsid w:val="00E97C79"/>
    <w:rsid w:val="00E97E28"/>
    <w:rsid w:val="00EA00D4"/>
    <w:rsid w:val="00EA02B8"/>
    <w:rsid w:val="00EA1B1D"/>
    <w:rsid w:val="00EA1ED8"/>
    <w:rsid w:val="00EA20FA"/>
    <w:rsid w:val="00EA2469"/>
    <w:rsid w:val="00EA24F0"/>
    <w:rsid w:val="00EA2678"/>
    <w:rsid w:val="00EA29AE"/>
    <w:rsid w:val="00EA49D0"/>
    <w:rsid w:val="00EA4A4D"/>
    <w:rsid w:val="00EA4B3E"/>
    <w:rsid w:val="00EA514A"/>
    <w:rsid w:val="00EA5A1D"/>
    <w:rsid w:val="00EA5A56"/>
    <w:rsid w:val="00EA5B22"/>
    <w:rsid w:val="00EA6604"/>
    <w:rsid w:val="00EA68A3"/>
    <w:rsid w:val="00EA6A0D"/>
    <w:rsid w:val="00EA6BAF"/>
    <w:rsid w:val="00EA6DA6"/>
    <w:rsid w:val="00EA6FA4"/>
    <w:rsid w:val="00EA7573"/>
    <w:rsid w:val="00EB0041"/>
    <w:rsid w:val="00EB0528"/>
    <w:rsid w:val="00EB163B"/>
    <w:rsid w:val="00EB1C4C"/>
    <w:rsid w:val="00EB1EEE"/>
    <w:rsid w:val="00EB24AB"/>
    <w:rsid w:val="00EB26E0"/>
    <w:rsid w:val="00EB2B31"/>
    <w:rsid w:val="00EB2C6F"/>
    <w:rsid w:val="00EB2E3E"/>
    <w:rsid w:val="00EB2FD8"/>
    <w:rsid w:val="00EB3040"/>
    <w:rsid w:val="00EB31D9"/>
    <w:rsid w:val="00EB3278"/>
    <w:rsid w:val="00EB384B"/>
    <w:rsid w:val="00EB38F2"/>
    <w:rsid w:val="00EB3D0E"/>
    <w:rsid w:val="00EB412C"/>
    <w:rsid w:val="00EB447C"/>
    <w:rsid w:val="00EB4491"/>
    <w:rsid w:val="00EB4795"/>
    <w:rsid w:val="00EB4BA3"/>
    <w:rsid w:val="00EB4D0F"/>
    <w:rsid w:val="00EB4F6D"/>
    <w:rsid w:val="00EB514D"/>
    <w:rsid w:val="00EB54B5"/>
    <w:rsid w:val="00EB5517"/>
    <w:rsid w:val="00EB5B11"/>
    <w:rsid w:val="00EB5B1E"/>
    <w:rsid w:val="00EB69A2"/>
    <w:rsid w:val="00EB71FF"/>
    <w:rsid w:val="00EB734F"/>
    <w:rsid w:val="00EB7A76"/>
    <w:rsid w:val="00EB7C21"/>
    <w:rsid w:val="00EB7DC4"/>
    <w:rsid w:val="00EC05F8"/>
    <w:rsid w:val="00EC0846"/>
    <w:rsid w:val="00EC1337"/>
    <w:rsid w:val="00EC1351"/>
    <w:rsid w:val="00EC1746"/>
    <w:rsid w:val="00EC1ECE"/>
    <w:rsid w:val="00EC2823"/>
    <w:rsid w:val="00EC33A8"/>
    <w:rsid w:val="00EC3951"/>
    <w:rsid w:val="00EC3AE7"/>
    <w:rsid w:val="00EC4327"/>
    <w:rsid w:val="00EC43A4"/>
    <w:rsid w:val="00EC5D3E"/>
    <w:rsid w:val="00EC62B5"/>
    <w:rsid w:val="00EC66A3"/>
    <w:rsid w:val="00EC66AF"/>
    <w:rsid w:val="00EC69E7"/>
    <w:rsid w:val="00EC70AE"/>
    <w:rsid w:val="00EC7235"/>
    <w:rsid w:val="00EC741E"/>
    <w:rsid w:val="00EC74D7"/>
    <w:rsid w:val="00EC7543"/>
    <w:rsid w:val="00EC7A50"/>
    <w:rsid w:val="00EC7DED"/>
    <w:rsid w:val="00ED0778"/>
    <w:rsid w:val="00ED09B8"/>
    <w:rsid w:val="00ED0AE4"/>
    <w:rsid w:val="00ED1214"/>
    <w:rsid w:val="00ED1291"/>
    <w:rsid w:val="00ED2E67"/>
    <w:rsid w:val="00ED3060"/>
    <w:rsid w:val="00ED34CD"/>
    <w:rsid w:val="00ED3CB9"/>
    <w:rsid w:val="00ED4138"/>
    <w:rsid w:val="00ED4ACD"/>
    <w:rsid w:val="00ED4B81"/>
    <w:rsid w:val="00ED4E91"/>
    <w:rsid w:val="00ED510E"/>
    <w:rsid w:val="00ED540D"/>
    <w:rsid w:val="00ED5425"/>
    <w:rsid w:val="00ED556B"/>
    <w:rsid w:val="00ED5F39"/>
    <w:rsid w:val="00ED6636"/>
    <w:rsid w:val="00ED6CC3"/>
    <w:rsid w:val="00ED6FA1"/>
    <w:rsid w:val="00ED717B"/>
    <w:rsid w:val="00ED76DD"/>
    <w:rsid w:val="00ED7CB3"/>
    <w:rsid w:val="00EE0731"/>
    <w:rsid w:val="00EE1562"/>
    <w:rsid w:val="00EE16D4"/>
    <w:rsid w:val="00EE1724"/>
    <w:rsid w:val="00EE1A59"/>
    <w:rsid w:val="00EE1EC3"/>
    <w:rsid w:val="00EE2675"/>
    <w:rsid w:val="00EE36E5"/>
    <w:rsid w:val="00EE3878"/>
    <w:rsid w:val="00EE4432"/>
    <w:rsid w:val="00EE44E6"/>
    <w:rsid w:val="00EE4959"/>
    <w:rsid w:val="00EE4A95"/>
    <w:rsid w:val="00EE4AFC"/>
    <w:rsid w:val="00EE4D72"/>
    <w:rsid w:val="00EE5002"/>
    <w:rsid w:val="00EE559D"/>
    <w:rsid w:val="00EE5BA0"/>
    <w:rsid w:val="00EE6860"/>
    <w:rsid w:val="00EE7153"/>
    <w:rsid w:val="00EE78C0"/>
    <w:rsid w:val="00EF0090"/>
    <w:rsid w:val="00EF030D"/>
    <w:rsid w:val="00EF07B3"/>
    <w:rsid w:val="00EF0BCF"/>
    <w:rsid w:val="00EF0E68"/>
    <w:rsid w:val="00EF10EC"/>
    <w:rsid w:val="00EF11F8"/>
    <w:rsid w:val="00EF2221"/>
    <w:rsid w:val="00EF22D7"/>
    <w:rsid w:val="00EF3099"/>
    <w:rsid w:val="00EF36CE"/>
    <w:rsid w:val="00EF3752"/>
    <w:rsid w:val="00EF3D58"/>
    <w:rsid w:val="00EF4050"/>
    <w:rsid w:val="00EF4306"/>
    <w:rsid w:val="00EF4ED5"/>
    <w:rsid w:val="00EF511A"/>
    <w:rsid w:val="00EF52A4"/>
    <w:rsid w:val="00EF5377"/>
    <w:rsid w:val="00EF5612"/>
    <w:rsid w:val="00EF596D"/>
    <w:rsid w:val="00EF5FC4"/>
    <w:rsid w:val="00EF6BF9"/>
    <w:rsid w:val="00EF75E2"/>
    <w:rsid w:val="00EF7810"/>
    <w:rsid w:val="00EF7BED"/>
    <w:rsid w:val="00F0019B"/>
    <w:rsid w:val="00F00CF6"/>
    <w:rsid w:val="00F01B49"/>
    <w:rsid w:val="00F023F5"/>
    <w:rsid w:val="00F024E6"/>
    <w:rsid w:val="00F02D0E"/>
    <w:rsid w:val="00F031F7"/>
    <w:rsid w:val="00F033AF"/>
    <w:rsid w:val="00F03D67"/>
    <w:rsid w:val="00F03F2D"/>
    <w:rsid w:val="00F04DC9"/>
    <w:rsid w:val="00F04E93"/>
    <w:rsid w:val="00F05BC0"/>
    <w:rsid w:val="00F05CCE"/>
    <w:rsid w:val="00F06156"/>
    <w:rsid w:val="00F061B1"/>
    <w:rsid w:val="00F062D1"/>
    <w:rsid w:val="00F0633E"/>
    <w:rsid w:val="00F0640D"/>
    <w:rsid w:val="00F067D7"/>
    <w:rsid w:val="00F076E6"/>
    <w:rsid w:val="00F0790D"/>
    <w:rsid w:val="00F07A3B"/>
    <w:rsid w:val="00F07B54"/>
    <w:rsid w:val="00F0A231"/>
    <w:rsid w:val="00F10B32"/>
    <w:rsid w:val="00F10BCA"/>
    <w:rsid w:val="00F10E39"/>
    <w:rsid w:val="00F10E5E"/>
    <w:rsid w:val="00F11A37"/>
    <w:rsid w:val="00F11CBF"/>
    <w:rsid w:val="00F11E26"/>
    <w:rsid w:val="00F11EBD"/>
    <w:rsid w:val="00F12070"/>
    <w:rsid w:val="00F121A9"/>
    <w:rsid w:val="00F12584"/>
    <w:rsid w:val="00F12CF4"/>
    <w:rsid w:val="00F13204"/>
    <w:rsid w:val="00F133A6"/>
    <w:rsid w:val="00F1357A"/>
    <w:rsid w:val="00F1358C"/>
    <w:rsid w:val="00F13732"/>
    <w:rsid w:val="00F138E6"/>
    <w:rsid w:val="00F145F6"/>
    <w:rsid w:val="00F14CFB"/>
    <w:rsid w:val="00F14E59"/>
    <w:rsid w:val="00F15BB2"/>
    <w:rsid w:val="00F15CE8"/>
    <w:rsid w:val="00F16146"/>
    <w:rsid w:val="00F1642B"/>
    <w:rsid w:val="00F16CBA"/>
    <w:rsid w:val="00F179C2"/>
    <w:rsid w:val="00F17B12"/>
    <w:rsid w:val="00F17C9C"/>
    <w:rsid w:val="00F2033D"/>
    <w:rsid w:val="00F203B3"/>
    <w:rsid w:val="00F20742"/>
    <w:rsid w:val="00F20EE1"/>
    <w:rsid w:val="00F20F66"/>
    <w:rsid w:val="00F2162F"/>
    <w:rsid w:val="00F219C1"/>
    <w:rsid w:val="00F21F8D"/>
    <w:rsid w:val="00F220B2"/>
    <w:rsid w:val="00F225B7"/>
    <w:rsid w:val="00F2284A"/>
    <w:rsid w:val="00F22CED"/>
    <w:rsid w:val="00F2315F"/>
    <w:rsid w:val="00F233B6"/>
    <w:rsid w:val="00F23AD0"/>
    <w:rsid w:val="00F24A7E"/>
    <w:rsid w:val="00F250A0"/>
    <w:rsid w:val="00F2526E"/>
    <w:rsid w:val="00F2542B"/>
    <w:rsid w:val="00F2556A"/>
    <w:rsid w:val="00F25593"/>
    <w:rsid w:val="00F258BD"/>
    <w:rsid w:val="00F26526"/>
    <w:rsid w:val="00F27F16"/>
    <w:rsid w:val="00F3046C"/>
    <w:rsid w:val="00F3067F"/>
    <w:rsid w:val="00F307D4"/>
    <w:rsid w:val="00F318C4"/>
    <w:rsid w:val="00F31F32"/>
    <w:rsid w:val="00F31FAF"/>
    <w:rsid w:val="00F324E9"/>
    <w:rsid w:val="00F3251E"/>
    <w:rsid w:val="00F328CA"/>
    <w:rsid w:val="00F3309E"/>
    <w:rsid w:val="00F334D7"/>
    <w:rsid w:val="00F334E3"/>
    <w:rsid w:val="00F336AB"/>
    <w:rsid w:val="00F3380D"/>
    <w:rsid w:val="00F33B31"/>
    <w:rsid w:val="00F340D9"/>
    <w:rsid w:val="00F34318"/>
    <w:rsid w:val="00F34798"/>
    <w:rsid w:val="00F34833"/>
    <w:rsid w:val="00F34B4A"/>
    <w:rsid w:val="00F35AF4"/>
    <w:rsid w:val="00F35BA2"/>
    <w:rsid w:val="00F35DDF"/>
    <w:rsid w:val="00F3601A"/>
    <w:rsid w:val="00F36254"/>
    <w:rsid w:val="00F36809"/>
    <w:rsid w:val="00F36BFB"/>
    <w:rsid w:val="00F36D49"/>
    <w:rsid w:val="00F36E67"/>
    <w:rsid w:val="00F36ECD"/>
    <w:rsid w:val="00F37253"/>
    <w:rsid w:val="00F373B4"/>
    <w:rsid w:val="00F37872"/>
    <w:rsid w:val="00F37AD7"/>
    <w:rsid w:val="00F37BC4"/>
    <w:rsid w:val="00F37EDE"/>
    <w:rsid w:val="00F402DA"/>
    <w:rsid w:val="00F40A08"/>
    <w:rsid w:val="00F410D0"/>
    <w:rsid w:val="00F418B9"/>
    <w:rsid w:val="00F41F8B"/>
    <w:rsid w:val="00F420A0"/>
    <w:rsid w:val="00F42355"/>
    <w:rsid w:val="00F423C8"/>
    <w:rsid w:val="00F4240E"/>
    <w:rsid w:val="00F43137"/>
    <w:rsid w:val="00F43200"/>
    <w:rsid w:val="00F43ABB"/>
    <w:rsid w:val="00F43DB1"/>
    <w:rsid w:val="00F43ECF"/>
    <w:rsid w:val="00F4404D"/>
    <w:rsid w:val="00F446C8"/>
    <w:rsid w:val="00F4644A"/>
    <w:rsid w:val="00F46671"/>
    <w:rsid w:val="00F466C4"/>
    <w:rsid w:val="00F46B8A"/>
    <w:rsid w:val="00F46BB7"/>
    <w:rsid w:val="00F46EF1"/>
    <w:rsid w:val="00F474B4"/>
    <w:rsid w:val="00F47610"/>
    <w:rsid w:val="00F477EC"/>
    <w:rsid w:val="00F47EB3"/>
    <w:rsid w:val="00F47FE8"/>
    <w:rsid w:val="00F508E3"/>
    <w:rsid w:val="00F50B84"/>
    <w:rsid w:val="00F50F14"/>
    <w:rsid w:val="00F511B7"/>
    <w:rsid w:val="00F511BA"/>
    <w:rsid w:val="00F526A8"/>
    <w:rsid w:val="00F539DB"/>
    <w:rsid w:val="00F5422D"/>
    <w:rsid w:val="00F54DCC"/>
    <w:rsid w:val="00F557EC"/>
    <w:rsid w:val="00F55B96"/>
    <w:rsid w:val="00F5665C"/>
    <w:rsid w:val="00F56781"/>
    <w:rsid w:val="00F571B5"/>
    <w:rsid w:val="00F57301"/>
    <w:rsid w:val="00F574A2"/>
    <w:rsid w:val="00F57963"/>
    <w:rsid w:val="00F57A8C"/>
    <w:rsid w:val="00F57D49"/>
    <w:rsid w:val="00F60412"/>
    <w:rsid w:val="00F60474"/>
    <w:rsid w:val="00F608F1"/>
    <w:rsid w:val="00F60D97"/>
    <w:rsid w:val="00F60DC3"/>
    <w:rsid w:val="00F61151"/>
    <w:rsid w:val="00F61264"/>
    <w:rsid w:val="00F617E1"/>
    <w:rsid w:val="00F6207B"/>
    <w:rsid w:val="00F621F6"/>
    <w:rsid w:val="00F62655"/>
    <w:rsid w:val="00F62958"/>
    <w:rsid w:val="00F63920"/>
    <w:rsid w:val="00F64C6E"/>
    <w:rsid w:val="00F64E6E"/>
    <w:rsid w:val="00F650A5"/>
    <w:rsid w:val="00F6561C"/>
    <w:rsid w:val="00F66003"/>
    <w:rsid w:val="00F66198"/>
    <w:rsid w:val="00F66B38"/>
    <w:rsid w:val="00F671C1"/>
    <w:rsid w:val="00F67FA4"/>
    <w:rsid w:val="00F70146"/>
    <w:rsid w:val="00F7028E"/>
    <w:rsid w:val="00F7052A"/>
    <w:rsid w:val="00F70904"/>
    <w:rsid w:val="00F70D58"/>
    <w:rsid w:val="00F7152C"/>
    <w:rsid w:val="00F71AAE"/>
    <w:rsid w:val="00F71E31"/>
    <w:rsid w:val="00F71EA0"/>
    <w:rsid w:val="00F71F27"/>
    <w:rsid w:val="00F72B05"/>
    <w:rsid w:val="00F72B2F"/>
    <w:rsid w:val="00F73229"/>
    <w:rsid w:val="00F732FB"/>
    <w:rsid w:val="00F73BB9"/>
    <w:rsid w:val="00F73F78"/>
    <w:rsid w:val="00F7457D"/>
    <w:rsid w:val="00F745F6"/>
    <w:rsid w:val="00F7463D"/>
    <w:rsid w:val="00F746B5"/>
    <w:rsid w:val="00F74787"/>
    <w:rsid w:val="00F75063"/>
    <w:rsid w:val="00F75233"/>
    <w:rsid w:val="00F75327"/>
    <w:rsid w:val="00F75658"/>
    <w:rsid w:val="00F756D2"/>
    <w:rsid w:val="00F75784"/>
    <w:rsid w:val="00F76459"/>
    <w:rsid w:val="00F76810"/>
    <w:rsid w:val="00F76813"/>
    <w:rsid w:val="00F77446"/>
    <w:rsid w:val="00F7748E"/>
    <w:rsid w:val="00F776B9"/>
    <w:rsid w:val="00F777D8"/>
    <w:rsid w:val="00F8003E"/>
    <w:rsid w:val="00F80083"/>
    <w:rsid w:val="00F80086"/>
    <w:rsid w:val="00F80176"/>
    <w:rsid w:val="00F802F2"/>
    <w:rsid w:val="00F8031B"/>
    <w:rsid w:val="00F808EB"/>
    <w:rsid w:val="00F8092E"/>
    <w:rsid w:val="00F80ABB"/>
    <w:rsid w:val="00F81237"/>
    <w:rsid w:val="00F8138A"/>
    <w:rsid w:val="00F817A8"/>
    <w:rsid w:val="00F82237"/>
    <w:rsid w:val="00F822B0"/>
    <w:rsid w:val="00F8289D"/>
    <w:rsid w:val="00F82F09"/>
    <w:rsid w:val="00F82F17"/>
    <w:rsid w:val="00F835E9"/>
    <w:rsid w:val="00F83670"/>
    <w:rsid w:val="00F83B31"/>
    <w:rsid w:val="00F83D0D"/>
    <w:rsid w:val="00F8411A"/>
    <w:rsid w:val="00F84435"/>
    <w:rsid w:val="00F844AA"/>
    <w:rsid w:val="00F8491F"/>
    <w:rsid w:val="00F849E8"/>
    <w:rsid w:val="00F84D8D"/>
    <w:rsid w:val="00F859C3"/>
    <w:rsid w:val="00F86180"/>
    <w:rsid w:val="00F8625E"/>
    <w:rsid w:val="00F8629A"/>
    <w:rsid w:val="00F8657C"/>
    <w:rsid w:val="00F86AED"/>
    <w:rsid w:val="00F87257"/>
    <w:rsid w:val="00F87615"/>
    <w:rsid w:val="00F879B3"/>
    <w:rsid w:val="00F87A83"/>
    <w:rsid w:val="00F87BA4"/>
    <w:rsid w:val="00F9019E"/>
    <w:rsid w:val="00F90804"/>
    <w:rsid w:val="00F9126F"/>
    <w:rsid w:val="00F914A4"/>
    <w:rsid w:val="00F9154D"/>
    <w:rsid w:val="00F91704"/>
    <w:rsid w:val="00F9185E"/>
    <w:rsid w:val="00F91F34"/>
    <w:rsid w:val="00F92289"/>
    <w:rsid w:val="00F92DF8"/>
    <w:rsid w:val="00F93A8C"/>
    <w:rsid w:val="00F94FC4"/>
    <w:rsid w:val="00F95275"/>
    <w:rsid w:val="00F9586A"/>
    <w:rsid w:val="00F9594E"/>
    <w:rsid w:val="00F95AD6"/>
    <w:rsid w:val="00F95C55"/>
    <w:rsid w:val="00F9614F"/>
    <w:rsid w:val="00F96554"/>
    <w:rsid w:val="00F9673B"/>
    <w:rsid w:val="00F96BDC"/>
    <w:rsid w:val="00F97610"/>
    <w:rsid w:val="00F97BFE"/>
    <w:rsid w:val="00FA0140"/>
    <w:rsid w:val="00FA0A68"/>
    <w:rsid w:val="00FA0BDF"/>
    <w:rsid w:val="00FA14B8"/>
    <w:rsid w:val="00FA15B6"/>
    <w:rsid w:val="00FA1756"/>
    <w:rsid w:val="00FA245E"/>
    <w:rsid w:val="00FA251F"/>
    <w:rsid w:val="00FA267F"/>
    <w:rsid w:val="00FA2CAA"/>
    <w:rsid w:val="00FA2DA0"/>
    <w:rsid w:val="00FA31D0"/>
    <w:rsid w:val="00FA33AF"/>
    <w:rsid w:val="00FA36AA"/>
    <w:rsid w:val="00FA370D"/>
    <w:rsid w:val="00FA3823"/>
    <w:rsid w:val="00FA3BEB"/>
    <w:rsid w:val="00FA3FFA"/>
    <w:rsid w:val="00FA4511"/>
    <w:rsid w:val="00FA47E1"/>
    <w:rsid w:val="00FA498B"/>
    <w:rsid w:val="00FA4DF8"/>
    <w:rsid w:val="00FA54F5"/>
    <w:rsid w:val="00FA5589"/>
    <w:rsid w:val="00FA5AEA"/>
    <w:rsid w:val="00FA65A0"/>
    <w:rsid w:val="00FA6717"/>
    <w:rsid w:val="00FA6A9F"/>
    <w:rsid w:val="00FA6D4B"/>
    <w:rsid w:val="00FA7085"/>
    <w:rsid w:val="00FA78CB"/>
    <w:rsid w:val="00FB0C21"/>
    <w:rsid w:val="00FB0CD8"/>
    <w:rsid w:val="00FB192D"/>
    <w:rsid w:val="00FB1AFE"/>
    <w:rsid w:val="00FB2082"/>
    <w:rsid w:val="00FB28C0"/>
    <w:rsid w:val="00FB2BBA"/>
    <w:rsid w:val="00FB312D"/>
    <w:rsid w:val="00FB33AC"/>
    <w:rsid w:val="00FB3967"/>
    <w:rsid w:val="00FB3E7C"/>
    <w:rsid w:val="00FB4748"/>
    <w:rsid w:val="00FB48AE"/>
    <w:rsid w:val="00FB4A0F"/>
    <w:rsid w:val="00FB4A4B"/>
    <w:rsid w:val="00FB5442"/>
    <w:rsid w:val="00FB5491"/>
    <w:rsid w:val="00FB5D0A"/>
    <w:rsid w:val="00FB6B2A"/>
    <w:rsid w:val="00FB717A"/>
    <w:rsid w:val="00FC005A"/>
    <w:rsid w:val="00FC0092"/>
    <w:rsid w:val="00FC1027"/>
    <w:rsid w:val="00FC2723"/>
    <w:rsid w:val="00FC28E3"/>
    <w:rsid w:val="00FC296D"/>
    <w:rsid w:val="00FC2A61"/>
    <w:rsid w:val="00FC2D64"/>
    <w:rsid w:val="00FC2DB8"/>
    <w:rsid w:val="00FC3070"/>
    <w:rsid w:val="00FC3195"/>
    <w:rsid w:val="00FC31F6"/>
    <w:rsid w:val="00FC3651"/>
    <w:rsid w:val="00FC365B"/>
    <w:rsid w:val="00FC3796"/>
    <w:rsid w:val="00FC39A8"/>
    <w:rsid w:val="00FC4081"/>
    <w:rsid w:val="00FC40CC"/>
    <w:rsid w:val="00FC421E"/>
    <w:rsid w:val="00FC4282"/>
    <w:rsid w:val="00FC43E3"/>
    <w:rsid w:val="00FC4AC6"/>
    <w:rsid w:val="00FC4D56"/>
    <w:rsid w:val="00FC4F6F"/>
    <w:rsid w:val="00FC4FAD"/>
    <w:rsid w:val="00FC5687"/>
    <w:rsid w:val="00FC651B"/>
    <w:rsid w:val="00FC6B85"/>
    <w:rsid w:val="00FC6BDE"/>
    <w:rsid w:val="00FC6CC9"/>
    <w:rsid w:val="00FC70F9"/>
    <w:rsid w:val="00FC71C3"/>
    <w:rsid w:val="00FC7242"/>
    <w:rsid w:val="00FC7609"/>
    <w:rsid w:val="00FC7FD8"/>
    <w:rsid w:val="00FD024A"/>
    <w:rsid w:val="00FD07C3"/>
    <w:rsid w:val="00FD0C03"/>
    <w:rsid w:val="00FD0C7A"/>
    <w:rsid w:val="00FD0F51"/>
    <w:rsid w:val="00FD1053"/>
    <w:rsid w:val="00FD10A5"/>
    <w:rsid w:val="00FD131B"/>
    <w:rsid w:val="00FD1504"/>
    <w:rsid w:val="00FD1671"/>
    <w:rsid w:val="00FD1A39"/>
    <w:rsid w:val="00FD21E7"/>
    <w:rsid w:val="00FD28E2"/>
    <w:rsid w:val="00FD2E7E"/>
    <w:rsid w:val="00FD2F3E"/>
    <w:rsid w:val="00FD316D"/>
    <w:rsid w:val="00FD31A3"/>
    <w:rsid w:val="00FD32F6"/>
    <w:rsid w:val="00FD38AF"/>
    <w:rsid w:val="00FD3BA8"/>
    <w:rsid w:val="00FD3C90"/>
    <w:rsid w:val="00FD420B"/>
    <w:rsid w:val="00FD42A3"/>
    <w:rsid w:val="00FD462C"/>
    <w:rsid w:val="00FD481C"/>
    <w:rsid w:val="00FD4A18"/>
    <w:rsid w:val="00FD4AAB"/>
    <w:rsid w:val="00FD4CC3"/>
    <w:rsid w:val="00FD4DFF"/>
    <w:rsid w:val="00FD58CC"/>
    <w:rsid w:val="00FD5902"/>
    <w:rsid w:val="00FD5E53"/>
    <w:rsid w:val="00FD606E"/>
    <w:rsid w:val="00FD7445"/>
    <w:rsid w:val="00FD790D"/>
    <w:rsid w:val="00FD7BC2"/>
    <w:rsid w:val="00FD7C18"/>
    <w:rsid w:val="00FD7CD5"/>
    <w:rsid w:val="00FD7D01"/>
    <w:rsid w:val="00FE00C0"/>
    <w:rsid w:val="00FE0581"/>
    <w:rsid w:val="00FE0C87"/>
    <w:rsid w:val="00FE0F25"/>
    <w:rsid w:val="00FE1B84"/>
    <w:rsid w:val="00FE1CF7"/>
    <w:rsid w:val="00FE1F01"/>
    <w:rsid w:val="00FE2507"/>
    <w:rsid w:val="00FE278E"/>
    <w:rsid w:val="00FE279B"/>
    <w:rsid w:val="00FE2C6A"/>
    <w:rsid w:val="00FE31EA"/>
    <w:rsid w:val="00FE33A3"/>
    <w:rsid w:val="00FE354F"/>
    <w:rsid w:val="00FE37C6"/>
    <w:rsid w:val="00FE3949"/>
    <w:rsid w:val="00FE4523"/>
    <w:rsid w:val="00FE46B9"/>
    <w:rsid w:val="00FE4BC4"/>
    <w:rsid w:val="00FE5009"/>
    <w:rsid w:val="00FE5B08"/>
    <w:rsid w:val="00FE6019"/>
    <w:rsid w:val="00FE634B"/>
    <w:rsid w:val="00FE63FB"/>
    <w:rsid w:val="00FE667A"/>
    <w:rsid w:val="00FE6E8A"/>
    <w:rsid w:val="00FE7B04"/>
    <w:rsid w:val="00FF0392"/>
    <w:rsid w:val="00FF03A3"/>
    <w:rsid w:val="00FF0653"/>
    <w:rsid w:val="00FF09C4"/>
    <w:rsid w:val="00FF0AA6"/>
    <w:rsid w:val="00FF0E71"/>
    <w:rsid w:val="00FF0F2A"/>
    <w:rsid w:val="00FF1721"/>
    <w:rsid w:val="00FF1FD2"/>
    <w:rsid w:val="00FF2359"/>
    <w:rsid w:val="00FF2430"/>
    <w:rsid w:val="00FF2888"/>
    <w:rsid w:val="00FF2D03"/>
    <w:rsid w:val="00FF2D6C"/>
    <w:rsid w:val="00FF34E0"/>
    <w:rsid w:val="00FF381F"/>
    <w:rsid w:val="00FF427A"/>
    <w:rsid w:val="00FF4480"/>
    <w:rsid w:val="00FF49EA"/>
    <w:rsid w:val="00FF509E"/>
    <w:rsid w:val="00FF5953"/>
    <w:rsid w:val="00FF5B67"/>
    <w:rsid w:val="00FF6559"/>
    <w:rsid w:val="00FF6836"/>
    <w:rsid w:val="00FF68E4"/>
    <w:rsid w:val="00FF6B46"/>
    <w:rsid w:val="00FF6F7E"/>
    <w:rsid w:val="00FF7187"/>
    <w:rsid w:val="00FF72AF"/>
    <w:rsid w:val="01052DD5"/>
    <w:rsid w:val="01228413"/>
    <w:rsid w:val="01375702"/>
    <w:rsid w:val="0137F986"/>
    <w:rsid w:val="0138D556"/>
    <w:rsid w:val="0152E119"/>
    <w:rsid w:val="0153F4C2"/>
    <w:rsid w:val="015BA1E4"/>
    <w:rsid w:val="015C069A"/>
    <w:rsid w:val="0192D86A"/>
    <w:rsid w:val="0193CAEA"/>
    <w:rsid w:val="0194DE71"/>
    <w:rsid w:val="01A43926"/>
    <w:rsid w:val="01B7A631"/>
    <w:rsid w:val="01C11AC2"/>
    <w:rsid w:val="01C6A645"/>
    <w:rsid w:val="01C6BEE7"/>
    <w:rsid w:val="01C88625"/>
    <w:rsid w:val="01E7023F"/>
    <w:rsid w:val="01FB01E6"/>
    <w:rsid w:val="01FD5F94"/>
    <w:rsid w:val="020A0414"/>
    <w:rsid w:val="02238C50"/>
    <w:rsid w:val="022F6702"/>
    <w:rsid w:val="023DE693"/>
    <w:rsid w:val="023ED4AB"/>
    <w:rsid w:val="024514FE"/>
    <w:rsid w:val="02495D44"/>
    <w:rsid w:val="025ABCF6"/>
    <w:rsid w:val="02658541"/>
    <w:rsid w:val="0265ACD4"/>
    <w:rsid w:val="027CAF37"/>
    <w:rsid w:val="0280F0CF"/>
    <w:rsid w:val="028F80FE"/>
    <w:rsid w:val="02AB7566"/>
    <w:rsid w:val="02C32FBA"/>
    <w:rsid w:val="02C9898C"/>
    <w:rsid w:val="02CA380C"/>
    <w:rsid w:val="02CBA9FD"/>
    <w:rsid w:val="02D6DE03"/>
    <w:rsid w:val="02F4ACD2"/>
    <w:rsid w:val="030BAD94"/>
    <w:rsid w:val="031A87A6"/>
    <w:rsid w:val="032AEDE0"/>
    <w:rsid w:val="032D9580"/>
    <w:rsid w:val="033BF09C"/>
    <w:rsid w:val="033CA496"/>
    <w:rsid w:val="033D5D19"/>
    <w:rsid w:val="034A1557"/>
    <w:rsid w:val="034D97A8"/>
    <w:rsid w:val="036077B4"/>
    <w:rsid w:val="036B6213"/>
    <w:rsid w:val="03846E94"/>
    <w:rsid w:val="03A93EF4"/>
    <w:rsid w:val="03AF3007"/>
    <w:rsid w:val="03B570ED"/>
    <w:rsid w:val="03C0B632"/>
    <w:rsid w:val="03C3419E"/>
    <w:rsid w:val="03CDD49D"/>
    <w:rsid w:val="03E8B4C7"/>
    <w:rsid w:val="03F0F8E5"/>
    <w:rsid w:val="0409E28E"/>
    <w:rsid w:val="042F87FE"/>
    <w:rsid w:val="0439E2F0"/>
    <w:rsid w:val="044611C7"/>
    <w:rsid w:val="04471148"/>
    <w:rsid w:val="0450FBA0"/>
    <w:rsid w:val="0457FEFF"/>
    <w:rsid w:val="045AC591"/>
    <w:rsid w:val="0461DD77"/>
    <w:rsid w:val="0464ABA8"/>
    <w:rsid w:val="0475CE0D"/>
    <w:rsid w:val="047D1C53"/>
    <w:rsid w:val="047DD87C"/>
    <w:rsid w:val="04A92B6C"/>
    <w:rsid w:val="04B5A285"/>
    <w:rsid w:val="04C6B903"/>
    <w:rsid w:val="04C79555"/>
    <w:rsid w:val="04D312EC"/>
    <w:rsid w:val="04D4EDFE"/>
    <w:rsid w:val="04F2B272"/>
    <w:rsid w:val="04F46584"/>
    <w:rsid w:val="04F7B66E"/>
    <w:rsid w:val="0500C066"/>
    <w:rsid w:val="0502DD93"/>
    <w:rsid w:val="05179570"/>
    <w:rsid w:val="05212FBB"/>
    <w:rsid w:val="0532B76C"/>
    <w:rsid w:val="05382503"/>
    <w:rsid w:val="053B181E"/>
    <w:rsid w:val="053C2C3E"/>
    <w:rsid w:val="053F742D"/>
    <w:rsid w:val="0544643D"/>
    <w:rsid w:val="054B81C3"/>
    <w:rsid w:val="055D2819"/>
    <w:rsid w:val="055ED0F2"/>
    <w:rsid w:val="05690517"/>
    <w:rsid w:val="0570C72A"/>
    <w:rsid w:val="0582C8CD"/>
    <w:rsid w:val="0589AEDD"/>
    <w:rsid w:val="058A7049"/>
    <w:rsid w:val="0599ED84"/>
    <w:rsid w:val="059A7FD9"/>
    <w:rsid w:val="059D5A15"/>
    <w:rsid w:val="059EA8A2"/>
    <w:rsid w:val="05A6DBF1"/>
    <w:rsid w:val="05B17520"/>
    <w:rsid w:val="05B3EF72"/>
    <w:rsid w:val="05B7D007"/>
    <w:rsid w:val="05C3FFE4"/>
    <w:rsid w:val="05E504D1"/>
    <w:rsid w:val="0606753F"/>
    <w:rsid w:val="060EEEC2"/>
    <w:rsid w:val="06183C7D"/>
    <w:rsid w:val="061BAA73"/>
    <w:rsid w:val="06218695"/>
    <w:rsid w:val="0621B4B7"/>
    <w:rsid w:val="0624663F"/>
    <w:rsid w:val="06382599"/>
    <w:rsid w:val="06420366"/>
    <w:rsid w:val="064608FD"/>
    <w:rsid w:val="0646C1CA"/>
    <w:rsid w:val="06549420"/>
    <w:rsid w:val="06626BB4"/>
    <w:rsid w:val="06732189"/>
    <w:rsid w:val="067DB111"/>
    <w:rsid w:val="0684AE0D"/>
    <w:rsid w:val="068AB4FF"/>
    <w:rsid w:val="069D7A86"/>
    <w:rsid w:val="069E2CA1"/>
    <w:rsid w:val="06A419CC"/>
    <w:rsid w:val="06B2C720"/>
    <w:rsid w:val="06B800FB"/>
    <w:rsid w:val="06BCABF2"/>
    <w:rsid w:val="06BED1BB"/>
    <w:rsid w:val="06C39524"/>
    <w:rsid w:val="06D14C89"/>
    <w:rsid w:val="06E2689C"/>
    <w:rsid w:val="06F0B368"/>
    <w:rsid w:val="06F73DFD"/>
    <w:rsid w:val="06F9C695"/>
    <w:rsid w:val="0703ACAA"/>
    <w:rsid w:val="0706D8A7"/>
    <w:rsid w:val="070741FA"/>
    <w:rsid w:val="0719ECFC"/>
    <w:rsid w:val="072704FC"/>
    <w:rsid w:val="072D0E6A"/>
    <w:rsid w:val="072F8DE9"/>
    <w:rsid w:val="07361709"/>
    <w:rsid w:val="0738DDE6"/>
    <w:rsid w:val="0739C075"/>
    <w:rsid w:val="074623C4"/>
    <w:rsid w:val="074D98B5"/>
    <w:rsid w:val="07609A3F"/>
    <w:rsid w:val="07695D09"/>
    <w:rsid w:val="077942D1"/>
    <w:rsid w:val="078F2F25"/>
    <w:rsid w:val="079C3B43"/>
    <w:rsid w:val="07C03567"/>
    <w:rsid w:val="07CA480B"/>
    <w:rsid w:val="07CDD0B4"/>
    <w:rsid w:val="07DF8DBB"/>
    <w:rsid w:val="07E71661"/>
    <w:rsid w:val="07FDB05C"/>
    <w:rsid w:val="08037EE7"/>
    <w:rsid w:val="0805D738"/>
    <w:rsid w:val="08124AB5"/>
    <w:rsid w:val="081873A3"/>
    <w:rsid w:val="082112AA"/>
    <w:rsid w:val="0823E7B6"/>
    <w:rsid w:val="082F532B"/>
    <w:rsid w:val="0846E201"/>
    <w:rsid w:val="084A9A37"/>
    <w:rsid w:val="084C8620"/>
    <w:rsid w:val="08504080"/>
    <w:rsid w:val="086D8AE8"/>
    <w:rsid w:val="08712258"/>
    <w:rsid w:val="087933B6"/>
    <w:rsid w:val="0890BED3"/>
    <w:rsid w:val="089124A0"/>
    <w:rsid w:val="089BA579"/>
    <w:rsid w:val="08B574B2"/>
    <w:rsid w:val="08BAE413"/>
    <w:rsid w:val="08BD7ECA"/>
    <w:rsid w:val="08C66994"/>
    <w:rsid w:val="08C8EDA7"/>
    <w:rsid w:val="08E9B095"/>
    <w:rsid w:val="08EAD6BA"/>
    <w:rsid w:val="08ECF3D3"/>
    <w:rsid w:val="08EF1320"/>
    <w:rsid w:val="08F0DF5A"/>
    <w:rsid w:val="090669CB"/>
    <w:rsid w:val="091AD895"/>
    <w:rsid w:val="091EB31B"/>
    <w:rsid w:val="0931FCD3"/>
    <w:rsid w:val="09411AF2"/>
    <w:rsid w:val="09472F39"/>
    <w:rsid w:val="095B6076"/>
    <w:rsid w:val="097E8AA2"/>
    <w:rsid w:val="099C5618"/>
    <w:rsid w:val="09B3E03C"/>
    <w:rsid w:val="09C57657"/>
    <w:rsid w:val="09CA3B5B"/>
    <w:rsid w:val="09CFAB40"/>
    <w:rsid w:val="09E8B961"/>
    <w:rsid w:val="0A05814B"/>
    <w:rsid w:val="0A0F2AAB"/>
    <w:rsid w:val="0A108D59"/>
    <w:rsid w:val="0A1B7589"/>
    <w:rsid w:val="0A472A3B"/>
    <w:rsid w:val="0A4B73FA"/>
    <w:rsid w:val="0A533937"/>
    <w:rsid w:val="0A6BF81E"/>
    <w:rsid w:val="0A78557B"/>
    <w:rsid w:val="0A78C8AD"/>
    <w:rsid w:val="0A8052E2"/>
    <w:rsid w:val="0AABB4FE"/>
    <w:rsid w:val="0AB108D4"/>
    <w:rsid w:val="0AB44255"/>
    <w:rsid w:val="0ABBB101"/>
    <w:rsid w:val="0AC70465"/>
    <w:rsid w:val="0AD268DA"/>
    <w:rsid w:val="0AD2F21E"/>
    <w:rsid w:val="0AE7CD16"/>
    <w:rsid w:val="0AEAAA5F"/>
    <w:rsid w:val="0AF61C37"/>
    <w:rsid w:val="0AFB7B84"/>
    <w:rsid w:val="0AFF87D4"/>
    <w:rsid w:val="0B0BCB5F"/>
    <w:rsid w:val="0B141A9F"/>
    <w:rsid w:val="0B277B5D"/>
    <w:rsid w:val="0B311FCB"/>
    <w:rsid w:val="0B39BC2A"/>
    <w:rsid w:val="0B3F6477"/>
    <w:rsid w:val="0B5C8BD7"/>
    <w:rsid w:val="0B647C74"/>
    <w:rsid w:val="0B6824FC"/>
    <w:rsid w:val="0B6DF60C"/>
    <w:rsid w:val="0B6FAD41"/>
    <w:rsid w:val="0B741120"/>
    <w:rsid w:val="0B81C289"/>
    <w:rsid w:val="0BA01894"/>
    <w:rsid w:val="0BA58AFF"/>
    <w:rsid w:val="0BA742D7"/>
    <w:rsid w:val="0BAFC03F"/>
    <w:rsid w:val="0BB5E22F"/>
    <w:rsid w:val="0BD33827"/>
    <w:rsid w:val="0BDA1019"/>
    <w:rsid w:val="0C0230AB"/>
    <w:rsid w:val="0C036D40"/>
    <w:rsid w:val="0C0EDFB6"/>
    <w:rsid w:val="0C113D80"/>
    <w:rsid w:val="0C16D44B"/>
    <w:rsid w:val="0C2C4FFE"/>
    <w:rsid w:val="0C2DBB05"/>
    <w:rsid w:val="0C3E5577"/>
    <w:rsid w:val="0C4311B9"/>
    <w:rsid w:val="0C48341C"/>
    <w:rsid w:val="0C4F60F1"/>
    <w:rsid w:val="0C5325EF"/>
    <w:rsid w:val="0C5D63C5"/>
    <w:rsid w:val="0C5DF870"/>
    <w:rsid w:val="0C6A54DB"/>
    <w:rsid w:val="0C7B22AB"/>
    <w:rsid w:val="0C8597E8"/>
    <w:rsid w:val="0C8F131F"/>
    <w:rsid w:val="0C96CDA3"/>
    <w:rsid w:val="0C981D12"/>
    <w:rsid w:val="0C99E1BE"/>
    <w:rsid w:val="0CCF9F35"/>
    <w:rsid w:val="0CD61F39"/>
    <w:rsid w:val="0CEEB9C9"/>
    <w:rsid w:val="0CF53898"/>
    <w:rsid w:val="0CFF82C8"/>
    <w:rsid w:val="0D16AE87"/>
    <w:rsid w:val="0D48B734"/>
    <w:rsid w:val="0D51FD94"/>
    <w:rsid w:val="0D522B0D"/>
    <w:rsid w:val="0D5B826F"/>
    <w:rsid w:val="0D665C18"/>
    <w:rsid w:val="0D739DD2"/>
    <w:rsid w:val="0D7A3DEA"/>
    <w:rsid w:val="0D7C3520"/>
    <w:rsid w:val="0D7C8FD3"/>
    <w:rsid w:val="0D7D0186"/>
    <w:rsid w:val="0D7DFC39"/>
    <w:rsid w:val="0D7FD677"/>
    <w:rsid w:val="0D88FF1B"/>
    <w:rsid w:val="0D8D70A1"/>
    <w:rsid w:val="0D91F888"/>
    <w:rsid w:val="0D92D30D"/>
    <w:rsid w:val="0DA18C46"/>
    <w:rsid w:val="0DA6BF94"/>
    <w:rsid w:val="0DAF0612"/>
    <w:rsid w:val="0DBA9764"/>
    <w:rsid w:val="0DD435CA"/>
    <w:rsid w:val="0DD82D64"/>
    <w:rsid w:val="0DFC355A"/>
    <w:rsid w:val="0DFE6597"/>
    <w:rsid w:val="0E0135B6"/>
    <w:rsid w:val="0E02C5B5"/>
    <w:rsid w:val="0E27B413"/>
    <w:rsid w:val="0E33E835"/>
    <w:rsid w:val="0E350655"/>
    <w:rsid w:val="0E3C742F"/>
    <w:rsid w:val="0E419EFB"/>
    <w:rsid w:val="0E689AC6"/>
    <w:rsid w:val="0E6CB7A5"/>
    <w:rsid w:val="0E6D70EA"/>
    <w:rsid w:val="0E6E2CD3"/>
    <w:rsid w:val="0E7DFBD3"/>
    <w:rsid w:val="0E824E59"/>
    <w:rsid w:val="0E9844A6"/>
    <w:rsid w:val="0E9CD8B6"/>
    <w:rsid w:val="0E9FA238"/>
    <w:rsid w:val="0EA45807"/>
    <w:rsid w:val="0EACF1C3"/>
    <w:rsid w:val="0EC0717E"/>
    <w:rsid w:val="0EC5255C"/>
    <w:rsid w:val="0EDE593E"/>
    <w:rsid w:val="0EE1FEC7"/>
    <w:rsid w:val="0EE6A72E"/>
    <w:rsid w:val="0EE99927"/>
    <w:rsid w:val="0EEB698D"/>
    <w:rsid w:val="0EF245BD"/>
    <w:rsid w:val="0F1FEA51"/>
    <w:rsid w:val="0F206F84"/>
    <w:rsid w:val="0F224F81"/>
    <w:rsid w:val="0F2258A3"/>
    <w:rsid w:val="0F22B841"/>
    <w:rsid w:val="0F28D233"/>
    <w:rsid w:val="0F3B2DF8"/>
    <w:rsid w:val="0F47CF0C"/>
    <w:rsid w:val="0F4E0ECE"/>
    <w:rsid w:val="0F4E35B4"/>
    <w:rsid w:val="0F53780D"/>
    <w:rsid w:val="0F607745"/>
    <w:rsid w:val="0F84A77B"/>
    <w:rsid w:val="0F8B2ECD"/>
    <w:rsid w:val="0FA0F2D5"/>
    <w:rsid w:val="0FABDAFC"/>
    <w:rsid w:val="0FC50E54"/>
    <w:rsid w:val="0FC7E5E0"/>
    <w:rsid w:val="0FD93553"/>
    <w:rsid w:val="0FE3EA6D"/>
    <w:rsid w:val="0FECBD8C"/>
    <w:rsid w:val="0FF0A359"/>
    <w:rsid w:val="0FFFD073"/>
    <w:rsid w:val="100002BF"/>
    <w:rsid w:val="1008B5DA"/>
    <w:rsid w:val="10117F42"/>
    <w:rsid w:val="10118CA1"/>
    <w:rsid w:val="101B5434"/>
    <w:rsid w:val="1020B04F"/>
    <w:rsid w:val="1030AB30"/>
    <w:rsid w:val="1033B575"/>
    <w:rsid w:val="10365333"/>
    <w:rsid w:val="103BB3B0"/>
    <w:rsid w:val="10502591"/>
    <w:rsid w:val="105826DE"/>
    <w:rsid w:val="1070BECD"/>
    <w:rsid w:val="10759994"/>
    <w:rsid w:val="107E03A2"/>
    <w:rsid w:val="107F8C6C"/>
    <w:rsid w:val="108DB9B2"/>
    <w:rsid w:val="109181B0"/>
    <w:rsid w:val="1094699F"/>
    <w:rsid w:val="10AA9C0C"/>
    <w:rsid w:val="10AB6A21"/>
    <w:rsid w:val="10BBC08E"/>
    <w:rsid w:val="10C29600"/>
    <w:rsid w:val="10CD0209"/>
    <w:rsid w:val="10E44E82"/>
    <w:rsid w:val="10E57FC1"/>
    <w:rsid w:val="10EB0303"/>
    <w:rsid w:val="10FF7BD6"/>
    <w:rsid w:val="1106E922"/>
    <w:rsid w:val="1107DA1A"/>
    <w:rsid w:val="1111CA5F"/>
    <w:rsid w:val="11142BAA"/>
    <w:rsid w:val="1136D6BD"/>
    <w:rsid w:val="11386437"/>
    <w:rsid w:val="113DA640"/>
    <w:rsid w:val="114324BF"/>
    <w:rsid w:val="11452144"/>
    <w:rsid w:val="114AA9D5"/>
    <w:rsid w:val="114CD33E"/>
    <w:rsid w:val="115537EC"/>
    <w:rsid w:val="1166F9BB"/>
    <w:rsid w:val="11774888"/>
    <w:rsid w:val="117CFF26"/>
    <w:rsid w:val="11862303"/>
    <w:rsid w:val="11B39881"/>
    <w:rsid w:val="11C66515"/>
    <w:rsid w:val="11CA947F"/>
    <w:rsid w:val="11D43D67"/>
    <w:rsid w:val="11DA2298"/>
    <w:rsid w:val="11E55153"/>
    <w:rsid w:val="1210E04F"/>
    <w:rsid w:val="1214592B"/>
    <w:rsid w:val="121F1A25"/>
    <w:rsid w:val="12268C7A"/>
    <w:rsid w:val="122C315D"/>
    <w:rsid w:val="12361ECD"/>
    <w:rsid w:val="123CCCFE"/>
    <w:rsid w:val="123EBAEC"/>
    <w:rsid w:val="124710A7"/>
    <w:rsid w:val="1248CE19"/>
    <w:rsid w:val="1253E93D"/>
    <w:rsid w:val="127F5FA8"/>
    <w:rsid w:val="128EF97B"/>
    <w:rsid w:val="129CE0C2"/>
    <w:rsid w:val="12C27753"/>
    <w:rsid w:val="12D9D6E8"/>
    <w:rsid w:val="12DF63D2"/>
    <w:rsid w:val="12F92133"/>
    <w:rsid w:val="1301136F"/>
    <w:rsid w:val="13078966"/>
    <w:rsid w:val="13198A98"/>
    <w:rsid w:val="13575346"/>
    <w:rsid w:val="135CAE14"/>
    <w:rsid w:val="135D321A"/>
    <w:rsid w:val="135F235E"/>
    <w:rsid w:val="136C2F90"/>
    <w:rsid w:val="137487EA"/>
    <w:rsid w:val="13819346"/>
    <w:rsid w:val="138243AE"/>
    <w:rsid w:val="138269B6"/>
    <w:rsid w:val="138B7458"/>
    <w:rsid w:val="13945C7E"/>
    <w:rsid w:val="13A933F8"/>
    <w:rsid w:val="13AB4595"/>
    <w:rsid w:val="13B3585A"/>
    <w:rsid w:val="13BBBD0F"/>
    <w:rsid w:val="13BC723B"/>
    <w:rsid w:val="13C51531"/>
    <w:rsid w:val="13C6BECD"/>
    <w:rsid w:val="13D071B9"/>
    <w:rsid w:val="13E5D0AE"/>
    <w:rsid w:val="140A744F"/>
    <w:rsid w:val="1410F755"/>
    <w:rsid w:val="1411A98E"/>
    <w:rsid w:val="14350A8A"/>
    <w:rsid w:val="143C3BCC"/>
    <w:rsid w:val="143E66FF"/>
    <w:rsid w:val="1452EACD"/>
    <w:rsid w:val="1455DD16"/>
    <w:rsid w:val="145C085A"/>
    <w:rsid w:val="14671BAC"/>
    <w:rsid w:val="146749DE"/>
    <w:rsid w:val="1473351A"/>
    <w:rsid w:val="1484B782"/>
    <w:rsid w:val="14876184"/>
    <w:rsid w:val="1489174A"/>
    <w:rsid w:val="148B923A"/>
    <w:rsid w:val="148BA501"/>
    <w:rsid w:val="14CFEE70"/>
    <w:rsid w:val="14F053D2"/>
    <w:rsid w:val="14FC78BC"/>
    <w:rsid w:val="14FEC322"/>
    <w:rsid w:val="15043209"/>
    <w:rsid w:val="15185A2A"/>
    <w:rsid w:val="15219ABA"/>
    <w:rsid w:val="1560374C"/>
    <w:rsid w:val="156617BE"/>
    <w:rsid w:val="15681C39"/>
    <w:rsid w:val="15818BE2"/>
    <w:rsid w:val="159865DD"/>
    <w:rsid w:val="15A17FC7"/>
    <w:rsid w:val="15A6DB4D"/>
    <w:rsid w:val="15B0B0AC"/>
    <w:rsid w:val="15B1B09B"/>
    <w:rsid w:val="15C026F4"/>
    <w:rsid w:val="15CC81ED"/>
    <w:rsid w:val="15D1CD8E"/>
    <w:rsid w:val="15E19317"/>
    <w:rsid w:val="15E304AC"/>
    <w:rsid w:val="15E60F7A"/>
    <w:rsid w:val="15FA0BA3"/>
    <w:rsid w:val="16081550"/>
    <w:rsid w:val="162CE8ED"/>
    <w:rsid w:val="1636DD8C"/>
    <w:rsid w:val="1637E135"/>
    <w:rsid w:val="166AB176"/>
    <w:rsid w:val="167027C9"/>
    <w:rsid w:val="16740443"/>
    <w:rsid w:val="1674A5BF"/>
    <w:rsid w:val="167E0D45"/>
    <w:rsid w:val="16A4524F"/>
    <w:rsid w:val="16A833B3"/>
    <w:rsid w:val="16CC5E15"/>
    <w:rsid w:val="16D20E9F"/>
    <w:rsid w:val="16D34183"/>
    <w:rsid w:val="16F32727"/>
    <w:rsid w:val="16F423BD"/>
    <w:rsid w:val="16FE9B47"/>
    <w:rsid w:val="171E5AB2"/>
    <w:rsid w:val="172BD55C"/>
    <w:rsid w:val="1742831C"/>
    <w:rsid w:val="17438ACC"/>
    <w:rsid w:val="1743EF5F"/>
    <w:rsid w:val="175614BA"/>
    <w:rsid w:val="17615AA3"/>
    <w:rsid w:val="1776CAF3"/>
    <w:rsid w:val="177FB637"/>
    <w:rsid w:val="179F8D87"/>
    <w:rsid w:val="17A0F2A5"/>
    <w:rsid w:val="17A82AF7"/>
    <w:rsid w:val="17BEFE8E"/>
    <w:rsid w:val="17C114B0"/>
    <w:rsid w:val="17C39E49"/>
    <w:rsid w:val="17C9401B"/>
    <w:rsid w:val="17CFC598"/>
    <w:rsid w:val="17DC5919"/>
    <w:rsid w:val="17E4D489"/>
    <w:rsid w:val="17F0EB6E"/>
    <w:rsid w:val="17F5B69F"/>
    <w:rsid w:val="17F64EAF"/>
    <w:rsid w:val="17FF8CB1"/>
    <w:rsid w:val="180745FE"/>
    <w:rsid w:val="180E7ABB"/>
    <w:rsid w:val="1815F379"/>
    <w:rsid w:val="182FAD73"/>
    <w:rsid w:val="1832D702"/>
    <w:rsid w:val="184DA314"/>
    <w:rsid w:val="1861B0D3"/>
    <w:rsid w:val="18718E8B"/>
    <w:rsid w:val="187B2771"/>
    <w:rsid w:val="188DA1F9"/>
    <w:rsid w:val="18AEFDBD"/>
    <w:rsid w:val="18B6B7E6"/>
    <w:rsid w:val="18B8E3E6"/>
    <w:rsid w:val="18C1FB2A"/>
    <w:rsid w:val="18C5A9A3"/>
    <w:rsid w:val="18CE83ED"/>
    <w:rsid w:val="18F6B66B"/>
    <w:rsid w:val="18F9D3A7"/>
    <w:rsid w:val="1907943D"/>
    <w:rsid w:val="1912B407"/>
    <w:rsid w:val="1912B929"/>
    <w:rsid w:val="1916369B"/>
    <w:rsid w:val="191B4A42"/>
    <w:rsid w:val="19235224"/>
    <w:rsid w:val="1932FE9F"/>
    <w:rsid w:val="1943B3DC"/>
    <w:rsid w:val="19510801"/>
    <w:rsid w:val="19626169"/>
    <w:rsid w:val="19962104"/>
    <w:rsid w:val="199E1C63"/>
    <w:rsid w:val="19A106C7"/>
    <w:rsid w:val="19BA712E"/>
    <w:rsid w:val="19BEC2E6"/>
    <w:rsid w:val="19C9BA52"/>
    <w:rsid w:val="19CE15AE"/>
    <w:rsid w:val="19D2720B"/>
    <w:rsid w:val="19D2AEC9"/>
    <w:rsid w:val="19EA5C8A"/>
    <w:rsid w:val="19ED63C6"/>
    <w:rsid w:val="19F032C9"/>
    <w:rsid w:val="19F6A583"/>
    <w:rsid w:val="1A00D09E"/>
    <w:rsid w:val="1A020996"/>
    <w:rsid w:val="1A302071"/>
    <w:rsid w:val="1A333665"/>
    <w:rsid w:val="1A337278"/>
    <w:rsid w:val="1A58C20B"/>
    <w:rsid w:val="1A5F447D"/>
    <w:rsid w:val="1A7A15E4"/>
    <w:rsid w:val="1A7B6384"/>
    <w:rsid w:val="1A87EE6A"/>
    <w:rsid w:val="1A8C276A"/>
    <w:rsid w:val="1A8CBBF4"/>
    <w:rsid w:val="1AA98717"/>
    <w:rsid w:val="1AB57FD8"/>
    <w:rsid w:val="1AC0483F"/>
    <w:rsid w:val="1AC31CA6"/>
    <w:rsid w:val="1AC4173F"/>
    <w:rsid w:val="1ACCF35E"/>
    <w:rsid w:val="1ADCF2F6"/>
    <w:rsid w:val="1ADDAA62"/>
    <w:rsid w:val="1AE1522D"/>
    <w:rsid w:val="1AE5698C"/>
    <w:rsid w:val="1AF5956A"/>
    <w:rsid w:val="1AFDECFD"/>
    <w:rsid w:val="1B2B895A"/>
    <w:rsid w:val="1B3BBCD4"/>
    <w:rsid w:val="1B3C238D"/>
    <w:rsid w:val="1B44ECEE"/>
    <w:rsid w:val="1B47762E"/>
    <w:rsid w:val="1B4E6927"/>
    <w:rsid w:val="1B4F6BDB"/>
    <w:rsid w:val="1B5852B2"/>
    <w:rsid w:val="1B6A6CC0"/>
    <w:rsid w:val="1B8A2830"/>
    <w:rsid w:val="1B90B9DB"/>
    <w:rsid w:val="1B92E428"/>
    <w:rsid w:val="1B947E2F"/>
    <w:rsid w:val="1B961851"/>
    <w:rsid w:val="1B965C9E"/>
    <w:rsid w:val="1B96B6FF"/>
    <w:rsid w:val="1B96DAD0"/>
    <w:rsid w:val="1BDB7D34"/>
    <w:rsid w:val="1BDC4C70"/>
    <w:rsid w:val="1C0CBBF5"/>
    <w:rsid w:val="1C0F3137"/>
    <w:rsid w:val="1C169762"/>
    <w:rsid w:val="1C29E728"/>
    <w:rsid w:val="1C2B1FE8"/>
    <w:rsid w:val="1C3F5BE0"/>
    <w:rsid w:val="1C508FC4"/>
    <w:rsid w:val="1C5DB74F"/>
    <w:rsid w:val="1C67C5DD"/>
    <w:rsid w:val="1C6D6AE5"/>
    <w:rsid w:val="1C758199"/>
    <w:rsid w:val="1C8F750F"/>
    <w:rsid w:val="1C9AD19E"/>
    <w:rsid w:val="1C9DAA13"/>
    <w:rsid w:val="1C9DE3BC"/>
    <w:rsid w:val="1CA29369"/>
    <w:rsid w:val="1CB0055B"/>
    <w:rsid w:val="1CB07270"/>
    <w:rsid w:val="1CB0A722"/>
    <w:rsid w:val="1CB94F51"/>
    <w:rsid w:val="1CBE5FE1"/>
    <w:rsid w:val="1CBECAAF"/>
    <w:rsid w:val="1CBF2D21"/>
    <w:rsid w:val="1CCC4E02"/>
    <w:rsid w:val="1CCECF0E"/>
    <w:rsid w:val="1CE01F7A"/>
    <w:rsid w:val="1CEC4B14"/>
    <w:rsid w:val="1CF6D8A5"/>
    <w:rsid w:val="1CFE20CD"/>
    <w:rsid w:val="1CFF1CBF"/>
    <w:rsid w:val="1D21DA61"/>
    <w:rsid w:val="1D4239C2"/>
    <w:rsid w:val="1D4E6B33"/>
    <w:rsid w:val="1D57B7C0"/>
    <w:rsid w:val="1D5BF860"/>
    <w:rsid w:val="1D67B6E8"/>
    <w:rsid w:val="1D8FA8C6"/>
    <w:rsid w:val="1D97DFFB"/>
    <w:rsid w:val="1D9C2AB9"/>
    <w:rsid w:val="1D9FD6D6"/>
    <w:rsid w:val="1DABF998"/>
    <w:rsid w:val="1DB2A432"/>
    <w:rsid w:val="1DE23EDA"/>
    <w:rsid w:val="1DE53E18"/>
    <w:rsid w:val="1E07F72D"/>
    <w:rsid w:val="1E2476EF"/>
    <w:rsid w:val="1E32FDA9"/>
    <w:rsid w:val="1E38AB73"/>
    <w:rsid w:val="1E3A4732"/>
    <w:rsid w:val="1E43A858"/>
    <w:rsid w:val="1E69C03C"/>
    <w:rsid w:val="1E77258C"/>
    <w:rsid w:val="1E7BDF28"/>
    <w:rsid w:val="1E7E23B7"/>
    <w:rsid w:val="1E88F32E"/>
    <w:rsid w:val="1E8DFD21"/>
    <w:rsid w:val="1EAED3FD"/>
    <w:rsid w:val="1EB58742"/>
    <w:rsid w:val="1EB97A57"/>
    <w:rsid w:val="1EBE53AB"/>
    <w:rsid w:val="1EC3F7FF"/>
    <w:rsid w:val="1ED9A434"/>
    <w:rsid w:val="1EE4917C"/>
    <w:rsid w:val="1EF0CE09"/>
    <w:rsid w:val="1EF1D5E7"/>
    <w:rsid w:val="1EF3BD28"/>
    <w:rsid w:val="1F05D61D"/>
    <w:rsid w:val="1F24CA1A"/>
    <w:rsid w:val="1F324853"/>
    <w:rsid w:val="1F4976C0"/>
    <w:rsid w:val="1F4A7A40"/>
    <w:rsid w:val="1F4BB17B"/>
    <w:rsid w:val="1F500C0E"/>
    <w:rsid w:val="1F55669B"/>
    <w:rsid w:val="1F5A534A"/>
    <w:rsid w:val="1F5C932B"/>
    <w:rsid w:val="1F6BBDF0"/>
    <w:rsid w:val="1F706D42"/>
    <w:rsid w:val="1F86B05D"/>
    <w:rsid w:val="1F8DF76C"/>
    <w:rsid w:val="1F8F82EE"/>
    <w:rsid w:val="1F900CA9"/>
    <w:rsid w:val="1F9D0FAF"/>
    <w:rsid w:val="1FB22635"/>
    <w:rsid w:val="1FC15994"/>
    <w:rsid w:val="1FC19D82"/>
    <w:rsid w:val="1FC71024"/>
    <w:rsid w:val="1FD2BC7E"/>
    <w:rsid w:val="1FD8865D"/>
    <w:rsid w:val="1FE7D72D"/>
    <w:rsid w:val="2000710F"/>
    <w:rsid w:val="20084EAE"/>
    <w:rsid w:val="2008A77A"/>
    <w:rsid w:val="203F18AD"/>
    <w:rsid w:val="204C4B15"/>
    <w:rsid w:val="20507315"/>
    <w:rsid w:val="205D2BC8"/>
    <w:rsid w:val="20629D4B"/>
    <w:rsid w:val="2090EF9A"/>
    <w:rsid w:val="20946FB3"/>
    <w:rsid w:val="20A35C5B"/>
    <w:rsid w:val="20ACE682"/>
    <w:rsid w:val="20C04A9B"/>
    <w:rsid w:val="20C520C6"/>
    <w:rsid w:val="20D32F17"/>
    <w:rsid w:val="20DA5B04"/>
    <w:rsid w:val="20DD5CEF"/>
    <w:rsid w:val="20E198BC"/>
    <w:rsid w:val="2105AE10"/>
    <w:rsid w:val="2108A974"/>
    <w:rsid w:val="211AD060"/>
    <w:rsid w:val="21271E74"/>
    <w:rsid w:val="214040C3"/>
    <w:rsid w:val="21424263"/>
    <w:rsid w:val="21434931"/>
    <w:rsid w:val="2158113F"/>
    <w:rsid w:val="2162E8C3"/>
    <w:rsid w:val="2162F50B"/>
    <w:rsid w:val="2186AC66"/>
    <w:rsid w:val="218B0BDA"/>
    <w:rsid w:val="219A804D"/>
    <w:rsid w:val="21C04EC2"/>
    <w:rsid w:val="21C462BA"/>
    <w:rsid w:val="21CB7EFE"/>
    <w:rsid w:val="21D2F8D4"/>
    <w:rsid w:val="21DCFA24"/>
    <w:rsid w:val="2202F66F"/>
    <w:rsid w:val="2214FD4F"/>
    <w:rsid w:val="221B65F9"/>
    <w:rsid w:val="22214833"/>
    <w:rsid w:val="222A693C"/>
    <w:rsid w:val="2234DCAA"/>
    <w:rsid w:val="223E9561"/>
    <w:rsid w:val="22408C8A"/>
    <w:rsid w:val="224BD413"/>
    <w:rsid w:val="224C468B"/>
    <w:rsid w:val="22551798"/>
    <w:rsid w:val="2259DF78"/>
    <w:rsid w:val="22674A7A"/>
    <w:rsid w:val="226CFCAC"/>
    <w:rsid w:val="22A5E988"/>
    <w:rsid w:val="22A7A894"/>
    <w:rsid w:val="22AC0F0F"/>
    <w:rsid w:val="22B02EFA"/>
    <w:rsid w:val="22B2A383"/>
    <w:rsid w:val="22B82440"/>
    <w:rsid w:val="22C44115"/>
    <w:rsid w:val="22CDF0A1"/>
    <w:rsid w:val="22DCDE21"/>
    <w:rsid w:val="22EA67D5"/>
    <w:rsid w:val="22EDE944"/>
    <w:rsid w:val="22F7A542"/>
    <w:rsid w:val="2305CEA0"/>
    <w:rsid w:val="230FDBA1"/>
    <w:rsid w:val="23102719"/>
    <w:rsid w:val="23172B57"/>
    <w:rsid w:val="231C6F6E"/>
    <w:rsid w:val="231F457A"/>
    <w:rsid w:val="2320E55D"/>
    <w:rsid w:val="23317017"/>
    <w:rsid w:val="2366D109"/>
    <w:rsid w:val="23684810"/>
    <w:rsid w:val="237DA299"/>
    <w:rsid w:val="2391FF70"/>
    <w:rsid w:val="23C9E19E"/>
    <w:rsid w:val="23E5C27D"/>
    <w:rsid w:val="23E9F51C"/>
    <w:rsid w:val="23EE6890"/>
    <w:rsid w:val="240BD52B"/>
    <w:rsid w:val="241DE45A"/>
    <w:rsid w:val="2424B683"/>
    <w:rsid w:val="24384F2F"/>
    <w:rsid w:val="24392655"/>
    <w:rsid w:val="244387AD"/>
    <w:rsid w:val="24477363"/>
    <w:rsid w:val="24585CA1"/>
    <w:rsid w:val="246428D3"/>
    <w:rsid w:val="24800E6B"/>
    <w:rsid w:val="248881C9"/>
    <w:rsid w:val="248B3D90"/>
    <w:rsid w:val="248D5807"/>
    <w:rsid w:val="24918615"/>
    <w:rsid w:val="2491AD11"/>
    <w:rsid w:val="249F5AFC"/>
    <w:rsid w:val="24A1CB63"/>
    <w:rsid w:val="24ABD1B1"/>
    <w:rsid w:val="24AC6566"/>
    <w:rsid w:val="24CD7140"/>
    <w:rsid w:val="24D199C9"/>
    <w:rsid w:val="24D23D81"/>
    <w:rsid w:val="24D474FA"/>
    <w:rsid w:val="24EE885F"/>
    <w:rsid w:val="24F78870"/>
    <w:rsid w:val="24F808E1"/>
    <w:rsid w:val="24FA2F2D"/>
    <w:rsid w:val="25094865"/>
    <w:rsid w:val="251F624F"/>
    <w:rsid w:val="252267EF"/>
    <w:rsid w:val="25263FF5"/>
    <w:rsid w:val="2531EEF7"/>
    <w:rsid w:val="253F78E2"/>
    <w:rsid w:val="254504B8"/>
    <w:rsid w:val="2548805F"/>
    <w:rsid w:val="25636F7B"/>
    <w:rsid w:val="256403D0"/>
    <w:rsid w:val="2571253D"/>
    <w:rsid w:val="2573DC50"/>
    <w:rsid w:val="25761701"/>
    <w:rsid w:val="2581A60C"/>
    <w:rsid w:val="258B8CAD"/>
    <w:rsid w:val="25AF7D61"/>
    <w:rsid w:val="25B3B830"/>
    <w:rsid w:val="25B9B17E"/>
    <w:rsid w:val="25DBBCAC"/>
    <w:rsid w:val="25EA6248"/>
    <w:rsid w:val="25EB193E"/>
    <w:rsid w:val="25F8BA76"/>
    <w:rsid w:val="25F92CE4"/>
    <w:rsid w:val="25FF828C"/>
    <w:rsid w:val="26060838"/>
    <w:rsid w:val="2619B42A"/>
    <w:rsid w:val="261C4F1B"/>
    <w:rsid w:val="2642946F"/>
    <w:rsid w:val="265C7B04"/>
    <w:rsid w:val="265D45D1"/>
    <w:rsid w:val="266FF2EF"/>
    <w:rsid w:val="267CDCC8"/>
    <w:rsid w:val="268121D7"/>
    <w:rsid w:val="26851027"/>
    <w:rsid w:val="268DF488"/>
    <w:rsid w:val="26981458"/>
    <w:rsid w:val="26A4FDC1"/>
    <w:rsid w:val="26A70851"/>
    <w:rsid w:val="26A8A149"/>
    <w:rsid w:val="26A91C15"/>
    <w:rsid w:val="26A94499"/>
    <w:rsid w:val="26AD9019"/>
    <w:rsid w:val="26BECA3F"/>
    <w:rsid w:val="26C5B0E0"/>
    <w:rsid w:val="26C65BAF"/>
    <w:rsid w:val="26D63DE8"/>
    <w:rsid w:val="26DDB725"/>
    <w:rsid w:val="26F1EB8C"/>
    <w:rsid w:val="26F650C8"/>
    <w:rsid w:val="27043C8D"/>
    <w:rsid w:val="27072AEC"/>
    <w:rsid w:val="2710ED7A"/>
    <w:rsid w:val="271656D3"/>
    <w:rsid w:val="271DAE9F"/>
    <w:rsid w:val="272C3C89"/>
    <w:rsid w:val="27316699"/>
    <w:rsid w:val="2747685E"/>
    <w:rsid w:val="274ABEC8"/>
    <w:rsid w:val="274C1094"/>
    <w:rsid w:val="274C4F1A"/>
    <w:rsid w:val="274D17C8"/>
    <w:rsid w:val="274DB663"/>
    <w:rsid w:val="274E7972"/>
    <w:rsid w:val="27579120"/>
    <w:rsid w:val="2765AAFD"/>
    <w:rsid w:val="27765414"/>
    <w:rsid w:val="277C1282"/>
    <w:rsid w:val="2791E7A6"/>
    <w:rsid w:val="27A42D9E"/>
    <w:rsid w:val="27A98BA9"/>
    <w:rsid w:val="27C4564E"/>
    <w:rsid w:val="27C8F660"/>
    <w:rsid w:val="27E402A9"/>
    <w:rsid w:val="27EDB08C"/>
    <w:rsid w:val="27F06F3F"/>
    <w:rsid w:val="27F2FA72"/>
    <w:rsid w:val="27F4A2A7"/>
    <w:rsid w:val="27F6E212"/>
    <w:rsid w:val="280A4D56"/>
    <w:rsid w:val="2825A6B8"/>
    <w:rsid w:val="2830BD8A"/>
    <w:rsid w:val="28322C4D"/>
    <w:rsid w:val="28366600"/>
    <w:rsid w:val="283DC1E9"/>
    <w:rsid w:val="2843668C"/>
    <w:rsid w:val="2845978B"/>
    <w:rsid w:val="2846CBC5"/>
    <w:rsid w:val="2850ED51"/>
    <w:rsid w:val="287090D2"/>
    <w:rsid w:val="28729BCF"/>
    <w:rsid w:val="2891924F"/>
    <w:rsid w:val="289964B6"/>
    <w:rsid w:val="28B08EF3"/>
    <w:rsid w:val="28C079D7"/>
    <w:rsid w:val="28EBF91A"/>
    <w:rsid w:val="28ECF33C"/>
    <w:rsid w:val="28F7A81E"/>
    <w:rsid w:val="28F9B178"/>
    <w:rsid w:val="28FB5859"/>
    <w:rsid w:val="28FEF9BF"/>
    <w:rsid w:val="2900764A"/>
    <w:rsid w:val="290EC525"/>
    <w:rsid w:val="2915B2B3"/>
    <w:rsid w:val="2916123F"/>
    <w:rsid w:val="292DF444"/>
    <w:rsid w:val="29435F17"/>
    <w:rsid w:val="2954E609"/>
    <w:rsid w:val="295EE64D"/>
    <w:rsid w:val="29623900"/>
    <w:rsid w:val="29638137"/>
    <w:rsid w:val="2982218D"/>
    <w:rsid w:val="29861530"/>
    <w:rsid w:val="298746CE"/>
    <w:rsid w:val="29894D4A"/>
    <w:rsid w:val="298F0FC4"/>
    <w:rsid w:val="2991A939"/>
    <w:rsid w:val="299C0EE7"/>
    <w:rsid w:val="299F5E1A"/>
    <w:rsid w:val="29B80583"/>
    <w:rsid w:val="29BEB647"/>
    <w:rsid w:val="29E9BA3B"/>
    <w:rsid w:val="29EEE627"/>
    <w:rsid w:val="29EF44D5"/>
    <w:rsid w:val="29F09ED1"/>
    <w:rsid w:val="29F8D7CD"/>
    <w:rsid w:val="29F99AFC"/>
    <w:rsid w:val="2A0B540F"/>
    <w:rsid w:val="2A22285F"/>
    <w:rsid w:val="2A289A0F"/>
    <w:rsid w:val="2A2A89E8"/>
    <w:rsid w:val="2A2D006C"/>
    <w:rsid w:val="2A3C0A78"/>
    <w:rsid w:val="2A40D848"/>
    <w:rsid w:val="2A635824"/>
    <w:rsid w:val="2A6DD1EB"/>
    <w:rsid w:val="2A7CDA5E"/>
    <w:rsid w:val="2A87B981"/>
    <w:rsid w:val="2A95CDDA"/>
    <w:rsid w:val="2AB1B49F"/>
    <w:rsid w:val="2AD08FFF"/>
    <w:rsid w:val="2AD7550C"/>
    <w:rsid w:val="2AD87567"/>
    <w:rsid w:val="2B04D9B4"/>
    <w:rsid w:val="2B16256B"/>
    <w:rsid w:val="2B1F7C73"/>
    <w:rsid w:val="2B2F9479"/>
    <w:rsid w:val="2B435AD1"/>
    <w:rsid w:val="2B4D9083"/>
    <w:rsid w:val="2B4D91F2"/>
    <w:rsid w:val="2B54B1F0"/>
    <w:rsid w:val="2B5E3504"/>
    <w:rsid w:val="2B677FA9"/>
    <w:rsid w:val="2B778090"/>
    <w:rsid w:val="2B7C3F6A"/>
    <w:rsid w:val="2B86D719"/>
    <w:rsid w:val="2B8B6532"/>
    <w:rsid w:val="2B8B9095"/>
    <w:rsid w:val="2B93EBE4"/>
    <w:rsid w:val="2B9C6570"/>
    <w:rsid w:val="2BA6F146"/>
    <w:rsid w:val="2BB8444D"/>
    <w:rsid w:val="2BBDB2C8"/>
    <w:rsid w:val="2BC32464"/>
    <w:rsid w:val="2BCBD8ED"/>
    <w:rsid w:val="2BCE9826"/>
    <w:rsid w:val="2BD07F83"/>
    <w:rsid w:val="2BDF3AED"/>
    <w:rsid w:val="2BEC3B7C"/>
    <w:rsid w:val="2BEDAADD"/>
    <w:rsid w:val="2BEF5927"/>
    <w:rsid w:val="2BF74502"/>
    <w:rsid w:val="2BFBC947"/>
    <w:rsid w:val="2C0D7486"/>
    <w:rsid w:val="2C11E058"/>
    <w:rsid w:val="2C258E1E"/>
    <w:rsid w:val="2C2CF6EF"/>
    <w:rsid w:val="2C44CDFC"/>
    <w:rsid w:val="2C48DE7F"/>
    <w:rsid w:val="2C5C59F5"/>
    <w:rsid w:val="2C5CD505"/>
    <w:rsid w:val="2C6ADB69"/>
    <w:rsid w:val="2C71281C"/>
    <w:rsid w:val="2C8C534A"/>
    <w:rsid w:val="2C8F301D"/>
    <w:rsid w:val="2C90C705"/>
    <w:rsid w:val="2C943006"/>
    <w:rsid w:val="2C9AC3FE"/>
    <w:rsid w:val="2C9E7EA1"/>
    <w:rsid w:val="2CA2DF86"/>
    <w:rsid w:val="2CBED4AC"/>
    <w:rsid w:val="2CC2C741"/>
    <w:rsid w:val="2CCEBD6F"/>
    <w:rsid w:val="2CDB3E3B"/>
    <w:rsid w:val="2D009EAD"/>
    <w:rsid w:val="2D0AFA66"/>
    <w:rsid w:val="2D19DD64"/>
    <w:rsid w:val="2D1ADCA4"/>
    <w:rsid w:val="2D34F90D"/>
    <w:rsid w:val="2D36025C"/>
    <w:rsid w:val="2D459345"/>
    <w:rsid w:val="2D59B192"/>
    <w:rsid w:val="2D6C4C0B"/>
    <w:rsid w:val="2D8386A9"/>
    <w:rsid w:val="2D94BA94"/>
    <w:rsid w:val="2D9C47C3"/>
    <w:rsid w:val="2DB86823"/>
    <w:rsid w:val="2DC4C4DF"/>
    <w:rsid w:val="2DCA93E9"/>
    <w:rsid w:val="2DCE7E8C"/>
    <w:rsid w:val="2DE1B172"/>
    <w:rsid w:val="2DEFC800"/>
    <w:rsid w:val="2DFEEFD8"/>
    <w:rsid w:val="2E1042A4"/>
    <w:rsid w:val="2E116282"/>
    <w:rsid w:val="2E12DEF6"/>
    <w:rsid w:val="2E26FC86"/>
    <w:rsid w:val="2E28F04B"/>
    <w:rsid w:val="2E2F54C0"/>
    <w:rsid w:val="2E30307E"/>
    <w:rsid w:val="2E494ED1"/>
    <w:rsid w:val="2E497B1A"/>
    <w:rsid w:val="2E64F587"/>
    <w:rsid w:val="2E70DE70"/>
    <w:rsid w:val="2E75316C"/>
    <w:rsid w:val="2E765C47"/>
    <w:rsid w:val="2E78691E"/>
    <w:rsid w:val="2E830CC9"/>
    <w:rsid w:val="2E846079"/>
    <w:rsid w:val="2E935FC2"/>
    <w:rsid w:val="2EA8A32B"/>
    <w:rsid w:val="2EA9636B"/>
    <w:rsid w:val="2EA99A2C"/>
    <w:rsid w:val="2ED055C6"/>
    <w:rsid w:val="2EDB8A4B"/>
    <w:rsid w:val="2EE9E197"/>
    <w:rsid w:val="2EEA5817"/>
    <w:rsid w:val="2EF99462"/>
    <w:rsid w:val="2EFA032F"/>
    <w:rsid w:val="2F07113B"/>
    <w:rsid w:val="2F09A0ED"/>
    <w:rsid w:val="2F25E686"/>
    <w:rsid w:val="2F267CEA"/>
    <w:rsid w:val="2F3CF15F"/>
    <w:rsid w:val="2F3E8CF9"/>
    <w:rsid w:val="2F587E00"/>
    <w:rsid w:val="2F5DB69D"/>
    <w:rsid w:val="2F621953"/>
    <w:rsid w:val="2F87AB3D"/>
    <w:rsid w:val="2F8A8A5A"/>
    <w:rsid w:val="2FA8511B"/>
    <w:rsid w:val="2FB07E14"/>
    <w:rsid w:val="2FB61883"/>
    <w:rsid w:val="2FB86DA8"/>
    <w:rsid w:val="2FC30DD3"/>
    <w:rsid w:val="2FC994AC"/>
    <w:rsid w:val="2FCA0D56"/>
    <w:rsid w:val="2FD39EC6"/>
    <w:rsid w:val="2FD92673"/>
    <w:rsid w:val="2FDCDCD8"/>
    <w:rsid w:val="3008F068"/>
    <w:rsid w:val="300F238F"/>
    <w:rsid w:val="30160369"/>
    <w:rsid w:val="301C76BB"/>
    <w:rsid w:val="30212331"/>
    <w:rsid w:val="30219AD8"/>
    <w:rsid w:val="302A97DD"/>
    <w:rsid w:val="3031B82F"/>
    <w:rsid w:val="30386663"/>
    <w:rsid w:val="3041DFD1"/>
    <w:rsid w:val="30518B98"/>
    <w:rsid w:val="3052476F"/>
    <w:rsid w:val="30640460"/>
    <w:rsid w:val="3064E17F"/>
    <w:rsid w:val="3073C2C4"/>
    <w:rsid w:val="30815F8C"/>
    <w:rsid w:val="30845938"/>
    <w:rsid w:val="308837B0"/>
    <w:rsid w:val="308A5AA1"/>
    <w:rsid w:val="30970B5C"/>
    <w:rsid w:val="3097AD13"/>
    <w:rsid w:val="3097BE73"/>
    <w:rsid w:val="309974F6"/>
    <w:rsid w:val="309C8676"/>
    <w:rsid w:val="30A316F7"/>
    <w:rsid w:val="30D04D02"/>
    <w:rsid w:val="30DD3675"/>
    <w:rsid w:val="30E315C3"/>
    <w:rsid w:val="30E33F82"/>
    <w:rsid w:val="30E940F9"/>
    <w:rsid w:val="30ED39F8"/>
    <w:rsid w:val="31066C7B"/>
    <w:rsid w:val="3123C030"/>
    <w:rsid w:val="313CF826"/>
    <w:rsid w:val="314785CF"/>
    <w:rsid w:val="31584F4C"/>
    <w:rsid w:val="315D784F"/>
    <w:rsid w:val="3172DC45"/>
    <w:rsid w:val="317BDEF5"/>
    <w:rsid w:val="3181240D"/>
    <w:rsid w:val="318EFFB8"/>
    <w:rsid w:val="31911ECB"/>
    <w:rsid w:val="319BEA62"/>
    <w:rsid w:val="31A9AECD"/>
    <w:rsid w:val="31BA8BBF"/>
    <w:rsid w:val="31BB7EC7"/>
    <w:rsid w:val="31C6ED91"/>
    <w:rsid w:val="31C7A2EE"/>
    <w:rsid w:val="31DE3485"/>
    <w:rsid w:val="31E3C036"/>
    <w:rsid w:val="31F513C3"/>
    <w:rsid w:val="31FC9A85"/>
    <w:rsid w:val="3203520B"/>
    <w:rsid w:val="3219D763"/>
    <w:rsid w:val="3227CD00"/>
    <w:rsid w:val="325186BF"/>
    <w:rsid w:val="3253200F"/>
    <w:rsid w:val="325F5D89"/>
    <w:rsid w:val="326784B8"/>
    <w:rsid w:val="3270B463"/>
    <w:rsid w:val="328219C0"/>
    <w:rsid w:val="32846716"/>
    <w:rsid w:val="329E5DD6"/>
    <w:rsid w:val="32A2FC32"/>
    <w:rsid w:val="32AB74F5"/>
    <w:rsid w:val="32AEB012"/>
    <w:rsid w:val="32BAC28A"/>
    <w:rsid w:val="32C16B90"/>
    <w:rsid w:val="32D1CA8B"/>
    <w:rsid w:val="32D435D5"/>
    <w:rsid w:val="32DFF805"/>
    <w:rsid w:val="32E3DA0D"/>
    <w:rsid w:val="32FE259B"/>
    <w:rsid w:val="32FE7D4C"/>
    <w:rsid w:val="33059CA0"/>
    <w:rsid w:val="331989CA"/>
    <w:rsid w:val="33309622"/>
    <w:rsid w:val="333B4FC3"/>
    <w:rsid w:val="333B6911"/>
    <w:rsid w:val="333BC10C"/>
    <w:rsid w:val="334FB0B4"/>
    <w:rsid w:val="3351F6BD"/>
    <w:rsid w:val="3355325F"/>
    <w:rsid w:val="33589B64"/>
    <w:rsid w:val="335DDF04"/>
    <w:rsid w:val="335ED624"/>
    <w:rsid w:val="337D80CB"/>
    <w:rsid w:val="337E6A75"/>
    <w:rsid w:val="3381866A"/>
    <w:rsid w:val="338D26C4"/>
    <w:rsid w:val="33929F5B"/>
    <w:rsid w:val="33AAF896"/>
    <w:rsid w:val="33B13EDF"/>
    <w:rsid w:val="33BCC123"/>
    <w:rsid w:val="33CC48B4"/>
    <w:rsid w:val="33D18379"/>
    <w:rsid w:val="33D9FCE1"/>
    <w:rsid w:val="33DC4FDF"/>
    <w:rsid w:val="33E69A31"/>
    <w:rsid w:val="33EE67D5"/>
    <w:rsid w:val="3400AB45"/>
    <w:rsid w:val="34019206"/>
    <w:rsid w:val="3409FEDA"/>
    <w:rsid w:val="3424A90E"/>
    <w:rsid w:val="34266AE8"/>
    <w:rsid w:val="342812DD"/>
    <w:rsid w:val="342DB5E5"/>
    <w:rsid w:val="34305D00"/>
    <w:rsid w:val="34308E49"/>
    <w:rsid w:val="3443CC5E"/>
    <w:rsid w:val="34466A58"/>
    <w:rsid w:val="344FAAA2"/>
    <w:rsid w:val="345D5102"/>
    <w:rsid w:val="345D637C"/>
    <w:rsid w:val="346A91B9"/>
    <w:rsid w:val="346E9ABC"/>
    <w:rsid w:val="3470D055"/>
    <w:rsid w:val="3470E208"/>
    <w:rsid w:val="3471478E"/>
    <w:rsid w:val="3472E6D4"/>
    <w:rsid w:val="3489031A"/>
    <w:rsid w:val="34930DCA"/>
    <w:rsid w:val="349EE3E5"/>
    <w:rsid w:val="34A50B26"/>
    <w:rsid w:val="34ADA7E1"/>
    <w:rsid w:val="34B8BA28"/>
    <w:rsid w:val="34BE7C57"/>
    <w:rsid w:val="34C241AB"/>
    <w:rsid w:val="34E2AEE9"/>
    <w:rsid w:val="35001072"/>
    <w:rsid w:val="3501E033"/>
    <w:rsid w:val="35036213"/>
    <w:rsid w:val="3518C218"/>
    <w:rsid w:val="352523D4"/>
    <w:rsid w:val="35291BFC"/>
    <w:rsid w:val="352B90B9"/>
    <w:rsid w:val="35382685"/>
    <w:rsid w:val="35448B20"/>
    <w:rsid w:val="354607F1"/>
    <w:rsid w:val="3584AA70"/>
    <w:rsid w:val="35939C01"/>
    <w:rsid w:val="359E6D30"/>
    <w:rsid w:val="35A0B06A"/>
    <w:rsid w:val="35A67B5E"/>
    <w:rsid w:val="35AD6F4C"/>
    <w:rsid w:val="35B858F7"/>
    <w:rsid w:val="35BB421A"/>
    <w:rsid w:val="35BD6381"/>
    <w:rsid w:val="35C0343F"/>
    <w:rsid w:val="35D17920"/>
    <w:rsid w:val="35D18113"/>
    <w:rsid w:val="35D46DC1"/>
    <w:rsid w:val="35DF1BDD"/>
    <w:rsid w:val="35E0A828"/>
    <w:rsid w:val="35EE4F83"/>
    <w:rsid w:val="35FBCFB1"/>
    <w:rsid w:val="3613454F"/>
    <w:rsid w:val="361A6947"/>
    <w:rsid w:val="3634005B"/>
    <w:rsid w:val="36392C30"/>
    <w:rsid w:val="363D3844"/>
    <w:rsid w:val="363EA7CB"/>
    <w:rsid w:val="3647FBE1"/>
    <w:rsid w:val="364C6C5F"/>
    <w:rsid w:val="364E55AD"/>
    <w:rsid w:val="365B4F76"/>
    <w:rsid w:val="365D0F03"/>
    <w:rsid w:val="366101AD"/>
    <w:rsid w:val="3664CBDF"/>
    <w:rsid w:val="3666D1E9"/>
    <w:rsid w:val="36671276"/>
    <w:rsid w:val="3692B1E9"/>
    <w:rsid w:val="36AA2249"/>
    <w:rsid w:val="36BC76B2"/>
    <w:rsid w:val="36C58C5C"/>
    <w:rsid w:val="36CB7875"/>
    <w:rsid w:val="36CC2E16"/>
    <w:rsid w:val="36EFD77C"/>
    <w:rsid w:val="37099994"/>
    <w:rsid w:val="3710737B"/>
    <w:rsid w:val="37152100"/>
    <w:rsid w:val="371B7028"/>
    <w:rsid w:val="3722E8CA"/>
    <w:rsid w:val="3744BB05"/>
    <w:rsid w:val="374D4B34"/>
    <w:rsid w:val="37518ADA"/>
    <w:rsid w:val="375D22EC"/>
    <w:rsid w:val="3764852F"/>
    <w:rsid w:val="37854807"/>
    <w:rsid w:val="37A23CD0"/>
    <w:rsid w:val="37A26A7B"/>
    <w:rsid w:val="37AE2F7E"/>
    <w:rsid w:val="37AE70F8"/>
    <w:rsid w:val="37B0C557"/>
    <w:rsid w:val="37B0DD64"/>
    <w:rsid w:val="37B9256E"/>
    <w:rsid w:val="37CB620E"/>
    <w:rsid w:val="37CE8EE7"/>
    <w:rsid w:val="37D57B29"/>
    <w:rsid w:val="37DCFDEB"/>
    <w:rsid w:val="37E1D96D"/>
    <w:rsid w:val="37EC95F5"/>
    <w:rsid w:val="37FBE07A"/>
    <w:rsid w:val="380C279F"/>
    <w:rsid w:val="3816DA9A"/>
    <w:rsid w:val="3817C705"/>
    <w:rsid w:val="381A64B0"/>
    <w:rsid w:val="381C3D7A"/>
    <w:rsid w:val="381C72C6"/>
    <w:rsid w:val="381E6FD1"/>
    <w:rsid w:val="382ECAFD"/>
    <w:rsid w:val="3832747A"/>
    <w:rsid w:val="3833781B"/>
    <w:rsid w:val="3836D450"/>
    <w:rsid w:val="38374AAD"/>
    <w:rsid w:val="383C8C61"/>
    <w:rsid w:val="3842DB6A"/>
    <w:rsid w:val="3853B230"/>
    <w:rsid w:val="38551F5A"/>
    <w:rsid w:val="3858889D"/>
    <w:rsid w:val="3867E783"/>
    <w:rsid w:val="386EC8C5"/>
    <w:rsid w:val="38833D91"/>
    <w:rsid w:val="38B31E5E"/>
    <w:rsid w:val="38C5CA52"/>
    <w:rsid w:val="38C73008"/>
    <w:rsid w:val="38E7FC13"/>
    <w:rsid w:val="38EA51BD"/>
    <w:rsid w:val="38F4C690"/>
    <w:rsid w:val="3910742B"/>
    <w:rsid w:val="391430BD"/>
    <w:rsid w:val="3918AA93"/>
    <w:rsid w:val="391AAE49"/>
    <w:rsid w:val="3938A38F"/>
    <w:rsid w:val="393BD87C"/>
    <w:rsid w:val="39412CD5"/>
    <w:rsid w:val="39517419"/>
    <w:rsid w:val="395D251D"/>
    <w:rsid w:val="3975207A"/>
    <w:rsid w:val="3977AB3B"/>
    <w:rsid w:val="39B3E51C"/>
    <w:rsid w:val="39C21111"/>
    <w:rsid w:val="39C2B263"/>
    <w:rsid w:val="39C9D024"/>
    <w:rsid w:val="39CBD49F"/>
    <w:rsid w:val="39CFF290"/>
    <w:rsid w:val="39DBBF93"/>
    <w:rsid w:val="39DCB33E"/>
    <w:rsid w:val="39F7D9DE"/>
    <w:rsid w:val="3A0D235A"/>
    <w:rsid w:val="3A0EDA5E"/>
    <w:rsid w:val="3A158A17"/>
    <w:rsid w:val="3A189C9D"/>
    <w:rsid w:val="3A2050A9"/>
    <w:rsid w:val="3A2D92CA"/>
    <w:rsid w:val="3A35080A"/>
    <w:rsid w:val="3A3EABD4"/>
    <w:rsid w:val="3A567195"/>
    <w:rsid w:val="3A720160"/>
    <w:rsid w:val="3A77F716"/>
    <w:rsid w:val="3A80CA53"/>
    <w:rsid w:val="3A8D40A1"/>
    <w:rsid w:val="3A94A556"/>
    <w:rsid w:val="3AB8D959"/>
    <w:rsid w:val="3AD8DF80"/>
    <w:rsid w:val="3ADE8448"/>
    <w:rsid w:val="3AEA2EA6"/>
    <w:rsid w:val="3AF522AF"/>
    <w:rsid w:val="3B01338E"/>
    <w:rsid w:val="3B0A22C0"/>
    <w:rsid w:val="3B0BAD27"/>
    <w:rsid w:val="3B0BF2B6"/>
    <w:rsid w:val="3B12B638"/>
    <w:rsid w:val="3B37F4F3"/>
    <w:rsid w:val="3B382415"/>
    <w:rsid w:val="3B4FA92E"/>
    <w:rsid w:val="3B500BAC"/>
    <w:rsid w:val="3B6A04D6"/>
    <w:rsid w:val="3B6DBABF"/>
    <w:rsid w:val="3B6E6214"/>
    <w:rsid w:val="3B6E8723"/>
    <w:rsid w:val="3B709812"/>
    <w:rsid w:val="3B7923DF"/>
    <w:rsid w:val="3B7B264D"/>
    <w:rsid w:val="3B7C5895"/>
    <w:rsid w:val="3B8D16B3"/>
    <w:rsid w:val="3B8D511A"/>
    <w:rsid w:val="3B9546C7"/>
    <w:rsid w:val="3B9A0C42"/>
    <w:rsid w:val="3BBC105C"/>
    <w:rsid w:val="3BD22559"/>
    <w:rsid w:val="3BD305AD"/>
    <w:rsid w:val="3BDAF654"/>
    <w:rsid w:val="3C0A2594"/>
    <w:rsid w:val="3C11E518"/>
    <w:rsid w:val="3C18B4B6"/>
    <w:rsid w:val="3C1AE3F5"/>
    <w:rsid w:val="3C468813"/>
    <w:rsid w:val="3C5F5219"/>
    <w:rsid w:val="3C73FB64"/>
    <w:rsid w:val="3C7EFA8A"/>
    <w:rsid w:val="3C7F67EB"/>
    <w:rsid w:val="3C8601B2"/>
    <w:rsid w:val="3C86BB68"/>
    <w:rsid w:val="3C918E19"/>
    <w:rsid w:val="3C9532D8"/>
    <w:rsid w:val="3CB367F2"/>
    <w:rsid w:val="3CBA9D64"/>
    <w:rsid w:val="3CC1EDD6"/>
    <w:rsid w:val="3CE6D34D"/>
    <w:rsid w:val="3CE79B7F"/>
    <w:rsid w:val="3CEE9BAA"/>
    <w:rsid w:val="3CF36972"/>
    <w:rsid w:val="3CFA190B"/>
    <w:rsid w:val="3CFAAACB"/>
    <w:rsid w:val="3D01A5B0"/>
    <w:rsid w:val="3D10C397"/>
    <w:rsid w:val="3D1544CB"/>
    <w:rsid w:val="3D1E9DAD"/>
    <w:rsid w:val="3D2E2F26"/>
    <w:rsid w:val="3D3956E9"/>
    <w:rsid w:val="3D3D1804"/>
    <w:rsid w:val="3D404B97"/>
    <w:rsid w:val="3D50BC13"/>
    <w:rsid w:val="3D570F9E"/>
    <w:rsid w:val="3D5DC913"/>
    <w:rsid w:val="3D62B3F7"/>
    <w:rsid w:val="3D6FC7D7"/>
    <w:rsid w:val="3D72E872"/>
    <w:rsid w:val="3D74819C"/>
    <w:rsid w:val="3D75E0AF"/>
    <w:rsid w:val="3D7DF2F8"/>
    <w:rsid w:val="3D86A4A5"/>
    <w:rsid w:val="3D89B9E2"/>
    <w:rsid w:val="3D8AA0A4"/>
    <w:rsid w:val="3D8E255C"/>
    <w:rsid w:val="3D8F597A"/>
    <w:rsid w:val="3D9D79C0"/>
    <w:rsid w:val="3DABC25D"/>
    <w:rsid w:val="3DB90FE1"/>
    <w:rsid w:val="3DCBF1B1"/>
    <w:rsid w:val="3DECE219"/>
    <w:rsid w:val="3DF176BB"/>
    <w:rsid w:val="3DF51B97"/>
    <w:rsid w:val="3E0E9453"/>
    <w:rsid w:val="3E14B5A5"/>
    <w:rsid w:val="3E38C8C4"/>
    <w:rsid w:val="3E3AC6D6"/>
    <w:rsid w:val="3E3CAF04"/>
    <w:rsid w:val="3E427A30"/>
    <w:rsid w:val="3E478531"/>
    <w:rsid w:val="3E48A0A4"/>
    <w:rsid w:val="3E4B0582"/>
    <w:rsid w:val="3E523601"/>
    <w:rsid w:val="3E5A9222"/>
    <w:rsid w:val="3E5E825A"/>
    <w:rsid w:val="3E660CBE"/>
    <w:rsid w:val="3E79AD3D"/>
    <w:rsid w:val="3E915795"/>
    <w:rsid w:val="3E92903E"/>
    <w:rsid w:val="3E99535C"/>
    <w:rsid w:val="3E9A46F6"/>
    <w:rsid w:val="3E9E24D9"/>
    <w:rsid w:val="3EAA6D11"/>
    <w:rsid w:val="3EAD9DD3"/>
    <w:rsid w:val="3EBC2FAE"/>
    <w:rsid w:val="3EBE1F06"/>
    <w:rsid w:val="3EC77F74"/>
    <w:rsid w:val="3EE97E1C"/>
    <w:rsid w:val="3EF267FD"/>
    <w:rsid w:val="3F0014D7"/>
    <w:rsid w:val="3F094A38"/>
    <w:rsid w:val="3F098782"/>
    <w:rsid w:val="3F1B981F"/>
    <w:rsid w:val="3F1DA6B4"/>
    <w:rsid w:val="3F2259A0"/>
    <w:rsid w:val="3F27280F"/>
    <w:rsid w:val="3F3591BE"/>
    <w:rsid w:val="3F374E32"/>
    <w:rsid w:val="3F4A02D2"/>
    <w:rsid w:val="3F52790C"/>
    <w:rsid w:val="3F529323"/>
    <w:rsid w:val="3F5ACA34"/>
    <w:rsid w:val="3F6AB660"/>
    <w:rsid w:val="3F739D5C"/>
    <w:rsid w:val="3F7D2A10"/>
    <w:rsid w:val="3F97B421"/>
    <w:rsid w:val="3FA61078"/>
    <w:rsid w:val="3FAE792F"/>
    <w:rsid w:val="3FB66137"/>
    <w:rsid w:val="3FF8F162"/>
    <w:rsid w:val="3FF9A591"/>
    <w:rsid w:val="3FFF372E"/>
    <w:rsid w:val="4007EE62"/>
    <w:rsid w:val="400D0056"/>
    <w:rsid w:val="40150554"/>
    <w:rsid w:val="4015C47B"/>
    <w:rsid w:val="40170EC4"/>
    <w:rsid w:val="40176BB3"/>
    <w:rsid w:val="40195240"/>
    <w:rsid w:val="402C66A6"/>
    <w:rsid w:val="40388AEF"/>
    <w:rsid w:val="4046B022"/>
    <w:rsid w:val="404CF26A"/>
    <w:rsid w:val="405C53E2"/>
    <w:rsid w:val="40684383"/>
    <w:rsid w:val="406B2758"/>
    <w:rsid w:val="408221A4"/>
    <w:rsid w:val="40885800"/>
    <w:rsid w:val="408CEB4C"/>
    <w:rsid w:val="40AD9484"/>
    <w:rsid w:val="40C3B765"/>
    <w:rsid w:val="40CA612D"/>
    <w:rsid w:val="40D023B6"/>
    <w:rsid w:val="40D3419F"/>
    <w:rsid w:val="40E631A1"/>
    <w:rsid w:val="40F5BD37"/>
    <w:rsid w:val="40F83C5F"/>
    <w:rsid w:val="41008B21"/>
    <w:rsid w:val="4102C7C7"/>
    <w:rsid w:val="410D1E72"/>
    <w:rsid w:val="411B6B8C"/>
    <w:rsid w:val="4123C8F7"/>
    <w:rsid w:val="412837BC"/>
    <w:rsid w:val="41334215"/>
    <w:rsid w:val="4137D674"/>
    <w:rsid w:val="4138D3B8"/>
    <w:rsid w:val="414F34A0"/>
    <w:rsid w:val="41510725"/>
    <w:rsid w:val="415AE1D6"/>
    <w:rsid w:val="41610937"/>
    <w:rsid w:val="416734F4"/>
    <w:rsid w:val="41723825"/>
    <w:rsid w:val="4173C1F7"/>
    <w:rsid w:val="4174CE5F"/>
    <w:rsid w:val="4177E00C"/>
    <w:rsid w:val="4182E57F"/>
    <w:rsid w:val="41847029"/>
    <w:rsid w:val="41AB3666"/>
    <w:rsid w:val="41B7BE76"/>
    <w:rsid w:val="41BEFB06"/>
    <w:rsid w:val="41CF4299"/>
    <w:rsid w:val="41DDDC1E"/>
    <w:rsid w:val="41ED9238"/>
    <w:rsid w:val="4205C05B"/>
    <w:rsid w:val="4205D9D7"/>
    <w:rsid w:val="42188D93"/>
    <w:rsid w:val="422808C1"/>
    <w:rsid w:val="422F9855"/>
    <w:rsid w:val="4231163A"/>
    <w:rsid w:val="42369830"/>
    <w:rsid w:val="423C7ABA"/>
    <w:rsid w:val="42427232"/>
    <w:rsid w:val="424635D0"/>
    <w:rsid w:val="42531665"/>
    <w:rsid w:val="4256F576"/>
    <w:rsid w:val="426A70CA"/>
    <w:rsid w:val="427E492A"/>
    <w:rsid w:val="42839763"/>
    <w:rsid w:val="42926D6C"/>
    <w:rsid w:val="4294793B"/>
    <w:rsid w:val="4297C2CB"/>
    <w:rsid w:val="429E3E7E"/>
    <w:rsid w:val="42A6F6C4"/>
    <w:rsid w:val="42A8A6F9"/>
    <w:rsid w:val="42B02B79"/>
    <w:rsid w:val="42C31772"/>
    <w:rsid w:val="42C4C508"/>
    <w:rsid w:val="42CA4C72"/>
    <w:rsid w:val="42D3A82C"/>
    <w:rsid w:val="42D82F6D"/>
    <w:rsid w:val="42E332DE"/>
    <w:rsid w:val="42F318A3"/>
    <w:rsid w:val="43040ECD"/>
    <w:rsid w:val="4311D586"/>
    <w:rsid w:val="4334AAD2"/>
    <w:rsid w:val="433AE811"/>
    <w:rsid w:val="433CDCE6"/>
    <w:rsid w:val="434182F0"/>
    <w:rsid w:val="4348DFD5"/>
    <w:rsid w:val="435B30CE"/>
    <w:rsid w:val="4364ED21"/>
    <w:rsid w:val="4365C111"/>
    <w:rsid w:val="4389A7C4"/>
    <w:rsid w:val="438CF761"/>
    <w:rsid w:val="4393F628"/>
    <w:rsid w:val="439639E4"/>
    <w:rsid w:val="43AAAD79"/>
    <w:rsid w:val="43B709AB"/>
    <w:rsid w:val="43D36F56"/>
    <w:rsid w:val="43E2E27F"/>
    <w:rsid w:val="4409C74F"/>
    <w:rsid w:val="440E93E8"/>
    <w:rsid w:val="441C28BA"/>
    <w:rsid w:val="4421372C"/>
    <w:rsid w:val="4425C677"/>
    <w:rsid w:val="442C6516"/>
    <w:rsid w:val="442D5DAF"/>
    <w:rsid w:val="442D8BE3"/>
    <w:rsid w:val="443072B4"/>
    <w:rsid w:val="443238D6"/>
    <w:rsid w:val="444894EE"/>
    <w:rsid w:val="444EC017"/>
    <w:rsid w:val="44664C2F"/>
    <w:rsid w:val="446668EA"/>
    <w:rsid w:val="44720BD9"/>
    <w:rsid w:val="4480E7F1"/>
    <w:rsid w:val="448FE2FE"/>
    <w:rsid w:val="44960764"/>
    <w:rsid w:val="449AE767"/>
    <w:rsid w:val="449D2093"/>
    <w:rsid w:val="44B96A0C"/>
    <w:rsid w:val="44BEB308"/>
    <w:rsid w:val="44C2AC8C"/>
    <w:rsid w:val="44D213F3"/>
    <w:rsid w:val="44D25E10"/>
    <w:rsid w:val="44E777C8"/>
    <w:rsid w:val="44ED645C"/>
    <w:rsid w:val="44FA2E7C"/>
    <w:rsid w:val="44FECDFF"/>
    <w:rsid w:val="4514DBDF"/>
    <w:rsid w:val="45198052"/>
    <w:rsid w:val="451AD3B0"/>
    <w:rsid w:val="4523E3E9"/>
    <w:rsid w:val="453C25EB"/>
    <w:rsid w:val="454EB98E"/>
    <w:rsid w:val="455E8F10"/>
    <w:rsid w:val="4563B1CE"/>
    <w:rsid w:val="456B906E"/>
    <w:rsid w:val="45880492"/>
    <w:rsid w:val="45955946"/>
    <w:rsid w:val="459AF9F2"/>
    <w:rsid w:val="459F1157"/>
    <w:rsid w:val="45ABC95C"/>
    <w:rsid w:val="45AD3DBA"/>
    <w:rsid w:val="45C50BF5"/>
    <w:rsid w:val="45CA8B49"/>
    <w:rsid w:val="45E20490"/>
    <w:rsid w:val="45E49ECE"/>
    <w:rsid w:val="45F1B067"/>
    <w:rsid w:val="461118CD"/>
    <w:rsid w:val="46292B58"/>
    <w:rsid w:val="4633B80D"/>
    <w:rsid w:val="4654E887"/>
    <w:rsid w:val="46574A93"/>
    <w:rsid w:val="465CC8D9"/>
    <w:rsid w:val="4661CBCD"/>
    <w:rsid w:val="46697D2A"/>
    <w:rsid w:val="466BA2BB"/>
    <w:rsid w:val="467A6B7E"/>
    <w:rsid w:val="467B028B"/>
    <w:rsid w:val="46908C3A"/>
    <w:rsid w:val="46B10C69"/>
    <w:rsid w:val="46C8CEFC"/>
    <w:rsid w:val="46D43B7D"/>
    <w:rsid w:val="46DF17FB"/>
    <w:rsid w:val="47076581"/>
    <w:rsid w:val="472412A3"/>
    <w:rsid w:val="47281F0A"/>
    <w:rsid w:val="472A4C9F"/>
    <w:rsid w:val="4732D1FC"/>
    <w:rsid w:val="473514C7"/>
    <w:rsid w:val="475A82F9"/>
    <w:rsid w:val="475D2AE2"/>
    <w:rsid w:val="47721261"/>
    <w:rsid w:val="47769A11"/>
    <w:rsid w:val="477A304F"/>
    <w:rsid w:val="47929765"/>
    <w:rsid w:val="479A1905"/>
    <w:rsid w:val="479FDB48"/>
    <w:rsid w:val="47AA9CC3"/>
    <w:rsid w:val="47ADA24B"/>
    <w:rsid w:val="47B2A1F1"/>
    <w:rsid w:val="47BEC580"/>
    <w:rsid w:val="47C1405A"/>
    <w:rsid w:val="47CAE341"/>
    <w:rsid w:val="47D333E6"/>
    <w:rsid w:val="47DC08E4"/>
    <w:rsid w:val="47E01074"/>
    <w:rsid w:val="47F39E46"/>
    <w:rsid w:val="4803F99A"/>
    <w:rsid w:val="4804FE95"/>
    <w:rsid w:val="480B70C6"/>
    <w:rsid w:val="480CD478"/>
    <w:rsid w:val="481A3886"/>
    <w:rsid w:val="481B1586"/>
    <w:rsid w:val="482E15D6"/>
    <w:rsid w:val="4830E921"/>
    <w:rsid w:val="4840982E"/>
    <w:rsid w:val="4840B506"/>
    <w:rsid w:val="48554226"/>
    <w:rsid w:val="48748923"/>
    <w:rsid w:val="487CEC61"/>
    <w:rsid w:val="4888ED9A"/>
    <w:rsid w:val="488910D0"/>
    <w:rsid w:val="488A1450"/>
    <w:rsid w:val="48909F0E"/>
    <w:rsid w:val="48A301FB"/>
    <w:rsid w:val="48A9C853"/>
    <w:rsid w:val="48B4F4A8"/>
    <w:rsid w:val="48E31084"/>
    <w:rsid w:val="48F5391C"/>
    <w:rsid w:val="48FDF866"/>
    <w:rsid w:val="49053BE4"/>
    <w:rsid w:val="490F4497"/>
    <w:rsid w:val="49119C02"/>
    <w:rsid w:val="4917AFBE"/>
    <w:rsid w:val="491A6C8E"/>
    <w:rsid w:val="491AB076"/>
    <w:rsid w:val="491C00DC"/>
    <w:rsid w:val="491D19F5"/>
    <w:rsid w:val="49262114"/>
    <w:rsid w:val="492D69BF"/>
    <w:rsid w:val="4933866B"/>
    <w:rsid w:val="493AAF41"/>
    <w:rsid w:val="494E4DF5"/>
    <w:rsid w:val="4958BBC0"/>
    <w:rsid w:val="4966314E"/>
    <w:rsid w:val="49745129"/>
    <w:rsid w:val="4980338A"/>
    <w:rsid w:val="498CD894"/>
    <w:rsid w:val="498FBCAC"/>
    <w:rsid w:val="499019F2"/>
    <w:rsid w:val="4996B1D8"/>
    <w:rsid w:val="4998CA0B"/>
    <w:rsid w:val="49A4EA5E"/>
    <w:rsid w:val="49C8AE52"/>
    <w:rsid w:val="49D4E366"/>
    <w:rsid w:val="49E29606"/>
    <w:rsid w:val="49E43A13"/>
    <w:rsid w:val="49F71FEE"/>
    <w:rsid w:val="49FB27EF"/>
    <w:rsid w:val="49FD0FF2"/>
    <w:rsid w:val="4A124B47"/>
    <w:rsid w:val="4A182AB8"/>
    <w:rsid w:val="4A20F3F5"/>
    <w:rsid w:val="4A2A7E82"/>
    <w:rsid w:val="4A2BEED0"/>
    <w:rsid w:val="4A3005CA"/>
    <w:rsid w:val="4A40BF95"/>
    <w:rsid w:val="4A45C617"/>
    <w:rsid w:val="4A5B11EF"/>
    <w:rsid w:val="4A624608"/>
    <w:rsid w:val="4A6C39F2"/>
    <w:rsid w:val="4A8B4413"/>
    <w:rsid w:val="4A9ACEC2"/>
    <w:rsid w:val="4A9CD48E"/>
    <w:rsid w:val="4AB8B0EE"/>
    <w:rsid w:val="4AE22C97"/>
    <w:rsid w:val="4AE7432E"/>
    <w:rsid w:val="4AEEFBE9"/>
    <w:rsid w:val="4AF984FA"/>
    <w:rsid w:val="4B00353A"/>
    <w:rsid w:val="4B10CA37"/>
    <w:rsid w:val="4B16B9BE"/>
    <w:rsid w:val="4B28944C"/>
    <w:rsid w:val="4B2FCEBF"/>
    <w:rsid w:val="4B3843A9"/>
    <w:rsid w:val="4B483155"/>
    <w:rsid w:val="4B4945C7"/>
    <w:rsid w:val="4B63F0E8"/>
    <w:rsid w:val="4B834146"/>
    <w:rsid w:val="4BAF45E7"/>
    <w:rsid w:val="4BB20FC6"/>
    <w:rsid w:val="4BB7D982"/>
    <w:rsid w:val="4BC4E2BB"/>
    <w:rsid w:val="4BD575BD"/>
    <w:rsid w:val="4BD9615C"/>
    <w:rsid w:val="4BDB8554"/>
    <w:rsid w:val="4BE5147A"/>
    <w:rsid w:val="4BF93C68"/>
    <w:rsid w:val="4BFDB637"/>
    <w:rsid w:val="4C16087E"/>
    <w:rsid w:val="4C16DB42"/>
    <w:rsid w:val="4C21CFDC"/>
    <w:rsid w:val="4C338136"/>
    <w:rsid w:val="4C3E0D7D"/>
    <w:rsid w:val="4C59ECCD"/>
    <w:rsid w:val="4C7D9442"/>
    <w:rsid w:val="4C7E419E"/>
    <w:rsid w:val="4C7E90C9"/>
    <w:rsid w:val="4C8281C8"/>
    <w:rsid w:val="4C852A57"/>
    <w:rsid w:val="4C87E942"/>
    <w:rsid w:val="4C92CACA"/>
    <w:rsid w:val="4C99FA42"/>
    <w:rsid w:val="4CA165CE"/>
    <w:rsid w:val="4CABECA9"/>
    <w:rsid w:val="4CBED01E"/>
    <w:rsid w:val="4CC006A2"/>
    <w:rsid w:val="4CC902C0"/>
    <w:rsid w:val="4CD43503"/>
    <w:rsid w:val="4CFCC12B"/>
    <w:rsid w:val="4CFD4C29"/>
    <w:rsid w:val="4D105585"/>
    <w:rsid w:val="4D236377"/>
    <w:rsid w:val="4D2ADC47"/>
    <w:rsid w:val="4D2B9D42"/>
    <w:rsid w:val="4D35FD4E"/>
    <w:rsid w:val="4D3B3C61"/>
    <w:rsid w:val="4D40DED5"/>
    <w:rsid w:val="4D4302C8"/>
    <w:rsid w:val="4D6F6ABD"/>
    <w:rsid w:val="4D7B7E0C"/>
    <w:rsid w:val="4D7D8DB0"/>
    <w:rsid w:val="4D7FA6D1"/>
    <w:rsid w:val="4D8F2EAC"/>
    <w:rsid w:val="4DA93739"/>
    <w:rsid w:val="4DB4EE9F"/>
    <w:rsid w:val="4DBC2F96"/>
    <w:rsid w:val="4DBC88CC"/>
    <w:rsid w:val="4DCD4918"/>
    <w:rsid w:val="4DDAA0C0"/>
    <w:rsid w:val="4DE5E451"/>
    <w:rsid w:val="4DEC7349"/>
    <w:rsid w:val="4E0504B1"/>
    <w:rsid w:val="4E0BB1E3"/>
    <w:rsid w:val="4E15243F"/>
    <w:rsid w:val="4E1EA3F5"/>
    <w:rsid w:val="4E394915"/>
    <w:rsid w:val="4E769D8F"/>
    <w:rsid w:val="4E79C5D8"/>
    <w:rsid w:val="4E906D1D"/>
    <w:rsid w:val="4EA1BB1E"/>
    <w:rsid w:val="4EA23FEA"/>
    <w:rsid w:val="4EA618D4"/>
    <w:rsid w:val="4ECC55A5"/>
    <w:rsid w:val="4ED66C5C"/>
    <w:rsid w:val="4EDB7D48"/>
    <w:rsid w:val="4EDF201A"/>
    <w:rsid w:val="4F0061C1"/>
    <w:rsid w:val="4F0F6D04"/>
    <w:rsid w:val="4F11BC72"/>
    <w:rsid w:val="4F28CCDD"/>
    <w:rsid w:val="4F384F96"/>
    <w:rsid w:val="4F707826"/>
    <w:rsid w:val="4F71E6B6"/>
    <w:rsid w:val="4F7A444C"/>
    <w:rsid w:val="4F8F7893"/>
    <w:rsid w:val="4F9DF749"/>
    <w:rsid w:val="4FB17E64"/>
    <w:rsid w:val="4FBF9D04"/>
    <w:rsid w:val="4FCD7BF1"/>
    <w:rsid w:val="4FD1C8CE"/>
    <w:rsid w:val="4FD65DFB"/>
    <w:rsid w:val="4FE35BD9"/>
    <w:rsid w:val="4FEF109B"/>
    <w:rsid w:val="4FF5BBE0"/>
    <w:rsid w:val="5007D681"/>
    <w:rsid w:val="500AA9E0"/>
    <w:rsid w:val="501C046F"/>
    <w:rsid w:val="50217BAB"/>
    <w:rsid w:val="502BFEAB"/>
    <w:rsid w:val="502D5015"/>
    <w:rsid w:val="50399E48"/>
    <w:rsid w:val="503E2637"/>
    <w:rsid w:val="504080D2"/>
    <w:rsid w:val="5064C622"/>
    <w:rsid w:val="508B619A"/>
    <w:rsid w:val="50945DAC"/>
    <w:rsid w:val="50A22018"/>
    <w:rsid w:val="50B3F07E"/>
    <w:rsid w:val="50BE60F5"/>
    <w:rsid w:val="50CB1452"/>
    <w:rsid w:val="50E89223"/>
    <w:rsid w:val="50F4B6CD"/>
    <w:rsid w:val="50F6DBF8"/>
    <w:rsid w:val="5102911B"/>
    <w:rsid w:val="5106C0D1"/>
    <w:rsid w:val="510AB1C3"/>
    <w:rsid w:val="512D5D80"/>
    <w:rsid w:val="51319A06"/>
    <w:rsid w:val="5134E820"/>
    <w:rsid w:val="513EDF88"/>
    <w:rsid w:val="51421682"/>
    <w:rsid w:val="514E634A"/>
    <w:rsid w:val="5151AECD"/>
    <w:rsid w:val="515AF5F2"/>
    <w:rsid w:val="5180C858"/>
    <w:rsid w:val="518FB57B"/>
    <w:rsid w:val="51947665"/>
    <w:rsid w:val="519AB273"/>
    <w:rsid w:val="51A8469A"/>
    <w:rsid w:val="51CCB4B8"/>
    <w:rsid w:val="51DCFE8F"/>
    <w:rsid w:val="51DD664B"/>
    <w:rsid w:val="51F1AEFF"/>
    <w:rsid w:val="51F5185D"/>
    <w:rsid w:val="51FF201B"/>
    <w:rsid w:val="5225374F"/>
    <w:rsid w:val="522A26B8"/>
    <w:rsid w:val="523784E5"/>
    <w:rsid w:val="52534E61"/>
    <w:rsid w:val="526AF189"/>
    <w:rsid w:val="527B5D33"/>
    <w:rsid w:val="527E98CB"/>
    <w:rsid w:val="52804247"/>
    <w:rsid w:val="5290F5DE"/>
    <w:rsid w:val="5298D637"/>
    <w:rsid w:val="529B3966"/>
    <w:rsid w:val="529CBC19"/>
    <w:rsid w:val="52A487D5"/>
    <w:rsid w:val="52A59969"/>
    <w:rsid w:val="52B656BF"/>
    <w:rsid w:val="52C7626C"/>
    <w:rsid w:val="52CAE75E"/>
    <w:rsid w:val="52D60233"/>
    <w:rsid w:val="52DFF139"/>
    <w:rsid w:val="5301ED89"/>
    <w:rsid w:val="531C29E5"/>
    <w:rsid w:val="53287617"/>
    <w:rsid w:val="532AC1A9"/>
    <w:rsid w:val="53408EFA"/>
    <w:rsid w:val="534DD030"/>
    <w:rsid w:val="535B653F"/>
    <w:rsid w:val="536B0F17"/>
    <w:rsid w:val="536EC811"/>
    <w:rsid w:val="536EF105"/>
    <w:rsid w:val="538A408F"/>
    <w:rsid w:val="538C1BD6"/>
    <w:rsid w:val="53911B11"/>
    <w:rsid w:val="5396043B"/>
    <w:rsid w:val="5398A255"/>
    <w:rsid w:val="539E7AE0"/>
    <w:rsid w:val="53A84D21"/>
    <w:rsid w:val="53D14291"/>
    <w:rsid w:val="53E7C394"/>
    <w:rsid w:val="53F6C2B6"/>
    <w:rsid w:val="540F358C"/>
    <w:rsid w:val="541146CC"/>
    <w:rsid w:val="542EE78A"/>
    <w:rsid w:val="54343008"/>
    <w:rsid w:val="5441D87B"/>
    <w:rsid w:val="54428A5E"/>
    <w:rsid w:val="546D174F"/>
    <w:rsid w:val="54802468"/>
    <w:rsid w:val="54828CF1"/>
    <w:rsid w:val="54928896"/>
    <w:rsid w:val="5494D13B"/>
    <w:rsid w:val="5494D8C4"/>
    <w:rsid w:val="54A680D8"/>
    <w:rsid w:val="54B9AD74"/>
    <w:rsid w:val="54BFD46E"/>
    <w:rsid w:val="54C2F2D2"/>
    <w:rsid w:val="54CB6705"/>
    <w:rsid w:val="54CF512B"/>
    <w:rsid w:val="54D15693"/>
    <w:rsid w:val="54D6C687"/>
    <w:rsid w:val="54D7B654"/>
    <w:rsid w:val="54D95A52"/>
    <w:rsid w:val="54E51237"/>
    <w:rsid w:val="54F07996"/>
    <w:rsid w:val="54F0A9CD"/>
    <w:rsid w:val="54F14B5D"/>
    <w:rsid w:val="54F5F667"/>
    <w:rsid w:val="551CE010"/>
    <w:rsid w:val="551EF7F5"/>
    <w:rsid w:val="552AE6F9"/>
    <w:rsid w:val="5543CE46"/>
    <w:rsid w:val="5552F640"/>
    <w:rsid w:val="55546BEB"/>
    <w:rsid w:val="555D5750"/>
    <w:rsid w:val="5571BFB9"/>
    <w:rsid w:val="5575DC2C"/>
    <w:rsid w:val="5599439A"/>
    <w:rsid w:val="559C3B57"/>
    <w:rsid w:val="55A9D2CB"/>
    <w:rsid w:val="55B2E485"/>
    <w:rsid w:val="55B63EC7"/>
    <w:rsid w:val="55F447D0"/>
    <w:rsid w:val="55F55F48"/>
    <w:rsid w:val="561C9F8E"/>
    <w:rsid w:val="56211896"/>
    <w:rsid w:val="5623810E"/>
    <w:rsid w:val="562FF608"/>
    <w:rsid w:val="5642BD68"/>
    <w:rsid w:val="56522C67"/>
    <w:rsid w:val="56724100"/>
    <w:rsid w:val="568569A7"/>
    <w:rsid w:val="56993BAC"/>
    <w:rsid w:val="569BF247"/>
    <w:rsid w:val="56A39488"/>
    <w:rsid w:val="56A73AA9"/>
    <w:rsid w:val="56AB4BE8"/>
    <w:rsid w:val="56D27F65"/>
    <w:rsid w:val="56E87A14"/>
    <w:rsid w:val="570C6D85"/>
    <w:rsid w:val="570D557F"/>
    <w:rsid w:val="57113597"/>
    <w:rsid w:val="57144C24"/>
    <w:rsid w:val="571D3CD7"/>
    <w:rsid w:val="573552D5"/>
    <w:rsid w:val="57371A86"/>
    <w:rsid w:val="573E4E6D"/>
    <w:rsid w:val="5746E5F2"/>
    <w:rsid w:val="574D646A"/>
    <w:rsid w:val="574E588C"/>
    <w:rsid w:val="5751176C"/>
    <w:rsid w:val="57571633"/>
    <w:rsid w:val="576A71F4"/>
    <w:rsid w:val="579959BB"/>
    <w:rsid w:val="57AD47C4"/>
    <w:rsid w:val="57BE80D9"/>
    <w:rsid w:val="57CF6C3C"/>
    <w:rsid w:val="57E938EA"/>
    <w:rsid w:val="57EF798F"/>
    <w:rsid w:val="57EFF1D6"/>
    <w:rsid w:val="57F00033"/>
    <w:rsid w:val="57FF181C"/>
    <w:rsid w:val="5802A774"/>
    <w:rsid w:val="58045291"/>
    <w:rsid w:val="58066F9A"/>
    <w:rsid w:val="5809A5DF"/>
    <w:rsid w:val="580EED95"/>
    <w:rsid w:val="58106C18"/>
    <w:rsid w:val="5817D4A9"/>
    <w:rsid w:val="582497F3"/>
    <w:rsid w:val="583B0292"/>
    <w:rsid w:val="5843B0B6"/>
    <w:rsid w:val="584AD5E1"/>
    <w:rsid w:val="58500F36"/>
    <w:rsid w:val="585B07B7"/>
    <w:rsid w:val="585C7534"/>
    <w:rsid w:val="589CA45B"/>
    <w:rsid w:val="58A21FFC"/>
    <w:rsid w:val="58A726FA"/>
    <w:rsid w:val="58A994A6"/>
    <w:rsid w:val="58AE41B6"/>
    <w:rsid w:val="58B5C380"/>
    <w:rsid w:val="58B6647F"/>
    <w:rsid w:val="58B857E5"/>
    <w:rsid w:val="58BF3074"/>
    <w:rsid w:val="58C60075"/>
    <w:rsid w:val="58C67463"/>
    <w:rsid w:val="58CD0437"/>
    <w:rsid w:val="58DA23D0"/>
    <w:rsid w:val="58DA4018"/>
    <w:rsid w:val="58DF899F"/>
    <w:rsid w:val="58E0605D"/>
    <w:rsid w:val="58E57D47"/>
    <w:rsid w:val="58F89DF7"/>
    <w:rsid w:val="58FBAEDE"/>
    <w:rsid w:val="59038819"/>
    <w:rsid w:val="59092F89"/>
    <w:rsid w:val="59128B5E"/>
    <w:rsid w:val="592C6F00"/>
    <w:rsid w:val="597785E1"/>
    <w:rsid w:val="597BF141"/>
    <w:rsid w:val="597D9CD4"/>
    <w:rsid w:val="599C016E"/>
    <w:rsid w:val="599D4D30"/>
    <w:rsid w:val="59B09DA2"/>
    <w:rsid w:val="59B707AC"/>
    <w:rsid w:val="59DF4321"/>
    <w:rsid w:val="59ED129C"/>
    <w:rsid w:val="59F8DBAB"/>
    <w:rsid w:val="5A1F84B6"/>
    <w:rsid w:val="5A2FC4CE"/>
    <w:rsid w:val="5A30E568"/>
    <w:rsid w:val="5A38BFF6"/>
    <w:rsid w:val="5A4207BC"/>
    <w:rsid w:val="5A4791A3"/>
    <w:rsid w:val="5A61D30D"/>
    <w:rsid w:val="5A662E35"/>
    <w:rsid w:val="5A6909BE"/>
    <w:rsid w:val="5A6E6D82"/>
    <w:rsid w:val="5A779F08"/>
    <w:rsid w:val="5A780833"/>
    <w:rsid w:val="5A8975D7"/>
    <w:rsid w:val="5A9B94AD"/>
    <w:rsid w:val="5AAE79EA"/>
    <w:rsid w:val="5AC6A033"/>
    <w:rsid w:val="5AC7A300"/>
    <w:rsid w:val="5AD5AE4D"/>
    <w:rsid w:val="5AEF378F"/>
    <w:rsid w:val="5AF1874A"/>
    <w:rsid w:val="5B0049C2"/>
    <w:rsid w:val="5B070238"/>
    <w:rsid w:val="5B118228"/>
    <w:rsid w:val="5B252902"/>
    <w:rsid w:val="5B29BA3E"/>
    <w:rsid w:val="5B2C9AD8"/>
    <w:rsid w:val="5B33C621"/>
    <w:rsid w:val="5B376D09"/>
    <w:rsid w:val="5B3C84B2"/>
    <w:rsid w:val="5B58E6E9"/>
    <w:rsid w:val="5B66D671"/>
    <w:rsid w:val="5B6F301C"/>
    <w:rsid w:val="5B6FD47E"/>
    <w:rsid w:val="5B973709"/>
    <w:rsid w:val="5BA2D9BE"/>
    <w:rsid w:val="5BC42194"/>
    <w:rsid w:val="5BC6CC76"/>
    <w:rsid w:val="5BD00017"/>
    <w:rsid w:val="5BD1A6B6"/>
    <w:rsid w:val="5BDCC35A"/>
    <w:rsid w:val="5BE7C7EF"/>
    <w:rsid w:val="5BEE7D19"/>
    <w:rsid w:val="5BEF0854"/>
    <w:rsid w:val="5BF1EB0A"/>
    <w:rsid w:val="5BF5102A"/>
    <w:rsid w:val="5C04B9AD"/>
    <w:rsid w:val="5C103265"/>
    <w:rsid w:val="5C184E47"/>
    <w:rsid w:val="5C6DCA15"/>
    <w:rsid w:val="5C79B0E0"/>
    <w:rsid w:val="5C85E516"/>
    <w:rsid w:val="5C86DF34"/>
    <w:rsid w:val="5CA5FEE4"/>
    <w:rsid w:val="5CA694B1"/>
    <w:rsid w:val="5CB860B7"/>
    <w:rsid w:val="5CDF7DD7"/>
    <w:rsid w:val="5CE02682"/>
    <w:rsid w:val="5CF516C7"/>
    <w:rsid w:val="5D0C685F"/>
    <w:rsid w:val="5D35EB30"/>
    <w:rsid w:val="5D3BAA71"/>
    <w:rsid w:val="5D47EC87"/>
    <w:rsid w:val="5D4BEFAE"/>
    <w:rsid w:val="5D4C1050"/>
    <w:rsid w:val="5D607871"/>
    <w:rsid w:val="5D828E4B"/>
    <w:rsid w:val="5D86C7E2"/>
    <w:rsid w:val="5D8EC6BE"/>
    <w:rsid w:val="5D9B543E"/>
    <w:rsid w:val="5D9C1192"/>
    <w:rsid w:val="5D9F9327"/>
    <w:rsid w:val="5DC9880B"/>
    <w:rsid w:val="5DCA6627"/>
    <w:rsid w:val="5DE246D5"/>
    <w:rsid w:val="5DED2335"/>
    <w:rsid w:val="5DED3E5D"/>
    <w:rsid w:val="5DFF8E2E"/>
    <w:rsid w:val="5E031783"/>
    <w:rsid w:val="5E291A61"/>
    <w:rsid w:val="5E33C74C"/>
    <w:rsid w:val="5E672480"/>
    <w:rsid w:val="5E75F4A0"/>
    <w:rsid w:val="5E7D9A99"/>
    <w:rsid w:val="5E831715"/>
    <w:rsid w:val="5E8DDE6C"/>
    <w:rsid w:val="5E8E38C7"/>
    <w:rsid w:val="5E8F61DB"/>
    <w:rsid w:val="5E9AA693"/>
    <w:rsid w:val="5E9BBE3A"/>
    <w:rsid w:val="5EA4AE5A"/>
    <w:rsid w:val="5EB75880"/>
    <w:rsid w:val="5EC06F8C"/>
    <w:rsid w:val="5ECBC9F0"/>
    <w:rsid w:val="5ECD31DB"/>
    <w:rsid w:val="5ED42DE4"/>
    <w:rsid w:val="5EE31CE2"/>
    <w:rsid w:val="5EE3DBB3"/>
    <w:rsid w:val="5EE401C2"/>
    <w:rsid w:val="5F3F1E61"/>
    <w:rsid w:val="5F47C7BA"/>
    <w:rsid w:val="5F65EB97"/>
    <w:rsid w:val="5F804A34"/>
    <w:rsid w:val="5F921D97"/>
    <w:rsid w:val="5FA8AC87"/>
    <w:rsid w:val="5FB1E00E"/>
    <w:rsid w:val="5FB2CD5A"/>
    <w:rsid w:val="5FB967DE"/>
    <w:rsid w:val="5FC7679E"/>
    <w:rsid w:val="5FCE5D32"/>
    <w:rsid w:val="5FD7BC74"/>
    <w:rsid w:val="5FE08987"/>
    <w:rsid w:val="5FFD379F"/>
    <w:rsid w:val="600B38C4"/>
    <w:rsid w:val="6011FEC5"/>
    <w:rsid w:val="60222538"/>
    <w:rsid w:val="6022DAA2"/>
    <w:rsid w:val="60252F16"/>
    <w:rsid w:val="6040E966"/>
    <w:rsid w:val="6054F066"/>
    <w:rsid w:val="605ABC27"/>
    <w:rsid w:val="605CE8C6"/>
    <w:rsid w:val="60748DA7"/>
    <w:rsid w:val="60759DBA"/>
    <w:rsid w:val="607A71C0"/>
    <w:rsid w:val="607D4BF6"/>
    <w:rsid w:val="6080A709"/>
    <w:rsid w:val="608D81A0"/>
    <w:rsid w:val="608F6D78"/>
    <w:rsid w:val="6090F70A"/>
    <w:rsid w:val="609FE9C1"/>
    <w:rsid w:val="60A3CEE6"/>
    <w:rsid w:val="60A702E2"/>
    <w:rsid w:val="60B1E901"/>
    <w:rsid w:val="60D28769"/>
    <w:rsid w:val="60E689E6"/>
    <w:rsid w:val="60FFE453"/>
    <w:rsid w:val="610FC26F"/>
    <w:rsid w:val="611AC2AB"/>
    <w:rsid w:val="612BA737"/>
    <w:rsid w:val="613DCCC3"/>
    <w:rsid w:val="614F03F2"/>
    <w:rsid w:val="615A7CE0"/>
    <w:rsid w:val="616DA225"/>
    <w:rsid w:val="617F754A"/>
    <w:rsid w:val="61810283"/>
    <w:rsid w:val="618B1398"/>
    <w:rsid w:val="61A0EE99"/>
    <w:rsid w:val="61A653C2"/>
    <w:rsid w:val="61BA043F"/>
    <w:rsid w:val="61BFE20E"/>
    <w:rsid w:val="61C0D65B"/>
    <w:rsid w:val="61C2C9FD"/>
    <w:rsid w:val="61D1A125"/>
    <w:rsid w:val="61E4B952"/>
    <w:rsid w:val="61E5121B"/>
    <w:rsid w:val="61EE9119"/>
    <w:rsid w:val="61F0CE08"/>
    <w:rsid w:val="61F85046"/>
    <w:rsid w:val="62059599"/>
    <w:rsid w:val="62084F93"/>
    <w:rsid w:val="620E4B2F"/>
    <w:rsid w:val="6221031A"/>
    <w:rsid w:val="6224DBF8"/>
    <w:rsid w:val="6234A1CC"/>
    <w:rsid w:val="623881E3"/>
    <w:rsid w:val="623C6306"/>
    <w:rsid w:val="623C658F"/>
    <w:rsid w:val="62428CB1"/>
    <w:rsid w:val="62527676"/>
    <w:rsid w:val="6253B9F9"/>
    <w:rsid w:val="62677AD7"/>
    <w:rsid w:val="626AD56B"/>
    <w:rsid w:val="62835549"/>
    <w:rsid w:val="62844EB7"/>
    <w:rsid w:val="62846B3B"/>
    <w:rsid w:val="6286401D"/>
    <w:rsid w:val="628822AF"/>
    <w:rsid w:val="628A62B1"/>
    <w:rsid w:val="628D7932"/>
    <w:rsid w:val="62AE6FFC"/>
    <w:rsid w:val="62B252E3"/>
    <w:rsid w:val="62CD8C7B"/>
    <w:rsid w:val="62E570D0"/>
    <w:rsid w:val="62E75540"/>
    <w:rsid w:val="62EBE466"/>
    <w:rsid w:val="62EC23B3"/>
    <w:rsid w:val="631F9251"/>
    <w:rsid w:val="63352FC2"/>
    <w:rsid w:val="63417F9D"/>
    <w:rsid w:val="63440F2F"/>
    <w:rsid w:val="635A0FFE"/>
    <w:rsid w:val="6366723A"/>
    <w:rsid w:val="6366A476"/>
    <w:rsid w:val="636EA224"/>
    <w:rsid w:val="63795F69"/>
    <w:rsid w:val="638CBDAF"/>
    <w:rsid w:val="63A099CC"/>
    <w:rsid w:val="63B997B1"/>
    <w:rsid w:val="63BEC8DF"/>
    <w:rsid w:val="63C8F679"/>
    <w:rsid w:val="63C9C85C"/>
    <w:rsid w:val="63D35BCE"/>
    <w:rsid w:val="63DA24D2"/>
    <w:rsid w:val="63DB22BB"/>
    <w:rsid w:val="63E15E5B"/>
    <w:rsid w:val="63E535F3"/>
    <w:rsid w:val="63E9DAC2"/>
    <w:rsid w:val="6414EA7E"/>
    <w:rsid w:val="64160D98"/>
    <w:rsid w:val="64169999"/>
    <w:rsid w:val="641866F7"/>
    <w:rsid w:val="641C7061"/>
    <w:rsid w:val="6423757A"/>
    <w:rsid w:val="6424F483"/>
    <w:rsid w:val="6446C9EB"/>
    <w:rsid w:val="6448FA1E"/>
    <w:rsid w:val="64530ADC"/>
    <w:rsid w:val="6477C69C"/>
    <w:rsid w:val="647BB3B7"/>
    <w:rsid w:val="648F0763"/>
    <w:rsid w:val="64962A80"/>
    <w:rsid w:val="64A805EC"/>
    <w:rsid w:val="64A809C9"/>
    <w:rsid w:val="64AC8F15"/>
    <w:rsid w:val="64B92899"/>
    <w:rsid w:val="64BDE29C"/>
    <w:rsid w:val="64CDF955"/>
    <w:rsid w:val="64D3267B"/>
    <w:rsid w:val="64D51F94"/>
    <w:rsid w:val="64E07147"/>
    <w:rsid w:val="64E2A06F"/>
    <w:rsid w:val="64E638B3"/>
    <w:rsid w:val="64EA10A8"/>
    <w:rsid w:val="64FFB73C"/>
    <w:rsid w:val="6501F41B"/>
    <w:rsid w:val="6503EE67"/>
    <w:rsid w:val="650428ED"/>
    <w:rsid w:val="650A10CA"/>
    <w:rsid w:val="6522E0E6"/>
    <w:rsid w:val="65230FDB"/>
    <w:rsid w:val="652D809A"/>
    <w:rsid w:val="653B82D0"/>
    <w:rsid w:val="65437075"/>
    <w:rsid w:val="6547BB31"/>
    <w:rsid w:val="6551AC96"/>
    <w:rsid w:val="655639D0"/>
    <w:rsid w:val="656499EC"/>
    <w:rsid w:val="6566FA5E"/>
    <w:rsid w:val="656C5A3B"/>
    <w:rsid w:val="6570CCC7"/>
    <w:rsid w:val="65720F60"/>
    <w:rsid w:val="6574354C"/>
    <w:rsid w:val="6581BC47"/>
    <w:rsid w:val="65821A1F"/>
    <w:rsid w:val="658644CD"/>
    <w:rsid w:val="658D2A0E"/>
    <w:rsid w:val="6594255A"/>
    <w:rsid w:val="65B1D9FF"/>
    <w:rsid w:val="65B8B7EA"/>
    <w:rsid w:val="65BD3720"/>
    <w:rsid w:val="65DB8B70"/>
    <w:rsid w:val="65F1C7C1"/>
    <w:rsid w:val="660158F1"/>
    <w:rsid w:val="6604D4DA"/>
    <w:rsid w:val="6607DAE6"/>
    <w:rsid w:val="661B9248"/>
    <w:rsid w:val="661E228E"/>
    <w:rsid w:val="661EF96B"/>
    <w:rsid w:val="662B6F38"/>
    <w:rsid w:val="6674D1BC"/>
    <w:rsid w:val="668EDB35"/>
    <w:rsid w:val="669310B7"/>
    <w:rsid w:val="669C5279"/>
    <w:rsid w:val="66B241A1"/>
    <w:rsid w:val="66D953A4"/>
    <w:rsid w:val="66D980CA"/>
    <w:rsid w:val="66DA8D62"/>
    <w:rsid w:val="66F2C9B2"/>
    <w:rsid w:val="66F39686"/>
    <w:rsid w:val="66F48B28"/>
    <w:rsid w:val="6701F6B0"/>
    <w:rsid w:val="670A58E5"/>
    <w:rsid w:val="67275CA2"/>
    <w:rsid w:val="6734596B"/>
    <w:rsid w:val="673AB722"/>
    <w:rsid w:val="673AF7FF"/>
    <w:rsid w:val="67495108"/>
    <w:rsid w:val="675FC1F0"/>
    <w:rsid w:val="676B5E86"/>
    <w:rsid w:val="67780BB9"/>
    <w:rsid w:val="67789913"/>
    <w:rsid w:val="677B85D9"/>
    <w:rsid w:val="678A83E0"/>
    <w:rsid w:val="67A6F683"/>
    <w:rsid w:val="67B311BB"/>
    <w:rsid w:val="67C5BE24"/>
    <w:rsid w:val="67D852B9"/>
    <w:rsid w:val="67E74E8B"/>
    <w:rsid w:val="680D1258"/>
    <w:rsid w:val="6813494E"/>
    <w:rsid w:val="681E190D"/>
    <w:rsid w:val="6833A06E"/>
    <w:rsid w:val="683A117B"/>
    <w:rsid w:val="684002F6"/>
    <w:rsid w:val="68445E51"/>
    <w:rsid w:val="6846B51F"/>
    <w:rsid w:val="68484D29"/>
    <w:rsid w:val="686AC250"/>
    <w:rsid w:val="6870A086"/>
    <w:rsid w:val="687635E1"/>
    <w:rsid w:val="687ECC2F"/>
    <w:rsid w:val="6885CE62"/>
    <w:rsid w:val="6894366C"/>
    <w:rsid w:val="68A6D993"/>
    <w:rsid w:val="68B2C10F"/>
    <w:rsid w:val="68B3C8D6"/>
    <w:rsid w:val="68C0205D"/>
    <w:rsid w:val="68C3EC82"/>
    <w:rsid w:val="68DB23F0"/>
    <w:rsid w:val="68DE08EE"/>
    <w:rsid w:val="68E0D301"/>
    <w:rsid w:val="68E8B255"/>
    <w:rsid w:val="6901A634"/>
    <w:rsid w:val="6903547A"/>
    <w:rsid w:val="69181C0F"/>
    <w:rsid w:val="691D5B1E"/>
    <w:rsid w:val="692787C0"/>
    <w:rsid w:val="6929FFB3"/>
    <w:rsid w:val="693FF114"/>
    <w:rsid w:val="694BCA42"/>
    <w:rsid w:val="694FF7E1"/>
    <w:rsid w:val="6951FFE9"/>
    <w:rsid w:val="6971C811"/>
    <w:rsid w:val="69832AEA"/>
    <w:rsid w:val="69861282"/>
    <w:rsid w:val="698E497B"/>
    <w:rsid w:val="6998927A"/>
    <w:rsid w:val="699954F5"/>
    <w:rsid w:val="699B7CA9"/>
    <w:rsid w:val="69AC23D0"/>
    <w:rsid w:val="69AD41BB"/>
    <w:rsid w:val="69B1456F"/>
    <w:rsid w:val="69BB9250"/>
    <w:rsid w:val="69BF9843"/>
    <w:rsid w:val="69C77BA3"/>
    <w:rsid w:val="69D53583"/>
    <w:rsid w:val="69DA2481"/>
    <w:rsid w:val="69E53364"/>
    <w:rsid w:val="69EBAA65"/>
    <w:rsid w:val="69F1CF5E"/>
    <w:rsid w:val="69F3F93D"/>
    <w:rsid w:val="69F9A2C8"/>
    <w:rsid w:val="6A06B468"/>
    <w:rsid w:val="6A15ABA0"/>
    <w:rsid w:val="6A17A1D2"/>
    <w:rsid w:val="6A1F1B3A"/>
    <w:rsid w:val="6A290145"/>
    <w:rsid w:val="6A305685"/>
    <w:rsid w:val="6A50BDBE"/>
    <w:rsid w:val="6A693FB5"/>
    <w:rsid w:val="6A71ECEC"/>
    <w:rsid w:val="6A846257"/>
    <w:rsid w:val="6A9D4A96"/>
    <w:rsid w:val="6AC0030E"/>
    <w:rsid w:val="6AD862D3"/>
    <w:rsid w:val="6AD91806"/>
    <w:rsid w:val="6ADB1FF7"/>
    <w:rsid w:val="6B040364"/>
    <w:rsid w:val="6B04F4E0"/>
    <w:rsid w:val="6B1D55F7"/>
    <w:rsid w:val="6B22D3E9"/>
    <w:rsid w:val="6B240B8E"/>
    <w:rsid w:val="6B2A2B91"/>
    <w:rsid w:val="6B3DD499"/>
    <w:rsid w:val="6B3E7BF1"/>
    <w:rsid w:val="6B3FC2FC"/>
    <w:rsid w:val="6B48D962"/>
    <w:rsid w:val="6B4C48D7"/>
    <w:rsid w:val="6B533ED0"/>
    <w:rsid w:val="6B602017"/>
    <w:rsid w:val="6B660CFD"/>
    <w:rsid w:val="6B7A970F"/>
    <w:rsid w:val="6B8EEB21"/>
    <w:rsid w:val="6B9DF43E"/>
    <w:rsid w:val="6BAE4031"/>
    <w:rsid w:val="6BCE707B"/>
    <w:rsid w:val="6BD6ABE8"/>
    <w:rsid w:val="6BD8BAC4"/>
    <w:rsid w:val="6BE11ABD"/>
    <w:rsid w:val="6BE170AC"/>
    <w:rsid w:val="6BEA68E6"/>
    <w:rsid w:val="6BFA5AD7"/>
    <w:rsid w:val="6C0957CF"/>
    <w:rsid w:val="6C13D137"/>
    <w:rsid w:val="6C224457"/>
    <w:rsid w:val="6C3F30B1"/>
    <w:rsid w:val="6C46D239"/>
    <w:rsid w:val="6C4C3C52"/>
    <w:rsid w:val="6C4E6C7F"/>
    <w:rsid w:val="6C543EF6"/>
    <w:rsid w:val="6C60F7BD"/>
    <w:rsid w:val="6C72B49E"/>
    <w:rsid w:val="6C8D4794"/>
    <w:rsid w:val="6C99A061"/>
    <w:rsid w:val="6C9FA30F"/>
    <w:rsid w:val="6CC9FBD7"/>
    <w:rsid w:val="6CCF20EF"/>
    <w:rsid w:val="6CF2396E"/>
    <w:rsid w:val="6D0084D6"/>
    <w:rsid w:val="6D00A8A7"/>
    <w:rsid w:val="6D0E1EAA"/>
    <w:rsid w:val="6D1DE378"/>
    <w:rsid w:val="6D2077B4"/>
    <w:rsid w:val="6D2AE20D"/>
    <w:rsid w:val="6D360C85"/>
    <w:rsid w:val="6D3A5217"/>
    <w:rsid w:val="6D4DB81B"/>
    <w:rsid w:val="6D69BF3F"/>
    <w:rsid w:val="6D7030D5"/>
    <w:rsid w:val="6D74E5D8"/>
    <w:rsid w:val="6D82A5AF"/>
    <w:rsid w:val="6D8A3970"/>
    <w:rsid w:val="6D8A93C0"/>
    <w:rsid w:val="6D920C6B"/>
    <w:rsid w:val="6D9FE2B3"/>
    <w:rsid w:val="6DB376B8"/>
    <w:rsid w:val="6DB3A22E"/>
    <w:rsid w:val="6DD9A084"/>
    <w:rsid w:val="6DEE4F36"/>
    <w:rsid w:val="6DF10519"/>
    <w:rsid w:val="6DFEEA9F"/>
    <w:rsid w:val="6E0A7072"/>
    <w:rsid w:val="6E15B581"/>
    <w:rsid w:val="6E1ADAA4"/>
    <w:rsid w:val="6E2304C5"/>
    <w:rsid w:val="6E4E1831"/>
    <w:rsid w:val="6E4F7E87"/>
    <w:rsid w:val="6E6C97E8"/>
    <w:rsid w:val="6E6EC807"/>
    <w:rsid w:val="6E776F03"/>
    <w:rsid w:val="6E7A4C9C"/>
    <w:rsid w:val="6E877366"/>
    <w:rsid w:val="6E8B07F8"/>
    <w:rsid w:val="6E8CE0AA"/>
    <w:rsid w:val="6EAB8FE3"/>
    <w:rsid w:val="6EAFABD8"/>
    <w:rsid w:val="6EB68C04"/>
    <w:rsid w:val="6EC6271F"/>
    <w:rsid w:val="6EDDC5AF"/>
    <w:rsid w:val="6EE08C7D"/>
    <w:rsid w:val="6EEF649E"/>
    <w:rsid w:val="6F0E8F0D"/>
    <w:rsid w:val="6F105D9D"/>
    <w:rsid w:val="6F333B30"/>
    <w:rsid w:val="6F36BC33"/>
    <w:rsid w:val="6F3A9161"/>
    <w:rsid w:val="6F3C63DA"/>
    <w:rsid w:val="6F4E3909"/>
    <w:rsid w:val="6F58033A"/>
    <w:rsid w:val="6F661358"/>
    <w:rsid w:val="6F69FA7C"/>
    <w:rsid w:val="6F8AD84B"/>
    <w:rsid w:val="6F9E6AF6"/>
    <w:rsid w:val="6FA4B7DD"/>
    <w:rsid w:val="6FAD43A3"/>
    <w:rsid w:val="6FAFECC8"/>
    <w:rsid w:val="6FB555B5"/>
    <w:rsid w:val="6FBF15EA"/>
    <w:rsid w:val="6FEA6171"/>
    <w:rsid w:val="6FEF78B5"/>
    <w:rsid w:val="6FF611E8"/>
    <w:rsid w:val="6FF974FB"/>
    <w:rsid w:val="6FFFC74F"/>
    <w:rsid w:val="700CBFB3"/>
    <w:rsid w:val="70201478"/>
    <w:rsid w:val="70293B67"/>
    <w:rsid w:val="70325CEC"/>
    <w:rsid w:val="70443745"/>
    <w:rsid w:val="70450297"/>
    <w:rsid w:val="70512342"/>
    <w:rsid w:val="705A86D6"/>
    <w:rsid w:val="705CFF35"/>
    <w:rsid w:val="705FB578"/>
    <w:rsid w:val="70623B8B"/>
    <w:rsid w:val="706C2186"/>
    <w:rsid w:val="707878D2"/>
    <w:rsid w:val="7085B315"/>
    <w:rsid w:val="709118A7"/>
    <w:rsid w:val="70A4639C"/>
    <w:rsid w:val="70B666D9"/>
    <w:rsid w:val="70BC12CE"/>
    <w:rsid w:val="70BD444D"/>
    <w:rsid w:val="70C2E8AD"/>
    <w:rsid w:val="70C3D2CD"/>
    <w:rsid w:val="70C609BD"/>
    <w:rsid w:val="70C786D1"/>
    <w:rsid w:val="70C976A7"/>
    <w:rsid w:val="70DEC4CE"/>
    <w:rsid w:val="70E515DA"/>
    <w:rsid w:val="70E78651"/>
    <w:rsid w:val="70F4A31E"/>
    <w:rsid w:val="70FA77E5"/>
    <w:rsid w:val="70FD2BB8"/>
    <w:rsid w:val="710C7292"/>
    <w:rsid w:val="711C88EA"/>
    <w:rsid w:val="711FE488"/>
    <w:rsid w:val="7120F952"/>
    <w:rsid w:val="7133E65B"/>
    <w:rsid w:val="713B197F"/>
    <w:rsid w:val="713EAE9D"/>
    <w:rsid w:val="714A6EA3"/>
    <w:rsid w:val="7151AFBB"/>
    <w:rsid w:val="7152E8E3"/>
    <w:rsid w:val="716AB8CB"/>
    <w:rsid w:val="71838FAA"/>
    <w:rsid w:val="71896974"/>
    <w:rsid w:val="718AC5B7"/>
    <w:rsid w:val="719C5436"/>
    <w:rsid w:val="71A6E4CA"/>
    <w:rsid w:val="71B545A2"/>
    <w:rsid w:val="71B56CB0"/>
    <w:rsid w:val="71B7487A"/>
    <w:rsid w:val="71C2A7BC"/>
    <w:rsid w:val="71D53A5C"/>
    <w:rsid w:val="71E0347D"/>
    <w:rsid w:val="71E433CD"/>
    <w:rsid w:val="71E4BBEE"/>
    <w:rsid w:val="71E6E192"/>
    <w:rsid w:val="71EA5DFA"/>
    <w:rsid w:val="722838D2"/>
    <w:rsid w:val="722F3EAE"/>
    <w:rsid w:val="72340077"/>
    <w:rsid w:val="723EE125"/>
    <w:rsid w:val="724C8A04"/>
    <w:rsid w:val="725EA962"/>
    <w:rsid w:val="72699AC4"/>
    <w:rsid w:val="726FD00C"/>
    <w:rsid w:val="7270144C"/>
    <w:rsid w:val="727290B4"/>
    <w:rsid w:val="7279D048"/>
    <w:rsid w:val="727B9531"/>
    <w:rsid w:val="72866623"/>
    <w:rsid w:val="7286C46F"/>
    <w:rsid w:val="728E141B"/>
    <w:rsid w:val="72B2127F"/>
    <w:rsid w:val="72BD401E"/>
    <w:rsid w:val="72E65403"/>
    <w:rsid w:val="732B7FD6"/>
    <w:rsid w:val="7348891D"/>
    <w:rsid w:val="73499A3F"/>
    <w:rsid w:val="737E555B"/>
    <w:rsid w:val="737F295D"/>
    <w:rsid w:val="738155C7"/>
    <w:rsid w:val="7389A23D"/>
    <w:rsid w:val="7390FF04"/>
    <w:rsid w:val="739318D0"/>
    <w:rsid w:val="739F2DAC"/>
    <w:rsid w:val="73A77F6C"/>
    <w:rsid w:val="73ACFC3F"/>
    <w:rsid w:val="73AD5A3C"/>
    <w:rsid w:val="73B10621"/>
    <w:rsid w:val="73B95AF2"/>
    <w:rsid w:val="73BDDDB0"/>
    <w:rsid w:val="73C5CD98"/>
    <w:rsid w:val="73C7DA9D"/>
    <w:rsid w:val="73CBD6E3"/>
    <w:rsid w:val="73D1227B"/>
    <w:rsid w:val="73E9557D"/>
    <w:rsid w:val="73E9A638"/>
    <w:rsid w:val="73EBA9D6"/>
    <w:rsid w:val="73EEC3E4"/>
    <w:rsid w:val="73F212A2"/>
    <w:rsid w:val="73F6F84E"/>
    <w:rsid w:val="73F7D3C2"/>
    <w:rsid w:val="73FBE4C0"/>
    <w:rsid w:val="740C9F5A"/>
    <w:rsid w:val="7418B235"/>
    <w:rsid w:val="741ED3FF"/>
    <w:rsid w:val="744CD897"/>
    <w:rsid w:val="7462C074"/>
    <w:rsid w:val="7463E702"/>
    <w:rsid w:val="746CA51E"/>
    <w:rsid w:val="74810419"/>
    <w:rsid w:val="7488A7D9"/>
    <w:rsid w:val="748BE8CB"/>
    <w:rsid w:val="748CB892"/>
    <w:rsid w:val="74A1B636"/>
    <w:rsid w:val="74AD82BF"/>
    <w:rsid w:val="74B46AF1"/>
    <w:rsid w:val="74BDB21D"/>
    <w:rsid w:val="74C7078B"/>
    <w:rsid w:val="74CBE30E"/>
    <w:rsid w:val="74CC868F"/>
    <w:rsid w:val="74E6CDDF"/>
    <w:rsid w:val="74EE51A8"/>
    <w:rsid w:val="74F1DB35"/>
    <w:rsid w:val="750626AE"/>
    <w:rsid w:val="750DFE13"/>
    <w:rsid w:val="750EBDFD"/>
    <w:rsid w:val="75134138"/>
    <w:rsid w:val="75231A89"/>
    <w:rsid w:val="75259C22"/>
    <w:rsid w:val="752985F4"/>
    <w:rsid w:val="752A478E"/>
    <w:rsid w:val="754A4641"/>
    <w:rsid w:val="754F08C3"/>
    <w:rsid w:val="7550AF15"/>
    <w:rsid w:val="7554F254"/>
    <w:rsid w:val="755E930F"/>
    <w:rsid w:val="7571BED1"/>
    <w:rsid w:val="7578FDB9"/>
    <w:rsid w:val="757A0CA0"/>
    <w:rsid w:val="758362B8"/>
    <w:rsid w:val="7584D85E"/>
    <w:rsid w:val="758FB5BD"/>
    <w:rsid w:val="759B36DB"/>
    <w:rsid w:val="75A137E8"/>
    <w:rsid w:val="75A6F98B"/>
    <w:rsid w:val="75ACE977"/>
    <w:rsid w:val="75B92D58"/>
    <w:rsid w:val="75BAC8EA"/>
    <w:rsid w:val="75BCC01E"/>
    <w:rsid w:val="75C9A17E"/>
    <w:rsid w:val="75DB05AB"/>
    <w:rsid w:val="75E54D9E"/>
    <w:rsid w:val="75FBCF70"/>
    <w:rsid w:val="760B1DB9"/>
    <w:rsid w:val="760D7440"/>
    <w:rsid w:val="761025C6"/>
    <w:rsid w:val="76144BD0"/>
    <w:rsid w:val="76340618"/>
    <w:rsid w:val="76385D4D"/>
    <w:rsid w:val="764C97B8"/>
    <w:rsid w:val="76509251"/>
    <w:rsid w:val="7654E76D"/>
    <w:rsid w:val="766152B4"/>
    <w:rsid w:val="76748161"/>
    <w:rsid w:val="7683AF00"/>
    <w:rsid w:val="7687ED89"/>
    <w:rsid w:val="76A352B7"/>
    <w:rsid w:val="76A62F52"/>
    <w:rsid w:val="76C82285"/>
    <w:rsid w:val="76D88B00"/>
    <w:rsid w:val="76DAF0A7"/>
    <w:rsid w:val="76F03D36"/>
    <w:rsid w:val="76F5D447"/>
    <w:rsid w:val="76F8FE7B"/>
    <w:rsid w:val="76FAD467"/>
    <w:rsid w:val="76FD21B0"/>
    <w:rsid w:val="770F2072"/>
    <w:rsid w:val="771B40CA"/>
    <w:rsid w:val="772C0077"/>
    <w:rsid w:val="77358D11"/>
    <w:rsid w:val="77432BBB"/>
    <w:rsid w:val="77478DED"/>
    <w:rsid w:val="77721A49"/>
    <w:rsid w:val="777AB4DA"/>
    <w:rsid w:val="777B076F"/>
    <w:rsid w:val="77808F86"/>
    <w:rsid w:val="779340C4"/>
    <w:rsid w:val="77A14086"/>
    <w:rsid w:val="77A22C65"/>
    <w:rsid w:val="77AF27E9"/>
    <w:rsid w:val="77B8BB5F"/>
    <w:rsid w:val="77BA74E5"/>
    <w:rsid w:val="77CE1F42"/>
    <w:rsid w:val="77D8DBB5"/>
    <w:rsid w:val="77DD6788"/>
    <w:rsid w:val="77DE7B14"/>
    <w:rsid w:val="77E27547"/>
    <w:rsid w:val="77E59D74"/>
    <w:rsid w:val="77E6F78A"/>
    <w:rsid w:val="77EBAE55"/>
    <w:rsid w:val="77F87CE0"/>
    <w:rsid w:val="77FE6108"/>
    <w:rsid w:val="7823ABCD"/>
    <w:rsid w:val="7827B8B3"/>
    <w:rsid w:val="7840EE15"/>
    <w:rsid w:val="7845B2B8"/>
    <w:rsid w:val="78485532"/>
    <w:rsid w:val="787080D4"/>
    <w:rsid w:val="7870BC59"/>
    <w:rsid w:val="78727431"/>
    <w:rsid w:val="7874158D"/>
    <w:rsid w:val="7875C7FA"/>
    <w:rsid w:val="787A024F"/>
    <w:rsid w:val="787DBD78"/>
    <w:rsid w:val="788A0709"/>
    <w:rsid w:val="789520E0"/>
    <w:rsid w:val="78AD3344"/>
    <w:rsid w:val="78BACFD5"/>
    <w:rsid w:val="78BB1125"/>
    <w:rsid w:val="78BBA6CD"/>
    <w:rsid w:val="78BEE207"/>
    <w:rsid w:val="78C2CAB3"/>
    <w:rsid w:val="78CC41D1"/>
    <w:rsid w:val="78CD6325"/>
    <w:rsid w:val="78D1EBA6"/>
    <w:rsid w:val="78E2BD76"/>
    <w:rsid w:val="78F0F37B"/>
    <w:rsid w:val="78F1D0C1"/>
    <w:rsid w:val="7900FCFB"/>
    <w:rsid w:val="7906C26E"/>
    <w:rsid w:val="7913DBE3"/>
    <w:rsid w:val="792B989B"/>
    <w:rsid w:val="794C87DC"/>
    <w:rsid w:val="7954477F"/>
    <w:rsid w:val="7974913E"/>
    <w:rsid w:val="79758B9C"/>
    <w:rsid w:val="797E58AB"/>
    <w:rsid w:val="79820922"/>
    <w:rsid w:val="798B6A75"/>
    <w:rsid w:val="79A18C1C"/>
    <w:rsid w:val="79A49E74"/>
    <w:rsid w:val="79AEDC59"/>
    <w:rsid w:val="79B17D4C"/>
    <w:rsid w:val="79B7E669"/>
    <w:rsid w:val="79BB5E00"/>
    <w:rsid w:val="79C675F7"/>
    <w:rsid w:val="79D05B8E"/>
    <w:rsid w:val="79EADE9D"/>
    <w:rsid w:val="79F27BC5"/>
    <w:rsid w:val="79FD3BFD"/>
    <w:rsid w:val="79FF9703"/>
    <w:rsid w:val="7A0757CA"/>
    <w:rsid w:val="7A1CE3A3"/>
    <w:rsid w:val="7A41721E"/>
    <w:rsid w:val="7A57EEAC"/>
    <w:rsid w:val="7A5AE135"/>
    <w:rsid w:val="7A7CEE2C"/>
    <w:rsid w:val="7A7F694F"/>
    <w:rsid w:val="7A810F33"/>
    <w:rsid w:val="7A8B3CCA"/>
    <w:rsid w:val="7A9831FA"/>
    <w:rsid w:val="7A9FE6F1"/>
    <w:rsid w:val="7AA30A5B"/>
    <w:rsid w:val="7AA3A546"/>
    <w:rsid w:val="7AC8D4AC"/>
    <w:rsid w:val="7AC94A00"/>
    <w:rsid w:val="7B0404E5"/>
    <w:rsid w:val="7B0E5FCE"/>
    <w:rsid w:val="7B14A4A4"/>
    <w:rsid w:val="7B45420C"/>
    <w:rsid w:val="7B51A87D"/>
    <w:rsid w:val="7B577557"/>
    <w:rsid w:val="7B653303"/>
    <w:rsid w:val="7B68BFC5"/>
    <w:rsid w:val="7B6A9D19"/>
    <w:rsid w:val="7B6FB860"/>
    <w:rsid w:val="7B7AB932"/>
    <w:rsid w:val="7B861C4C"/>
    <w:rsid w:val="7B87531B"/>
    <w:rsid w:val="7B878A46"/>
    <w:rsid w:val="7BA6FC36"/>
    <w:rsid w:val="7BB34929"/>
    <w:rsid w:val="7BB5BBD5"/>
    <w:rsid w:val="7BBB7757"/>
    <w:rsid w:val="7BBF2E61"/>
    <w:rsid w:val="7BBFAB30"/>
    <w:rsid w:val="7BC88722"/>
    <w:rsid w:val="7BC9D7DF"/>
    <w:rsid w:val="7BCAA1F8"/>
    <w:rsid w:val="7BD2F7C5"/>
    <w:rsid w:val="7BD38F0B"/>
    <w:rsid w:val="7BE22970"/>
    <w:rsid w:val="7BE9A461"/>
    <w:rsid w:val="7BE9F294"/>
    <w:rsid w:val="7C007C75"/>
    <w:rsid w:val="7C136727"/>
    <w:rsid w:val="7C19B0FD"/>
    <w:rsid w:val="7C24585A"/>
    <w:rsid w:val="7C32FB22"/>
    <w:rsid w:val="7C427444"/>
    <w:rsid w:val="7C43BC43"/>
    <w:rsid w:val="7C5D183D"/>
    <w:rsid w:val="7C6A54A5"/>
    <w:rsid w:val="7C7870A5"/>
    <w:rsid w:val="7C8695EB"/>
    <w:rsid w:val="7C888365"/>
    <w:rsid w:val="7C97670A"/>
    <w:rsid w:val="7CB57A46"/>
    <w:rsid w:val="7CB9B58F"/>
    <w:rsid w:val="7CC59299"/>
    <w:rsid w:val="7CD3246A"/>
    <w:rsid w:val="7D098EA5"/>
    <w:rsid w:val="7D190DEE"/>
    <w:rsid w:val="7D283A64"/>
    <w:rsid w:val="7D2D48C8"/>
    <w:rsid w:val="7D3ACAFB"/>
    <w:rsid w:val="7D4299B5"/>
    <w:rsid w:val="7D48EBA8"/>
    <w:rsid w:val="7D4FDCEB"/>
    <w:rsid w:val="7D656429"/>
    <w:rsid w:val="7D66C6C3"/>
    <w:rsid w:val="7D6C84FA"/>
    <w:rsid w:val="7D6E9346"/>
    <w:rsid w:val="7D7A017C"/>
    <w:rsid w:val="7D7C2647"/>
    <w:rsid w:val="7D805E55"/>
    <w:rsid w:val="7D86FE8F"/>
    <w:rsid w:val="7D925D38"/>
    <w:rsid w:val="7D9D604E"/>
    <w:rsid w:val="7DAA5526"/>
    <w:rsid w:val="7DB19B46"/>
    <w:rsid w:val="7DC379BB"/>
    <w:rsid w:val="7DC58FAC"/>
    <w:rsid w:val="7DC98000"/>
    <w:rsid w:val="7DCC1C74"/>
    <w:rsid w:val="7DD119EF"/>
    <w:rsid w:val="7DE1E32E"/>
    <w:rsid w:val="7DE2AC15"/>
    <w:rsid w:val="7DEDCA65"/>
    <w:rsid w:val="7DF4830F"/>
    <w:rsid w:val="7E0D596C"/>
    <w:rsid w:val="7E14F1CF"/>
    <w:rsid w:val="7E15721F"/>
    <w:rsid w:val="7E1E5B44"/>
    <w:rsid w:val="7E3C35D3"/>
    <w:rsid w:val="7E40DE23"/>
    <w:rsid w:val="7E5CDBCB"/>
    <w:rsid w:val="7E892F18"/>
    <w:rsid w:val="7E8AB51B"/>
    <w:rsid w:val="7E9E60C9"/>
    <w:rsid w:val="7EA41320"/>
    <w:rsid w:val="7EAF9B10"/>
    <w:rsid w:val="7EBBFED1"/>
    <w:rsid w:val="7EBF378E"/>
    <w:rsid w:val="7EC9F7D1"/>
    <w:rsid w:val="7ED478A4"/>
    <w:rsid w:val="7EE1D2C1"/>
    <w:rsid w:val="7EE25AB4"/>
    <w:rsid w:val="7EF456AF"/>
    <w:rsid w:val="7EF74AA4"/>
    <w:rsid w:val="7F019D36"/>
    <w:rsid w:val="7F01CBBD"/>
    <w:rsid w:val="7F0CBD97"/>
    <w:rsid w:val="7F0D3781"/>
    <w:rsid w:val="7F1E7F9C"/>
    <w:rsid w:val="7F2476A3"/>
    <w:rsid w:val="7F2A06AD"/>
    <w:rsid w:val="7F2EDA3A"/>
    <w:rsid w:val="7F3DE9DC"/>
    <w:rsid w:val="7F407AF1"/>
    <w:rsid w:val="7F40B70D"/>
    <w:rsid w:val="7F45F071"/>
    <w:rsid w:val="7F50ED69"/>
    <w:rsid w:val="7F69D868"/>
    <w:rsid w:val="7F78D45C"/>
    <w:rsid w:val="7F85517C"/>
    <w:rsid w:val="7F8FC584"/>
    <w:rsid w:val="7F973BB2"/>
    <w:rsid w:val="7F975605"/>
    <w:rsid w:val="7FB70A46"/>
    <w:rsid w:val="7FD5722B"/>
    <w:rsid w:val="7FF4DFEA"/>
    <w:rsid w:val="7FF4EAED"/>
    <w:rsid w:val="7FFD84A4"/>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9AAD5C"/>
  <w15:docId w15:val="{1BE8D3A1-FAF1-4862-87F6-1798BF792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3B5008"/>
  </w:style>
  <w:style w:type="paragraph" w:styleId="Nagwek1">
    <w:name w:val="heading 1"/>
    <w:basedOn w:val="Normalny"/>
    <w:next w:val="Normalny"/>
    <w:link w:val="Nagwek1Znak"/>
    <w:uiPriority w:val="9"/>
    <w:qFormat/>
    <w:rsid w:val="007978C7"/>
    <w:pPr>
      <w:keepNext/>
      <w:keepLines/>
      <w:spacing w:before="360" w:after="80" w:line="240" w:lineRule="auto"/>
      <w:outlineLvl w:val="0"/>
    </w:pPr>
    <w:rPr>
      <w:rFonts w:asciiTheme="majorHAnsi" w:eastAsiaTheme="majorEastAsia" w:hAnsiTheme="majorHAnsi" w:cstheme="majorBidi"/>
      <w:color w:val="365F91" w:themeColor="accent1" w:themeShade="BF"/>
      <w:kern w:val="2"/>
      <w:sz w:val="40"/>
      <w:szCs w:val="40"/>
      <w14:ligatures w14:val="standardContextual"/>
    </w:rPr>
  </w:style>
  <w:style w:type="paragraph" w:styleId="Nagwek2">
    <w:name w:val="heading 2"/>
    <w:basedOn w:val="Normalny"/>
    <w:next w:val="Normalny"/>
    <w:link w:val="Nagwek2Znak"/>
    <w:uiPriority w:val="9"/>
    <w:unhideWhenUsed/>
    <w:qFormat/>
    <w:rsid w:val="004A28E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uiPriority w:val="9"/>
    <w:unhideWhenUsed/>
    <w:qFormat/>
    <w:rsid w:val="001F7F7A"/>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Nagwek9">
    <w:name w:val="heading 9"/>
    <w:basedOn w:val="Normalny"/>
    <w:next w:val="Normalny"/>
    <w:link w:val="Nagwek9Znak"/>
    <w:uiPriority w:val="9"/>
    <w:semiHidden/>
    <w:unhideWhenUsed/>
    <w:qFormat/>
    <w:rsid w:val="00C84909"/>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59"/>
    <w:rsid w:val="00177E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3706A6"/>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3706A6"/>
    <w:rPr>
      <w:rFonts w:ascii="Tahoma" w:hAnsi="Tahoma" w:cs="Tahoma"/>
      <w:sz w:val="16"/>
      <w:szCs w:val="16"/>
    </w:rPr>
  </w:style>
  <w:style w:type="paragraph" w:customStyle="1" w:styleId="TYTUAKTUprzedmiotregulacjiustawylubrozporzdzenia">
    <w:name w:val="TYTUŁ_AKTU – przedmiot regulacji ustawy lub rozporządzenia"/>
    <w:next w:val="Normalny"/>
    <w:uiPriority w:val="6"/>
    <w:qFormat/>
    <w:rsid w:val="003706A6"/>
    <w:pPr>
      <w:keepNext/>
      <w:suppressAutoHyphens/>
      <w:spacing w:before="120" w:after="360" w:line="360" w:lineRule="auto"/>
      <w:jc w:val="center"/>
    </w:pPr>
    <w:rPr>
      <w:rFonts w:ascii="Times" w:eastAsia="Times New Roman" w:hAnsi="Times" w:cs="Arial"/>
      <w:b/>
      <w:bCs/>
      <w:sz w:val="24"/>
      <w:szCs w:val="24"/>
      <w:lang w:eastAsia="pl-PL"/>
    </w:rPr>
  </w:style>
  <w:style w:type="paragraph" w:customStyle="1" w:styleId="ARTartustawynprozporzdzenia">
    <w:name w:val="ART(§) – art. ustawy (§ np. rozporządzenia)"/>
    <w:uiPriority w:val="11"/>
    <w:qFormat/>
    <w:rsid w:val="00983A14"/>
    <w:pPr>
      <w:suppressAutoHyphens/>
      <w:autoSpaceDE w:val="0"/>
      <w:autoSpaceDN w:val="0"/>
      <w:adjustRightInd w:val="0"/>
      <w:spacing w:before="120" w:after="0" w:line="360" w:lineRule="auto"/>
      <w:ind w:firstLine="510"/>
      <w:jc w:val="both"/>
    </w:pPr>
    <w:rPr>
      <w:rFonts w:ascii="Times" w:eastAsia="Times New Roman" w:hAnsi="Times" w:cs="Arial"/>
      <w:sz w:val="24"/>
      <w:szCs w:val="20"/>
      <w:lang w:eastAsia="pl-PL"/>
    </w:rPr>
  </w:style>
  <w:style w:type="paragraph" w:customStyle="1" w:styleId="PKTpunkt">
    <w:name w:val="PKT – punkt"/>
    <w:uiPriority w:val="13"/>
    <w:qFormat/>
    <w:rsid w:val="00983A14"/>
    <w:pPr>
      <w:spacing w:after="0" w:line="360" w:lineRule="auto"/>
      <w:ind w:left="510" w:hanging="510"/>
      <w:jc w:val="both"/>
    </w:pPr>
    <w:rPr>
      <w:rFonts w:ascii="Times" w:eastAsia="Times New Roman" w:hAnsi="Times" w:cs="Arial"/>
      <w:bCs/>
      <w:sz w:val="24"/>
      <w:szCs w:val="20"/>
      <w:lang w:eastAsia="pl-PL"/>
    </w:rPr>
  </w:style>
  <w:style w:type="character" w:styleId="Nierozpoznanawzmianka">
    <w:name w:val="Unresolved Mention"/>
    <w:basedOn w:val="Domylnaczcionkaakapitu"/>
    <w:uiPriority w:val="99"/>
    <w:semiHidden/>
    <w:unhideWhenUsed/>
    <w:rsid w:val="00045069"/>
    <w:rPr>
      <w:color w:val="605E5C"/>
      <w:shd w:val="clear" w:color="auto" w:fill="E1DFDD"/>
    </w:rPr>
  </w:style>
  <w:style w:type="character" w:customStyle="1" w:styleId="Ppogrubienie">
    <w:name w:val="_P_ – pogrubienie"/>
    <w:uiPriority w:val="1"/>
    <w:qFormat/>
    <w:rsid w:val="00983A14"/>
    <w:rPr>
      <w:b/>
    </w:rPr>
  </w:style>
  <w:style w:type="paragraph" w:styleId="Akapitzlist">
    <w:name w:val="List Paragraph"/>
    <w:aliases w:val="Dot pt,F5 List Paragraph,Recommendation,Kolorowa lista — akcent 11,Numerowanie,Akapit z listą11,Numbered Para 1,No Spacing1,List Paragraph Char Char Char,Indicator Text,2,3"/>
    <w:basedOn w:val="Normalny"/>
    <w:link w:val="AkapitzlistZnak"/>
    <w:uiPriority w:val="34"/>
    <w:qFormat/>
    <w:rsid w:val="00983A14"/>
    <w:pPr>
      <w:ind w:left="720"/>
      <w:contextualSpacing/>
    </w:pPr>
  </w:style>
  <w:style w:type="paragraph" w:customStyle="1" w:styleId="USTustnpkodeksu">
    <w:name w:val="UST(§) – ust. (§ np. kodeksu)"/>
    <w:basedOn w:val="ARTartustawynprozporzdzenia"/>
    <w:uiPriority w:val="12"/>
    <w:qFormat/>
    <w:rsid w:val="009A3389"/>
    <w:pPr>
      <w:spacing w:before="0"/>
    </w:pPr>
    <w:rPr>
      <w:bCs/>
    </w:rPr>
  </w:style>
  <w:style w:type="paragraph" w:styleId="Nagwek">
    <w:name w:val="header"/>
    <w:basedOn w:val="Normalny"/>
    <w:link w:val="NagwekZnak"/>
    <w:uiPriority w:val="99"/>
    <w:unhideWhenUsed/>
    <w:rsid w:val="00735AA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735AA5"/>
  </w:style>
  <w:style w:type="paragraph" w:styleId="Stopka">
    <w:name w:val="footer"/>
    <w:basedOn w:val="Normalny"/>
    <w:link w:val="StopkaZnak"/>
    <w:uiPriority w:val="99"/>
    <w:unhideWhenUsed/>
    <w:rsid w:val="00735AA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735AA5"/>
  </w:style>
  <w:style w:type="character" w:customStyle="1" w:styleId="Nagwek2Znak">
    <w:name w:val="Nagłówek 2 Znak"/>
    <w:basedOn w:val="Domylnaczcionkaakapitu"/>
    <w:link w:val="Nagwek2"/>
    <w:uiPriority w:val="9"/>
    <w:rsid w:val="004A28E0"/>
    <w:rPr>
      <w:rFonts w:asciiTheme="majorHAnsi" w:eastAsiaTheme="majorEastAsia" w:hAnsiTheme="majorHAnsi" w:cstheme="majorBidi"/>
      <w:b/>
      <w:bCs/>
      <w:color w:val="4F81BD" w:themeColor="accent1"/>
      <w:sz w:val="26"/>
      <w:szCs w:val="26"/>
    </w:rPr>
  </w:style>
  <w:style w:type="paragraph" w:styleId="Tekstprzypisudolnego">
    <w:name w:val="footnote text"/>
    <w:basedOn w:val="Normalny"/>
    <w:link w:val="TekstprzypisudolnegoZnak"/>
    <w:uiPriority w:val="99"/>
    <w:rsid w:val="00B54306"/>
    <w:pPr>
      <w:spacing w:after="0" w:line="240" w:lineRule="auto"/>
    </w:pPr>
    <w:rPr>
      <w:rFonts w:ascii="Times New Roman" w:eastAsia="Times New Roman" w:hAnsi="Times New Roman" w:cs="Times New Roman"/>
      <w:sz w:val="20"/>
      <w:szCs w:val="20"/>
      <w:lang w:eastAsia="pl-PL"/>
    </w:rPr>
  </w:style>
  <w:style w:type="character" w:customStyle="1" w:styleId="TekstprzypisudolnegoZnak">
    <w:name w:val="Tekst przypisu dolnego Znak"/>
    <w:basedOn w:val="Domylnaczcionkaakapitu"/>
    <w:link w:val="Tekstprzypisudolnego"/>
    <w:uiPriority w:val="99"/>
    <w:rsid w:val="00B54306"/>
    <w:rPr>
      <w:rFonts w:ascii="Times New Roman" w:eastAsia="Times New Roman" w:hAnsi="Times New Roman" w:cs="Times New Roman"/>
      <w:sz w:val="20"/>
      <w:szCs w:val="20"/>
      <w:lang w:eastAsia="pl-PL"/>
    </w:rPr>
  </w:style>
  <w:style w:type="character" w:styleId="Odwoanieprzypisudolnego">
    <w:name w:val="footnote reference"/>
    <w:aliases w:val="FZ"/>
    <w:uiPriority w:val="99"/>
    <w:rsid w:val="00B54306"/>
    <w:rPr>
      <w:vertAlign w:val="superscript"/>
    </w:rPr>
  </w:style>
  <w:style w:type="character" w:styleId="Hipercze">
    <w:name w:val="Hyperlink"/>
    <w:basedOn w:val="Domylnaczcionkaakapitu"/>
    <w:uiPriority w:val="99"/>
    <w:unhideWhenUsed/>
    <w:rsid w:val="009B5AD3"/>
    <w:rPr>
      <w:color w:val="0000FF"/>
      <w:u w:val="single"/>
    </w:rPr>
  </w:style>
  <w:style w:type="paragraph" w:styleId="Poprawka">
    <w:name w:val="Revision"/>
    <w:hidden/>
    <w:uiPriority w:val="99"/>
    <w:semiHidden/>
    <w:rsid w:val="00CB0971"/>
    <w:pPr>
      <w:spacing w:after="0" w:line="240" w:lineRule="auto"/>
    </w:pPr>
  </w:style>
  <w:style w:type="paragraph" w:customStyle="1" w:styleId="Style7">
    <w:name w:val="Style7"/>
    <w:basedOn w:val="Normalny"/>
    <w:uiPriority w:val="99"/>
    <w:rsid w:val="00170E91"/>
    <w:pPr>
      <w:widowControl w:val="0"/>
      <w:autoSpaceDE w:val="0"/>
      <w:autoSpaceDN w:val="0"/>
      <w:adjustRightInd w:val="0"/>
      <w:spacing w:after="0" w:line="418" w:lineRule="exact"/>
      <w:ind w:firstLine="713"/>
      <w:jc w:val="both"/>
    </w:pPr>
    <w:rPr>
      <w:rFonts w:ascii="Times New Roman" w:eastAsiaTheme="minorEastAsia" w:hAnsi="Times New Roman" w:cs="Times New Roman"/>
      <w:sz w:val="24"/>
      <w:szCs w:val="24"/>
      <w:lang w:eastAsia="pl-PL"/>
    </w:rPr>
  </w:style>
  <w:style w:type="character" w:customStyle="1" w:styleId="FontStyle16">
    <w:name w:val="Font Style16"/>
    <w:basedOn w:val="Domylnaczcionkaakapitu"/>
    <w:uiPriority w:val="99"/>
    <w:rsid w:val="00170E91"/>
    <w:rPr>
      <w:rFonts w:ascii="Times New Roman" w:hAnsi="Times New Roman" w:cs="Times New Roman"/>
      <w:sz w:val="22"/>
      <w:szCs w:val="22"/>
    </w:rPr>
  </w:style>
  <w:style w:type="character" w:customStyle="1" w:styleId="FontStyle20">
    <w:name w:val="Font Style20"/>
    <w:basedOn w:val="Domylnaczcionkaakapitu"/>
    <w:uiPriority w:val="99"/>
    <w:rsid w:val="00170E91"/>
    <w:rPr>
      <w:rFonts w:ascii="Times New Roman" w:hAnsi="Times New Roman" w:cs="Times New Roman"/>
      <w:smallCaps/>
      <w:sz w:val="22"/>
      <w:szCs w:val="22"/>
    </w:rPr>
  </w:style>
  <w:style w:type="character" w:styleId="Pogrubienie">
    <w:name w:val="Strong"/>
    <w:basedOn w:val="Domylnaczcionkaakapitu"/>
    <w:uiPriority w:val="22"/>
    <w:qFormat/>
    <w:rsid w:val="00CC1CE7"/>
    <w:rPr>
      <w:b/>
      <w:bCs/>
    </w:rPr>
  </w:style>
  <w:style w:type="paragraph" w:styleId="NormalnyWeb">
    <w:name w:val="Normal (Web)"/>
    <w:basedOn w:val="Normalny"/>
    <w:uiPriority w:val="99"/>
    <w:semiHidden/>
    <w:unhideWhenUsed/>
    <w:rsid w:val="008F4A69"/>
    <w:rPr>
      <w:rFonts w:ascii="Times New Roman" w:hAnsi="Times New Roman" w:cs="Times New Roman"/>
      <w:sz w:val="24"/>
      <w:szCs w:val="24"/>
    </w:rPr>
  </w:style>
  <w:style w:type="paragraph" w:styleId="Tekstprzypisukocowego">
    <w:name w:val="endnote text"/>
    <w:basedOn w:val="Normalny"/>
    <w:link w:val="TekstprzypisukocowegoZnak"/>
    <w:uiPriority w:val="99"/>
    <w:semiHidden/>
    <w:unhideWhenUsed/>
    <w:rsid w:val="00960599"/>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960599"/>
    <w:rPr>
      <w:sz w:val="20"/>
      <w:szCs w:val="20"/>
    </w:rPr>
  </w:style>
  <w:style w:type="character" w:styleId="Odwoanieprzypisukocowego">
    <w:name w:val="endnote reference"/>
    <w:basedOn w:val="Domylnaczcionkaakapitu"/>
    <w:uiPriority w:val="99"/>
    <w:semiHidden/>
    <w:unhideWhenUsed/>
    <w:rsid w:val="00960599"/>
    <w:rPr>
      <w:vertAlign w:val="superscript"/>
    </w:rPr>
  </w:style>
  <w:style w:type="character" w:customStyle="1" w:styleId="Nagwek3Znak">
    <w:name w:val="Nagłówek 3 Znak"/>
    <w:basedOn w:val="Domylnaczcionkaakapitu"/>
    <w:link w:val="Nagwek3"/>
    <w:uiPriority w:val="9"/>
    <w:rsid w:val="001F7F7A"/>
    <w:rPr>
      <w:rFonts w:asciiTheme="majorHAnsi" w:eastAsiaTheme="majorEastAsia" w:hAnsiTheme="majorHAnsi" w:cstheme="majorBidi"/>
      <w:color w:val="243F60" w:themeColor="accent1" w:themeShade="7F"/>
      <w:sz w:val="24"/>
      <w:szCs w:val="24"/>
    </w:rPr>
  </w:style>
  <w:style w:type="paragraph" w:styleId="Bezodstpw">
    <w:name w:val="No Spacing"/>
    <w:uiPriority w:val="1"/>
    <w:qFormat/>
    <w:rsid w:val="00A51CBF"/>
    <w:pPr>
      <w:spacing w:after="0" w:line="240" w:lineRule="auto"/>
    </w:pPr>
  </w:style>
  <w:style w:type="paragraph" w:styleId="Podtytu">
    <w:name w:val="Subtitle"/>
    <w:basedOn w:val="Normalny"/>
    <w:next w:val="Normalny"/>
    <w:link w:val="PodtytuZnak"/>
    <w:uiPriority w:val="11"/>
    <w:qFormat/>
    <w:rsid w:val="00A51CBF"/>
    <w:pPr>
      <w:numPr>
        <w:ilvl w:val="1"/>
      </w:numPr>
      <w:spacing w:after="160"/>
    </w:pPr>
    <w:rPr>
      <w:rFonts w:eastAsiaTheme="minorEastAsia"/>
      <w:color w:val="5A5A5A" w:themeColor="text1" w:themeTint="A5"/>
      <w:spacing w:val="15"/>
    </w:rPr>
  </w:style>
  <w:style w:type="character" w:customStyle="1" w:styleId="PodtytuZnak">
    <w:name w:val="Podtytuł Znak"/>
    <w:basedOn w:val="Domylnaczcionkaakapitu"/>
    <w:link w:val="Podtytu"/>
    <w:uiPriority w:val="11"/>
    <w:rsid w:val="00A51CBF"/>
    <w:rPr>
      <w:rFonts w:eastAsiaTheme="minorEastAsia"/>
      <w:color w:val="5A5A5A" w:themeColor="text1" w:themeTint="A5"/>
      <w:spacing w:val="15"/>
    </w:rPr>
  </w:style>
  <w:style w:type="character" w:styleId="Tytuksiki">
    <w:name w:val="Book Title"/>
    <w:basedOn w:val="Domylnaczcionkaakapitu"/>
    <w:uiPriority w:val="33"/>
    <w:qFormat/>
    <w:rsid w:val="0005719E"/>
    <w:rPr>
      <w:b/>
      <w:bCs/>
      <w:i/>
      <w:iCs/>
      <w:spacing w:val="5"/>
    </w:rPr>
  </w:style>
  <w:style w:type="paragraph" w:customStyle="1" w:styleId="Default">
    <w:name w:val="Default"/>
    <w:rsid w:val="0019670B"/>
    <w:pPr>
      <w:autoSpaceDE w:val="0"/>
      <w:autoSpaceDN w:val="0"/>
      <w:adjustRightInd w:val="0"/>
      <w:spacing w:after="0" w:line="240" w:lineRule="auto"/>
    </w:pPr>
    <w:rPr>
      <w:rFonts w:ascii="Calibri" w:hAnsi="Calibri" w:cs="Calibri"/>
      <w:color w:val="000000"/>
      <w:sz w:val="24"/>
      <w:szCs w:val="24"/>
    </w:rPr>
  </w:style>
  <w:style w:type="character" w:customStyle="1" w:styleId="ui-provider">
    <w:name w:val="ui-provider"/>
    <w:basedOn w:val="Domylnaczcionkaakapitu"/>
    <w:uiPriority w:val="1"/>
    <w:rsid w:val="1AB57FD8"/>
    <w:rPr>
      <w:rFonts w:ascii="Times" w:eastAsia="Times New Roman" w:hAnsi="Times" w:cs="Times New Roman"/>
      <w:sz w:val="24"/>
      <w:szCs w:val="24"/>
    </w:rPr>
  </w:style>
  <w:style w:type="character" w:customStyle="1" w:styleId="AkapitzlistZnak">
    <w:name w:val="Akapit z listą Znak"/>
    <w:aliases w:val="Dot pt Znak,F5 List Paragraph Znak,Recommendation Znak,Kolorowa lista — akcent 11 Znak,Numerowanie Znak,Akapit z listą11 Znak,Numbered Para 1 Znak,No Spacing1 Znak,List Paragraph Char Char Char Znak,Indicator Text Znak,2 Znak,3 Znak"/>
    <w:link w:val="Akapitzlist"/>
    <w:uiPriority w:val="34"/>
    <w:qFormat/>
    <w:locked/>
    <w:rsid w:val="00683A74"/>
  </w:style>
  <w:style w:type="paragraph" w:customStyle="1" w:styleId="CommentText1">
    <w:name w:val="Comment Text1"/>
    <w:basedOn w:val="Normalny"/>
    <w:link w:val="CommentTextChar"/>
    <w:uiPriority w:val="99"/>
    <w:rsid w:val="00983A14"/>
    <w:pPr>
      <w:widowControl w:val="0"/>
      <w:autoSpaceDE w:val="0"/>
      <w:autoSpaceDN w:val="0"/>
      <w:adjustRightInd w:val="0"/>
      <w:spacing w:after="0" w:line="360" w:lineRule="auto"/>
    </w:pPr>
    <w:rPr>
      <w:rFonts w:ascii="Times" w:eastAsia="Times New Roman" w:hAnsi="Times" w:cs="Times New Roman"/>
      <w:sz w:val="24"/>
      <w:szCs w:val="24"/>
      <w:lang w:eastAsia="pl-PL"/>
    </w:rPr>
  </w:style>
  <w:style w:type="character" w:customStyle="1" w:styleId="CommentTextChar">
    <w:name w:val="Comment Text Char"/>
    <w:basedOn w:val="Domylnaczcionkaakapitu"/>
    <w:link w:val="CommentText1"/>
    <w:uiPriority w:val="99"/>
    <w:rPr>
      <w:rFonts w:ascii="Times" w:eastAsia="Times New Roman" w:hAnsi="Times" w:cs="Times New Roman"/>
      <w:sz w:val="24"/>
      <w:szCs w:val="24"/>
      <w:lang w:eastAsia="pl-PL"/>
    </w:rPr>
  </w:style>
  <w:style w:type="character" w:customStyle="1" w:styleId="CommentReference1">
    <w:name w:val="Comment Reference1"/>
    <w:uiPriority w:val="99"/>
    <w:semiHidden/>
    <w:rsid w:val="00983A14"/>
    <w:rPr>
      <w:sz w:val="16"/>
      <w:szCs w:val="16"/>
    </w:rPr>
  </w:style>
  <w:style w:type="paragraph" w:customStyle="1" w:styleId="CommentSubject1">
    <w:name w:val="Comment Subject1"/>
    <w:basedOn w:val="CommentText1"/>
    <w:next w:val="CommentText1"/>
    <w:link w:val="CommentSubjectChar"/>
    <w:uiPriority w:val="99"/>
    <w:semiHidden/>
    <w:unhideWhenUsed/>
    <w:rsid w:val="00DE284D"/>
    <w:rPr>
      <w:b/>
      <w:bCs/>
    </w:rPr>
  </w:style>
  <w:style w:type="character" w:customStyle="1" w:styleId="CommentSubjectChar">
    <w:name w:val="Comment Subject Char"/>
    <w:basedOn w:val="CommentTextChar"/>
    <w:link w:val="CommentSubject1"/>
    <w:uiPriority w:val="99"/>
    <w:semiHidden/>
    <w:rsid w:val="00DE284D"/>
    <w:rPr>
      <w:rFonts w:ascii="Times" w:eastAsia="Times New Roman" w:hAnsi="Times" w:cs="Times New Roman"/>
      <w:b/>
      <w:bCs/>
      <w:sz w:val="24"/>
      <w:szCs w:val="24"/>
      <w:lang w:eastAsia="pl-PL"/>
    </w:rPr>
  </w:style>
  <w:style w:type="character" w:customStyle="1" w:styleId="Nagwek1Znak">
    <w:name w:val="Nagłówek 1 Znak"/>
    <w:basedOn w:val="Domylnaczcionkaakapitu"/>
    <w:link w:val="Nagwek1"/>
    <w:uiPriority w:val="9"/>
    <w:rsid w:val="007978C7"/>
    <w:rPr>
      <w:rFonts w:asciiTheme="majorHAnsi" w:eastAsiaTheme="majorEastAsia" w:hAnsiTheme="majorHAnsi" w:cstheme="majorBidi"/>
      <w:color w:val="365F91" w:themeColor="accent1" w:themeShade="BF"/>
      <w:kern w:val="2"/>
      <w:sz w:val="40"/>
      <w:szCs w:val="40"/>
      <w14:ligatures w14:val="standardContextual"/>
    </w:rPr>
  </w:style>
  <w:style w:type="character" w:customStyle="1" w:styleId="Nagwek9Znak">
    <w:name w:val="Nagłówek 9 Znak"/>
    <w:basedOn w:val="Domylnaczcionkaakapitu"/>
    <w:link w:val="Nagwek9"/>
    <w:uiPriority w:val="9"/>
    <w:semiHidden/>
    <w:rsid w:val="00C84909"/>
    <w:rPr>
      <w:rFonts w:asciiTheme="majorHAnsi" w:eastAsiaTheme="majorEastAsia" w:hAnsiTheme="majorHAnsi" w:cstheme="majorBidi"/>
      <w:i/>
      <w:iCs/>
      <w:color w:val="272727" w:themeColor="text1" w:themeTint="D8"/>
      <w:sz w:val="21"/>
      <w:szCs w:val="21"/>
    </w:rPr>
  </w:style>
  <w:style w:type="paragraph" w:customStyle="1" w:styleId="Wtekciepogrubione">
    <w:name w:val="W tekście pogrubione"/>
    <w:basedOn w:val="Normalny"/>
    <w:autoRedefine/>
    <w:qFormat/>
    <w:rsid w:val="00733897"/>
    <w:pPr>
      <w:spacing w:after="160" w:line="278" w:lineRule="auto"/>
      <w:ind w:left="360"/>
    </w:pPr>
    <w:rPr>
      <w:rFonts w:ascii="Arial" w:eastAsiaTheme="majorEastAsia" w:hAnsi="Arial" w:cs="Arial"/>
      <w:b/>
      <w:bCs/>
      <w:noProof/>
      <w:color w:val="041F60"/>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48808">
      <w:bodyDiv w:val="1"/>
      <w:marLeft w:val="0"/>
      <w:marRight w:val="0"/>
      <w:marTop w:val="0"/>
      <w:marBottom w:val="0"/>
      <w:divBdr>
        <w:top w:val="none" w:sz="0" w:space="0" w:color="auto"/>
        <w:left w:val="none" w:sz="0" w:space="0" w:color="auto"/>
        <w:bottom w:val="none" w:sz="0" w:space="0" w:color="auto"/>
        <w:right w:val="none" w:sz="0" w:space="0" w:color="auto"/>
      </w:divBdr>
    </w:div>
    <w:div w:id="102195028">
      <w:bodyDiv w:val="1"/>
      <w:marLeft w:val="0"/>
      <w:marRight w:val="0"/>
      <w:marTop w:val="0"/>
      <w:marBottom w:val="0"/>
      <w:divBdr>
        <w:top w:val="none" w:sz="0" w:space="0" w:color="auto"/>
        <w:left w:val="none" w:sz="0" w:space="0" w:color="auto"/>
        <w:bottom w:val="none" w:sz="0" w:space="0" w:color="auto"/>
        <w:right w:val="none" w:sz="0" w:space="0" w:color="auto"/>
      </w:divBdr>
    </w:div>
    <w:div w:id="205140463">
      <w:bodyDiv w:val="1"/>
      <w:marLeft w:val="0"/>
      <w:marRight w:val="0"/>
      <w:marTop w:val="0"/>
      <w:marBottom w:val="0"/>
      <w:divBdr>
        <w:top w:val="none" w:sz="0" w:space="0" w:color="auto"/>
        <w:left w:val="none" w:sz="0" w:space="0" w:color="auto"/>
        <w:bottom w:val="none" w:sz="0" w:space="0" w:color="auto"/>
        <w:right w:val="none" w:sz="0" w:space="0" w:color="auto"/>
      </w:divBdr>
    </w:div>
    <w:div w:id="211353989">
      <w:bodyDiv w:val="1"/>
      <w:marLeft w:val="0"/>
      <w:marRight w:val="0"/>
      <w:marTop w:val="0"/>
      <w:marBottom w:val="0"/>
      <w:divBdr>
        <w:top w:val="none" w:sz="0" w:space="0" w:color="auto"/>
        <w:left w:val="none" w:sz="0" w:space="0" w:color="auto"/>
        <w:bottom w:val="none" w:sz="0" w:space="0" w:color="auto"/>
        <w:right w:val="none" w:sz="0" w:space="0" w:color="auto"/>
      </w:divBdr>
    </w:div>
    <w:div w:id="368145716">
      <w:bodyDiv w:val="1"/>
      <w:marLeft w:val="0"/>
      <w:marRight w:val="0"/>
      <w:marTop w:val="0"/>
      <w:marBottom w:val="0"/>
      <w:divBdr>
        <w:top w:val="none" w:sz="0" w:space="0" w:color="auto"/>
        <w:left w:val="none" w:sz="0" w:space="0" w:color="auto"/>
        <w:bottom w:val="none" w:sz="0" w:space="0" w:color="auto"/>
        <w:right w:val="none" w:sz="0" w:space="0" w:color="auto"/>
      </w:divBdr>
      <w:divsChild>
        <w:div w:id="47846479">
          <w:marLeft w:val="0"/>
          <w:marRight w:val="0"/>
          <w:marTop w:val="0"/>
          <w:marBottom w:val="0"/>
          <w:divBdr>
            <w:top w:val="none" w:sz="0" w:space="0" w:color="auto"/>
            <w:left w:val="none" w:sz="0" w:space="0" w:color="auto"/>
            <w:bottom w:val="none" w:sz="0" w:space="0" w:color="auto"/>
            <w:right w:val="none" w:sz="0" w:space="0" w:color="auto"/>
          </w:divBdr>
        </w:div>
        <w:div w:id="433287553">
          <w:marLeft w:val="0"/>
          <w:marRight w:val="0"/>
          <w:marTop w:val="0"/>
          <w:marBottom w:val="0"/>
          <w:divBdr>
            <w:top w:val="none" w:sz="0" w:space="0" w:color="auto"/>
            <w:left w:val="none" w:sz="0" w:space="0" w:color="auto"/>
            <w:bottom w:val="none" w:sz="0" w:space="0" w:color="auto"/>
            <w:right w:val="none" w:sz="0" w:space="0" w:color="auto"/>
          </w:divBdr>
        </w:div>
        <w:div w:id="544223215">
          <w:marLeft w:val="0"/>
          <w:marRight w:val="0"/>
          <w:marTop w:val="0"/>
          <w:marBottom w:val="0"/>
          <w:divBdr>
            <w:top w:val="none" w:sz="0" w:space="0" w:color="auto"/>
            <w:left w:val="none" w:sz="0" w:space="0" w:color="auto"/>
            <w:bottom w:val="none" w:sz="0" w:space="0" w:color="auto"/>
            <w:right w:val="none" w:sz="0" w:space="0" w:color="auto"/>
          </w:divBdr>
        </w:div>
        <w:div w:id="1537308261">
          <w:marLeft w:val="0"/>
          <w:marRight w:val="0"/>
          <w:marTop w:val="0"/>
          <w:marBottom w:val="0"/>
          <w:divBdr>
            <w:top w:val="none" w:sz="0" w:space="0" w:color="auto"/>
            <w:left w:val="none" w:sz="0" w:space="0" w:color="auto"/>
            <w:bottom w:val="none" w:sz="0" w:space="0" w:color="auto"/>
            <w:right w:val="none" w:sz="0" w:space="0" w:color="auto"/>
          </w:divBdr>
        </w:div>
      </w:divsChild>
    </w:div>
    <w:div w:id="538978313">
      <w:bodyDiv w:val="1"/>
      <w:marLeft w:val="0"/>
      <w:marRight w:val="0"/>
      <w:marTop w:val="0"/>
      <w:marBottom w:val="0"/>
      <w:divBdr>
        <w:top w:val="none" w:sz="0" w:space="0" w:color="auto"/>
        <w:left w:val="none" w:sz="0" w:space="0" w:color="auto"/>
        <w:bottom w:val="none" w:sz="0" w:space="0" w:color="auto"/>
        <w:right w:val="none" w:sz="0" w:space="0" w:color="auto"/>
      </w:divBdr>
    </w:div>
    <w:div w:id="621884763">
      <w:bodyDiv w:val="1"/>
      <w:marLeft w:val="0"/>
      <w:marRight w:val="0"/>
      <w:marTop w:val="0"/>
      <w:marBottom w:val="0"/>
      <w:divBdr>
        <w:top w:val="none" w:sz="0" w:space="0" w:color="auto"/>
        <w:left w:val="none" w:sz="0" w:space="0" w:color="auto"/>
        <w:bottom w:val="none" w:sz="0" w:space="0" w:color="auto"/>
        <w:right w:val="none" w:sz="0" w:space="0" w:color="auto"/>
      </w:divBdr>
    </w:div>
    <w:div w:id="671446770">
      <w:bodyDiv w:val="1"/>
      <w:marLeft w:val="0"/>
      <w:marRight w:val="0"/>
      <w:marTop w:val="0"/>
      <w:marBottom w:val="0"/>
      <w:divBdr>
        <w:top w:val="none" w:sz="0" w:space="0" w:color="auto"/>
        <w:left w:val="none" w:sz="0" w:space="0" w:color="auto"/>
        <w:bottom w:val="none" w:sz="0" w:space="0" w:color="auto"/>
        <w:right w:val="none" w:sz="0" w:space="0" w:color="auto"/>
      </w:divBdr>
      <w:divsChild>
        <w:div w:id="467864795">
          <w:marLeft w:val="0"/>
          <w:marRight w:val="0"/>
          <w:marTop w:val="0"/>
          <w:marBottom w:val="0"/>
          <w:divBdr>
            <w:top w:val="none" w:sz="0" w:space="0" w:color="auto"/>
            <w:left w:val="none" w:sz="0" w:space="0" w:color="auto"/>
            <w:bottom w:val="none" w:sz="0" w:space="0" w:color="auto"/>
            <w:right w:val="none" w:sz="0" w:space="0" w:color="auto"/>
          </w:divBdr>
        </w:div>
        <w:div w:id="1157767899">
          <w:marLeft w:val="0"/>
          <w:marRight w:val="0"/>
          <w:marTop w:val="0"/>
          <w:marBottom w:val="0"/>
          <w:divBdr>
            <w:top w:val="none" w:sz="0" w:space="0" w:color="auto"/>
            <w:left w:val="none" w:sz="0" w:space="0" w:color="auto"/>
            <w:bottom w:val="none" w:sz="0" w:space="0" w:color="auto"/>
            <w:right w:val="none" w:sz="0" w:space="0" w:color="auto"/>
          </w:divBdr>
        </w:div>
        <w:div w:id="1313144978">
          <w:marLeft w:val="0"/>
          <w:marRight w:val="0"/>
          <w:marTop w:val="0"/>
          <w:marBottom w:val="0"/>
          <w:divBdr>
            <w:top w:val="none" w:sz="0" w:space="0" w:color="auto"/>
            <w:left w:val="none" w:sz="0" w:space="0" w:color="auto"/>
            <w:bottom w:val="none" w:sz="0" w:space="0" w:color="auto"/>
            <w:right w:val="none" w:sz="0" w:space="0" w:color="auto"/>
          </w:divBdr>
        </w:div>
        <w:div w:id="1532379678">
          <w:marLeft w:val="0"/>
          <w:marRight w:val="0"/>
          <w:marTop w:val="0"/>
          <w:marBottom w:val="0"/>
          <w:divBdr>
            <w:top w:val="none" w:sz="0" w:space="0" w:color="auto"/>
            <w:left w:val="none" w:sz="0" w:space="0" w:color="auto"/>
            <w:bottom w:val="none" w:sz="0" w:space="0" w:color="auto"/>
            <w:right w:val="none" w:sz="0" w:space="0" w:color="auto"/>
          </w:divBdr>
        </w:div>
      </w:divsChild>
    </w:div>
    <w:div w:id="1251231102">
      <w:bodyDiv w:val="1"/>
      <w:marLeft w:val="0"/>
      <w:marRight w:val="0"/>
      <w:marTop w:val="0"/>
      <w:marBottom w:val="0"/>
      <w:divBdr>
        <w:top w:val="none" w:sz="0" w:space="0" w:color="auto"/>
        <w:left w:val="none" w:sz="0" w:space="0" w:color="auto"/>
        <w:bottom w:val="none" w:sz="0" w:space="0" w:color="auto"/>
        <w:right w:val="none" w:sz="0" w:space="0" w:color="auto"/>
      </w:divBdr>
    </w:div>
    <w:div w:id="1454714331">
      <w:bodyDiv w:val="1"/>
      <w:marLeft w:val="0"/>
      <w:marRight w:val="0"/>
      <w:marTop w:val="0"/>
      <w:marBottom w:val="0"/>
      <w:divBdr>
        <w:top w:val="none" w:sz="0" w:space="0" w:color="auto"/>
        <w:left w:val="none" w:sz="0" w:space="0" w:color="auto"/>
        <w:bottom w:val="none" w:sz="0" w:space="0" w:color="auto"/>
        <w:right w:val="none" w:sz="0" w:space="0" w:color="auto"/>
      </w:divBdr>
    </w:div>
    <w:div w:id="1630816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tek.info.pl/article/4268/centrum_kompetencji_polprzewodnikowych_innosemi_zatwierdzone_do_finansowani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nano.lu.se/labs/lund-nano-lab/access"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uc-word-edit.officeapps.live.com/we/wordeditorframe.aspx?ui=pl&amp;rs=en-US&amp;wopisrc=https%3A%2F%2Fpptf-my.sharepoint.com%2Fpersonal%2Fiderylo_pptf_onmicrosoft_com%2F_vti_bin%2Fwopi.ashx%2Ffiles%2Fad1f23959835411b95bf329b7d3311bd&amp;wdenableroaming=1&amp;mscc=0&amp;wdodb=1&amp;hid=304A45D9-FC58-4D2E-8C35-A6B26674CF08.0&amp;uih=sharepointcom&amp;wdlcid=pl&amp;jsapi=1&amp;jsapiver=v2&amp;corrid=00050a61-85c4-9895-e3ca-98e6657e1e9d&amp;usid=00050a61-85c4-9895-e3ca-98e6657e1e9d&amp;newsession=1&amp;sftc=1&amp;uihit=docaspx&amp;muv=1&amp;cac=1&amp;sams=1&amp;mtf=1&amp;sfp=1&amp;sdp=1&amp;hch=1&amp;hwfh=1&amp;dchat=1&amp;sc=%7B%22pmo%22%3A%22https%3A%2F%2Fpptf-my.sharepoint.com%22%2C%22pmshare%22%3Atrue%7D&amp;ctp=LeastProtected&amp;rct=Normal&amp;wdorigin=Sharing.ServerTransfer&amp;afdflight=1&amp;csiro=1&amp;instantedit=1&amp;wopicomplete=1&amp;wdredirectionreason=Unified_SingleFlus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brandirectory.com/reports/global"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emails.ipc.org/links/GlobalElectronicsAssocChipsActPlusPosition.pdf" TargetMode="External"/><Relationship Id="rId1" Type="http://schemas.openxmlformats.org/officeDocument/2006/relationships/hyperlink" Target="https://www.eusemiconductors.eu/sites/default/files/2025.12.01-15.17_IndustryEndorsement_FullDocument.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d176cc68-f091-4a7f-ad9e-67747a5f64ff" xsi:nil="true"/>
    <lcf76f155ced4ddcb4097134ff3c332f xmlns="a9a9e3d6-963b-4985-a8a7-a3d2f87a534a">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BF681FF63D7B3147AFAC68B2E93E2C6A" ma:contentTypeVersion="14" ma:contentTypeDescription="Utwórz nowy dokument." ma:contentTypeScope="" ma:versionID="ac8641293b740bb5e63de6429d766821">
  <xsd:schema xmlns:xsd="http://www.w3.org/2001/XMLSchema" xmlns:xs="http://www.w3.org/2001/XMLSchema" xmlns:p="http://schemas.microsoft.com/office/2006/metadata/properties" xmlns:ns2="a9a9e3d6-963b-4985-a8a7-a3d2f87a534a" xmlns:ns3="d176cc68-f091-4a7f-ad9e-67747a5f64ff" targetNamespace="http://schemas.microsoft.com/office/2006/metadata/properties" ma:root="true" ma:fieldsID="b34b1f13b00359e041d24838a76ff028" ns2:_="" ns3:_="">
    <xsd:import namespace="a9a9e3d6-963b-4985-a8a7-a3d2f87a534a"/>
    <xsd:import namespace="d176cc68-f091-4a7f-ad9e-67747a5f64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9a9e3d6-963b-4985-a8a7-a3d2f87a534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Tagi obrazów" ma:readOnly="false" ma:fieldId="{5cf76f15-5ced-4ddc-b409-7134ff3c332f}" ma:taxonomyMulti="true" ma:sspId="88746b49-d001-4972-b357-55943193dfd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176cc68-f091-4a7f-ad9e-67747a5f64ff" elementFormDefault="qualified">
    <xsd:import namespace="http://schemas.microsoft.com/office/2006/documentManagement/types"/>
    <xsd:import namespace="http://schemas.microsoft.com/office/infopath/2007/PartnerControls"/>
    <xsd:element name="SharedWithUsers" ma:index="12" nillable="true" ma:displayName="Udostępniani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Udostępnione dla — szczegóły" ma:internalName="SharedWithDetails" ma:readOnly="true">
      <xsd:simpleType>
        <xsd:restriction base="dms:Note">
          <xsd:maxLength value="255"/>
        </xsd:restriction>
      </xsd:simpleType>
    </xsd:element>
    <xsd:element name="TaxCatchAll" ma:index="20" nillable="true" ma:displayName="Taxonomy Catch All Column" ma:hidden="true" ma:list="{fd207e83-dd0a-475e-bb49-70d1fbf8467b}" ma:internalName="TaxCatchAll" ma:showField="CatchAllData" ma:web="d176cc68-f091-4a7f-ad9e-67747a5f64f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E1778C2-E4B2-4999-8067-3E057C49D5F3}">
  <ds:schemaRefs>
    <ds:schemaRef ds:uri="http://schemas.microsoft.com/office/2006/metadata/properties"/>
    <ds:schemaRef ds:uri="http://schemas.microsoft.com/office/infopath/2007/PartnerControls"/>
    <ds:schemaRef ds:uri="d176cc68-f091-4a7f-ad9e-67747a5f64ff"/>
    <ds:schemaRef ds:uri="a9a9e3d6-963b-4985-a8a7-a3d2f87a534a"/>
  </ds:schemaRefs>
</ds:datastoreItem>
</file>

<file path=customXml/itemProps2.xml><?xml version="1.0" encoding="utf-8"?>
<ds:datastoreItem xmlns:ds="http://schemas.openxmlformats.org/officeDocument/2006/customXml" ds:itemID="{24C9E344-A28A-4946-AA5C-CEB1547ED005}">
  <ds:schemaRefs>
    <ds:schemaRef ds:uri="http://schemas.openxmlformats.org/officeDocument/2006/bibliography"/>
  </ds:schemaRefs>
</ds:datastoreItem>
</file>

<file path=customXml/itemProps3.xml><?xml version="1.0" encoding="utf-8"?>
<ds:datastoreItem xmlns:ds="http://schemas.openxmlformats.org/officeDocument/2006/customXml" ds:itemID="{C4751F04-1655-4E83-B948-715A8D400636}">
  <ds:schemaRefs>
    <ds:schemaRef ds:uri="http://schemas.microsoft.com/sharepoint/v3/contenttype/forms"/>
  </ds:schemaRefs>
</ds:datastoreItem>
</file>

<file path=customXml/itemProps4.xml><?xml version="1.0" encoding="utf-8"?>
<ds:datastoreItem xmlns:ds="http://schemas.openxmlformats.org/officeDocument/2006/customXml" ds:itemID="{1C36F9FF-E827-4155-814E-A46ACB21BBF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9a9e3d6-963b-4985-a8a7-a3d2f87a534a"/>
    <ds:schemaRef ds:uri="d176cc68-f091-4a7f-ad9e-67747a5f64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6b5e84bc-ccb4-4457-85a0-05c2a812f6c1}" enabled="0" method="" siteId="{6b5e84bc-ccb4-4457-85a0-05c2a812f6c1}" removed="1"/>
</clbl:labelList>
</file>

<file path=docProps/app.xml><?xml version="1.0" encoding="utf-8"?>
<Properties xmlns="http://schemas.openxmlformats.org/officeDocument/2006/extended-properties" xmlns:vt="http://schemas.openxmlformats.org/officeDocument/2006/docPropsVTypes">
  <Template>Normal</Template>
  <TotalTime>1034</TotalTime>
  <Pages>1</Pages>
  <Words>49695</Words>
  <Characters>298171</Characters>
  <Application>Microsoft Office Word</Application>
  <DocSecurity>0</DocSecurity>
  <Lines>2484</Lines>
  <Paragraphs>694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347172</CharactersWithSpaces>
  <SharedDoc>false</SharedDoc>
  <HLinks>
    <vt:vector size="36" baseType="variant">
      <vt:variant>
        <vt:i4>5898308</vt:i4>
      </vt:variant>
      <vt:variant>
        <vt:i4>9</vt:i4>
      </vt:variant>
      <vt:variant>
        <vt:i4>0</vt:i4>
      </vt:variant>
      <vt:variant>
        <vt:i4>5</vt:i4>
      </vt:variant>
      <vt:variant>
        <vt:lpwstr>https://brandirectory.com/reports/global</vt:lpwstr>
      </vt:variant>
      <vt:variant>
        <vt:lpwstr/>
      </vt:variant>
      <vt:variant>
        <vt:i4>6225988</vt:i4>
      </vt:variant>
      <vt:variant>
        <vt:i4>6</vt:i4>
      </vt:variant>
      <vt:variant>
        <vt:i4>0</vt:i4>
      </vt:variant>
      <vt:variant>
        <vt:i4>5</vt:i4>
      </vt:variant>
      <vt:variant>
        <vt:lpwstr>https://tek.info.pl/article/4268/centrum_kompetencji_polprzewodnikowych_innosemi_zatwierdzone_do_finansowania</vt:lpwstr>
      </vt:variant>
      <vt:variant>
        <vt:lpwstr/>
      </vt:variant>
      <vt:variant>
        <vt:i4>4653067</vt:i4>
      </vt:variant>
      <vt:variant>
        <vt:i4>3</vt:i4>
      </vt:variant>
      <vt:variant>
        <vt:i4>0</vt:i4>
      </vt:variant>
      <vt:variant>
        <vt:i4>5</vt:i4>
      </vt:variant>
      <vt:variant>
        <vt:lpwstr>https://www.nano.lu.se/labs/lund-nano-lab/access</vt:lpwstr>
      </vt:variant>
      <vt:variant>
        <vt:lpwstr/>
      </vt:variant>
      <vt:variant>
        <vt:i4>2293796</vt:i4>
      </vt:variant>
      <vt:variant>
        <vt:i4>0</vt:i4>
      </vt:variant>
      <vt:variant>
        <vt:i4>0</vt:i4>
      </vt:variant>
      <vt:variant>
        <vt:i4>5</vt:i4>
      </vt:variant>
      <vt:variant>
        <vt:lpwstr>https://euc-word-edit.officeapps.live.com/we/wordeditorframe.aspx?ui=pl&amp;rs=en-US&amp;wopisrc=https%3A%2F%2Fpptf-my.sharepoint.com%2Fpersonal%2Fiderylo_pptf_onmicrosoft_com%2F_vti_bin%2Fwopi.ashx%2Ffiles%2Fad1f23959835411b95bf329b7d3311bd&amp;wdenableroaming=1&amp;mscc=0&amp;wdodb=1&amp;hid=304A45D9-FC58-4D2E-8C35-A6B26674CF08.0&amp;uih=sharepointcom&amp;wdlcid=pl&amp;jsapi=1&amp;jsapiver=v2&amp;corrid=00050a61-85c4-9895-e3ca-98e6657e1e9d&amp;usid=00050a61-85c4-9895-e3ca-98e6657e1e9d&amp;newsession=1&amp;sftc=1&amp;uihit=docaspx&amp;muv=1&amp;cac=1&amp;sams=1&amp;mtf=1&amp;sfp=1&amp;sdp=1&amp;hch=1&amp;hwfh=1&amp;dchat=1&amp;sc=%7B%22pmo%22%3A%22https%3A%2F%2Fpptf-my.sharepoint.com%22%2C%22pmshare%22%3Atrue%7D&amp;ctp=LeastProtected&amp;rct=Normal&amp;wdorigin=Sharing.ServerTransfer&amp;afdflight=1&amp;csiro=1&amp;instantedit=1&amp;wopicomplete=1&amp;wdredirectionreason=Unified_SingleFlush</vt:lpwstr>
      </vt:variant>
      <vt:variant>
        <vt:lpwstr>_edn1</vt:lpwstr>
      </vt:variant>
      <vt:variant>
        <vt:i4>2883624</vt:i4>
      </vt:variant>
      <vt:variant>
        <vt:i4>3</vt:i4>
      </vt:variant>
      <vt:variant>
        <vt:i4>0</vt:i4>
      </vt:variant>
      <vt:variant>
        <vt:i4>5</vt:i4>
      </vt:variant>
      <vt:variant>
        <vt:lpwstr>https://emails.ipc.org/links/GlobalElectronicsAssocChipsActPlusPosition.pdf</vt:lpwstr>
      </vt:variant>
      <vt:variant>
        <vt:lpwstr/>
      </vt:variant>
      <vt:variant>
        <vt:i4>262160</vt:i4>
      </vt:variant>
      <vt:variant>
        <vt:i4>0</vt:i4>
      </vt:variant>
      <vt:variant>
        <vt:i4>0</vt:i4>
      </vt:variant>
      <vt:variant>
        <vt:i4>5</vt:i4>
      </vt:variant>
      <vt:variant>
        <vt:lpwstr>https://www.eusemiconductors.eu/sites/default/files/2025.12.01-15.17_IndustryEndorsement_FullDocument.pdf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Marcin Anaszewicz</dc:creator>
  <cp:keywords/>
  <cp:lastModifiedBy>Witkowska-Krzymowska Magdalena</cp:lastModifiedBy>
  <cp:revision>512</cp:revision>
  <cp:lastPrinted>2021-10-11T04:00:00Z</cp:lastPrinted>
  <dcterms:created xsi:type="dcterms:W3CDTF">2026-07-10T06:07:00Z</dcterms:created>
  <dcterms:modified xsi:type="dcterms:W3CDTF">2026-08-10T05:59:00Z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0x010100BF681FF63D7B3147AFAC68B2E93E2C6A</vt:lpwstr>
  </property>
  <property fmtid="{D5CDD505-2E9C-101B-9397-08002B2CF9AE}" pid="3" name="MediaServiceImageTags">
    <vt:lpwstr/>
  </property>
</Properties>
</file>