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D09C3" w14:textId="77777777" w:rsidR="008638F1" w:rsidRPr="00463E36" w:rsidRDefault="008638F1" w:rsidP="008638F1">
      <w:pPr>
        <w:spacing w:after="0" w:line="240" w:lineRule="auto"/>
      </w:pPr>
      <w:r w:rsidRPr="00463E36">
        <w:t>Paulina Hennig-Kloska</w:t>
      </w:r>
    </w:p>
    <w:p w14:paraId="588729D9" w14:textId="77777777" w:rsidR="008638F1" w:rsidRPr="00463E36" w:rsidRDefault="008638F1" w:rsidP="00375F30">
      <w:pPr>
        <w:spacing w:before="360" w:after="0" w:line="240" w:lineRule="auto"/>
      </w:pPr>
      <w:bookmarkStart w:id="0" w:name="ezdSprawaZnak"/>
      <w:r w:rsidRPr="00463E36">
        <w:t>BKA-RI.0831.10.2024</w:t>
      </w:r>
      <w:bookmarkEnd w:id="0"/>
      <w:r w:rsidRPr="00463E36">
        <w:t>.</w:t>
      </w:r>
      <w:bookmarkStart w:id="1" w:name="ezdAutorInicjaly"/>
      <w:r w:rsidRPr="00463E36">
        <w:t>KZ</w:t>
      </w:r>
      <w:bookmarkEnd w:id="1"/>
    </w:p>
    <w:p w14:paraId="545D604B" w14:textId="77777777" w:rsidR="008638F1" w:rsidRPr="00463E36" w:rsidRDefault="008638F1" w:rsidP="008638F1">
      <w:pPr>
        <w:spacing w:after="0" w:line="240" w:lineRule="auto"/>
        <w:rPr>
          <w:sz w:val="18"/>
          <w:szCs w:val="18"/>
        </w:rPr>
      </w:pPr>
      <w:bookmarkStart w:id="2" w:name="ezdIdentyfikatorDokumentuPDF"/>
      <w:r w:rsidRPr="00463E36">
        <w:rPr>
          <w:sz w:val="18"/>
          <w:szCs w:val="18"/>
        </w:rPr>
        <w:t>$</w:t>
      </w:r>
      <w:proofErr w:type="spellStart"/>
      <w:r w:rsidRPr="00463E36">
        <w:rPr>
          <w:sz w:val="18"/>
          <w:szCs w:val="18"/>
        </w:rPr>
        <w:t>Id_pisma</w:t>
      </w:r>
      <w:bookmarkEnd w:id="2"/>
      <w:proofErr w:type="spellEnd"/>
    </w:p>
    <w:p w14:paraId="1D43FDC2" w14:textId="77777777" w:rsidR="008638F1" w:rsidRPr="00463E36" w:rsidRDefault="008638F1" w:rsidP="008638F1">
      <w:pPr>
        <w:spacing w:after="0" w:line="240" w:lineRule="auto"/>
      </w:pPr>
      <w:r w:rsidRPr="00463E36">
        <w:t xml:space="preserve">Warszawa, </w:t>
      </w:r>
      <w:bookmarkStart w:id="3" w:name="ezdDataPodpisu"/>
      <w:r w:rsidRPr="00463E36">
        <w:t>$Data</w:t>
      </w:r>
      <w:bookmarkEnd w:id="3"/>
    </w:p>
    <w:p w14:paraId="659D4895" w14:textId="77777777" w:rsidR="008638F1" w:rsidRPr="00463E36" w:rsidRDefault="008638F1" w:rsidP="00375F30">
      <w:pPr>
        <w:spacing w:before="360" w:after="0" w:line="240" w:lineRule="auto"/>
        <w:rPr>
          <w:b/>
          <w:bCs/>
        </w:rPr>
      </w:pPr>
      <w:r w:rsidRPr="00463E36">
        <w:rPr>
          <w:b/>
          <w:bCs/>
        </w:rPr>
        <w:t>Pan</w:t>
      </w:r>
    </w:p>
    <w:p w14:paraId="5DF6627B" w14:textId="77777777" w:rsidR="008638F1" w:rsidRPr="00463E36" w:rsidRDefault="008638F1" w:rsidP="008638F1">
      <w:pPr>
        <w:spacing w:after="0" w:line="240" w:lineRule="auto"/>
        <w:rPr>
          <w:b/>
          <w:bCs/>
        </w:rPr>
      </w:pPr>
      <w:bookmarkStart w:id="4" w:name="_Hlk188608665"/>
      <w:r w:rsidRPr="00463E36">
        <w:rPr>
          <w:b/>
          <w:bCs/>
        </w:rPr>
        <w:t>Andrzej Głowacki</w:t>
      </w:r>
      <w:bookmarkEnd w:id="4"/>
    </w:p>
    <w:p w14:paraId="502CE72B" w14:textId="77777777" w:rsidR="008638F1" w:rsidRPr="00463E36" w:rsidRDefault="008638F1" w:rsidP="008638F1">
      <w:pPr>
        <w:spacing w:after="0" w:line="240" w:lineRule="auto"/>
        <w:rPr>
          <w:b/>
          <w:bCs/>
        </w:rPr>
      </w:pPr>
      <w:r w:rsidRPr="00463E36">
        <w:rPr>
          <w:b/>
          <w:bCs/>
        </w:rPr>
        <w:t>Prezes</w:t>
      </w:r>
    </w:p>
    <w:p w14:paraId="65AD3855" w14:textId="77777777" w:rsidR="008638F1" w:rsidRPr="00463E36" w:rsidRDefault="008638F1" w:rsidP="008638F1">
      <w:pPr>
        <w:spacing w:after="0" w:line="240" w:lineRule="auto"/>
        <w:rPr>
          <w:b/>
          <w:bCs/>
        </w:rPr>
      </w:pPr>
      <w:r w:rsidRPr="00463E36">
        <w:rPr>
          <w:b/>
          <w:bCs/>
        </w:rPr>
        <w:t>Państwowej Agencji Atomistyki</w:t>
      </w:r>
    </w:p>
    <w:p w14:paraId="4156FB4E" w14:textId="77777777" w:rsidR="008638F1" w:rsidRPr="00463E36" w:rsidRDefault="008638F1" w:rsidP="008638F1">
      <w:pPr>
        <w:spacing w:after="0" w:line="240" w:lineRule="auto"/>
        <w:rPr>
          <w:b/>
          <w:bCs/>
        </w:rPr>
      </w:pPr>
    </w:p>
    <w:p w14:paraId="40F3C4CA" w14:textId="77777777" w:rsidR="008638F1" w:rsidRPr="00463E36" w:rsidRDefault="008638F1" w:rsidP="008638F1">
      <w:pPr>
        <w:spacing w:after="0" w:line="240" w:lineRule="auto"/>
        <w:rPr>
          <w:b/>
          <w:bCs/>
        </w:rPr>
      </w:pPr>
      <w:r w:rsidRPr="00463E36">
        <w:rPr>
          <w:b/>
          <w:bCs/>
        </w:rPr>
        <w:t>Państwowa Agencja Atomistyki</w:t>
      </w:r>
    </w:p>
    <w:p w14:paraId="62D150F9" w14:textId="77777777" w:rsidR="008638F1" w:rsidRPr="00463E36" w:rsidRDefault="008638F1" w:rsidP="008638F1">
      <w:pPr>
        <w:spacing w:after="0" w:line="240" w:lineRule="auto"/>
        <w:rPr>
          <w:b/>
          <w:bCs/>
        </w:rPr>
      </w:pPr>
      <w:r w:rsidRPr="00463E36">
        <w:rPr>
          <w:b/>
          <w:bCs/>
        </w:rPr>
        <w:t>Ul. Nowy Świat 6/12</w:t>
      </w:r>
    </w:p>
    <w:p w14:paraId="131C4743" w14:textId="77777777" w:rsidR="008638F1" w:rsidRPr="00463E36" w:rsidRDefault="008638F1" w:rsidP="008638F1">
      <w:pPr>
        <w:spacing w:after="0" w:line="240" w:lineRule="auto"/>
        <w:rPr>
          <w:b/>
          <w:bCs/>
        </w:rPr>
      </w:pPr>
      <w:r w:rsidRPr="00463E36">
        <w:rPr>
          <w:b/>
          <w:bCs/>
        </w:rPr>
        <w:t>00-400 Warszawa</w:t>
      </w:r>
    </w:p>
    <w:p w14:paraId="2E51FDA2" w14:textId="408B2424" w:rsidR="008638F1" w:rsidRPr="00463E36" w:rsidRDefault="008638F1" w:rsidP="00375F30">
      <w:pPr>
        <w:spacing w:before="360" w:after="360" w:line="240" w:lineRule="auto"/>
        <w:jc w:val="center"/>
        <w:rPr>
          <w:b/>
          <w:bCs/>
        </w:rPr>
      </w:pPr>
      <w:r w:rsidRPr="00463E36">
        <w:rPr>
          <w:b/>
          <w:bCs/>
        </w:rPr>
        <w:t>WYSTĄPIENIE POKONTROLNE</w:t>
      </w:r>
    </w:p>
    <w:p w14:paraId="1A7BF22A" w14:textId="26012FD2" w:rsidR="008638F1" w:rsidRPr="00463E36" w:rsidRDefault="008638F1" w:rsidP="008638F1">
      <w:pPr>
        <w:spacing w:after="120" w:line="240" w:lineRule="auto"/>
      </w:pPr>
      <w:r w:rsidRPr="00463E36">
        <w:t xml:space="preserve">Przedstawiam Panu Prezesowi </w:t>
      </w:r>
      <w:r w:rsidR="00B13474" w:rsidRPr="00463E36">
        <w:t>w</w:t>
      </w:r>
      <w:r w:rsidRPr="00463E36">
        <w:t>ystąpienie pokontrolne z kontroli planowej przeprowadzonej przez Biuro Kontroli i Audytu Ministerstwa Klimatu i Środowiska</w:t>
      </w:r>
      <w:r w:rsidRPr="00463E36">
        <w:rPr>
          <w:rStyle w:val="Odwoanieprzypisudolnego"/>
        </w:rPr>
        <w:footnoteReference w:id="1"/>
      </w:r>
      <w:r w:rsidRPr="00463E36">
        <w:t xml:space="preserve"> (dalej: </w:t>
      </w:r>
      <w:proofErr w:type="spellStart"/>
      <w:r w:rsidRPr="00463E36">
        <w:t>MKiŚ</w:t>
      </w:r>
      <w:proofErr w:type="spellEnd"/>
      <w:r w:rsidRPr="00463E36">
        <w:t xml:space="preserve"> lub Ministerstwo) w Państwowej Agencji Atomistyki (dalej: Agencja lub PAA)</w:t>
      </w:r>
      <w:r w:rsidR="001F0C1F" w:rsidRPr="00463E36">
        <w:br/>
      </w:r>
      <w:r w:rsidRPr="00463E36">
        <w:t>w przedmiocie:</w:t>
      </w:r>
    </w:p>
    <w:p w14:paraId="20060595" w14:textId="77777777" w:rsidR="008638F1" w:rsidRPr="00463E36" w:rsidRDefault="008638F1" w:rsidP="008638F1">
      <w:pPr>
        <w:numPr>
          <w:ilvl w:val="0"/>
          <w:numId w:val="1"/>
        </w:numPr>
        <w:spacing w:after="200" w:line="240" w:lineRule="auto"/>
        <w:ind w:left="567" w:hanging="425"/>
        <w:contextualSpacing/>
      </w:pPr>
      <w:r w:rsidRPr="00463E36">
        <w:t>zapewnienia bezpieczeństwa jądrowego i ochrony radiologicznej kraju;</w:t>
      </w:r>
    </w:p>
    <w:p w14:paraId="2210F42E" w14:textId="77777777" w:rsidR="008638F1" w:rsidRPr="00463E36" w:rsidRDefault="008638F1" w:rsidP="008638F1">
      <w:pPr>
        <w:numPr>
          <w:ilvl w:val="0"/>
          <w:numId w:val="1"/>
        </w:numPr>
        <w:spacing w:after="200" w:line="240" w:lineRule="auto"/>
        <w:ind w:left="567" w:hanging="425"/>
        <w:contextualSpacing/>
      </w:pPr>
      <w:r w:rsidRPr="00463E36">
        <w:t>uruchamiania lub modernizacji istniejących stacji wczesnego wykrywania skażeń promieniotwórczych;</w:t>
      </w:r>
    </w:p>
    <w:p w14:paraId="7F745463" w14:textId="77777777" w:rsidR="008638F1" w:rsidRPr="00463E36" w:rsidRDefault="008638F1" w:rsidP="008638F1">
      <w:pPr>
        <w:numPr>
          <w:ilvl w:val="0"/>
          <w:numId w:val="1"/>
        </w:numPr>
        <w:spacing w:after="200" w:line="240" w:lineRule="auto"/>
        <w:ind w:left="567" w:hanging="425"/>
        <w:contextualSpacing/>
      </w:pPr>
      <w:r w:rsidRPr="00463E36">
        <w:t>rozwoju technologii małych reaktorów modułowych (SMR);</w:t>
      </w:r>
    </w:p>
    <w:p w14:paraId="2CD64557" w14:textId="77777777" w:rsidR="008638F1" w:rsidRPr="00463E36" w:rsidRDefault="008638F1" w:rsidP="008638F1">
      <w:pPr>
        <w:numPr>
          <w:ilvl w:val="0"/>
          <w:numId w:val="1"/>
        </w:numPr>
        <w:spacing w:before="120" w:after="120" w:line="240" w:lineRule="auto"/>
        <w:ind w:left="567" w:hanging="425"/>
      </w:pPr>
      <w:r w:rsidRPr="00463E36">
        <w:t>prowadzenia polityki kadrowej.</w:t>
      </w:r>
    </w:p>
    <w:p w14:paraId="332ED952" w14:textId="77777777" w:rsidR="008638F1" w:rsidRPr="00463E36" w:rsidRDefault="008638F1" w:rsidP="008638F1">
      <w:pPr>
        <w:spacing w:before="120" w:after="120" w:line="240" w:lineRule="auto"/>
      </w:pPr>
      <w:r w:rsidRPr="00463E36">
        <w:t>Okres objęty kontrolą: od 1 stycznia 2023 r. do 21 marca 2025 r.</w:t>
      </w:r>
      <w:r w:rsidRPr="00463E36">
        <w:rPr>
          <w:vertAlign w:val="superscript"/>
        </w:rPr>
        <w:footnoteReference w:id="2"/>
      </w:r>
      <w:r w:rsidRPr="00463E36">
        <w:t>.</w:t>
      </w:r>
    </w:p>
    <w:p w14:paraId="2753F9E7" w14:textId="77777777" w:rsidR="008638F1" w:rsidRPr="00463E36" w:rsidRDefault="008638F1" w:rsidP="008638F1">
      <w:pPr>
        <w:spacing w:after="0" w:line="240" w:lineRule="auto"/>
        <w:rPr>
          <w:sz w:val="16"/>
          <w:szCs w:val="18"/>
          <w:u w:val="single"/>
        </w:rPr>
      </w:pPr>
      <w:r w:rsidRPr="00463E36">
        <w:rPr>
          <w:sz w:val="16"/>
          <w:szCs w:val="18"/>
          <w:u w:val="single"/>
        </w:rPr>
        <w:t>Podstawa prawna:</w:t>
      </w:r>
    </w:p>
    <w:p w14:paraId="5BA6E7F6" w14:textId="77F061CE" w:rsidR="008638F1" w:rsidRPr="00463E36" w:rsidRDefault="008638F1" w:rsidP="008638F1">
      <w:pPr>
        <w:numPr>
          <w:ilvl w:val="0"/>
          <w:numId w:val="3"/>
        </w:numPr>
        <w:tabs>
          <w:tab w:val="num" w:pos="426"/>
        </w:tabs>
        <w:spacing w:before="40" w:after="0" w:line="240" w:lineRule="auto"/>
        <w:ind w:left="426" w:hanging="284"/>
        <w:rPr>
          <w:sz w:val="16"/>
          <w:szCs w:val="16"/>
        </w:rPr>
      </w:pPr>
      <w:r w:rsidRPr="00463E36">
        <w:rPr>
          <w:sz w:val="16"/>
          <w:szCs w:val="16"/>
        </w:rPr>
        <w:t xml:space="preserve">art. </w:t>
      </w:r>
      <w:r w:rsidRPr="00463E36">
        <w:rPr>
          <w:rFonts w:cs="Times New Roman"/>
          <w:sz w:val="16"/>
          <w:szCs w:val="16"/>
        </w:rPr>
        <w:t>6 ust. 3 pkt 1</w:t>
      </w:r>
      <w:r w:rsidR="00D453A2">
        <w:rPr>
          <w:rFonts w:cs="Times New Roman"/>
          <w:sz w:val="16"/>
          <w:szCs w:val="16"/>
        </w:rPr>
        <w:t xml:space="preserve">, art. </w:t>
      </w:r>
      <w:r w:rsidR="00D453A2" w:rsidRPr="00D453A2">
        <w:rPr>
          <w:rFonts w:cs="Times New Roman"/>
          <w:sz w:val="16"/>
          <w:szCs w:val="16"/>
        </w:rPr>
        <w:t>46 i 47, 48 i 49</w:t>
      </w:r>
      <w:r w:rsidRPr="00463E36">
        <w:rPr>
          <w:sz w:val="16"/>
          <w:szCs w:val="16"/>
        </w:rPr>
        <w:t xml:space="preserve"> ustawy z dnia 15 lipca 2011 r. o kontroli w administracji rządowej</w:t>
      </w:r>
      <w:r w:rsidRPr="00463E36">
        <w:rPr>
          <w:sz w:val="16"/>
          <w:szCs w:val="16"/>
          <w:vertAlign w:val="superscript"/>
        </w:rPr>
        <w:footnoteReference w:id="3"/>
      </w:r>
      <w:r w:rsidRPr="00463E36">
        <w:rPr>
          <w:sz w:val="16"/>
          <w:szCs w:val="16"/>
        </w:rPr>
        <w:t xml:space="preserve"> (dalej: ustawa o kontroli).</w:t>
      </w:r>
    </w:p>
    <w:p w14:paraId="2D1DA86D" w14:textId="77777777" w:rsidR="008638F1" w:rsidRPr="00463E36" w:rsidRDefault="008638F1" w:rsidP="008638F1">
      <w:pPr>
        <w:numPr>
          <w:ilvl w:val="0"/>
          <w:numId w:val="3"/>
        </w:numPr>
        <w:tabs>
          <w:tab w:val="num" w:pos="426"/>
        </w:tabs>
        <w:spacing w:after="0" w:line="240" w:lineRule="auto"/>
        <w:ind w:left="426" w:hanging="284"/>
        <w:rPr>
          <w:sz w:val="16"/>
          <w:szCs w:val="16"/>
        </w:rPr>
      </w:pPr>
      <w:r w:rsidRPr="00463E36">
        <w:rPr>
          <w:sz w:val="16"/>
          <w:szCs w:val="16"/>
        </w:rPr>
        <w:t>art. 109 ust. 4 ustawy z dnia 29 listopada 2000 r. – Prawo atomowe</w:t>
      </w:r>
      <w:r w:rsidRPr="00463E36">
        <w:rPr>
          <w:sz w:val="16"/>
          <w:szCs w:val="16"/>
          <w:vertAlign w:val="superscript"/>
        </w:rPr>
        <w:footnoteReference w:id="4"/>
      </w:r>
      <w:r w:rsidRPr="00463E36">
        <w:rPr>
          <w:sz w:val="16"/>
          <w:szCs w:val="16"/>
        </w:rPr>
        <w:t xml:space="preserve"> (dalej: ustawa Prawo atomowe).</w:t>
      </w:r>
    </w:p>
    <w:p w14:paraId="65D33231" w14:textId="77777777" w:rsidR="008638F1" w:rsidRPr="00463E36" w:rsidRDefault="008638F1" w:rsidP="008638F1">
      <w:pPr>
        <w:spacing w:before="120" w:after="120" w:line="240" w:lineRule="auto"/>
        <w:rPr>
          <w:sz w:val="16"/>
          <w:szCs w:val="16"/>
          <w:u w:val="single"/>
        </w:rPr>
      </w:pPr>
      <w:r w:rsidRPr="00463E36">
        <w:rPr>
          <w:sz w:val="16"/>
          <w:szCs w:val="16"/>
          <w:u w:val="single"/>
        </w:rPr>
        <w:t>Informacje o jednostce kontrolowanej</w:t>
      </w:r>
    </w:p>
    <w:p w14:paraId="72395E69" w14:textId="77777777" w:rsidR="008638F1" w:rsidRPr="00463E36" w:rsidRDefault="008638F1" w:rsidP="008638F1">
      <w:pPr>
        <w:spacing w:after="120" w:line="240" w:lineRule="auto"/>
        <w:rPr>
          <w:sz w:val="16"/>
          <w:szCs w:val="18"/>
        </w:rPr>
      </w:pPr>
      <w:r w:rsidRPr="00463E36">
        <w:rPr>
          <w:sz w:val="16"/>
          <w:szCs w:val="18"/>
        </w:rPr>
        <w:t>PAA działa na podstawie ustawy Prawo atomowe. Szczegółowe zasady funkcjonowania, zadania i strukturę organizacyjną jednostki określają Statut</w:t>
      </w:r>
      <w:r w:rsidRPr="00463E36">
        <w:rPr>
          <w:sz w:val="16"/>
          <w:szCs w:val="18"/>
          <w:vertAlign w:val="superscript"/>
        </w:rPr>
        <w:footnoteReference w:id="5"/>
      </w:r>
      <w:r w:rsidRPr="00463E36">
        <w:rPr>
          <w:sz w:val="16"/>
          <w:szCs w:val="18"/>
        </w:rPr>
        <w:t xml:space="preserve"> oraz Regulamin organizacyjny Państwowej Agencji Atomistyki</w:t>
      </w:r>
      <w:r w:rsidRPr="00463E36">
        <w:rPr>
          <w:sz w:val="16"/>
          <w:szCs w:val="18"/>
          <w:vertAlign w:val="superscript"/>
        </w:rPr>
        <w:footnoteReference w:id="6"/>
      </w:r>
      <w:r w:rsidRPr="00463E36">
        <w:rPr>
          <w:sz w:val="16"/>
          <w:szCs w:val="18"/>
        </w:rPr>
        <w:t>.</w:t>
      </w:r>
    </w:p>
    <w:p w14:paraId="1DE7CF78" w14:textId="03E345C8" w:rsidR="008638F1" w:rsidRPr="00463E36" w:rsidRDefault="008638F1" w:rsidP="008638F1">
      <w:pPr>
        <w:spacing w:after="0" w:line="240" w:lineRule="auto"/>
        <w:rPr>
          <w:sz w:val="16"/>
          <w:szCs w:val="16"/>
        </w:rPr>
      </w:pPr>
      <w:r w:rsidRPr="00463E36">
        <w:rPr>
          <w:sz w:val="16"/>
          <w:szCs w:val="16"/>
        </w:rPr>
        <w:t xml:space="preserve">Do zakresu działania </w:t>
      </w:r>
      <w:r w:rsidR="00B13474" w:rsidRPr="00463E36">
        <w:rPr>
          <w:sz w:val="16"/>
          <w:szCs w:val="16"/>
        </w:rPr>
        <w:t xml:space="preserve">PAA </w:t>
      </w:r>
      <w:r w:rsidRPr="00463E36">
        <w:rPr>
          <w:sz w:val="16"/>
          <w:szCs w:val="16"/>
        </w:rPr>
        <w:t>należy wykonywanie zadań związanych z zapewnieniem bezpieczeństwa jądrowego i</w:t>
      </w:r>
      <w:r w:rsidR="00B13474" w:rsidRPr="00463E36">
        <w:rPr>
          <w:sz w:val="16"/>
          <w:szCs w:val="16"/>
        </w:rPr>
        <w:t> </w:t>
      </w:r>
      <w:r w:rsidRPr="00463E36">
        <w:rPr>
          <w:sz w:val="16"/>
          <w:szCs w:val="16"/>
        </w:rPr>
        <w:t>ochrony radiologicznej kraju, a w szczególności</w:t>
      </w:r>
      <w:r w:rsidRPr="00463E36">
        <w:rPr>
          <w:sz w:val="16"/>
          <w:szCs w:val="18"/>
          <w:vertAlign w:val="superscript"/>
        </w:rPr>
        <w:footnoteReference w:id="7"/>
      </w:r>
      <w:r w:rsidRPr="00463E36">
        <w:rPr>
          <w:sz w:val="16"/>
          <w:szCs w:val="16"/>
        </w:rPr>
        <w:t>:</w:t>
      </w:r>
    </w:p>
    <w:p w14:paraId="610EE2AB" w14:textId="77777777" w:rsidR="008638F1" w:rsidRPr="00463E36" w:rsidRDefault="008638F1" w:rsidP="008638F1">
      <w:pPr>
        <w:numPr>
          <w:ilvl w:val="0"/>
          <w:numId w:val="2"/>
        </w:numPr>
        <w:tabs>
          <w:tab w:val="num" w:pos="426"/>
        </w:tabs>
        <w:spacing w:after="0" w:line="240" w:lineRule="auto"/>
        <w:ind w:left="426" w:hanging="284"/>
        <w:rPr>
          <w:sz w:val="16"/>
          <w:szCs w:val="18"/>
        </w:rPr>
      </w:pPr>
      <w:r w:rsidRPr="00463E36">
        <w:rPr>
          <w:sz w:val="16"/>
          <w:szCs w:val="18"/>
        </w:rPr>
        <w:t>przygotowywanie projektów dokumentów dot. polityki państwa w zakresie zapewnienia bezpieczeństwa jądrowego i ochrony radiologicznej, uwzględniających program rozwoju energetyki jądrowej oraz zagrożenia wewnętrzne i zewnętrzne,</w:t>
      </w:r>
    </w:p>
    <w:p w14:paraId="131A9D2E" w14:textId="77777777" w:rsidR="008638F1" w:rsidRPr="00463E36" w:rsidRDefault="008638F1" w:rsidP="008638F1">
      <w:pPr>
        <w:numPr>
          <w:ilvl w:val="0"/>
          <w:numId w:val="2"/>
        </w:numPr>
        <w:tabs>
          <w:tab w:val="num" w:pos="426"/>
        </w:tabs>
        <w:spacing w:after="0" w:line="240" w:lineRule="auto"/>
        <w:ind w:left="426" w:hanging="284"/>
        <w:rPr>
          <w:sz w:val="16"/>
          <w:szCs w:val="18"/>
        </w:rPr>
      </w:pPr>
      <w:r w:rsidRPr="00463E36">
        <w:rPr>
          <w:sz w:val="16"/>
          <w:szCs w:val="18"/>
        </w:rPr>
        <w:t>sprawowanie nadzoru nad działalnością powodującą lub mogącą powodować narażenie ludzi i środowiska na promieniowanie jonizujące oraz przeprowadzanie kontroli w tym zakresie, w tym wydawanie decyzji w sprawach zezwoleń i uprawnień,</w:t>
      </w:r>
    </w:p>
    <w:p w14:paraId="7F0CA621" w14:textId="77777777" w:rsidR="008638F1" w:rsidRPr="00463E36" w:rsidRDefault="008638F1" w:rsidP="008638F1">
      <w:pPr>
        <w:numPr>
          <w:ilvl w:val="0"/>
          <w:numId w:val="2"/>
        </w:numPr>
        <w:tabs>
          <w:tab w:val="num" w:pos="426"/>
        </w:tabs>
        <w:spacing w:after="0" w:line="240" w:lineRule="auto"/>
        <w:ind w:left="426" w:hanging="284"/>
        <w:rPr>
          <w:sz w:val="16"/>
          <w:szCs w:val="18"/>
        </w:rPr>
      </w:pPr>
      <w:r w:rsidRPr="00463E36">
        <w:rPr>
          <w:sz w:val="16"/>
          <w:szCs w:val="18"/>
        </w:rPr>
        <w:lastRenderedPageBreak/>
        <w:t>wydawanie zaleceń technicznych i organizacyjnych w sprawach bezpieczeństwa jądrowego i ochrony radiologicznej,</w:t>
      </w:r>
    </w:p>
    <w:p w14:paraId="234E3793" w14:textId="77777777" w:rsidR="008638F1" w:rsidRPr="00463E36" w:rsidRDefault="008638F1" w:rsidP="008638F1">
      <w:pPr>
        <w:numPr>
          <w:ilvl w:val="0"/>
          <w:numId w:val="2"/>
        </w:numPr>
        <w:tabs>
          <w:tab w:val="num" w:pos="426"/>
        </w:tabs>
        <w:spacing w:after="0" w:line="240" w:lineRule="auto"/>
        <w:ind w:left="426" w:hanging="284"/>
        <w:rPr>
          <w:sz w:val="16"/>
          <w:szCs w:val="18"/>
        </w:rPr>
      </w:pPr>
      <w:r w:rsidRPr="00463E36">
        <w:rPr>
          <w:sz w:val="16"/>
          <w:szCs w:val="18"/>
        </w:rPr>
        <w:t>wykonywanie zadań związanych z oceną sytuacji radiacyjnej kraju,</w:t>
      </w:r>
    </w:p>
    <w:p w14:paraId="0AB6D859" w14:textId="77777777" w:rsidR="008638F1" w:rsidRPr="00463E36" w:rsidRDefault="008638F1" w:rsidP="008638F1">
      <w:pPr>
        <w:numPr>
          <w:ilvl w:val="0"/>
          <w:numId w:val="2"/>
        </w:numPr>
        <w:tabs>
          <w:tab w:val="num" w:pos="426"/>
        </w:tabs>
        <w:spacing w:after="0" w:line="240" w:lineRule="auto"/>
        <w:ind w:left="426" w:hanging="284"/>
        <w:rPr>
          <w:sz w:val="16"/>
          <w:szCs w:val="18"/>
        </w:rPr>
      </w:pPr>
      <w:r w:rsidRPr="00463E36">
        <w:rPr>
          <w:sz w:val="16"/>
          <w:szCs w:val="18"/>
        </w:rPr>
        <w:t>wykonywanie zadań wynikających ze zobowiązań Rzeczypospolitej Polskiej w zakresie prowadzenia ewidencji i kontroli materiałów jądrowych, ochrony fizycznej materiałów i obiektów jądrowych,</w:t>
      </w:r>
    </w:p>
    <w:p w14:paraId="23968EEC" w14:textId="77777777" w:rsidR="008638F1" w:rsidRPr="00463E36" w:rsidRDefault="008638F1" w:rsidP="008638F1">
      <w:pPr>
        <w:numPr>
          <w:ilvl w:val="0"/>
          <w:numId w:val="2"/>
        </w:numPr>
        <w:tabs>
          <w:tab w:val="num" w:pos="426"/>
        </w:tabs>
        <w:spacing w:after="0" w:line="240" w:lineRule="auto"/>
        <w:ind w:left="426" w:hanging="284"/>
        <w:rPr>
          <w:sz w:val="16"/>
          <w:szCs w:val="18"/>
        </w:rPr>
      </w:pPr>
      <w:r w:rsidRPr="00463E36">
        <w:rPr>
          <w:sz w:val="16"/>
          <w:szCs w:val="18"/>
        </w:rPr>
        <w:t>prowadzenie działań związanych z informacją społeczną, edukacją i popularyzacją oraz informacją naukowo-techniczną i prawną w zakresie bezpieczeństwa jądrowego i ochrony radiologicznej,</w:t>
      </w:r>
    </w:p>
    <w:p w14:paraId="61F5BD3D" w14:textId="77777777" w:rsidR="008638F1" w:rsidRPr="00463E36" w:rsidRDefault="008638F1" w:rsidP="008638F1">
      <w:pPr>
        <w:numPr>
          <w:ilvl w:val="0"/>
          <w:numId w:val="2"/>
        </w:numPr>
        <w:tabs>
          <w:tab w:val="num" w:pos="426"/>
        </w:tabs>
        <w:spacing w:after="0" w:line="240" w:lineRule="auto"/>
        <w:ind w:left="426" w:hanging="284"/>
        <w:rPr>
          <w:sz w:val="16"/>
          <w:szCs w:val="18"/>
        </w:rPr>
      </w:pPr>
      <w:r w:rsidRPr="00463E36">
        <w:rPr>
          <w:sz w:val="16"/>
          <w:szCs w:val="18"/>
        </w:rPr>
        <w:t>współdziałanie z organami administracji w sprawach związanych z bezpieczeństwem jądrowym i ochroną radiologiczną oraz w sprawie badań naukowych w tej dziedzinie,</w:t>
      </w:r>
    </w:p>
    <w:p w14:paraId="2B69AE45" w14:textId="77777777" w:rsidR="008638F1" w:rsidRPr="00463E36" w:rsidRDefault="008638F1" w:rsidP="008638F1">
      <w:pPr>
        <w:numPr>
          <w:ilvl w:val="0"/>
          <w:numId w:val="2"/>
        </w:numPr>
        <w:tabs>
          <w:tab w:val="num" w:pos="426"/>
        </w:tabs>
        <w:spacing w:after="0" w:line="240" w:lineRule="auto"/>
        <w:ind w:left="426" w:hanging="284"/>
        <w:rPr>
          <w:sz w:val="16"/>
          <w:szCs w:val="18"/>
        </w:rPr>
      </w:pPr>
      <w:r w:rsidRPr="00463E36">
        <w:rPr>
          <w:sz w:val="16"/>
          <w:szCs w:val="18"/>
        </w:rPr>
        <w:t>wykonywanie zadań związanych z obronnością i obroną cywilną kraju oraz ochroną informacji niejawnych,</w:t>
      </w:r>
    </w:p>
    <w:p w14:paraId="104F5021" w14:textId="77777777" w:rsidR="008638F1" w:rsidRPr="00463E36" w:rsidRDefault="008638F1" w:rsidP="008638F1">
      <w:pPr>
        <w:numPr>
          <w:ilvl w:val="0"/>
          <w:numId w:val="2"/>
        </w:numPr>
        <w:tabs>
          <w:tab w:val="num" w:pos="426"/>
        </w:tabs>
        <w:spacing w:after="0" w:line="240" w:lineRule="auto"/>
        <w:ind w:left="426" w:hanging="284"/>
        <w:rPr>
          <w:sz w:val="16"/>
          <w:szCs w:val="18"/>
        </w:rPr>
      </w:pPr>
      <w:r w:rsidRPr="00463E36">
        <w:rPr>
          <w:sz w:val="16"/>
          <w:szCs w:val="18"/>
        </w:rPr>
        <w:t>przygotowywanie opinii w zakresie bezpieczeństwa jądrowego i ochrony radiologicznej do projektów działań technicznych związanych z pokojowym wykorzystywaniem energii atomowej.</w:t>
      </w:r>
    </w:p>
    <w:p w14:paraId="4DC1CB45" w14:textId="77777777" w:rsidR="008638F1" w:rsidRPr="00463E36" w:rsidRDefault="008638F1" w:rsidP="008638F1">
      <w:pPr>
        <w:spacing w:before="120" w:after="120" w:line="240" w:lineRule="auto"/>
        <w:rPr>
          <w:sz w:val="16"/>
          <w:szCs w:val="18"/>
        </w:rPr>
      </w:pPr>
      <w:r w:rsidRPr="00463E36">
        <w:rPr>
          <w:sz w:val="16"/>
          <w:szCs w:val="18"/>
        </w:rPr>
        <w:t>Stanowisko Prezesa PAA zajmuje od 22 marca 2023 r. Andrzej Głowacki (w okresie od 15 grudnia 2022 r. do 21 marca 2023 r. jako p.o. Prezesa).</w:t>
      </w:r>
    </w:p>
    <w:p w14:paraId="1E9FE245" w14:textId="77777777" w:rsidR="008638F1" w:rsidRPr="00463E36" w:rsidRDefault="008638F1" w:rsidP="008638F1">
      <w:pPr>
        <w:suppressAutoHyphens/>
        <w:spacing w:before="120" w:after="120" w:line="240" w:lineRule="auto"/>
        <w:rPr>
          <w:rFonts w:eastAsia="Times New Roman" w:cs="Times New Roman"/>
          <w:b/>
          <w:szCs w:val="20"/>
        </w:rPr>
      </w:pPr>
      <w:r w:rsidRPr="00463E36">
        <w:rPr>
          <w:rFonts w:eastAsia="Times New Roman" w:cs="Times New Roman"/>
          <w:b/>
          <w:szCs w:val="20"/>
        </w:rPr>
        <w:t>OCENA OGÓLNA KONTROLOWANEJ DZIAŁALNOŚCI</w:t>
      </w:r>
    </w:p>
    <w:p w14:paraId="76B8407D" w14:textId="77777777" w:rsidR="008638F1" w:rsidRPr="00463E36" w:rsidRDefault="008638F1" w:rsidP="008638F1">
      <w:pPr>
        <w:spacing w:after="120" w:line="240" w:lineRule="auto"/>
        <w:rPr>
          <w:b/>
          <w:bCs/>
        </w:rPr>
      </w:pPr>
      <w:r w:rsidRPr="00463E36">
        <w:rPr>
          <w:b/>
          <w:bCs/>
        </w:rPr>
        <w:t>Zapewnienie bezpieczeństwa jądrowego i ochrony radiologicznej kraju</w:t>
      </w:r>
    </w:p>
    <w:p w14:paraId="158EE9EF" w14:textId="4F43C2FA" w:rsidR="008638F1" w:rsidRPr="00463E36" w:rsidRDefault="008638F1" w:rsidP="008638F1">
      <w:pPr>
        <w:spacing w:after="120" w:line="240" w:lineRule="auto"/>
      </w:pPr>
      <w:r w:rsidRPr="00463E36">
        <w:t xml:space="preserve">Działalność Agencji w zakresie bezpieczeństwa jądrowego i ochrony radiologicznej kraju była </w:t>
      </w:r>
      <w:r w:rsidR="00B13474" w:rsidRPr="00463E36">
        <w:t xml:space="preserve">co do zasady </w:t>
      </w:r>
      <w:r w:rsidRPr="00463E36">
        <w:t>prawidłowa, z wyłączeniem spraw w zakresie zezwoleń.</w:t>
      </w:r>
    </w:p>
    <w:p w14:paraId="26B1264E" w14:textId="77777777" w:rsidR="008638F1" w:rsidRPr="00463E36" w:rsidRDefault="008638F1" w:rsidP="008638F1">
      <w:pPr>
        <w:spacing w:after="120" w:line="240" w:lineRule="auto"/>
      </w:pPr>
      <w:r w:rsidRPr="00463E36">
        <w:t>Pozytywnie oceniono prowadzenie postępowań administracyjnych dotyczących przyjmowania zgłoszeń i powiadomień, rzetelność prowadzonych rejestrów, nadawanie uprawnień inspektora ochrony radiologicznej.</w:t>
      </w:r>
    </w:p>
    <w:p w14:paraId="751745D1" w14:textId="77777777" w:rsidR="008638F1" w:rsidRPr="00463E36" w:rsidRDefault="008638F1" w:rsidP="008638F1">
      <w:pPr>
        <w:spacing w:after="120" w:line="240" w:lineRule="auto"/>
      </w:pPr>
      <w:r w:rsidRPr="00463E36">
        <w:t xml:space="preserve">Istotne zastrzeżenia dotyczyły natomiast terminowości załatwiania spraw w zakresie zezwoleń. Część postępowań prowadzono przewlekle, tj. w sposób nieefektywny poprzez wykonywanie czynności w znacznych odstępach czasu. System monitorowania terminowości postępowań nie był skuteczny i nie zapewniał właściwego nadzoru. Kierownictwo PAA nie dysponowało kluczowymi danymi umożliwiającymi efektywne zarządzanie tym obszarem. W szczególności brakowało informacji nt. liczby spraw prowadzonych w terminie, zagrożonych przekroczeniem terminu, prowadzonych nieterminowo albo długotrwale (w ramach kilkukrotnego przedłużania terminu załatwienia sprawy). Brakowało również identyfikacji najistotniejszych problemów i rekomendacji działań naprawczych dotyczących prowadzonych postępowań. </w:t>
      </w:r>
    </w:p>
    <w:p w14:paraId="18DE47B5" w14:textId="77777777" w:rsidR="008638F1" w:rsidRPr="00463E36" w:rsidRDefault="008638F1" w:rsidP="008638F1">
      <w:pPr>
        <w:spacing w:after="120" w:line="240" w:lineRule="auto"/>
        <w:rPr>
          <w:szCs w:val="20"/>
        </w:rPr>
      </w:pPr>
      <w:r w:rsidRPr="00463E36">
        <w:rPr>
          <w:szCs w:val="20"/>
        </w:rPr>
        <w:t xml:space="preserve">Stwierdzono również przypadek </w:t>
      </w:r>
      <w:r w:rsidRPr="00463E36">
        <w:rPr>
          <w:bCs/>
          <w:szCs w:val="20"/>
        </w:rPr>
        <w:t xml:space="preserve">wydania decyzji z rażącym naruszeniem prawa, tj. decyzję administracyjną wydano w stosunku do zmarłej osoby fizycznej, prowadzącej jednoosobową działalność gospodarczą. </w:t>
      </w:r>
      <w:r w:rsidRPr="00463E36">
        <w:t xml:space="preserve">Zastrzeżenia budzi również, że pomimo nakładania na strony w ramach zezwoleń obowiązku przekazywania sprawozdań do PAA, nie podejmowano żadnych działań w przypadku ich braku. </w:t>
      </w:r>
    </w:p>
    <w:p w14:paraId="2271AA12" w14:textId="77777777" w:rsidR="008638F1" w:rsidRPr="00463E36" w:rsidRDefault="008638F1" w:rsidP="008638F1">
      <w:pPr>
        <w:spacing w:after="120" w:line="240" w:lineRule="auto"/>
        <w:rPr>
          <w:rFonts w:cs="ArialMT"/>
          <w:szCs w:val="20"/>
        </w:rPr>
      </w:pPr>
      <w:r w:rsidRPr="00463E36">
        <w:rPr>
          <w:szCs w:val="20"/>
        </w:rPr>
        <w:t>Agencja realizowała kontrole w zakresie przestrzegania warunków bezpieczeństwa jądrowego i ochrony radiologicznej, jednakże zastrzeżenia budzi zrealizowanie Planu kontroli na 2023 r. jedynie w 62%</w:t>
      </w:r>
      <w:r w:rsidRPr="00463E36">
        <w:rPr>
          <w:szCs w:val="20"/>
          <w:vertAlign w:val="superscript"/>
        </w:rPr>
        <w:footnoteReference w:id="8"/>
      </w:r>
      <w:r w:rsidRPr="00463E36">
        <w:rPr>
          <w:szCs w:val="20"/>
        </w:rPr>
        <w:t>, prowadzenie 5 z 25 badanych kontroli przez długi czas, (od 6 do 18 miesięcy), bez uzasadnienia dla takiego działania oraz niewszczęcie przez okres od 3,5 do 8</w:t>
      </w:r>
      <w:r w:rsidRPr="00463E36">
        <w:rPr>
          <w:rStyle w:val="Odwoanieprzypisudolnego"/>
          <w:szCs w:val="20"/>
        </w:rPr>
        <w:footnoteReference w:id="9"/>
      </w:r>
      <w:r w:rsidRPr="00463E36">
        <w:rPr>
          <w:szCs w:val="20"/>
        </w:rPr>
        <w:t xml:space="preserve"> miesięcy postępowań w celu wymierzenia kary administracyjnej w stosunku do 2 skontrolowanych podmiotów, w których stwierdzono nieprawidłowości i uchybienia.</w:t>
      </w:r>
    </w:p>
    <w:p w14:paraId="7D963AAB" w14:textId="086C800F" w:rsidR="008638F1" w:rsidRPr="00463E36" w:rsidRDefault="008638F1" w:rsidP="008638F1">
      <w:pPr>
        <w:spacing w:after="120" w:line="240" w:lineRule="auto"/>
        <w:rPr>
          <w:rFonts w:cs="ArialMT"/>
        </w:rPr>
      </w:pPr>
      <w:r w:rsidRPr="00463E36">
        <w:t>Audyt wewnętrzny wspierał Prezesa PAA w ocenie obszaru wydawania zezwoleń, jednak skuteczność wdrażania rekomendacji była niewystarczająca</w:t>
      </w:r>
      <w:r w:rsidR="00B13474" w:rsidRPr="00463E36">
        <w:t>.</w:t>
      </w:r>
      <w:r w:rsidRPr="00463E36">
        <w:t xml:space="preserve"> Pomimo upływu blisko 5 i 10 miesięcy od zakończenia dwóch audytów ich zalecenia nie zostały wdrożone. Nie wykonano również przez okres 9 miesięcy rekomendacji w przedmiocie aktualizacji Regulaminu kontroli zarządczej i metodyki zarządzania ryzykiem.</w:t>
      </w:r>
    </w:p>
    <w:p w14:paraId="7DBDEADC" w14:textId="77777777" w:rsidR="008638F1" w:rsidRPr="00463E36" w:rsidRDefault="008638F1" w:rsidP="008638F1">
      <w:pPr>
        <w:spacing w:after="120" w:line="240" w:lineRule="auto"/>
        <w:rPr>
          <w:b/>
          <w:bCs/>
        </w:rPr>
      </w:pPr>
      <w:r w:rsidRPr="00463E36">
        <w:rPr>
          <w:b/>
        </w:rPr>
        <w:t>Uruchamianie lub modernizacja istniejących stacji wczesnego wykrywania skażeń promieniotwórczych</w:t>
      </w:r>
    </w:p>
    <w:p w14:paraId="79E80609" w14:textId="5FEFD79F" w:rsidR="008638F1" w:rsidRPr="00463E36" w:rsidRDefault="008638F1" w:rsidP="008638F1">
      <w:pPr>
        <w:spacing w:after="120" w:line="240" w:lineRule="auto"/>
      </w:pPr>
      <w:r w:rsidRPr="00463E36">
        <w:lastRenderedPageBreak/>
        <w:t>PAA koordynowała działania wszystkich krajowych stacji i placówek wczesnego wykrywania skażeń promieniotwórczych. Prawidłowo rozwijała sieć stacji wczesnego wykrywania skażeń promieniotwórczych poprzez instalowanie nowych stacji oraz modernizację już istniejących. Typowanie lokalizacji nowych stacji odbywało się na</w:t>
      </w:r>
      <w:r w:rsidR="00B13474" w:rsidRPr="00463E36">
        <w:t> </w:t>
      </w:r>
      <w:r w:rsidRPr="00463E36">
        <w:t>podstawie wewnętrznych wytycznych, których założeniem było pokrycie stacjami terytorium całego kraju. Zapewniono sprawność techniczną stacji i ich prawidłowe działanie. System monitoringu radiacyjnego kraju, mimo występowania incydentów związanych z awariami technicznymi stacji pomiarowych, utrzymywał wysoką sprawność na poziomie powyżej 90%.</w:t>
      </w:r>
      <w:r w:rsidRPr="00463E36">
        <w:rPr>
          <w:szCs w:val="20"/>
        </w:rPr>
        <w:t xml:space="preserve"> </w:t>
      </w:r>
      <w:r w:rsidRPr="00463E36">
        <w:t>Zapewniono prawidłową reakcję na przypadki zdarzeń radiacyjnych, prowadzono ciągły monitoring sytuacji radiacyjnej kraju, a także zapewniono dostęp do wyników pomiarów ze wszystkich państw włączonych w system EURDEP</w:t>
      </w:r>
      <w:r w:rsidRPr="00463E36">
        <w:rPr>
          <w:vertAlign w:val="superscript"/>
        </w:rPr>
        <w:footnoteReference w:id="10"/>
      </w:r>
      <w:r w:rsidRPr="00463E36">
        <w:rPr>
          <w:szCs w:val="20"/>
        </w:rPr>
        <w:t xml:space="preserve">. </w:t>
      </w:r>
    </w:p>
    <w:p w14:paraId="553C7AE2" w14:textId="77777777" w:rsidR="008638F1" w:rsidRPr="00463E36" w:rsidRDefault="008638F1" w:rsidP="008638F1">
      <w:pPr>
        <w:spacing w:after="120" w:line="240" w:lineRule="auto"/>
        <w:rPr>
          <w:b/>
        </w:rPr>
      </w:pPr>
      <w:r w:rsidRPr="00463E36">
        <w:rPr>
          <w:b/>
        </w:rPr>
        <w:t>Rozwój technologii małych reaktorów modułowych (SMR)</w:t>
      </w:r>
    </w:p>
    <w:p w14:paraId="0C43146F" w14:textId="77777777" w:rsidR="008638F1" w:rsidRPr="00463E36" w:rsidRDefault="008638F1" w:rsidP="008638F1">
      <w:pPr>
        <w:spacing w:after="120" w:line="240" w:lineRule="auto"/>
      </w:pPr>
      <w:r w:rsidRPr="00463E36">
        <w:t>Agencja wspierała proces przygotowawczy inwestorów do wdrożenia SMR. Prowadziła dialog z zainteresowanymi spółkami oraz udzielała wskazówek w przygotowaniu wniosków o wydanie zezwoleń na budowę elektrowni jądrowych z wykorzystaniem technologii SMR. Podejmowała aktywne, systemowe działania w obszarze współpracy międzynarodowej, ukierunkowane na rozwój kompetencji instytucjonalnych w zakresie technologii SMR. Kluczowym krokiem było podpisanie porozumienia z kanadyjskim dozorem jądrowym oraz powołanie Komitetu ds. zaawansowanych technologii jądrowych i SMR, który pełnił funkcję koordynacyjną, doradczą oraz informacyjną. Na wniosek potencjalnych inwestorów terminowo wydano 3 opinie ogólne zawierające ocenę zgodności założeń projektowych oraz wskazano obszary do zmiany.</w:t>
      </w:r>
    </w:p>
    <w:p w14:paraId="0473A21F" w14:textId="77777777" w:rsidR="008638F1" w:rsidRPr="00463E36" w:rsidRDefault="008638F1" w:rsidP="008638F1">
      <w:pPr>
        <w:suppressAutoHyphens/>
        <w:spacing w:before="120" w:after="120" w:line="240" w:lineRule="auto"/>
        <w:rPr>
          <w:b/>
          <w:szCs w:val="20"/>
        </w:rPr>
      </w:pPr>
      <w:r w:rsidRPr="00463E36">
        <w:rPr>
          <w:b/>
          <w:szCs w:val="20"/>
        </w:rPr>
        <w:t>Prowadzenie polityki kadrowej</w:t>
      </w:r>
    </w:p>
    <w:p w14:paraId="631F30CA" w14:textId="77777777" w:rsidR="008638F1" w:rsidRPr="00463E36" w:rsidRDefault="008638F1" w:rsidP="008638F1">
      <w:pPr>
        <w:spacing w:after="120" w:line="240" w:lineRule="auto"/>
        <w:rPr>
          <w:rFonts w:eastAsia="Times New Roman" w:cs="Times New Roman"/>
          <w:szCs w:val="20"/>
        </w:rPr>
      </w:pPr>
      <w:r w:rsidRPr="00463E36">
        <w:rPr>
          <w:rFonts w:eastAsia="Times New Roman" w:cs="Times New Roman"/>
          <w:bCs/>
          <w:szCs w:val="20"/>
        </w:rPr>
        <w:t>Czynnikiem utrudniającym realizację obowiązków ustawowych Agencji były braki kadrowe (</w:t>
      </w:r>
      <w:r w:rsidRPr="00463E36">
        <w:rPr>
          <w:rFonts w:eastAsia="Times New Roman" w:cs="Times New Roman"/>
          <w:szCs w:val="20"/>
        </w:rPr>
        <w:t xml:space="preserve">47,75 nieobsadzonych etatów). </w:t>
      </w:r>
      <w:r w:rsidRPr="00463E36">
        <w:rPr>
          <w:rFonts w:eastAsia="Times New Roman" w:cs="Times New Roman"/>
          <w:bCs/>
          <w:szCs w:val="20"/>
        </w:rPr>
        <w:t>PAA prowadziła działania w zakresie zwiększenia zatrudnienia</w:t>
      </w:r>
      <w:r w:rsidRPr="00463E36">
        <w:rPr>
          <w:rFonts w:eastAsia="Times New Roman" w:cs="Times New Roman"/>
          <w:szCs w:val="20"/>
        </w:rPr>
        <w:t xml:space="preserve">, jednakże były one nieskuteczne. </w:t>
      </w:r>
      <w:r w:rsidRPr="00463E36">
        <w:rPr>
          <w:szCs w:val="20"/>
        </w:rPr>
        <w:t xml:space="preserve">Główny problem dotyczył pozyskania specjalistów do realizacji </w:t>
      </w:r>
      <w:r w:rsidRPr="00463E36">
        <w:rPr>
          <w:rFonts w:eastAsia="Times New Roman" w:cs="Times New Roman"/>
          <w:bCs/>
          <w:szCs w:val="20"/>
        </w:rPr>
        <w:t>Programu Polskiej Energetyki Jądrowej (PPEJ)</w:t>
      </w:r>
      <w:r w:rsidRPr="00463E36">
        <w:rPr>
          <w:rFonts w:eastAsia="Times New Roman" w:cs="Times New Roman"/>
          <w:szCs w:val="20"/>
        </w:rPr>
        <w:t xml:space="preserve">. </w:t>
      </w:r>
      <w:r w:rsidRPr="00463E36">
        <w:t>Przeszkodą w tym zakresie była mała liczba tych specjalistów na rynku pracy i różnica w wynagrodzeniu w porównaniu do sektora prywatnego.</w:t>
      </w:r>
    </w:p>
    <w:p w14:paraId="3E9F91B2" w14:textId="77777777" w:rsidR="008638F1" w:rsidRPr="00463E36" w:rsidRDefault="008638F1" w:rsidP="008638F1">
      <w:pPr>
        <w:spacing w:line="240" w:lineRule="auto"/>
      </w:pPr>
      <w:r w:rsidRPr="00463E36">
        <w:t>Działania w zakresie polityki kadrowej oraz systemu rozwoju kompetencji wykazywały dbałość o rozwój pracowników. Agencja zapewniała podnoszenie kwalifikacji kadry, zarówno poprzez szkolenia, jak i umożliwienie pracownikom udziału w kursach i stażach zagranicznych.</w:t>
      </w:r>
    </w:p>
    <w:p w14:paraId="0AA52B1D" w14:textId="77777777" w:rsidR="008638F1" w:rsidRPr="00463E36" w:rsidRDefault="008638F1" w:rsidP="008638F1">
      <w:pPr>
        <w:spacing w:line="240" w:lineRule="auto"/>
      </w:pPr>
      <w:r w:rsidRPr="00463E36">
        <w:t xml:space="preserve">Działania mające na celu stabilizację zatrudnienia obejmowały m.in. wdrożenie mechanizmów motywacyjnych w postaci podwyżek wynagrodzeń, nagród, dodatków i premii. Wdrożono regulacje w tym zakresie, co sprzyjało przejrzystości prowadzonej polityki motywacyjnej. </w:t>
      </w:r>
    </w:p>
    <w:p w14:paraId="7D73BC04" w14:textId="77777777" w:rsidR="008638F1" w:rsidRPr="00463E36" w:rsidRDefault="008638F1" w:rsidP="008638F1">
      <w:pPr>
        <w:suppressAutoHyphens/>
        <w:spacing w:before="120" w:after="120" w:line="240" w:lineRule="auto"/>
        <w:rPr>
          <w:b/>
        </w:rPr>
      </w:pPr>
      <w:r w:rsidRPr="00463E36">
        <w:t xml:space="preserve">Proces zatrudnienia na wolne stanowiska w korpusie służby cywilnej prowadzony był zasadniczo zgodnie z przepisami ustawy o służbie cywilnej, jednakże w 1 z 4 badanych naborów stwierdzono naruszenie art. 53a ust. 6 wspomnianej ustawy. Przepis ten reguluje udzielenie urlopu bezpłatnego osobie już zatrudnionej w służbie cywilnej w przypadku powołania jej na wyższe stanowisko. W analizowanym przypadku pracownik zatrudniony w PAA w ramach powołania na wyższe stanowisko w służbie cywilnej wziął udział w naborze na inne stanowisko. W wyniku wygranego naboru Dyrektor Generalny udzielił pracownikowi urlopu bezpłatnego na dodatkowym stanowisku, nie przerywając zatrudnienia w ramach powołania. Takie działanie wskazuje na pozorność przeprowadzonego naboru w celu zabezpieczenia etatu dla dyrektora na wypadek jego odwołania ze stanowiska. Skład komisji rekrutacyjnej nie gwarantował obiektywizmu naboru, ponieważ jeden z członków komisji pozostawał w bezpośredniej podległości </w:t>
      </w:r>
      <w:r w:rsidRPr="00463E36">
        <w:lastRenderedPageBreak/>
        <w:t xml:space="preserve">służbowej wobec dyrektora - kandydata uczestniczącego w naborze. Nieprawidłowym było wyrażenie przez Dyrektora Generalnego </w:t>
      </w:r>
      <w:r w:rsidRPr="00463E36">
        <w:rPr>
          <w:rFonts w:eastAsia="Times New Roman" w:cs="Times New Roman"/>
        </w:rPr>
        <w:t xml:space="preserve">zgody na udział tego pracownika w pracach komisji, pomimo że ograniczono jego zadania do oceny formalnoprawnej oferty kandydata. </w:t>
      </w:r>
      <w:r w:rsidRPr="00463E36">
        <w:t>Zmniejszenie kompetencji nie eliminowało ryzyka wpływu na przebieg naboru, bowiem obecność tej osoby mogła oddziaływać na przebieg rozmowy kwalifikacyjnej, sposób zadawania pytań oraz decyzje pozostałych członków komisji.</w:t>
      </w:r>
    </w:p>
    <w:p w14:paraId="5C00E667" w14:textId="77777777" w:rsidR="008638F1" w:rsidRPr="00463E36" w:rsidRDefault="008638F1" w:rsidP="008638F1">
      <w:pPr>
        <w:spacing w:before="240" w:after="200" w:line="240" w:lineRule="auto"/>
        <w:rPr>
          <w:b/>
          <w:bCs/>
        </w:rPr>
      </w:pPr>
      <w:r w:rsidRPr="00463E36">
        <w:rPr>
          <w:b/>
          <w:bCs/>
        </w:rPr>
        <w:t>OCENY I USTALENIA SZCZEGÓŁOWE</w:t>
      </w:r>
    </w:p>
    <w:p w14:paraId="2993EE7D" w14:textId="77777777" w:rsidR="008638F1" w:rsidRPr="00463E36" w:rsidRDefault="008638F1" w:rsidP="008638F1">
      <w:pPr>
        <w:numPr>
          <w:ilvl w:val="0"/>
          <w:numId w:val="5"/>
        </w:numPr>
        <w:spacing w:after="120" w:line="240" w:lineRule="auto"/>
        <w:ind w:left="567" w:hanging="425"/>
        <w:rPr>
          <w:b/>
          <w:u w:val="single"/>
        </w:rPr>
      </w:pPr>
      <w:r w:rsidRPr="00463E36">
        <w:rPr>
          <w:b/>
          <w:u w:val="single"/>
        </w:rPr>
        <w:t>Zapewnienie bezpieczeństwa jądrowego i ochrony radiologicznej kraju</w:t>
      </w:r>
    </w:p>
    <w:p w14:paraId="2B30E88F" w14:textId="77777777" w:rsidR="008638F1" w:rsidRPr="00463E36" w:rsidRDefault="008638F1" w:rsidP="008638F1">
      <w:pPr>
        <w:numPr>
          <w:ilvl w:val="0"/>
          <w:numId w:val="6"/>
        </w:numPr>
        <w:spacing w:after="120" w:line="240" w:lineRule="auto"/>
        <w:ind w:left="0" w:firstLine="0"/>
        <w:rPr>
          <w:b/>
          <w:bCs/>
        </w:rPr>
      </w:pPr>
      <w:r w:rsidRPr="00463E36">
        <w:rPr>
          <w:b/>
          <w:bCs/>
        </w:rPr>
        <w:t>[Organizacja realizacji zadań]</w:t>
      </w:r>
      <w:r w:rsidRPr="00463E36">
        <w:rPr>
          <w:szCs w:val="20"/>
        </w:rPr>
        <w:t xml:space="preserve"> Zadania dotyczące zapewnienia bezpieczeństwa jądrowego i ochrony radiologicznej kraju zostały przypisane do kompetencji poszczególnych komórek organizacyjnych PAA. Ustanowione wewnętrzne procedury wspierały realizację zadań Agencji, jednakże zaznaczyć należy, że pomimo wprowadzenia w 2017 r. </w:t>
      </w:r>
      <w:r w:rsidRPr="00463E36">
        <w:rPr>
          <w:i/>
          <w:szCs w:val="20"/>
        </w:rPr>
        <w:t>Procedury wydawania zezwoleń w zakresie działalności związanej z obiektami jądrowymi</w:t>
      </w:r>
      <w:r w:rsidRPr="00463E36">
        <w:rPr>
          <w:szCs w:val="20"/>
        </w:rPr>
        <w:t xml:space="preserve"> przez ponad 7 lat nie zatwierdzono 4</w:t>
      </w:r>
      <w:r w:rsidRPr="00463E36">
        <w:rPr>
          <w:sz w:val="16"/>
          <w:szCs w:val="16"/>
          <w:vertAlign w:val="superscript"/>
        </w:rPr>
        <w:footnoteReference w:id="11"/>
      </w:r>
      <w:r w:rsidRPr="00463E36">
        <w:rPr>
          <w:szCs w:val="20"/>
        </w:rPr>
        <w:t> Instrukcji, na które się ona powoływała.</w:t>
      </w:r>
    </w:p>
    <w:p w14:paraId="0E5683CE" w14:textId="77777777" w:rsidR="008638F1" w:rsidRPr="00463E36" w:rsidRDefault="008638F1" w:rsidP="008638F1">
      <w:pPr>
        <w:spacing w:after="120" w:line="240" w:lineRule="auto"/>
        <w:ind w:left="567" w:right="567"/>
        <w:rPr>
          <w:sz w:val="16"/>
          <w:szCs w:val="16"/>
        </w:rPr>
      </w:pPr>
      <w:r w:rsidRPr="00463E36">
        <w:rPr>
          <w:sz w:val="16"/>
          <w:szCs w:val="16"/>
        </w:rPr>
        <w:t>Zgodnie z Regulaminem organizacyjnym PAA zadaniami z zakresu zapewnienia bezpieczeństwa jądrowego i ochrony radiologicznej kraju zajmował się Departament Bezpieczeństwa Jądrowego (dalej: DBJ), Departament Ochrony Radiologicznej (dalej: DOR) oraz Centrum do Spraw Zdarzeń Radiacyjnych (dalej: CEZAR).</w:t>
      </w:r>
    </w:p>
    <w:p w14:paraId="280B1EC0" w14:textId="77777777" w:rsidR="008638F1" w:rsidRPr="00463E36" w:rsidRDefault="008638F1" w:rsidP="008638F1">
      <w:pPr>
        <w:spacing w:after="120" w:line="240" w:lineRule="auto"/>
        <w:ind w:left="567" w:right="567"/>
        <w:rPr>
          <w:sz w:val="16"/>
          <w:szCs w:val="18"/>
        </w:rPr>
      </w:pPr>
      <w:r w:rsidRPr="00463E36">
        <w:rPr>
          <w:sz w:val="16"/>
          <w:szCs w:val="16"/>
        </w:rPr>
        <w:t>W PAA wdrożono procedury z zakresu: przyjmowania i postępowania ze zdarzeniami radiacyjnymi o zasięgu zakładowym, wojewódzkim, krajowym oraz w przypadku zdarzenia radiacyjnego zaistniałego w wyniku sabotażu lub aktu terrorystycznego</w:t>
      </w:r>
      <w:r w:rsidRPr="00463E36">
        <w:rPr>
          <w:sz w:val="16"/>
          <w:szCs w:val="16"/>
          <w:vertAlign w:val="superscript"/>
        </w:rPr>
        <w:footnoteReference w:id="12"/>
      </w:r>
      <w:r w:rsidRPr="00463E36">
        <w:rPr>
          <w:sz w:val="16"/>
          <w:szCs w:val="16"/>
        </w:rPr>
        <w:t>; planowania i prowadzenia kontroli dozorowych i ciągłych</w:t>
      </w:r>
      <w:r w:rsidRPr="00463E36">
        <w:rPr>
          <w:sz w:val="16"/>
          <w:szCs w:val="16"/>
          <w:vertAlign w:val="superscript"/>
        </w:rPr>
        <w:footnoteReference w:id="13"/>
      </w:r>
      <w:r w:rsidRPr="00463E36">
        <w:rPr>
          <w:sz w:val="16"/>
          <w:szCs w:val="16"/>
        </w:rPr>
        <w:t>; wydawania zezwoleń, przyjmowania zgłoszeń i powiadomień</w:t>
      </w:r>
      <w:r w:rsidRPr="00463E36">
        <w:rPr>
          <w:sz w:val="16"/>
          <w:szCs w:val="16"/>
          <w:vertAlign w:val="superscript"/>
        </w:rPr>
        <w:footnoteReference w:id="14"/>
      </w:r>
      <w:r w:rsidRPr="00463E36">
        <w:rPr>
          <w:sz w:val="16"/>
          <w:szCs w:val="16"/>
        </w:rPr>
        <w:t xml:space="preserve"> oraz </w:t>
      </w:r>
      <w:r w:rsidRPr="00463E36">
        <w:rPr>
          <w:sz w:val="16"/>
          <w:szCs w:val="18"/>
        </w:rPr>
        <w:t>nadawania uprawnień inspektora ochrony radiologicznej</w:t>
      </w:r>
      <w:r w:rsidRPr="00463E36">
        <w:rPr>
          <w:sz w:val="16"/>
          <w:szCs w:val="18"/>
          <w:vertAlign w:val="superscript"/>
        </w:rPr>
        <w:footnoteReference w:id="15"/>
      </w:r>
      <w:r w:rsidRPr="00463E36">
        <w:rPr>
          <w:sz w:val="16"/>
          <w:szCs w:val="18"/>
        </w:rPr>
        <w:t>.</w:t>
      </w:r>
    </w:p>
    <w:p w14:paraId="4DA765F8" w14:textId="77777777" w:rsidR="008638F1" w:rsidRPr="00463E36" w:rsidRDefault="008638F1" w:rsidP="00B472E1">
      <w:pPr>
        <w:spacing w:after="120" w:line="240" w:lineRule="auto"/>
        <w:ind w:left="567" w:right="567"/>
        <w:rPr>
          <w:sz w:val="16"/>
          <w:szCs w:val="16"/>
        </w:rPr>
      </w:pPr>
      <w:r w:rsidRPr="00463E36">
        <w:rPr>
          <w:sz w:val="16"/>
          <w:szCs w:val="16"/>
        </w:rPr>
        <w:t>Procedura wydawania zezwoleń w zakresie działalności związanej z obiektami jądrowymi z 14 czerwca 2017 r. wskazywała, że uszczegółowienie jej postanowień zawarte jest w 4 Instrukcjach dotyczących wydawania zezwoleń na budowę, rozruch, eksploatację i likwidację obiektu jądrowego. Agencja opracowała projekty Instrukcji, jednakże pomimo upływu 7 lat od wydania procedury nie zostały one zatwierdzone.</w:t>
      </w:r>
    </w:p>
    <w:p w14:paraId="29FFBA1B" w14:textId="77777777" w:rsidR="008638F1" w:rsidRPr="00463E36" w:rsidRDefault="008638F1" w:rsidP="00A039B6">
      <w:pPr>
        <w:spacing w:after="120" w:line="240" w:lineRule="auto"/>
        <w:ind w:left="567" w:right="567"/>
        <w:rPr>
          <w:i/>
          <w:sz w:val="16"/>
          <w:szCs w:val="16"/>
        </w:rPr>
      </w:pPr>
      <w:r w:rsidRPr="00463E36">
        <w:rPr>
          <w:sz w:val="16"/>
          <w:szCs w:val="16"/>
        </w:rPr>
        <w:t>Dyrektor DBJ wyjaśnił</w:t>
      </w:r>
      <w:r w:rsidRPr="00463E36">
        <w:rPr>
          <w:rFonts w:eastAsia="Times New Roman" w:cs="Times New Roman"/>
          <w:sz w:val="16"/>
          <w:szCs w:val="16"/>
          <w:vertAlign w:val="superscript"/>
        </w:rPr>
        <w:footnoteReference w:id="16"/>
      </w:r>
      <w:r w:rsidRPr="00463E36">
        <w:rPr>
          <w:sz w:val="16"/>
          <w:szCs w:val="16"/>
        </w:rPr>
        <w:t>, że</w:t>
      </w:r>
      <w:r w:rsidRPr="00463E36">
        <w:rPr>
          <w:b/>
          <w:bCs/>
          <w:sz w:val="16"/>
          <w:szCs w:val="16"/>
        </w:rPr>
        <w:t xml:space="preserve"> </w:t>
      </w:r>
      <w:r w:rsidRPr="00463E36">
        <w:rPr>
          <w:sz w:val="16"/>
          <w:szCs w:val="16"/>
        </w:rPr>
        <w:t>Instrukcje nie są jeszcze formalnie załącznikami do Procedury, ponieważ obecnie jest ona stosowana wyłącznie w odniesieniu do jednostek już eksploatujących obiekty jądrowe wnioskujących o zmianę zezwolenia</w:t>
      </w:r>
      <w:r w:rsidRPr="00463E36">
        <w:rPr>
          <w:rFonts w:eastAsia="Times New Roman" w:cs="Times New Roman"/>
          <w:sz w:val="16"/>
          <w:szCs w:val="16"/>
        </w:rPr>
        <w:t xml:space="preserve">. </w:t>
      </w:r>
      <w:r w:rsidRPr="00463E36">
        <w:rPr>
          <w:sz w:val="16"/>
          <w:szCs w:val="16"/>
        </w:rPr>
        <w:t>Jak wyjaśniono, zatwierdzenie projektów i ich załączenie</w:t>
      </w:r>
      <w:r w:rsidRPr="00463E36">
        <w:rPr>
          <w:i/>
          <w:sz w:val="16"/>
          <w:szCs w:val="16"/>
        </w:rPr>
        <w:t xml:space="preserve"> </w:t>
      </w:r>
      <w:r w:rsidRPr="00463E36">
        <w:rPr>
          <w:iCs/>
          <w:sz w:val="16"/>
          <w:szCs w:val="16"/>
        </w:rPr>
        <w:t>do Procedury</w:t>
      </w:r>
      <w:r w:rsidRPr="00463E36">
        <w:rPr>
          <w:sz w:val="16"/>
          <w:szCs w:val="16"/>
        </w:rPr>
        <w:t xml:space="preserve"> </w:t>
      </w:r>
      <w:r w:rsidRPr="00463E36">
        <w:rPr>
          <w:i/>
          <w:sz w:val="16"/>
          <w:szCs w:val="16"/>
        </w:rPr>
        <w:t>przewidziane jest jeszcze przed otrzymaniem wniosku o wydanie zezwolenia na budowę, rozruch, eksploatację i likwidację elektrowni jądrowej.</w:t>
      </w:r>
      <w:r w:rsidRPr="00463E36">
        <w:rPr>
          <w:rFonts w:eastAsia="Times New Roman" w:cs="Times New Roman"/>
          <w:i/>
          <w:iCs/>
          <w:sz w:val="16"/>
          <w:szCs w:val="16"/>
        </w:rPr>
        <w:t xml:space="preserve"> </w:t>
      </w:r>
      <w:r w:rsidRPr="00463E36">
        <w:rPr>
          <w:rFonts w:eastAsia="Times New Roman" w:cs="Times New Roman"/>
          <w:i/>
          <w:sz w:val="16"/>
          <w:szCs w:val="16"/>
        </w:rPr>
        <w:t>Dodatkowo w ramach prac powołanego w PAA Zespołu ds. przygotowania procesu rozpatrywania wniosku o wydanie zezwolenia na budowę pierwszej polskiej elektrowni jądrowej zostaną opracowane wytyczne oceny merytorycznej załączonych dokumentów.</w:t>
      </w:r>
    </w:p>
    <w:p w14:paraId="7A7999FB" w14:textId="77777777" w:rsidR="008638F1" w:rsidRPr="00463E36" w:rsidRDefault="008638F1" w:rsidP="008638F1">
      <w:pPr>
        <w:spacing w:after="120" w:line="240" w:lineRule="auto"/>
        <w:rPr>
          <w:szCs w:val="20"/>
        </w:rPr>
      </w:pPr>
      <w:r w:rsidRPr="00463E36">
        <w:rPr>
          <w:szCs w:val="20"/>
        </w:rPr>
        <w:lastRenderedPageBreak/>
        <w:t xml:space="preserve">Opracowane projekty Instrukcji dotyczą wniosków o wydanie zezwolenia na działalność obiektu jądrowego. Biorąc pod uwagę fakt, że PAA prowadzi postępowania dotyczące działalności wszystkich obiektów jądrowych, nie tylko </w:t>
      </w:r>
      <w:r w:rsidRPr="00463E36">
        <w:rPr>
          <w:bCs/>
          <w:szCs w:val="20"/>
        </w:rPr>
        <w:t>elektrowni jądrow</w:t>
      </w:r>
      <w:r w:rsidRPr="00463E36">
        <w:rPr>
          <w:szCs w:val="20"/>
        </w:rPr>
        <w:t>ej</w:t>
      </w:r>
      <w:r w:rsidRPr="00463E36">
        <w:rPr>
          <w:bCs/>
          <w:szCs w:val="20"/>
        </w:rPr>
        <w:t>, Agencja nie powinna zwlekać z zatwierdzeniem opracowanych projektów regulacji.</w:t>
      </w:r>
    </w:p>
    <w:p w14:paraId="26151A43" w14:textId="37585FD7" w:rsidR="008638F1" w:rsidRPr="00463E36" w:rsidRDefault="008638F1" w:rsidP="008638F1">
      <w:pPr>
        <w:numPr>
          <w:ilvl w:val="0"/>
          <w:numId w:val="6"/>
        </w:numPr>
        <w:spacing w:after="120" w:line="240" w:lineRule="auto"/>
        <w:ind w:left="0" w:firstLine="0"/>
      </w:pPr>
      <w:r w:rsidRPr="00463E36">
        <w:rPr>
          <w:b/>
        </w:rPr>
        <w:t xml:space="preserve">[Sprawy dot. zezwoleń] </w:t>
      </w:r>
      <w:r w:rsidRPr="00463E36">
        <w:t xml:space="preserve">Prowadzenie postępowań administracyjnych w zakresie zezwoleń ocenia się pozytywnie z zastrzeżeniami dotyczącymi terminowości ich prowadzenia. </w:t>
      </w:r>
      <w:r w:rsidRPr="00463E36">
        <w:rPr>
          <w:bCs/>
        </w:rPr>
        <w:t>W</w:t>
      </w:r>
      <w:r w:rsidRPr="00463E36">
        <w:t xml:space="preserve"> 9 z 36 (28%) analizowanych spraw</w:t>
      </w:r>
      <w:r w:rsidRPr="00463E36">
        <w:rPr>
          <w:vertAlign w:val="superscript"/>
        </w:rPr>
        <w:footnoteReference w:id="17"/>
      </w:r>
      <w:r w:rsidRPr="00463E36">
        <w:t xml:space="preserve"> stwierdzono przewlekłość postępowania, przejawiającą się w nieefektywnym wykonywaniu czynności, tj. w znacznych odstępach czasu. </w:t>
      </w:r>
      <w:r w:rsidRPr="00463E36">
        <w:rPr>
          <w:rFonts w:eastAsia="Lato" w:cs="Lato"/>
          <w:szCs w:val="20"/>
        </w:rPr>
        <w:t>Skutkowało wydawaniem decyzji w okresie od 129 do 843 dni</w:t>
      </w:r>
      <w:r w:rsidRPr="00463E36">
        <w:t xml:space="preserve">. </w:t>
      </w:r>
      <w:r w:rsidRPr="00463E36">
        <w:rPr>
          <w:rFonts w:eastAsia="Lato" w:cs="Lato"/>
          <w:szCs w:val="20"/>
        </w:rPr>
        <w:t>Sytuacja ta wskazuje na nieefektywność działań w zakresie zapewnienia terminowości załatwiania spraw oraz nieskuteczny nadzór nad tym obszarem</w:t>
      </w:r>
      <w:r w:rsidRPr="00463E36">
        <w:rPr>
          <w:rFonts w:eastAsia="Segoe UI" w:cs="Segoe UI"/>
          <w:szCs w:val="20"/>
        </w:rPr>
        <w:t>.</w:t>
      </w:r>
    </w:p>
    <w:p w14:paraId="34FAE2AF" w14:textId="34E466B0" w:rsidR="008638F1" w:rsidRPr="00463E36" w:rsidRDefault="008638F1" w:rsidP="00B472E1">
      <w:pPr>
        <w:spacing w:before="120" w:line="240" w:lineRule="auto"/>
        <w:ind w:left="567" w:right="567"/>
      </w:pPr>
      <w:r w:rsidRPr="00463E36">
        <w:rPr>
          <w:sz w:val="16"/>
          <w:szCs w:val="16"/>
        </w:rPr>
        <w:t>Kontroli poddano 36</w:t>
      </w:r>
      <w:r w:rsidRPr="00463E36">
        <w:rPr>
          <w:sz w:val="16"/>
          <w:szCs w:val="16"/>
          <w:vertAlign w:val="superscript"/>
        </w:rPr>
        <w:footnoteReference w:id="18"/>
      </w:r>
      <w:r w:rsidRPr="00463E36">
        <w:rPr>
          <w:sz w:val="16"/>
          <w:szCs w:val="16"/>
        </w:rPr>
        <w:t xml:space="preserve"> (tj. ok. 1,43%) z 2 517 postępowań w sprawach zezwoleń. W 9 sprawach stwierdzono, że </w:t>
      </w:r>
      <w:r w:rsidRPr="00463E36">
        <w:rPr>
          <w:bCs/>
          <w:sz w:val="16"/>
          <w:szCs w:val="16"/>
        </w:rPr>
        <w:t xml:space="preserve">prowadzono je przewlekle, tj. w sposób nieefektywny poprzez wykonywanie czynności w znacznych odstępach czasu (zazwyczaj 2-miesięcznych, a w skrajnym przypadku </w:t>
      </w:r>
      <w:r w:rsidR="00B472E1" w:rsidRPr="00463E36">
        <w:rPr>
          <w:bCs/>
          <w:sz w:val="16"/>
          <w:szCs w:val="16"/>
        </w:rPr>
        <w:br/>
      </w:r>
      <w:r w:rsidRPr="00463E36">
        <w:rPr>
          <w:bCs/>
          <w:sz w:val="16"/>
          <w:szCs w:val="16"/>
        </w:rPr>
        <w:t>8-miesięcznym</w:t>
      </w:r>
      <w:r w:rsidRPr="00463E36">
        <w:rPr>
          <w:bCs/>
          <w:sz w:val="16"/>
          <w:szCs w:val="16"/>
          <w:vertAlign w:val="superscript"/>
        </w:rPr>
        <w:footnoteReference w:id="19"/>
      </w:r>
      <w:r w:rsidRPr="00463E36">
        <w:rPr>
          <w:bCs/>
          <w:sz w:val="16"/>
          <w:szCs w:val="16"/>
        </w:rPr>
        <w:t>)</w:t>
      </w:r>
      <w:r w:rsidRPr="00463E36">
        <w:rPr>
          <w:sz w:val="16"/>
          <w:szCs w:val="16"/>
        </w:rPr>
        <w:t>. Dyrektorzy DBJ oraz DOR wyjaśnili</w:t>
      </w:r>
      <w:r w:rsidRPr="00463E36">
        <w:rPr>
          <w:sz w:val="16"/>
          <w:szCs w:val="16"/>
          <w:vertAlign w:val="superscript"/>
        </w:rPr>
        <w:footnoteReference w:id="20"/>
      </w:r>
      <w:r w:rsidRPr="00463E36">
        <w:rPr>
          <w:sz w:val="16"/>
          <w:szCs w:val="16"/>
        </w:rPr>
        <w:t>, że długi czas prowadzenia postępowań wynikał ze złożoności spraw, braków w dokumentacji oraz konieczności jej wielokrotnej analizy i uzupełnień. Strony w trakcie prowadzonego postępowania wnosiły o przedłużenie terminów, a każda wersja dokumentów wymagała ponownej oceny przez pracowników PAA. Dodatkowo do przewlekłości w prowadzonych postępowaniach przyczynił się niedobór inspektorów w stosunku do liczby spraw i obowiązków.</w:t>
      </w:r>
    </w:p>
    <w:p w14:paraId="0846FE28" w14:textId="77777777" w:rsidR="008638F1" w:rsidRPr="00463E36" w:rsidRDefault="008638F1" w:rsidP="008638F1">
      <w:pPr>
        <w:numPr>
          <w:ilvl w:val="0"/>
          <w:numId w:val="6"/>
        </w:numPr>
        <w:spacing w:after="0" w:line="240" w:lineRule="auto"/>
        <w:ind w:left="0" w:right="-2" w:firstLine="0"/>
        <w:contextualSpacing/>
      </w:pPr>
      <w:r w:rsidRPr="00463E36">
        <w:t>Jedna</w:t>
      </w:r>
      <w:r w:rsidRPr="00463E36">
        <w:rPr>
          <w:b/>
          <w:sz w:val="16"/>
          <w:szCs w:val="16"/>
          <w:vertAlign w:val="superscript"/>
        </w:rPr>
        <w:footnoteReference w:id="21"/>
      </w:r>
      <w:r w:rsidRPr="00463E36">
        <w:t xml:space="preserve"> decyzja administracyjna została wydana z rażącym naruszeniem prawa, co stanowi przesłankę do stwierdzenia jej nieważności. PAA wydało zawiadomienie o wszczęciu postępowania oraz decyzję administracyjną wobec zmarłej osoby fizycznej, prowadzącej jednoosobową działalność gospodarczą. Wydanie decyzji wobec osoby zmarłej stanowiło rażące naruszenie prawa w rozumieniu art. 156 § 1 pkt 2 KPA.</w:t>
      </w:r>
      <w:r w:rsidRPr="00463E36">
        <w:rPr>
          <w:bCs/>
          <w:szCs w:val="20"/>
        </w:rPr>
        <w:t xml:space="preserve"> </w:t>
      </w:r>
      <w:r w:rsidRPr="00463E36">
        <w:t>Ponadto wygaszenie zezwolenia przed upływem 6 miesięcy od dnia śmierci przedsiębiorcy ograniczyło prawo właściciela przedsiębiorstwa w spadku do złożenia wniosku o przeniesienie na niego tego zezwolenia.</w:t>
      </w:r>
    </w:p>
    <w:p w14:paraId="2690F516" w14:textId="77777777" w:rsidR="008638F1" w:rsidRPr="00463E36" w:rsidRDefault="008638F1" w:rsidP="008638F1">
      <w:pPr>
        <w:spacing w:before="120" w:after="120" w:line="240" w:lineRule="auto"/>
        <w:ind w:left="567" w:right="567"/>
        <w:rPr>
          <w:sz w:val="16"/>
          <w:szCs w:val="16"/>
        </w:rPr>
      </w:pPr>
      <w:r w:rsidRPr="00463E36">
        <w:rPr>
          <w:sz w:val="16"/>
          <w:szCs w:val="16"/>
        </w:rPr>
        <w:t>Zgodnie z wpisem w Centralnej Ewidencji i Informacji o Działalności Gospodarczej (dalej: CEIDG) przedsiębiorca zmarł 31 sierpnia 2023 r. W badanej sprawie nie został ustanowiony zarząd sukcesyjny, zatem z mocy prawa zezwolenie</w:t>
      </w:r>
      <w:r w:rsidRPr="00463E36">
        <w:rPr>
          <w:sz w:val="16"/>
          <w:szCs w:val="16"/>
          <w:vertAlign w:val="superscript"/>
        </w:rPr>
        <w:footnoteReference w:id="22"/>
      </w:r>
      <w:r w:rsidRPr="00463E36">
        <w:rPr>
          <w:sz w:val="16"/>
          <w:szCs w:val="16"/>
        </w:rPr>
        <w:t xml:space="preserve"> wydane dla zmarłego przedsiębiorcy wygasało 29 lutego 2024 r.</w:t>
      </w:r>
      <w:r w:rsidRPr="00463E36">
        <w:rPr>
          <w:sz w:val="16"/>
          <w:szCs w:val="16"/>
          <w:vertAlign w:val="superscript"/>
        </w:rPr>
        <w:footnoteReference w:id="23"/>
      </w:r>
      <w:r w:rsidRPr="00463E36">
        <w:rPr>
          <w:sz w:val="16"/>
          <w:szCs w:val="16"/>
        </w:rPr>
        <w:t>. Natomiast Prezes PAA wygasił zezwolenie 10 stycznia 2024 r. Wygaszenie zezwolenia przed upływem 6 m-</w:t>
      </w:r>
      <w:proofErr w:type="spellStart"/>
      <w:r w:rsidRPr="00463E36">
        <w:rPr>
          <w:sz w:val="16"/>
          <w:szCs w:val="16"/>
        </w:rPr>
        <w:t>cy</w:t>
      </w:r>
      <w:proofErr w:type="spellEnd"/>
      <w:r w:rsidRPr="00463E36">
        <w:rPr>
          <w:sz w:val="16"/>
          <w:szCs w:val="16"/>
        </w:rPr>
        <w:t xml:space="preserve"> od śmierci przedsiębiorcy ograniczył prawo właściciela przedsiębiorstwa w spadku do złożenia wniosku o przeniesienie na niego tego zezwolenia, bowiem w takim terminie ma prawo dokonać tej czynności, stosownie do art. 42 ust. 1 pkt 1 ustawy o zarządzie sukcesyjnym.</w:t>
      </w:r>
    </w:p>
    <w:p w14:paraId="22171B72" w14:textId="77777777" w:rsidR="008638F1" w:rsidRPr="00463E36" w:rsidRDefault="008638F1" w:rsidP="008638F1">
      <w:pPr>
        <w:spacing w:after="120" w:line="240" w:lineRule="auto"/>
        <w:ind w:left="567" w:right="567"/>
        <w:rPr>
          <w:sz w:val="16"/>
          <w:szCs w:val="16"/>
        </w:rPr>
      </w:pPr>
      <w:r w:rsidRPr="00463E36">
        <w:rPr>
          <w:sz w:val="16"/>
          <w:szCs w:val="16"/>
        </w:rPr>
        <w:t>Prowadzenie postępowania administracyjnego w stosunku do osoby zmarłej i skierowanie do takiej osoby decyzji stanowi rażące naruszenie prawa w rozumieniu art. 156 § 1 pkt 2 KPA. Stanowisko to jest utrwalone w orzecznictwie Naczelnego Sądu Administracyjnego</w:t>
      </w:r>
      <w:r w:rsidRPr="00463E36">
        <w:rPr>
          <w:sz w:val="16"/>
          <w:szCs w:val="16"/>
          <w:vertAlign w:val="superscript"/>
        </w:rPr>
        <w:footnoteReference w:id="24"/>
      </w:r>
      <w:r w:rsidRPr="00463E36">
        <w:rPr>
          <w:sz w:val="16"/>
          <w:szCs w:val="16"/>
        </w:rPr>
        <w:t>, a wiąże się ono z ustaniem zdolności prawnej osoby fizycznej z chwilą jej śmierci. W stosunku do osoby zmarłej nie można zatem wszcząć i prowadzić postępowania administracyjnego ani wydać decyzji.</w:t>
      </w:r>
    </w:p>
    <w:p w14:paraId="6B849EB5" w14:textId="77777777" w:rsidR="008638F1" w:rsidRPr="00463E36" w:rsidRDefault="008638F1" w:rsidP="008638F1">
      <w:pPr>
        <w:spacing w:after="0" w:line="240" w:lineRule="auto"/>
        <w:ind w:left="567" w:right="567"/>
        <w:rPr>
          <w:sz w:val="16"/>
          <w:szCs w:val="16"/>
        </w:rPr>
      </w:pPr>
      <w:r w:rsidRPr="00463E36">
        <w:rPr>
          <w:sz w:val="16"/>
          <w:szCs w:val="16"/>
        </w:rPr>
        <w:lastRenderedPageBreak/>
        <w:t>Dyrektor DOR wyjaśnił</w:t>
      </w:r>
      <w:r w:rsidRPr="00463E36">
        <w:rPr>
          <w:sz w:val="16"/>
          <w:szCs w:val="16"/>
          <w:vertAlign w:val="superscript"/>
        </w:rPr>
        <w:footnoteReference w:id="25"/>
      </w:r>
      <w:r w:rsidRPr="00463E36">
        <w:rPr>
          <w:sz w:val="16"/>
          <w:szCs w:val="16"/>
        </w:rPr>
        <w:t>, że pracownik na podstawie CEIDG ustalił, że przedsiębiorca prowadzący jednoosobową działalność gospodarczą zmarł, a jego jednostka została wykreślona z rejestru. Brak informacji w ewidencji o powołaniu zarządu sukcesyjnego uniemożliwiał wysłanie zawiadomienia oraz decyzji. W takich przypadkach pisma pozostawiano w aktach sprawy z uwagi na brak możliwości doręczenia ich stronie.</w:t>
      </w:r>
    </w:p>
    <w:p w14:paraId="1F36C704" w14:textId="77777777" w:rsidR="008638F1" w:rsidRPr="00463E36" w:rsidRDefault="008638F1" w:rsidP="008638F1">
      <w:pPr>
        <w:spacing w:before="120" w:after="0" w:line="240" w:lineRule="auto"/>
        <w:rPr>
          <w:bCs/>
          <w:szCs w:val="20"/>
        </w:rPr>
      </w:pPr>
      <w:r w:rsidRPr="00463E36">
        <w:rPr>
          <w:szCs w:val="20"/>
        </w:rPr>
        <w:t>Wyjaśnienia Dyrektora DOR nie zasługują na uwzględnienie, ponieważ decyzje związane z przedsiębiorstwem osoby fizycznej wygasają z mocy prawa po upływie 6 miesięcy od dnia śmierci przedsiębiorcy, o ile nie ustanowiono zarządu sukcesyjnego. Wygaszenie decyzji ma wówczas charakter czynności technicznej, potwierdzającej skutek wynikający bezpośrednio z ustawy, gdyż niedopuszczalne jest wydanie decyzji w stosunku do osoby zmarłej.</w:t>
      </w:r>
    </w:p>
    <w:p w14:paraId="137DB561" w14:textId="77777777" w:rsidR="008638F1" w:rsidRPr="00463E36" w:rsidRDefault="008638F1" w:rsidP="008638F1">
      <w:pPr>
        <w:numPr>
          <w:ilvl w:val="0"/>
          <w:numId w:val="6"/>
        </w:numPr>
        <w:spacing w:before="120" w:after="0" w:line="240" w:lineRule="auto"/>
        <w:ind w:left="0" w:firstLine="0"/>
      </w:pPr>
      <w:r w:rsidRPr="00463E36">
        <w:t>Niezgodne z wewnętrzną procedurą</w:t>
      </w:r>
      <w:r w:rsidRPr="00463E36">
        <w:rPr>
          <w:vertAlign w:val="superscript"/>
        </w:rPr>
        <w:footnoteReference w:id="26"/>
      </w:r>
      <w:r w:rsidRPr="00463E36">
        <w:rPr>
          <w:szCs w:val="20"/>
        </w:rPr>
        <w:t xml:space="preserve"> </w:t>
      </w:r>
      <w:r w:rsidRPr="00463E36">
        <w:t>udokumentowano ocenę formalnoprawną 1</w:t>
      </w:r>
      <w:r w:rsidRPr="00463E36">
        <w:rPr>
          <w:vertAlign w:val="superscript"/>
        </w:rPr>
        <w:footnoteReference w:id="27"/>
      </w:r>
      <w:r w:rsidRPr="00463E36">
        <w:t xml:space="preserve"> wniosku (3% badanych spraw). Ocena ta nie została przygotowana i sporządzona na wzorze „Raportu z oceny formalnoprawnej”</w:t>
      </w:r>
      <w:r w:rsidRPr="00463E36">
        <w:rPr>
          <w:vertAlign w:val="superscript"/>
        </w:rPr>
        <w:footnoteReference w:id="28"/>
      </w:r>
      <w:r w:rsidRPr="00463E36">
        <w:t>. Jedynie z „Raportu z oceny dozorowej”</w:t>
      </w:r>
      <w:r w:rsidRPr="00463E36">
        <w:rPr>
          <w:szCs w:val="20"/>
          <w:vertAlign w:val="superscript"/>
        </w:rPr>
        <w:footnoteReference w:id="29"/>
      </w:r>
      <w:r w:rsidRPr="00463E36">
        <w:t>, stosowanym przy ocenie merytorycznej, wynikało, że formalnie wniosek został oceniony pozytywnie.</w:t>
      </w:r>
    </w:p>
    <w:p w14:paraId="58A4044E" w14:textId="77777777" w:rsidR="008638F1" w:rsidRPr="00463E36" w:rsidRDefault="008638F1" w:rsidP="008638F1">
      <w:pPr>
        <w:spacing w:before="120" w:after="0" w:line="240" w:lineRule="auto"/>
        <w:ind w:left="567" w:right="567"/>
        <w:rPr>
          <w:sz w:val="16"/>
          <w:szCs w:val="16"/>
        </w:rPr>
      </w:pPr>
      <w:r w:rsidRPr="00463E36">
        <w:rPr>
          <w:sz w:val="16"/>
          <w:szCs w:val="16"/>
        </w:rPr>
        <w:t>W analizowanej sprawie ocena formalnoprawna nie została sporządzona na wzorze wynikającym z procedury</w:t>
      </w:r>
      <w:r w:rsidRPr="00463E36">
        <w:rPr>
          <w:sz w:val="16"/>
          <w:szCs w:val="16"/>
          <w:vertAlign w:val="superscript"/>
        </w:rPr>
        <w:footnoteReference w:id="30"/>
      </w:r>
      <w:r w:rsidRPr="00463E36">
        <w:rPr>
          <w:sz w:val="16"/>
          <w:szCs w:val="16"/>
        </w:rPr>
        <w:t xml:space="preserve">. </w:t>
      </w:r>
      <w:r w:rsidRPr="00463E36">
        <w:rPr>
          <w:rFonts w:eastAsia="Segoe UI" w:cs="Segoe UI"/>
          <w:sz w:val="24"/>
          <w:szCs w:val="24"/>
        </w:rPr>
        <w:t xml:space="preserve"> </w:t>
      </w:r>
      <w:r w:rsidRPr="00463E36">
        <w:rPr>
          <w:rFonts w:eastAsia="Lato" w:cs="Lato"/>
          <w:sz w:val="16"/>
          <w:szCs w:val="16"/>
        </w:rPr>
        <w:t>Informacja o pozytywnej ocenie formalnej została zawarta wyłącznie w „Raporcie z oceny dozorowej”, który dotyczy oceny merytorycznej wniosku.</w:t>
      </w:r>
    </w:p>
    <w:p w14:paraId="27461BC6" w14:textId="77777777" w:rsidR="008638F1" w:rsidRPr="00463E36" w:rsidRDefault="008638F1" w:rsidP="00F349F2">
      <w:pPr>
        <w:spacing w:before="120" w:after="120" w:line="240" w:lineRule="auto"/>
        <w:ind w:left="567" w:right="567"/>
        <w:rPr>
          <w:sz w:val="16"/>
          <w:szCs w:val="16"/>
        </w:rPr>
      </w:pPr>
      <w:r w:rsidRPr="00463E36">
        <w:rPr>
          <w:sz w:val="16"/>
          <w:szCs w:val="16"/>
        </w:rPr>
        <w:t>Z wyjaśnień</w:t>
      </w:r>
      <w:r w:rsidRPr="00463E36">
        <w:rPr>
          <w:sz w:val="16"/>
          <w:szCs w:val="16"/>
          <w:vertAlign w:val="superscript"/>
        </w:rPr>
        <w:footnoteReference w:id="31"/>
      </w:r>
      <w:r w:rsidRPr="00463E36">
        <w:rPr>
          <w:sz w:val="16"/>
          <w:szCs w:val="16"/>
        </w:rPr>
        <w:t xml:space="preserve"> Dyrektora DBJ wynika, że w analizowanym przypadku nie sporządzono „Raportu z oceny formalnoprawnej”, ponieważ dotyczył on wniosków o nowe zezwolenie, a nie ich zmiany. W przedmiotowej sprawie przygotowano notatkę, której podsumowanie włączono do wspólnego raportu z oceny dozorowej.</w:t>
      </w:r>
    </w:p>
    <w:p w14:paraId="03A8BA06" w14:textId="77777777" w:rsidR="008638F1" w:rsidRPr="00463E36" w:rsidRDefault="008638F1" w:rsidP="008638F1">
      <w:pPr>
        <w:spacing w:after="0" w:line="240" w:lineRule="auto"/>
        <w:contextualSpacing/>
      </w:pPr>
      <w:r w:rsidRPr="00463E36">
        <w:t xml:space="preserve">Wyjaśnienia Dyrektora DBJ nie zasługują na uwzględnienie, ponieważ postanowienia pkt. 6.4.3.10 </w:t>
      </w:r>
      <w:r w:rsidRPr="00463E36">
        <w:rPr>
          <w:i/>
        </w:rPr>
        <w:t>Procedury wydawania zezwoleń w zakresie działalności związanej z obiektami jądrowymi</w:t>
      </w:r>
      <w:r w:rsidRPr="00463E36">
        <w:t xml:space="preserve"> mają również zastosowanie do oceny formalnej wniosków o zmianę zezwolenia. Odstępstwa od procedury mogą być stosowane wyłącznie w sytuacjach wyjątkowych, na wniosek dyrektora, za pisemną zgodą Prezesa PAA. W analizowanej sprawie</w:t>
      </w:r>
      <w:r w:rsidRPr="00463E36">
        <w:rPr>
          <w:rFonts w:eastAsia="Segoe UI" w:cs="Segoe UI"/>
          <w:sz w:val="24"/>
          <w:szCs w:val="24"/>
        </w:rPr>
        <w:t xml:space="preserve"> </w:t>
      </w:r>
      <w:r w:rsidRPr="00463E36">
        <w:rPr>
          <w:rFonts w:eastAsia="Lato" w:cs="Lato"/>
          <w:szCs w:val="20"/>
        </w:rPr>
        <w:t>taka zgoda nie została udzielona, co oznacza, że stosowanie procedury było obligatoryjne.</w:t>
      </w:r>
    </w:p>
    <w:p w14:paraId="7AF51A92" w14:textId="526840CC" w:rsidR="008638F1" w:rsidRPr="00463E36" w:rsidRDefault="008638F1" w:rsidP="008638F1">
      <w:pPr>
        <w:numPr>
          <w:ilvl w:val="0"/>
          <w:numId w:val="6"/>
        </w:numPr>
        <w:spacing w:before="120" w:after="0" w:line="240" w:lineRule="auto"/>
        <w:ind w:left="0" w:firstLine="0"/>
      </w:pPr>
      <w:r w:rsidRPr="00463E36">
        <w:rPr>
          <w:b/>
        </w:rPr>
        <w:t xml:space="preserve">[Zgłoszenia i powiadomienia] </w:t>
      </w:r>
      <w:r w:rsidRPr="00463E36">
        <w:t>Pozytywnie oceniono prowadzenie postępowań administracyjnych</w:t>
      </w:r>
      <w:r w:rsidRPr="00463E36">
        <w:rPr>
          <w:b/>
        </w:rPr>
        <w:t xml:space="preserve"> </w:t>
      </w:r>
      <w:r w:rsidRPr="00463E36">
        <w:t>dotyczących przyjmowania</w:t>
      </w:r>
      <w:r w:rsidRPr="00463E36">
        <w:rPr>
          <w:b/>
        </w:rPr>
        <w:t xml:space="preserve"> </w:t>
      </w:r>
      <w:r w:rsidRPr="00463E36">
        <w:t>zgłoszeń i powiadomień w zakresie działalności związanej z narażeniem. Wszystkie postępowania zakończono w ustawowych terminach. Zgłoszenia były przyjmowane w formie decyzji administracyjnych, a</w:t>
      </w:r>
      <w:r w:rsidR="006E553D" w:rsidRPr="00463E36">
        <w:t> </w:t>
      </w:r>
      <w:r w:rsidRPr="00463E36">
        <w:t>powiadomienia załatwiane w trybie milczącej zgody, po uprzedniej weryfikacji spełnienia wymogów prawnych, zgodnie z art. 5 ust. 7a i 16 ustawy Prawo atomowe. Agencja opracowała i wdrożyła procedurę regulującą tryb przyjmowania zgłoszeń i powiadomień. W</w:t>
      </w:r>
      <w:r w:rsidR="00056724" w:rsidRPr="00463E36">
        <w:t> </w:t>
      </w:r>
      <w:r w:rsidRPr="00463E36">
        <w:t>ramach tej procedury przygotowano wzory pism i formularzy, co usprawniło prowadzenie postępowań oraz zapewniło ich jednolitość i przejrzystość.</w:t>
      </w:r>
    </w:p>
    <w:p w14:paraId="28093B31" w14:textId="048AA8A8" w:rsidR="008638F1" w:rsidRPr="00463E36" w:rsidRDefault="008638F1" w:rsidP="008638F1">
      <w:pPr>
        <w:spacing w:before="120" w:after="0" w:line="240" w:lineRule="auto"/>
        <w:ind w:left="567" w:right="567"/>
        <w:rPr>
          <w:sz w:val="16"/>
          <w:szCs w:val="16"/>
        </w:rPr>
      </w:pPr>
      <w:r w:rsidRPr="00463E36">
        <w:rPr>
          <w:sz w:val="16"/>
          <w:szCs w:val="16"/>
        </w:rPr>
        <w:t>Kontroli poddano 10 z 882</w:t>
      </w:r>
      <w:r w:rsidRPr="00463E36">
        <w:rPr>
          <w:sz w:val="16"/>
          <w:szCs w:val="16"/>
          <w:vertAlign w:val="superscript"/>
        </w:rPr>
        <w:footnoteReference w:id="32"/>
      </w:r>
      <w:r w:rsidRPr="00463E36">
        <w:rPr>
          <w:sz w:val="16"/>
          <w:szCs w:val="16"/>
        </w:rPr>
        <w:t xml:space="preserve"> postępowań dot. zgłoszeń oraz 1 z 3 postępowań dot.</w:t>
      </w:r>
      <w:r w:rsidR="00056724" w:rsidRPr="00463E36">
        <w:rPr>
          <w:sz w:val="16"/>
          <w:szCs w:val="16"/>
        </w:rPr>
        <w:t> </w:t>
      </w:r>
      <w:r w:rsidRPr="00463E36">
        <w:rPr>
          <w:sz w:val="16"/>
          <w:szCs w:val="16"/>
        </w:rPr>
        <w:t>powiadomień</w:t>
      </w:r>
      <w:r w:rsidRPr="00463E36">
        <w:rPr>
          <w:sz w:val="16"/>
          <w:szCs w:val="16"/>
          <w:vertAlign w:val="superscript"/>
        </w:rPr>
        <w:footnoteReference w:id="33"/>
      </w:r>
      <w:r w:rsidRPr="00463E36">
        <w:rPr>
          <w:sz w:val="16"/>
          <w:szCs w:val="16"/>
        </w:rPr>
        <w:t xml:space="preserve">. W żadnym z tych przypadków nie stwierdzono nieprawidłowości. Postępowania prowadzono w ustawowych terminach. Przyjęcie zgłoszenia odbywało się w formie decyzji administracyjnej, po potwierdzeniu w wyniku oceny formalnej i merytorycznej spełnienia </w:t>
      </w:r>
      <w:r w:rsidRPr="00463E36">
        <w:rPr>
          <w:sz w:val="16"/>
          <w:szCs w:val="16"/>
        </w:rPr>
        <w:lastRenderedPageBreak/>
        <w:t xml:space="preserve">ustawowych warunków wykonywania działalności. </w:t>
      </w:r>
      <w:r w:rsidRPr="00463E36">
        <w:rPr>
          <w:rFonts w:eastAsia="Lato" w:cs="Lato"/>
          <w:sz w:val="16"/>
          <w:szCs w:val="16"/>
        </w:rPr>
        <w:t>Powiadomienia natomiast były załatwiane w trybie milczącej zgody, po uprzedniej weryfikacji spełnienia wymaganych warunków.</w:t>
      </w:r>
    </w:p>
    <w:p w14:paraId="05308CDD" w14:textId="77777777" w:rsidR="008638F1" w:rsidRPr="00463E36" w:rsidRDefault="008638F1" w:rsidP="008638F1">
      <w:pPr>
        <w:spacing w:before="120" w:after="0" w:line="240" w:lineRule="auto"/>
        <w:ind w:left="567" w:right="567"/>
        <w:rPr>
          <w:sz w:val="16"/>
          <w:szCs w:val="16"/>
        </w:rPr>
      </w:pPr>
      <w:r w:rsidRPr="00463E36">
        <w:rPr>
          <w:sz w:val="16"/>
          <w:szCs w:val="16"/>
        </w:rPr>
        <w:t>W celu usprawnienia procesu administracyjnego Agencja ujednoliciła tryb przyjmowania zgłoszeń i powiadomień określony w rozporządzeniu</w:t>
      </w:r>
      <w:r w:rsidRPr="00463E36">
        <w:rPr>
          <w:sz w:val="16"/>
          <w:szCs w:val="16"/>
          <w:vertAlign w:val="superscript"/>
        </w:rPr>
        <w:footnoteReference w:id="34"/>
      </w:r>
      <w:r w:rsidRPr="00463E36">
        <w:rPr>
          <w:sz w:val="16"/>
          <w:szCs w:val="16"/>
        </w:rPr>
        <w:t xml:space="preserve"> poprzez opracowanie i wdrożenie procedury</w:t>
      </w:r>
      <w:r w:rsidRPr="00463E36">
        <w:rPr>
          <w:sz w:val="16"/>
          <w:szCs w:val="16"/>
          <w:vertAlign w:val="superscript"/>
        </w:rPr>
        <w:footnoteReference w:id="35"/>
      </w:r>
      <w:r w:rsidRPr="00463E36">
        <w:rPr>
          <w:sz w:val="16"/>
          <w:szCs w:val="16"/>
        </w:rPr>
        <w:t>. W ramach procedury przygotowano wzory pism oraz formularzy niezbędnych do prowadzenia postępowań administracyjnych.</w:t>
      </w:r>
    </w:p>
    <w:p w14:paraId="2124D7A1" w14:textId="128325F3" w:rsidR="005A2E3D" w:rsidRPr="00463E36" w:rsidRDefault="008638F1" w:rsidP="005A2E3D">
      <w:pPr>
        <w:numPr>
          <w:ilvl w:val="0"/>
          <w:numId w:val="6"/>
        </w:numPr>
        <w:spacing w:before="120" w:after="120" w:line="240" w:lineRule="auto"/>
        <w:ind w:left="0" w:firstLine="0"/>
      </w:pPr>
      <w:r w:rsidRPr="00463E36">
        <w:rPr>
          <w:b/>
        </w:rPr>
        <w:t xml:space="preserve">[Monitoring terminowości postępowań] </w:t>
      </w:r>
      <w:r w:rsidRPr="00463E36">
        <w:t xml:space="preserve">System monitorowania terminowości prowadzenia postępowań administracyjnych nie był skuteczny i nie zapewniał właściwego nadzoru. </w:t>
      </w:r>
      <w:r w:rsidR="00BB6B85" w:rsidRPr="00463E36">
        <w:t>Pomimo prowadzenia w Agencji rejestrów postępowań, zawierających m.in. informacje o ich przebiegu oraz terminach załatwienia sprawy, a także wykorzystywania ich do monitorowania terminowości spraw, w 9 przypadkach działania te nie zapobiegły przewlekłości postępowania. Przekazywane cyklicznie Prezesowi PAA informacje miały charakter ogólny i statystyczny - dotyczyły liczby spraw, które wpłynęły i zostały zakończone</w:t>
      </w:r>
      <w:r w:rsidR="005A2E3D" w:rsidRPr="00463E36">
        <w:t>. Nie zawierały kluczowych danych niezbędnych do</w:t>
      </w:r>
      <w:r w:rsidR="002C664C" w:rsidRPr="00463E36">
        <w:t xml:space="preserve"> </w:t>
      </w:r>
      <w:r w:rsidR="005A2E3D" w:rsidRPr="00463E36">
        <w:t>efektywnego zarządzania terminowością rozpatrywania spraw, w</w:t>
      </w:r>
      <w:r w:rsidR="002C664C" w:rsidRPr="00463E36">
        <w:t xml:space="preserve"> </w:t>
      </w:r>
      <w:r w:rsidR="005A2E3D" w:rsidRPr="00463E36">
        <w:t>szczególności informacji nt. liczby spraw prowadzonych w</w:t>
      </w:r>
      <w:r w:rsidR="002C664C" w:rsidRPr="00463E36">
        <w:t xml:space="preserve"> </w:t>
      </w:r>
      <w:r w:rsidR="005A2E3D" w:rsidRPr="00463E36">
        <w:t>terminie, zagrożonych przekroczeniem terminu lub</w:t>
      </w:r>
      <w:r w:rsidR="002C664C" w:rsidRPr="00463E36">
        <w:t xml:space="preserve"> </w:t>
      </w:r>
      <w:r w:rsidR="005A2E3D" w:rsidRPr="00463E36">
        <w:t>prowadzonych nieterminowo, czy też spraw długotrwale prowadzonych z</w:t>
      </w:r>
      <w:r w:rsidR="002C664C" w:rsidRPr="00463E36">
        <w:t xml:space="preserve"> </w:t>
      </w:r>
      <w:r w:rsidR="005A2E3D" w:rsidRPr="00463E36">
        <w:t>powodu wielokrotnego przedłużania terminu załatwienia. Ponadto nie zawierały informacji o najistotniejszych problemach i propozycjach działań naprawczych. Nie stanowiły one zatem skutecznego narzędzia do podejmowania efektywnych działań zarządczych przez Kierownictwo PAA. Monitoring cotygodniowy wprowadzono dopiero od III kwartału 2024 r. i jedynie w</w:t>
      </w:r>
      <w:r w:rsidR="00463E36">
        <w:t> </w:t>
      </w:r>
      <w:r w:rsidR="005A2E3D" w:rsidRPr="00463E36">
        <w:t>odniesieniu do zezwoleń dla obiektów jądrowych i składowisk odpadów promieniotwórczych.</w:t>
      </w:r>
    </w:p>
    <w:p w14:paraId="1E19C946" w14:textId="21F25511" w:rsidR="008638F1" w:rsidRPr="00463E36" w:rsidRDefault="008638F1" w:rsidP="008638F1">
      <w:pPr>
        <w:spacing w:before="120" w:after="0" w:line="240" w:lineRule="auto"/>
        <w:ind w:left="567" w:right="567"/>
        <w:rPr>
          <w:sz w:val="16"/>
          <w:szCs w:val="16"/>
        </w:rPr>
      </w:pPr>
      <w:r w:rsidRPr="00463E36">
        <w:rPr>
          <w:sz w:val="16"/>
          <w:szCs w:val="16"/>
        </w:rPr>
        <w:t>W PAA w cyklach miesięcznych, kwartalnych i rocznych przekazywano Prezesowi PAA informacje statystyczne dot. liczby</w:t>
      </w:r>
      <w:r w:rsidR="00D1791F" w:rsidRPr="00463E36">
        <w:rPr>
          <w:sz w:val="16"/>
          <w:szCs w:val="16"/>
        </w:rPr>
        <w:t xml:space="preserve"> </w:t>
      </w:r>
      <w:r w:rsidR="00612A8E" w:rsidRPr="00463E36">
        <w:rPr>
          <w:sz w:val="16"/>
          <w:szCs w:val="16"/>
        </w:rPr>
        <w:t xml:space="preserve">wszczętych </w:t>
      </w:r>
      <w:r w:rsidR="007C7812" w:rsidRPr="00463E36">
        <w:rPr>
          <w:sz w:val="16"/>
          <w:szCs w:val="16"/>
        </w:rPr>
        <w:t>i zakończonych postępowań</w:t>
      </w:r>
      <w:r w:rsidRPr="00463E36">
        <w:rPr>
          <w:sz w:val="16"/>
          <w:szCs w:val="16"/>
        </w:rPr>
        <w:t xml:space="preserve"> </w:t>
      </w:r>
      <w:r w:rsidR="00335D85" w:rsidRPr="00463E36">
        <w:rPr>
          <w:sz w:val="16"/>
          <w:szCs w:val="16"/>
        </w:rPr>
        <w:t>oraz</w:t>
      </w:r>
      <w:r w:rsidR="00EE422D" w:rsidRPr="00463E36">
        <w:rPr>
          <w:sz w:val="16"/>
          <w:szCs w:val="16"/>
        </w:rPr>
        <w:t xml:space="preserve"> ich</w:t>
      </w:r>
      <w:r w:rsidRPr="00463E36">
        <w:rPr>
          <w:sz w:val="16"/>
          <w:szCs w:val="16"/>
        </w:rPr>
        <w:t xml:space="preserve"> rodzaju</w:t>
      </w:r>
      <w:r w:rsidR="00B27A92" w:rsidRPr="00463E36">
        <w:rPr>
          <w:sz w:val="16"/>
          <w:szCs w:val="16"/>
        </w:rPr>
        <w:t>, zgodnie z</w:t>
      </w:r>
      <w:r w:rsidR="00563960" w:rsidRPr="00463E36">
        <w:rPr>
          <w:sz w:val="16"/>
          <w:szCs w:val="16"/>
        </w:rPr>
        <w:t> </w:t>
      </w:r>
      <w:r w:rsidR="00B27A92" w:rsidRPr="00463E36">
        <w:rPr>
          <w:sz w:val="16"/>
          <w:szCs w:val="16"/>
        </w:rPr>
        <w:t xml:space="preserve">obowiązującymi w PAA </w:t>
      </w:r>
      <w:r w:rsidR="001F7755" w:rsidRPr="00463E36">
        <w:rPr>
          <w:sz w:val="16"/>
          <w:szCs w:val="16"/>
        </w:rPr>
        <w:t>formularzami do monitorowania realizacji miernika w danym roku</w:t>
      </w:r>
      <w:r w:rsidR="00FB1CA2" w:rsidRPr="00463E36">
        <w:rPr>
          <w:sz w:val="16"/>
          <w:szCs w:val="16"/>
        </w:rPr>
        <w:t>.</w:t>
      </w:r>
      <w:r w:rsidRPr="00463E36">
        <w:rPr>
          <w:sz w:val="16"/>
          <w:szCs w:val="16"/>
        </w:rPr>
        <w:t xml:space="preserve"> Dane nie odnosiły się do konkretnych terminów przewidzianych przepisami prawa lub regulacjami wewnętrznymi. W notatkach nie wskazywano, które sprawy są prowadzone w terminie, zagrożone przekroczeniem terminu, prowadzone nieterminowo albo długotrwale na skutek kilkukrotnego przedłużania terminu. Nie wyjaśniano przyczyn opóźnień ani nie proponowano działań usprawniających proces.</w:t>
      </w:r>
    </w:p>
    <w:p w14:paraId="5E4B572C" w14:textId="6E82C548" w:rsidR="008638F1" w:rsidRPr="00463E36" w:rsidRDefault="008638F1" w:rsidP="008638F1">
      <w:pPr>
        <w:spacing w:before="120" w:after="0" w:line="240" w:lineRule="auto"/>
        <w:ind w:left="567" w:right="567"/>
        <w:rPr>
          <w:sz w:val="16"/>
          <w:szCs w:val="16"/>
        </w:rPr>
      </w:pPr>
      <w:r w:rsidRPr="00463E36">
        <w:rPr>
          <w:sz w:val="16"/>
          <w:szCs w:val="16"/>
        </w:rPr>
        <w:t>W ramach systemu kontroli zarządczej</w:t>
      </w:r>
      <w:r w:rsidRPr="00463E36">
        <w:rPr>
          <w:sz w:val="16"/>
          <w:szCs w:val="16"/>
          <w:vertAlign w:val="superscript"/>
        </w:rPr>
        <w:footnoteReference w:id="36"/>
      </w:r>
      <w:r w:rsidRPr="00463E36">
        <w:rPr>
          <w:sz w:val="16"/>
          <w:szCs w:val="16"/>
        </w:rPr>
        <w:t xml:space="preserve"> zidentyfikowano ryzyko</w:t>
      </w:r>
      <w:r w:rsidRPr="00463E36">
        <w:rPr>
          <w:sz w:val="16"/>
          <w:szCs w:val="16"/>
          <w:vertAlign w:val="superscript"/>
        </w:rPr>
        <w:footnoteReference w:id="37"/>
      </w:r>
      <w:r w:rsidRPr="00463E36">
        <w:rPr>
          <w:sz w:val="16"/>
          <w:szCs w:val="16"/>
        </w:rPr>
        <w:t xml:space="preserve"> prowadzenia postępowań administracyjnych z przekroczeniem terminów wynikających z KPA. Mimo to, nie wdrożono narzędzi </w:t>
      </w:r>
      <w:r w:rsidR="002615FD" w:rsidRPr="00463E36">
        <w:rPr>
          <w:sz w:val="16"/>
          <w:szCs w:val="16"/>
        </w:rPr>
        <w:t>raportowania</w:t>
      </w:r>
      <w:r w:rsidRPr="00463E36">
        <w:rPr>
          <w:sz w:val="16"/>
          <w:szCs w:val="16"/>
        </w:rPr>
        <w:t xml:space="preserve"> i adekwatnych mierników pozwalających na monitorowanie terminowości prowadzonych postępowań. Ustalony miernik jako stosunek liczby zakończonych postępowań administracyjnych w sprawie reglamentacji działalności związanych z narażeniem na promieniowanie jonizujące do liczby postępowań wszczętych w danym roku kalendarzowym (w %) nie pokazywał bowiem terminowości prowadzenia postępowań. W efekcie pomimo wykonywania półrocznego i rocznego </w:t>
      </w:r>
      <w:r w:rsidRPr="00463E36">
        <w:rPr>
          <w:i/>
          <w:sz w:val="16"/>
          <w:szCs w:val="16"/>
        </w:rPr>
        <w:t>Przeglądu realizacji działań ograniczających ryzyka</w:t>
      </w:r>
      <w:r w:rsidRPr="00463E36">
        <w:rPr>
          <w:sz w:val="16"/>
          <w:szCs w:val="16"/>
          <w:vertAlign w:val="superscript"/>
        </w:rPr>
        <w:footnoteReference w:id="38"/>
      </w:r>
      <w:r w:rsidRPr="00463E36">
        <w:rPr>
          <w:sz w:val="16"/>
          <w:szCs w:val="16"/>
        </w:rPr>
        <w:t xml:space="preserve"> Kierownictwo PAA nie dysponowało informacją nt. liczby spraw zagrożonych przekroczeniem terminu, prowadzonych nieterminowo albo długotrwale na skutek kilkukrotnego przedłużania terminu.</w:t>
      </w:r>
    </w:p>
    <w:p w14:paraId="0B5C1D89" w14:textId="77777777" w:rsidR="008638F1" w:rsidRPr="00463E36" w:rsidRDefault="008638F1" w:rsidP="008638F1">
      <w:pPr>
        <w:spacing w:before="120" w:after="0" w:line="240" w:lineRule="auto"/>
        <w:ind w:left="567" w:right="567"/>
        <w:rPr>
          <w:sz w:val="16"/>
          <w:szCs w:val="16"/>
        </w:rPr>
      </w:pPr>
      <w:r w:rsidRPr="00463E36">
        <w:rPr>
          <w:sz w:val="16"/>
          <w:szCs w:val="16"/>
        </w:rPr>
        <w:t xml:space="preserve">Zaplanowane działania służące przeciwdziałaniu temu ryzyku polegające m.in. na: cotygodniowym monitorowaniu terminowości prowadzonych spraw, różnorodnym systemie motywacyjnym w zakresie dodatkowych świadczeń pieniężnych oraz na szkoleniach służących zatrzymaniu specjalistów, nie przyniosły zakładanych rezultatów. Nie udało się również zrealizować </w:t>
      </w:r>
      <w:r w:rsidRPr="00463E36">
        <w:rPr>
          <w:sz w:val="16"/>
          <w:szCs w:val="16"/>
        </w:rPr>
        <w:lastRenderedPageBreak/>
        <w:t>zwiększenia docelowej liczby pracowników prowadzących postępowania administracyjne oraz kontrole.</w:t>
      </w:r>
    </w:p>
    <w:p w14:paraId="67E5CF7B" w14:textId="30E3D7C0" w:rsidR="008638F1" w:rsidRPr="00463E36" w:rsidRDefault="008638F1" w:rsidP="008638F1">
      <w:pPr>
        <w:spacing w:before="120" w:after="0" w:line="240" w:lineRule="auto"/>
        <w:ind w:left="567" w:right="567"/>
        <w:rPr>
          <w:sz w:val="16"/>
          <w:szCs w:val="16"/>
        </w:rPr>
      </w:pPr>
      <w:r w:rsidRPr="00463E36">
        <w:rPr>
          <w:sz w:val="16"/>
          <w:szCs w:val="16"/>
        </w:rPr>
        <w:t>Monitoring postępowań administracyjnych wewnątrz komórek organizacyjnych oparty był na prowadzeniu elektronicznych rejestrów</w:t>
      </w:r>
      <w:r w:rsidRPr="00463E36">
        <w:rPr>
          <w:sz w:val="16"/>
          <w:szCs w:val="16"/>
          <w:vertAlign w:val="superscript"/>
        </w:rPr>
        <w:footnoteReference w:id="39"/>
      </w:r>
      <w:r w:rsidRPr="00463E36">
        <w:rPr>
          <w:sz w:val="16"/>
          <w:szCs w:val="16"/>
        </w:rPr>
        <w:t>, a także na cotygodniowym przekazywaniu przez naczelników wydziałów</w:t>
      </w:r>
      <w:r w:rsidR="00AC66A3" w:rsidRPr="00463E36">
        <w:rPr>
          <w:sz w:val="16"/>
          <w:szCs w:val="16"/>
        </w:rPr>
        <w:t xml:space="preserve"> DBJ</w:t>
      </w:r>
      <w:r w:rsidRPr="00463E36">
        <w:rPr>
          <w:sz w:val="16"/>
          <w:szCs w:val="16"/>
        </w:rPr>
        <w:t xml:space="preserve"> </w:t>
      </w:r>
      <w:r w:rsidR="00D76D78" w:rsidRPr="00463E36">
        <w:rPr>
          <w:sz w:val="16"/>
          <w:szCs w:val="16"/>
        </w:rPr>
        <w:t xml:space="preserve">oraz pracowników </w:t>
      </w:r>
      <w:r w:rsidR="00AC66A3" w:rsidRPr="00463E36">
        <w:rPr>
          <w:sz w:val="16"/>
          <w:szCs w:val="16"/>
        </w:rPr>
        <w:t xml:space="preserve">DOR </w:t>
      </w:r>
      <w:r w:rsidRPr="00463E36">
        <w:rPr>
          <w:sz w:val="16"/>
          <w:szCs w:val="16"/>
        </w:rPr>
        <w:t>ustnych informacji dyrektorom departamentów dot.</w:t>
      </w:r>
      <w:r w:rsidR="00FF6881" w:rsidRPr="00463E36">
        <w:rPr>
          <w:sz w:val="16"/>
          <w:szCs w:val="16"/>
        </w:rPr>
        <w:t> </w:t>
      </w:r>
      <w:r w:rsidRPr="00463E36">
        <w:rPr>
          <w:sz w:val="16"/>
          <w:szCs w:val="16"/>
        </w:rPr>
        <w:t>prowadzonych spraw oraz ewentualnych zagrożeń związanych z możliwością przekroczenia terminów realizowanych zadań.</w:t>
      </w:r>
    </w:p>
    <w:p w14:paraId="7655A328" w14:textId="77777777" w:rsidR="008638F1" w:rsidRPr="00463E36" w:rsidRDefault="008638F1" w:rsidP="008638F1">
      <w:pPr>
        <w:spacing w:before="120" w:after="0" w:line="240" w:lineRule="auto"/>
        <w:ind w:left="567" w:right="567"/>
        <w:rPr>
          <w:rFonts w:eastAsia="Times New Roman" w:cs="Times New Roman"/>
          <w:bCs/>
          <w:sz w:val="16"/>
          <w:szCs w:val="16"/>
        </w:rPr>
      </w:pPr>
      <w:r w:rsidRPr="00463E36">
        <w:rPr>
          <w:rFonts w:eastAsia="Times New Roman" w:cs="Times New Roman"/>
          <w:bCs/>
          <w:sz w:val="16"/>
          <w:szCs w:val="16"/>
        </w:rPr>
        <w:t>Dyrektorzy DOR i DBJ wskazali</w:t>
      </w:r>
      <w:r w:rsidRPr="00463E36">
        <w:rPr>
          <w:rFonts w:eastAsia="Times New Roman" w:cs="Times New Roman"/>
          <w:bCs/>
          <w:sz w:val="16"/>
          <w:szCs w:val="16"/>
          <w:vertAlign w:val="superscript"/>
        </w:rPr>
        <w:footnoteReference w:id="40"/>
      </w:r>
      <w:r w:rsidRPr="00463E36">
        <w:rPr>
          <w:rFonts w:eastAsia="Times New Roman" w:cs="Times New Roman"/>
          <w:bCs/>
          <w:sz w:val="16"/>
          <w:szCs w:val="16"/>
        </w:rPr>
        <w:t>, że na bieżąco analizowali rejestry postępowań administracyjnych i w razie potrzeby organizowali spotkania z pracownikami w celu omówienia problemów i wdrożenia działań zaradczych, takich jak przekazanie spraw innym pracownikom. Podejmowali również próby zwiększenia zatrudnienia, jednak ze względu na małą liczbę kandydatów proces ten był nieskuteczny.</w:t>
      </w:r>
    </w:p>
    <w:p w14:paraId="019F4753" w14:textId="77777777" w:rsidR="008638F1" w:rsidRPr="00463E36" w:rsidRDefault="008638F1" w:rsidP="008638F1">
      <w:pPr>
        <w:numPr>
          <w:ilvl w:val="0"/>
          <w:numId w:val="6"/>
        </w:numPr>
        <w:autoSpaceDE w:val="0"/>
        <w:autoSpaceDN w:val="0"/>
        <w:adjustRightInd w:val="0"/>
        <w:spacing w:before="120" w:after="0" w:line="240" w:lineRule="auto"/>
        <w:ind w:left="0" w:firstLine="0"/>
        <w:rPr>
          <w:rFonts w:cs="ArialMT"/>
        </w:rPr>
      </w:pPr>
      <w:r w:rsidRPr="00463E36">
        <w:rPr>
          <w:b/>
        </w:rPr>
        <w:t xml:space="preserve">[Kontrole] </w:t>
      </w:r>
      <w:r w:rsidRPr="00463E36">
        <w:t>Agencja</w:t>
      </w:r>
      <w:r w:rsidRPr="00463E36">
        <w:rPr>
          <w:b/>
        </w:rPr>
        <w:t xml:space="preserve"> </w:t>
      </w:r>
      <w:r w:rsidRPr="00463E36">
        <w:t>prowadziła kontrole w zakresie przestrzegania warunków bezpieczeństwa jądrowego i ochrony radiologicznej na podstawie rocznych planów kontroli. Zastrzeżenia budzi zrealizowanie Planu kontroli na 2023 r. jedynie w 62%</w:t>
      </w:r>
      <w:r w:rsidRPr="00463E36">
        <w:rPr>
          <w:vertAlign w:val="superscript"/>
        </w:rPr>
        <w:footnoteReference w:id="41"/>
      </w:r>
      <w:r w:rsidRPr="00463E36">
        <w:t>. Plan ten na 2024 r. został wykonany w 100%. Kontrole w 5 z 25 badanych przypadków trwały od 6 do 18 miesięcy, bez uzasadnienia dla tak długiego okresu realizacji.</w:t>
      </w:r>
    </w:p>
    <w:p w14:paraId="567FF05A" w14:textId="77777777" w:rsidR="008638F1" w:rsidRPr="00463E36" w:rsidRDefault="008638F1" w:rsidP="008638F1">
      <w:pPr>
        <w:autoSpaceDE w:val="0"/>
        <w:autoSpaceDN w:val="0"/>
        <w:adjustRightInd w:val="0"/>
        <w:spacing w:before="60" w:after="120" w:line="240" w:lineRule="auto"/>
        <w:rPr>
          <w:rFonts w:cs="ArialMT"/>
        </w:rPr>
      </w:pPr>
      <w:r w:rsidRPr="00463E36">
        <w:t>W przypadku 2 kontrolowanych podmiotów, mimo stwierdzonych nieprawidłowości i uchybień, przez okres od 3,5 do 8 miesięcy</w:t>
      </w:r>
      <w:r w:rsidRPr="00463E36">
        <w:rPr>
          <w:vertAlign w:val="superscript"/>
        </w:rPr>
        <w:footnoteReference w:id="42"/>
      </w:r>
      <w:r w:rsidRPr="00463E36">
        <w:t xml:space="preserve"> nie wszczęto postępowań administracyjnych w celu nałożenia kary administracyjnej oraz nie wydano wystąpienia pokontrolnego zobowiązującego do usunięcia nieprawidłowości.</w:t>
      </w:r>
    </w:p>
    <w:p w14:paraId="05348531" w14:textId="1AE85C8C" w:rsidR="008638F1" w:rsidRPr="00463E36" w:rsidRDefault="008638F1" w:rsidP="008638F1">
      <w:pPr>
        <w:autoSpaceDE w:val="0"/>
        <w:autoSpaceDN w:val="0"/>
        <w:adjustRightInd w:val="0"/>
        <w:spacing w:after="120" w:line="240" w:lineRule="auto"/>
        <w:ind w:left="567" w:right="567"/>
        <w:rPr>
          <w:rFonts w:cs="ArialMT"/>
          <w:sz w:val="16"/>
          <w:szCs w:val="16"/>
        </w:rPr>
      </w:pPr>
      <w:r w:rsidRPr="00463E36">
        <w:rPr>
          <w:sz w:val="16"/>
          <w:szCs w:val="16"/>
        </w:rPr>
        <w:t xml:space="preserve">W 2024 r. </w:t>
      </w:r>
      <w:r w:rsidR="00525C77" w:rsidRPr="00463E36">
        <w:rPr>
          <w:sz w:val="16"/>
          <w:szCs w:val="16"/>
        </w:rPr>
        <w:t xml:space="preserve">przeprowadzono </w:t>
      </w:r>
      <w:r w:rsidR="006811A5" w:rsidRPr="00463E36">
        <w:rPr>
          <w:sz w:val="16"/>
          <w:szCs w:val="16"/>
        </w:rPr>
        <w:t xml:space="preserve">319 </w:t>
      </w:r>
      <w:r w:rsidRPr="00463E36">
        <w:rPr>
          <w:sz w:val="16"/>
          <w:szCs w:val="16"/>
        </w:rPr>
        <w:t xml:space="preserve">planowych i 36 doraźnych kontroli, a w 2023 r. </w:t>
      </w:r>
      <w:r w:rsidR="00961F7C" w:rsidRPr="00463E36">
        <w:rPr>
          <w:sz w:val="16"/>
          <w:szCs w:val="16"/>
        </w:rPr>
        <w:t xml:space="preserve">512 </w:t>
      </w:r>
      <w:r w:rsidRPr="00463E36">
        <w:rPr>
          <w:sz w:val="16"/>
          <w:szCs w:val="16"/>
        </w:rPr>
        <w:t>kontroli planowych i 71 doraźnych. Badaniu poddano 25</w:t>
      </w:r>
      <w:r w:rsidRPr="00463E36">
        <w:rPr>
          <w:sz w:val="16"/>
          <w:szCs w:val="16"/>
          <w:vertAlign w:val="superscript"/>
        </w:rPr>
        <w:footnoteReference w:id="43"/>
      </w:r>
      <w:r w:rsidRPr="00463E36">
        <w:rPr>
          <w:sz w:val="16"/>
          <w:szCs w:val="16"/>
        </w:rPr>
        <w:t xml:space="preserve"> z </w:t>
      </w:r>
      <w:r w:rsidR="00951B82" w:rsidRPr="00463E36">
        <w:rPr>
          <w:sz w:val="16"/>
          <w:szCs w:val="16"/>
        </w:rPr>
        <w:t xml:space="preserve">938 </w:t>
      </w:r>
      <w:r w:rsidRPr="00463E36">
        <w:rPr>
          <w:sz w:val="16"/>
          <w:szCs w:val="16"/>
        </w:rPr>
        <w:t xml:space="preserve">(tj. ok. 3%) kontroli zakończonych w latach 2023-2024. </w:t>
      </w:r>
      <w:r w:rsidRPr="00463E36">
        <w:rPr>
          <w:rFonts w:cs="ArialMT"/>
          <w:sz w:val="16"/>
          <w:szCs w:val="16"/>
        </w:rPr>
        <w:t>Pięć</w:t>
      </w:r>
      <w:r w:rsidRPr="00463E36">
        <w:rPr>
          <w:rFonts w:cs="ArialMT"/>
          <w:sz w:val="16"/>
          <w:szCs w:val="16"/>
          <w:vertAlign w:val="superscript"/>
        </w:rPr>
        <w:footnoteReference w:id="44"/>
      </w:r>
      <w:r w:rsidRPr="00463E36">
        <w:rPr>
          <w:rFonts w:cs="ArialMT"/>
          <w:sz w:val="16"/>
          <w:szCs w:val="16"/>
        </w:rPr>
        <w:t xml:space="preserve"> badanych kontroli (20% próby) </w:t>
      </w:r>
      <w:r w:rsidRPr="00463E36">
        <w:rPr>
          <w:rFonts w:eastAsia="Lato" w:cs="Lato"/>
          <w:sz w:val="16"/>
          <w:szCs w:val="16"/>
        </w:rPr>
        <w:t>prowadzono przez okres od 6 do 18 miesięcy</w:t>
      </w:r>
      <w:r w:rsidR="004D05D1" w:rsidRPr="00463E36">
        <w:rPr>
          <w:rFonts w:eastAsia="Lato" w:cs="Lato"/>
          <w:sz w:val="16"/>
          <w:szCs w:val="16"/>
        </w:rPr>
        <w:t>.</w:t>
      </w:r>
      <w:r w:rsidR="0043513C" w:rsidRPr="00463E36">
        <w:rPr>
          <w:rFonts w:eastAsia="Lato" w:cs="Lato"/>
          <w:sz w:val="16"/>
          <w:szCs w:val="16"/>
        </w:rPr>
        <w:t xml:space="preserve"> </w:t>
      </w:r>
      <w:r w:rsidR="00207DE1" w:rsidRPr="00463E36">
        <w:rPr>
          <w:rFonts w:eastAsia="Lato" w:cs="Lato"/>
          <w:sz w:val="16"/>
          <w:szCs w:val="16"/>
        </w:rPr>
        <w:t xml:space="preserve">Pomimo że przepisy Prawa atomowego nie określają ram czasowych czy maksymalnego czasu realizacji kontroli, </w:t>
      </w:r>
      <w:r w:rsidR="007809B2" w:rsidRPr="00463E36">
        <w:rPr>
          <w:rFonts w:eastAsia="Lato" w:cs="Lato"/>
          <w:sz w:val="16"/>
          <w:szCs w:val="16"/>
        </w:rPr>
        <w:t>zastrzeżenia budzi tak długi czas ich trwania</w:t>
      </w:r>
      <w:r w:rsidR="00207DE1" w:rsidRPr="00463E36">
        <w:rPr>
          <w:rFonts w:eastAsia="Lato" w:cs="Lato"/>
          <w:sz w:val="16"/>
          <w:szCs w:val="16"/>
        </w:rPr>
        <w:t>, bowiem dokumentacja niezbędna do sporządzenia wyników kontroli była dostępna już na wczesnym etapie ich realizacji</w:t>
      </w:r>
      <w:r w:rsidRPr="00463E36">
        <w:rPr>
          <w:rFonts w:eastAsia="Lato" w:cs="Lato"/>
          <w:sz w:val="16"/>
          <w:szCs w:val="16"/>
        </w:rPr>
        <w:t>.</w:t>
      </w:r>
    </w:p>
    <w:p w14:paraId="4AE6553C" w14:textId="77777777" w:rsidR="008638F1" w:rsidRPr="00463E36" w:rsidRDefault="008638F1" w:rsidP="008638F1">
      <w:pPr>
        <w:autoSpaceDE w:val="0"/>
        <w:autoSpaceDN w:val="0"/>
        <w:adjustRightInd w:val="0"/>
        <w:spacing w:after="120" w:line="240" w:lineRule="auto"/>
        <w:ind w:left="567" w:right="567"/>
        <w:rPr>
          <w:rFonts w:cs="ArialMT"/>
          <w:sz w:val="16"/>
          <w:szCs w:val="16"/>
        </w:rPr>
      </w:pPr>
      <w:r w:rsidRPr="00463E36">
        <w:rPr>
          <w:rFonts w:cs="ArialMT"/>
          <w:sz w:val="16"/>
          <w:szCs w:val="16"/>
        </w:rPr>
        <w:t>DOR nie przeprowadził 253 kontroli zaplanowanych do wykonania w 2023 r. Zgodnie z wyjaśnieniem Dyrektora DOR</w:t>
      </w:r>
      <w:r w:rsidRPr="00463E36">
        <w:rPr>
          <w:rFonts w:cs="ArialMT"/>
          <w:sz w:val="16"/>
          <w:szCs w:val="16"/>
          <w:vertAlign w:val="superscript"/>
        </w:rPr>
        <w:footnoteReference w:id="45"/>
      </w:r>
      <w:r w:rsidRPr="00463E36">
        <w:rPr>
          <w:rFonts w:cs="ArialMT"/>
          <w:sz w:val="16"/>
          <w:szCs w:val="16"/>
        </w:rPr>
        <w:t xml:space="preserve"> przyczyną niewykonania planu i długiego czasu prowadzenia kontroli była zbyt mała liczba inspektorów dozoru jądrowego w stosunku do zbyt dużej liczby zaplanowanych kontroli, duża liczba prowadzonych postępowań administracyjnych, udział w międzynarodowych komitetach i grupach roboczych, realizacja audytu przez </w:t>
      </w:r>
      <w:r w:rsidRPr="00463E36">
        <w:rPr>
          <w:sz w:val="16"/>
          <w:szCs w:val="16"/>
        </w:rPr>
        <w:t>Międzynarodową Agencję Energii Atomowej</w:t>
      </w:r>
      <w:r w:rsidRPr="00463E36">
        <w:rPr>
          <w:rFonts w:cs="ArialMT"/>
          <w:sz w:val="16"/>
          <w:szCs w:val="16"/>
        </w:rPr>
        <w:t>, zmiana siedziby PAA. Ponadto Dyrektor DOR podkreślił, że ustawa Prawo atomowe nie narzuca czasu, w jakim ma zostać przeprowadzona kontrola i sporządzony protokół z kontroli. Stan realizacji wszystkich kontroli podlegał raportowaniu.</w:t>
      </w:r>
    </w:p>
    <w:p w14:paraId="0160ADA0" w14:textId="77777777" w:rsidR="008638F1" w:rsidRPr="00463E36" w:rsidRDefault="008638F1" w:rsidP="008638F1">
      <w:pPr>
        <w:autoSpaceDE w:val="0"/>
        <w:autoSpaceDN w:val="0"/>
        <w:adjustRightInd w:val="0"/>
        <w:spacing w:after="120" w:line="240" w:lineRule="auto"/>
        <w:ind w:left="567" w:right="567"/>
        <w:rPr>
          <w:rFonts w:cs="ArialMT"/>
          <w:sz w:val="16"/>
          <w:szCs w:val="16"/>
        </w:rPr>
      </w:pPr>
      <w:r w:rsidRPr="00463E36">
        <w:rPr>
          <w:rFonts w:cs="ArialMT"/>
          <w:sz w:val="16"/>
          <w:szCs w:val="16"/>
        </w:rPr>
        <w:t>W przypadku 1</w:t>
      </w:r>
      <w:r w:rsidRPr="00463E36">
        <w:rPr>
          <w:rFonts w:cs="ArialMT"/>
          <w:sz w:val="16"/>
          <w:szCs w:val="16"/>
          <w:vertAlign w:val="superscript"/>
        </w:rPr>
        <w:footnoteReference w:id="46"/>
      </w:r>
      <w:r w:rsidRPr="00463E36">
        <w:rPr>
          <w:rFonts w:cs="ArialMT"/>
          <w:sz w:val="16"/>
          <w:szCs w:val="16"/>
        </w:rPr>
        <w:t xml:space="preserve"> z 25 kontroli przez 3,5 miesiąca od jej zakończenia nie wszczęto postępowania o nałożeniu kary pieniężnej za wykonywanie działalności bez zezwolenia. Dyrektor DOR wyjaśnił</w:t>
      </w:r>
      <w:r w:rsidRPr="00463E36">
        <w:rPr>
          <w:rFonts w:cs="ArialMT"/>
          <w:sz w:val="16"/>
          <w:szCs w:val="16"/>
          <w:vertAlign w:val="superscript"/>
        </w:rPr>
        <w:footnoteReference w:id="47"/>
      </w:r>
      <w:r w:rsidRPr="00463E36">
        <w:rPr>
          <w:rFonts w:cs="ArialMT"/>
          <w:sz w:val="16"/>
          <w:szCs w:val="16"/>
        </w:rPr>
        <w:t>, że działania zmierzające do wszczęcia postępowania nie zostały podjęte z uwagi na fakt, że procedowane były w tym czasie sprawy, w których termin popełnienia czynu w odniesieniu do przedawnienia naruszeń stwierdzonych w toku kontroli był znacznie krótszy.</w:t>
      </w:r>
    </w:p>
    <w:p w14:paraId="74F189E5" w14:textId="5F331E28" w:rsidR="008638F1" w:rsidRPr="00463E36" w:rsidRDefault="008638F1" w:rsidP="008638F1">
      <w:pPr>
        <w:autoSpaceDE w:val="0"/>
        <w:autoSpaceDN w:val="0"/>
        <w:adjustRightInd w:val="0"/>
        <w:spacing w:after="0" w:line="240" w:lineRule="auto"/>
        <w:ind w:left="567" w:right="567"/>
        <w:rPr>
          <w:rFonts w:cs="ArialMT"/>
          <w:sz w:val="16"/>
          <w:szCs w:val="16"/>
        </w:rPr>
      </w:pPr>
      <w:r w:rsidRPr="00463E36">
        <w:rPr>
          <w:rFonts w:cs="ArialMT"/>
          <w:sz w:val="16"/>
          <w:szCs w:val="16"/>
        </w:rPr>
        <w:t>W kolejnej kontroli</w:t>
      </w:r>
      <w:r w:rsidRPr="00463E36">
        <w:rPr>
          <w:rFonts w:cs="ArialMT"/>
          <w:sz w:val="16"/>
          <w:szCs w:val="16"/>
          <w:vertAlign w:val="superscript"/>
        </w:rPr>
        <w:footnoteReference w:id="48"/>
      </w:r>
      <w:r w:rsidRPr="00463E36">
        <w:rPr>
          <w:rFonts w:cs="ArialMT"/>
          <w:sz w:val="16"/>
          <w:szCs w:val="16"/>
        </w:rPr>
        <w:t xml:space="preserve">, mimo stwierdzonych nieprawidłowości, przez 8 miesięcy nie skierowano wystąpienia pokontrolnego do podmiotu i nie wszczęto postępowania </w:t>
      </w:r>
      <w:proofErr w:type="spellStart"/>
      <w:r w:rsidRPr="00463E36">
        <w:rPr>
          <w:rFonts w:cs="ArialMT"/>
          <w:sz w:val="16"/>
          <w:szCs w:val="16"/>
        </w:rPr>
        <w:t>ws</w:t>
      </w:r>
      <w:proofErr w:type="spellEnd"/>
      <w:r w:rsidRPr="00463E36">
        <w:rPr>
          <w:rFonts w:cs="ArialMT"/>
          <w:sz w:val="16"/>
          <w:szCs w:val="16"/>
        </w:rPr>
        <w:t>. wydania decyzji o nałożeniu kary administracyjnej.</w:t>
      </w:r>
      <w:r w:rsidR="00837701" w:rsidRPr="00463E36">
        <w:rPr>
          <w:rFonts w:cs="ArialMT"/>
          <w:sz w:val="16"/>
          <w:szCs w:val="16"/>
        </w:rPr>
        <w:t xml:space="preserve"> Dyrektor DBJ wskazał, że przedstawiono Prezesowi PAA rekomendację wszczęcia postępowania w sprawie nałożenia kary administracyjnej oraz przygotowano projekt wystąpienia pokontrolnego.</w:t>
      </w:r>
    </w:p>
    <w:p w14:paraId="5AD72C84" w14:textId="77777777" w:rsidR="008638F1" w:rsidRPr="00463E36" w:rsidRDefault="008638F1" w:rsidP="008638F1">
      <w:pPr>
        <w:numPr>
          <w:ilvl w:val="0"/>
          <w:numId w:val="6"/>
        </w:numPr>
        <w:spacing w:before="120" w:after="120" w:line="240" w:lineRule="auto"/>
        <w:ind w:left="0" w:firstLine="142"/>
        <w:rPr>
          <w:szCs w:val="20"/>
        </w:rPr>
      </w:pPr>
      <w:r w:rsidRPr="00463E36">
        <w:rPr>
          <w:b/>
          <w:bCs/>
          <w:szCs w:val="20"/>
        </w:rPr>
        <w:t xml:space="preserve">[Rejestry jednostek prowadzących działalność] </w:t>
      </w:r>
      <w:r w:rsidRPr="00463E36">
        <w:rPr>
          <w:szCs w:val="20"/>
        </w:rPr>
        <w:t xml:space="preserve">PAA realizowała obowiązek prowadzenia rejestrów jednostek organizacyjnych wykonujących działalność związaną </w:t>
      </w:r>
      <w:r w:rsidRPr="00463E36">
        <w:rPr>
          <w:szCs w:val="20"/>
        </w:rPr>
        <w:lastRenderedPageBreak/>
        <w:t>z narażeniem na promieniowanie jonizujące, zgodnie z wymogami z art. 5 ust. 8 i 20 ustawy Prawo atomowe. Rejestry prowadzone były rzetelnie, co zapewniało ich przejrzystość oraz łatwy dostęp do danych.</w:t>
      </w:r>
    </w:p>
    <w:p w14:paraId="0BD3A1B1" w14:textId="77777777" w:rsidR="008638F1" w:rsidRPr="00463E36" w:rsidRDefault="008638F1" w:rsidP="008638F1">
      <w:pPr>
        <w:spacing w:after="0" w:line="240" w:lineRule="auto"/>
        <w:ind w:left="567" w:right="567"/>
        <w:contextualSpacing/>
        <w:rPr>
          <w:sz w:val="16"/>
          <w:szCs w:val="16"/>
        </w:rPr>
      </w:pPr>
      <w:r w:rsidRPr="00463E36">
        <w:rPr>
          <w:sz w:val="16"/>
          <w:szCs w:val="16"/>
        </w:rPr>
        <w:t>Agencja prowadziła rejestry jednostek organizacyjnych wykonujących działalność związaną z narażeniem na promieniowanie jonizujące zarówno w formie papierowej, jak i elektronicznej – w Systemie Informacji o Działalności Regulacyjnej PAA (SIDOR). Rejestry zawierały informacje dotyczące:</w:t>
      </w:r>
    </w:p>
    <w:p w14:paraId="50EEBFB1" w14:textId="77777777" w:rsidR="008638F1" w:rsidRPr="00463E36" w:rsidRDefault="008638F1" w:rsidP="008638F1">
      <w:pPr>
        <w:numPr>
          <w:ilvl w:val="0"/>
          <w:numId w:val="8"/>
        </w:numPr>
        <w:spacing w:after="0" w:line="240" w:lineRule="auto"/>
        <w:ind w:left="851" w:right="567" w:hanging="284"/>
        <w:contextualSpacing/>
        <w:rPr>
          <w:sz w:val="16"/>
          <w:szCs w:val="16"/>
        </w:rPr>
      </w:pPr>
      <w:r w:rsidRPr="00463E36">
        <w:rPr>
          <w:sz w:val="16"/>
          <w:szCs w:val="16"/>
        </w:rPr>
        <w:t>rodzaju i zakresu prowadzonej działalności;</w:t>
      </w:r>
    </w:p>
    <w:p w14:paraId="723CD293" w14:textId="77777777" w:rsidR="008638F1" w:rsidRPr="00463E36" w:rsidRDefault="008638F1" w:rsidP="008638F1">
      <w:pPr>
        <w:numPr>
          <w:ilvl w:val="0"/>
          <w:numId w:val="8"/>
        </w:numPr>
        <w:spacing w:after="0" w:line="240" w:lineRule="auto"/>
        <w:ind w:left="851" w:right="567" w:hanging="284"/>
        <w:contextualSpacing/>
        <w:rPr>
          <w:sz w:val="16"/>
          <w:szCs w:val="16"/>
        </w:rPr>
      </w:pPr>
      <w:r w:rsidRPr="00463E36">
        <w:rPr>
          <w:sz w:val="16"/>
          <w:szCs w:val="16"/>
        </w:rPr>
        <w:t>wykazu osób posiadających uprawnienia inspektorów ochrony radiologicznej;</w:t>
      </w:r>
    </w:p>
    <w:p w14:paraId="2267331C" w14:textId="77777777" w:rsidR="008638F1" w:rsidRPr="00463E36" w:rsidRDefault="008638F1" w:rsidP="008638F1">
      <w:pPr>
        <w:numPr>
          <w:ilvl w:val="0"/>
          <w:numId w:val="8"/>
        </w:numPr>
        <w:spacing w:after="0" w:line="240" w:lineRule="auto"/>
        <w:ind w:left="851" w:right="567" w:hanging="284"/>
        <w:contextualSpacing/>
        <w:rPr>
          <w:sz w:val="16"/>
          <w:szCs w:val="16"/>
        </w:rPr>
      </w:pPr>
      <w:r w:rsidRPr="00463E36">
        <w:rPr>
          <w:sz w:val="16"/>
          <w:szCs w:val="16"/>
        </w:rPr>
        <w:t>kontroli przeprowadzonych przez inspektorów dozoru jądrowego;</w:t>
      </w:r>
    </w:p>
    <w:p w14:paraId="6C208D9D" w14:textId="77777777" w:rsidR="008638F1" w:rsidRPr="00463E36" w:rsidRDefault="008638F1" w:rsidP="008638F1">
      <w:pPr>
        <w:numPr>
          <w:ilvl w:val="0"/>
          <w:numId w:val="8"/>
        </w:numPr>
        <w:spacing w:after="0" w:line="240" w:lineRule="auto"/>
        <w:ind w:left="851" w:right="567" w:hanging="284"/>
        <w:contextualSpacing/>
        <w:rPr>
          <w:sz w:val="16"/>
          <w:szCs w:val="16"/>
        </w:rPr>
      </w:pPr>
      <w:r w:rsidRPr="00463E36">
        <w:rPr>
          <w:sz w:val="16"/>
          <w:szCs w:val="16"/>
        </w:rPr>
        <w:t>dawki promieniowania jonizującego otrzymywanego przez pracowników jednostek (dane te były również przekazywane do centralnego rejestru dawek);</w:t>
      </w:r>
    </w:p>
    <w:p w14:paraId="37E5B513" w14:textId="77777777" w:rsidR="008638F1" w:rsidRPr="00463E36" w:rsidRDefault="008638F1" w:rsidP="008638F1">
      <w:pPr>
        <w:numPr>
          <w:ilvl w:val="0"/>
          <w:numId w:val="8"/>
        </w:numPr>
        <w:spacing w:after="0" w:line="240" w:lineRule="auto"/>
        <w:ind w:left="851" w:right="567" w:hanging="284"/>
        <w:contextualSpacing/>
        <w:rPr>
          <w:sz w:val="16"/>
          <w:szCs w:val="16"/>
        </w:rPr>
      </w:pPr>
      <w:r w:rsidRPr="00463E36">
        <w:rPr>
          <w:sz w:val="16"/>
          <w:szCs w:val="16"/>
        </w:rPr>
        <w:t xml:space="preserve">wykazu zamkniętych źródeł promieniotwórczych; </w:t>
      </w:r>
    </w:p>
    <w:p w14:paraId="02606941" w14:textId="77777777" w:rsidR="008638F1" w:rsidRPr="00463E36" w:rsidRDefault="008638F1" w:rsidP="008638F1">
      <w:pPr>
        <w:numPr>
          <w:ilvl w:val="0"/>
          <w:numId w:val="8"/>
        </w:numPr>
        <w:spacing w:after="0" w:line="240" w:lineRule="auto"/>
        <w:ind w:left="851" w:right="567" w:hanging="284"/>
        <w:contextualSpacing/>
        <w:rPr>
          <w:sz w:val="16"/>
          <w:szCs w:val="16"/>
        </w:rPr>
      </w:pPr>
      <w:r w:rsidRPr="00463E36">
        <w:rPr>
          <w:sz w:val="16"/>
          <w:szCs w:val="16"/>
        </w:rPr>
        <w:t>zatwierdzonych deklaracji przewozu zamkniętych źródeł promieniotwórczych oraz ich importu/eksportu;</w:t>
      </w:r>
    </w:p>
    <w:p w14:paraId="47B2A3CD" w14:textId="77777777" w:rsidR="008638F1" w:rsidRPr="00463E36" w:rsidRDefault="008638F1" w:rsidP="008638F1">
      <w:pPr>
        <w:numPr>
          <w:ilvl w:val="0"/>
          <w:numId w:val="8"/>
        </w:numPr>
        <w:spacing w:after="0" w:line="240" w:lineRule="auto"/>
        <w:ind w:left="851" w:right="567" w:hanging="284"/>
        <w:contextualSpacing/>
        <w:rPr>
          <w:sz w:val="16"/>
          <w:szCs w:val="16"/>
        </w:rPr>
      </w:pPr>
      <w:r w:rsidRPr="00463E36">
        <w:rPr>
          <w:sz w:val="16"/>
          <w:szCs w:val="16"/>
        </w:rPr>
        <w:t>sprawozdań z wykonywanych w danym roku transportów materiałów promieniotwórczych oraz świadectw lub uznań świadectw pochodzących z innych krajów.</w:t>
      </w:r>
    </w:p>
    <w:p w14:paraId="2B42CA5D" w14:textId="06296C8F" w:rsidR="008638F1" w:rsidRPr="00463E36" w:rsidRDefault="008638F1" w:rsidP="008638F1">
      <w:pPr>
        <w:spacing w:after="0" w:line="240" w:lineRule="auto"/>
        <w:ind w:left="567" w:right="567"/>
        <w:rPr>
          <w:sz w:val="16"/>
          <w:szCs w:val="16"/>
        </w:rPr>
      </w:pPr>
      <w:r w:rsidRPr="00463E36">
        <w:rPr>
          <w:sz w:val="16"/>
          <w:szCs w:val="16"/>
        </w:rPr>
        <w:t>Zakres uprawnień dotyczący rejestru prowadzonego w formie elektronicznej był ustalany indywidualnie dla każdego pracownika.</w:t>
      </w:r>
    </w:p>
    <w:p w14:paraId="3C5A28ED" w14:textId="77777777" w:rsidR="008638F1" w:rsidRPr="00463E36" w:rsidRDefault="008638F1" w:rsidP="008638F1">
      <w:pPr>
        <w:numPr>
          <w:ilvl w:val="0"/>
          <w:numId w:val="6"/>
        </w:numPr>
        <w:spacing w:before="120" w:after="120" w:line="240" w:lineRule="auto"/>
        <w:ind w:left="0" w:firstLine="0"/>
        <w:rPr>
          <w:b/>
          <w:bCs/>
        </w:rPr>
      </w:pPr>
      <w:r w:rsidRPr="00463E36">
        <w:rPr>
          <w:b/>
          <w:bCs/>
        </w:rPr>
        <w:t xml:space="preserve">[Nadzór nad wykonywaniem działalności objętej zezwoleniem] </w:t>
      </w:r>
      <w:r w:rsidRPr="00463E36">
        <w:t>Prowadzenie nadzoru nad działalnością polegającą na obrocie materiałami jądrowymi i materiałami lub źródłami promieniotwórczymi</w:t>
      </w:r>
      <w:r w:rsidRPr="00463E36">
        <w:rPr>
          <w:vertAlign w:val="superscript"/>
        </w:rPr>
        <w:footnoteReference w:id="49"/>
      </w:r>
      <w:r w:rsidRPr="00463E36">
        <w:t xml:space="preserve"> oceniono pozytywnie, z zastrzeżeniem dotyczącym egzekwowania warunków określonych w zezwoleniach. W decyzjach administracyjnych wskazywano m.in obowiązek złożenia do 31 stycznia każdego roku sprawozdania w zakresie działalności wykonanej w roku poprzednim</w:t>
      </w:r>
      <w:r w:rsidRPr="00463E36">
        <w:rPr>
          <w:vertAlign w:val="superscript"/>
        </w:rPr>
        <w:footnoteReference w:id="50"/>
      </w:r>
      <w:r w:rsidRPr="00463E36">
        <w:t>. Sprawozdania były weryfikowane w PAA po ich otrzymaniu oraz podczas kontroli danego podmiotu. Nie zapewniono jednak należytego nadzoru w sytuacji nieprzesłania wspomnianego dokumentu przez zobowiązanego. W 2</w:t>
      </w:r>
      <w:r w:rsidRPr="00463E36">
        <w:rPr>
          <w:vertAlign w:val="superscript"/>
        </w:rPr>
        <w:footnoteReference w:id="51"/>
      </w:r>
      <w:r w:rsidRPr="00463E36">
        <w:t> z 10 badanych zezwoleń sprawozdania nie zostały przekazane, a PAA nie podjęła żadnych działań w celu wyegzekwowania tego obowiązku.</w:t>
      </w:r>
    </w:p>
    <w:p w14:paraId="69E0EF73" w14:textId="4D9DF559" w:rsidR="008638F1" w:rsidRPr="00463E36" w:rsidRDefault="008638F1" w:rsidP="008638F1">
      <w:pPr>
        <w:spacing w:after="0" w:line="240" w:lineRule="auto"/>
        <w:ind w:left="567" w:right="567"/>
        <w:rPr>
          <w:sz w:val="16"/>
          <w:szCs w:val="16"/>
        </w:rPr>
      </w:pPr>
      <w:r w:rsidRPr="00463E36">
        <w:rPr>
          <w:sz w:val="16"/>
          <w:szCs w:val="16"/>
        </w:rPr>
        <w:t>Dyrektor DOR wyjaśnił</w:t>
      </w:r>
      <w:r w:rsidRPr="00463E36">
        <w:rPr>
          <w:sz w:val="16"/>
          <w:szCs w:val="16"/>
          <w:vertAlign w:val="superscript"/>
        </w:rPr>
        <w:footnoteReference w:id="52"/>
      </w:r>
      <w:r w:rsidRPr="00463E36">
        <w:rPr>
          <w:sz w:val="16"/>
          <w:szCs w:val="16"/>
        </w:rPr>
        <w:t>, że brak podejmowania kroków związanych z nieprzesłaniem sprawozdań wynikał z faktu, że priorytetowym obowiązkiem osób weryfikujących sprawozdania z działalności jednostek organizacyjnych było prowadzenie postępowań administracyjnych w terminach określonych w KPA oraz prowadzanie kontroli dozorowych i wykonywanie innych zadań służbowych.</w:t>
      </w:r>
    </w:p>
    <w:p w14:paraId="754F096F" w14:textId="77777777" w:rsidR="008638F1" w:rsidRPr="00463E36" w:rsidRDefault="008638F1" w:rsidP="008638F1">
      <w:pPr>
        <w:spacing w:before="120" w:after="120" w:line="240" w:lineRule="auto"/>
        <w:rPr>
          <w:highlight w:val="yellow"/>
        </w:rPr>
      </w:pPr>
      <w:r w:rsidRPr="00463E36">
        <w:t>Brak egzekwowania warunku określonego w decyzji nie zapewniał skutecznego nadzoru nad bezpieczeństwem jądrowym i ochroną radiologiczną. Choć braki kadrowe utrudniały realizację zadań, to nie powinny prowadzić do zaniechania egzekwowania warunków określonych w decyzjach administracyjnych.</w:t>
      </w:r>
    </w:p>
    <w:p w14:paraId="7429CE6C" w14:textId="77777777" w:rsidR="008638F1" w:rsidRPr="00463E36" w:rsidRDefault="008638F1" w:rsidP="008638F1">
      <w:pPr>
        <w:numPr>
          <w:ilvl w:val="0"/>
          <w:numId w:val="6"/>
        </w:numPr>
        <w:spacing w:after="120" w:line="240" w:lineRule="auto"/>
        <w:ind w:left="0" w:firstLine="0"/>
      </w:pPr>
      <w:r w:rsidRPr="00463E36">
        <w:rPr>
          <w:b/>
          <w:bCs/>
        </w:rPr>
        <w:t>[Nadawanie uprawnień inspektora ochrony radiologicznej]</w:t>
      </w:r>
      <w:r w:rsidRPr="00463E36">
        <w:t xml:space="preserve"> Proces nadawania uprawnień inspektora ochrony radiologicznej (dalej: IOR) oceniono pozytywnie. W latach 2023-2025</w:t>
      </w:r>
      <w:r w:rsidRPr="00463E36">
        <w:rPr>
          <w:vertAlign w:val="superscript"/>
        </w:rPr>
        <w:footnoteReference w:id="53"/>
      </w:r>
      <w:r w:rsidRPr="00463E36">
        <w:t xml:space="preserve"> Prezes PAA terminowo wydał 40 badanych decyzji o nadaniu uprawnień IOR różnego stopnia. Zgodnie z art. 7 ust 11 ustawy Prawo atomowe PAA prowadziła rejestr jednostek uprawnionych do przeprowadzenia szkoleń oraz organizowała egzaminy dla kandydatów na IOR. Badanie próby 81 z 726 osób przystępujących do egzaminu o nadanie uprawnień IOR wykazało, że wszystkie osoby spełniały wymogi formalne.</w:t>
      </w:r>
    </w:p>
    <w:p w14:paraId="02E1030B" w14:textId="4718C051" w:rsidR="008638F1" w:rsidRPr="00463E36" w:rsidRDefault="008638F1" w:rsidP="008638F1">
      <w:pPr>
        <w:spacing w:before="120" w:after="0" w:line="240" w:lineRule="auto"/>
        <w:ind w:left="567" w:right="567"/>
        <w:rPr>
          <w:sz w:val="16"/>
          <w:szCs w:val="16"/>
        </w:rPr>
      </w:pPr>
      <w:r w:rsidRPr="00463E36">
        <w:rPr>
          <w:sz w:val="16"/>
          <w:szCs w:val="16"/>
        </w:rPr>
        <w:t xml:space="preserve">Weryfikacja 40 (tj. 11%) z 359 wniosków o nadanie uprawnień wykazała, że postępowania prowadzone były zgodnie z KPA i wewnętrzną procedurą. Wszystkie osoby, którym przyznano uprawnienia, spełniały wymagania określone w ustawie Prawo atomowe i w rozporządzeniu </w:t>
      </w:r>
      <w:proofErr w:type="spellStart"/>
      <w:r w:rsidRPr="00463E36">
        <w:rPr>
          <w:sz w:val="16"/>
          <w:szCs w:val="16"/>
        </w:rPr>
        <w:t>ws</w:t>
      </w:r>
      <w:proofErr w:type="spellEnd"/>
      <w:r w:rsidRPr="00463E36">
        <w:rPr>
          <w:sz w:val="16"/>
          <w:szCs w:val="16"/>
        </w:rPr>
        <w:t>.</w:t>
      </w:r>
      <w:r w:rsidR="004341C0" w:rsidRPr="00463E36">
        <w:rPr>
          <w:sz w:val="16"/>
          <w:szCs w:val="16"/>
        </w:rPr>
        <w:t> </w:t>
      </w:r>
      <w:r w:rsidRPr="00463E36">
        <w:rPr>
          <w:sz w:val="16"/>
          <w:szCs w:val="16"/>
        </w:rPr>
        <w:t>inspektorów ochrony radiologicznej.</w:t>
      </w:r>
    </w:p>
    <w:p w14:paraId="2F4B252F" w14:textId="77777777" w:rsidR="008638F1" w:rsidRPr="00463E36" w:rsidRDefault="008638F1" w:rsidP="008638F1">
      <w:pPr>
        <w:numPr>
          <w:ilvl w:val="0"/>
          <w:numId w:val="6"/>
        </w:numPr>
        <w:suppressAutoHyphens/>
        <w:spacing w:before="120" w:after="120" w:line="240" w:lineRule="auto"/>
        <w:ind w:left="0" w:firstLine="0"/>
      </w:pPr>
      <w:r w:rsidRPr="00463E36">
        <w:rPr>
          <w:b/>
        </w:rPr>
        <w:lastRenderedPageBreak/>
        <w:t xml:space="preserve">[Audyt wewnętrzny] </w:t>
      </w:r>
      <w:r w:rsidRPr="00463E36">
        <w:t>W 2024 r. w PAA przeprowadzono 2 audyty dot. wydawania zezwoleń. W sprawozdaniach zawarto zalecenia w zakresie aktualizacji procedur wewnętrznych, z uwzględnieniem wdrożenia skutecznego mechanizmu kontrolnego, który miał zapewnić bezwzględne przestrzeganie terminów ustawowych na wydanie rozstrzygnięcia oraz zwiększenie nadzoru nad prawidłowością obiegu dokumentów w prowadzonych postępowaniach. Pomimo upływu blisko 10 i 5 m-</w:t>
      </w:r>
      <w:proofErr w:type="spellStart"/>
      <w:r w:rsidRPr="00463E36">
        <w:t>cy</w:t>
      </w:r>
      <w:proofErr w:type="spellEnd"/>
      <w:r w:rsidRPr="00463E36">
        <w:t xml:space="preserve"> od zakończenia tych audytów zalecenia nie zostały wdrożone.</w:t>
      </w:r>
    </w:p>
    <w:p w14:paraId="70DE512E" w14:textId="77777777" w:rsidR="008638F1" w:rsidRPr="00463E36" w:rsidRDefault="008638F1" w:rsidP="008638F1">
      <w:pPr>
        <w:spacing w:before="120" w:after="0" w:line="240" w:lineRule="auto"/>
        <w:ind w:left="567" w:right="567"/>
        <w:rPr>
          <w:sz w:val="16"/>
          <w:szCs w:val="16"/>
        </w:rPr>
      </w:pPr>
      <w:r w:rsidRPr="00463E36">
        <w:rPr>
          <w:sz w:val="16"/>
          <w:szCs w:val="16"/>
        </w:rPr>
        <w:t>W Agencji przeprowadzono 2 audyty wewnętrzne w zakresie:</w:t>
      </w:r>
    </w:p>
    <w:p w14:paraId="1BDD4FDB" w14:textId="77777777" w:rsidR="008638F1" w:rsidRPr="00463E36" w:rsidRDefault="008638F1" w:rsidP="008638F1">
      <w:pPr>
        <w:numPr>
          <w:ilvl w:val="0"/>
          <w:numId w:val="7"/>
        </w:numPr>
        <w:spacing w:after="0" w:line="240" w:lineRule="auto"/>
        <w:ind w:left="851" w:right="567" w:hanging="284"/>
        <w:rPr>
          <w:sz w:val="16"/>
          <w:szCs w:val="16"/>
        </w:rPr>
      </w:pPr>
      <w:r w:rsidRPr="00463E36">
        <w:rPr>
          <w:i/>
          <w:sz w:val="16"/>
          <w:szCs w:val="16"/>
        </w:rPr>
        <w:t>wydawania decyzji administracyjnych dot. modernizacji reaktora w sprawach ponownego uruchomienia reaktora po przerwie na przeprowadzenie modyfikacji lub modernizacji systemu lub elementu konstrukcji lub wyposażenia, mającego istotne znaczenie ze względu na bezpieczeństwo jądrowe i ochronę radiologiczną</w:t>
      </w:r>
      <w:r w:rsidRPr="00463E36">
        <w:rPr>
          <w:sz w:val="16"/>
          <w:szCs w:val="16"/>
        </w:rPr>
        <w:t xml:space="preserve"> (zakończony sprawozdaniem z 25 października 2024 r.);</w:t>
      </w:r>
    </w:p>
    <w:p w14:paraId="144D4347" w14:textId="77777777" w:rsidR="008638F1" w:rsidRPr="00463E36" w:rsidRDefault="008638F1" w:rsidP="008638F1">
      <w:pPr>
        <w:numPr>
          <w:ilvl w:val="0"/>
          <w:numId w:val="7"/>
        </w:numPr>
        <w:spacing w:after="0" w:line="240" w:lineRule="auto"/>
        <w:ind w:left="851" w:right="567" w:hanging="284"/>
        <w:rPr>
          <w:sz w:val="16"/>
          <w:szCs w:val="16"/>
        </w:rPr>
      </w:pPr>
      <w:r w:rsidRPr="00463E36">
        <w:rPr>
          <w:i/>
          <w:sz w:val="16"/>
          <w:szCs w:val="16"/>
        </w:rPr>
        <w:t>przeglądu i oceny merytorycznej wniosków w sprawie modernizacji reaktora badawczego MARIA oraz w sprawie ponownego uruchomienia tego reaktora po przerwie na przeprowadzenie modyfikacji lub modernizacji systemu lub elementu konstrukcji lub wyposażenia, mającego istotne znaczenie ze względu na bezpieczeństwo jądrowe i ochronę radiologiczną</w:t>
      </w:r>
      <w:r w:rsidRPr="00463E36">
        <w:rPr>
          <w:sz w:val="16"/>
          <w:szCs w:val="16"/>
        </w:rPr>
        <w:t xml:space="preserve"> (zakończony sprawozdaniem z 29 maja 2024 r.).</w:t>
      </w:r>
    </w:p>
    <w:p w14:paraId="731AAF8A" w14:textId="77777777" w:rsidR="008638F1" w:rsidRPr="00463E36" w:rsidRDefault="008638F1" w:rsidP="008638F1">
      <w:pPr>
        <w:spacing w:before="120" w:after="0" w:line="240" w:lineRule="auto"/>
        <w:ind w:left="567" w:right="567"/>
        <w:rPr>
          <w:sz w:val="16"/>
          <w:szCs w:val="16"/>
        </w:rPr>
      </w:pPr>
      <w:r w:rsidRPr="00463E36">
        <w:rPr>
          <w:sz w:val="16"/>
          <w:szCs w:val="16"/>
        </w:rPr>
        <w:t>Oba obszary zostały ocenione jako wymagające usprawnień. Wydano zalecenia dotyczące zmiany procedury dotyczącej wydawania zgody na modernizację lub modyfikację obiektu jądrowego oraz zgody na ponowne uruchomienie reaktora po przeprowadzonej modernizacji lub modyfikacji. Do czasu zakończenia kontroli procedury te nie zostały zaktualizowane</w:t>
      </w:r>
      <w:r w:rsidRPr="00463E36">
        <w:rPr>
          <w:sz w:val="16"/>
          <w:szCs w:val="16"/>
          <w:vertAlign w:val="superscript"/>
        </w:rPr>
        <w:footnoteReference w:id="54"/>
      </w:r>
      <w:r w:rsidRPr="00463E36">
        <w:rPr>
          <w:sz w:val="16"/>
          <w:szCs w:val="16"/>
        </w:rPr>
        <w:t>.</w:t>
      </w:r>
    </w:p>
    <w:p w14:paraId="19985A45" w14:textId="4CABB41D" w:rsidR="008638F1" w:rsidRPr="00463E36" w:rsidRDefault="008638F1" w:rsidP="008638F1">
      <w:pPr>
        <w:numPr>
          <w:ilvl w:val="0"/>
          <w:numId w:val="6"/>
        </w:numPr>
        <w:suppressAutoHyphens/>
        <w:spacing w:before="120" w:after="120" w:line="240" w:lineRule="auto"/>
        <w:ind w:left="0" w:firstLine="0"/>
        <w:rPr>
          <w:sz w:val="16"/>
          <w:szCs w:val="16"/>
        </w:rPr>
      </w:pPr>
      <w:r w:rsidRPr="00463E36">
        <w:rPr>
          <w:b/>
          <w:bCs/>
        </w:rPr>
        <w:t xml:space="preserve">[Audyt zewnętrzny] </w:t>
      </w:r>
      <w:r w:rsidRPr="00463E36">
        <w:t>Prawidłowość realizacji przez PAA zadań organu dozoru została potwierdzona podczas zintegrowanego przeglądu Dozoru Jądrowego IRRS (ang. </w:t>
      </w:r>
      <w:proofErr w:type="spellStart"/>
      <w:r w:rsidRPr="00463E36">
        <w:t>Integrated</w:t>
      </w:r>
      <w:proofErr w:type="spellEnd"/>
      <w:r w:rsidRPr="00463E36">
        <w:t xml:space="preserve"> Regulatory </w:t>
      </w:r>
      <w:proofErr w:type="spellStart"/>
      <w:r w:rsidRPr="00463E36">
        <w:t>Review</w:t>
      </w:r>
      <w:proofErr w:type="spellEnd"/>
      <w:r w:rsidRPr="00463E36">
        <w:t xml:space="preserve"> Service) przeprowadzonego przez Międzynarodową Agencję Energii Atomowej (dalej: MAEA). Rekomendacje wynikające z przeglądu wdrażane były sukcesywnie, zgodnie z przyjętym ramowym harmonogram przygotowań do misji IRRS </w:t>
      </w:r>
      <w:proofErr w:type="spellStart"/>
      <w:r w:rsidRPr="00463E36">
        <w:t>Follow-up</w:t>
      </w:r>
      <w:proofErr w:type="spellEnd"/>
      <w:r w:rsidRPr="00463E36">
        <w:t xml:space="preserve"> na lata 2025 – 2027.</w:t>
      </w:r>
    </w:p>
    <w:p w14:paraId="04CBBE45" w14:textId="4F0E682B" w:rsidR="008638F1" w:rsidRPr="00463E36" w:rsidRDefault="008638F1" w:rsidP="008638F1">
      <w:pPr>
        <w:numPr>
          <w:ilvl w:val="0"/>
          <w:numId w:val="6"/>
        </w:numPr>
        <w:suppressAutoHyphens/>
        <w:spacing w:before="120" w:after="120" w:line="240" w:lineRule="auto"/>
        <w:ind w:left="0" w:firstLine="0"/>
      </w:pPr>
      <w:r w:rsidRPr="00463E36">
        <w:rPr>
          <w:b/>
        </w:rPr>
        <w:t xml:space="preserve">[Analiza ryzyka] </w:t>
      </w:r>
      <w:r w:rsidRPr="00463E36">
        <w:t>Obszar analizy ryzyka nie był prawidłowo zarządzany z uwagi na fakt, że Regulaminu kontroli zarządczej i metodyki zarządzania ryzykiem nie był aktualizowany od 11 lat. Potrzebę jego zmiany wskazano w audycie wewnętrznym z czerwca 2024 r., jednak do dnia zakończenia kontroli</w:t>
      </w:r>
      <w:r w:rsidRPr="00463E36">
        <w:rPr>
          <w:rStyle w:val="Odwoanieprzypisudolnego"/>
        </w:rPr>
        <w:footnoteReference w:id="55"/>
      </w:r>
      <w:r w:rsidRPr="00463E36">
        <w:t xml:space="preserve"> nie dokonano jego aktualizacji. Identyfikacja i ocena </w:t>
      </w:r>
      <w:proofErr w:type="spellStart"/>
      <w:r w:rsidRPr="00463E36">
        <w:t>ryzyk</w:t>
      </w:r>
      <w:proofErr w:type="spellEnd"/>
      <w:r w:rsidRPr="00463E36">
        <w:t xml:space="preserve"> realizacji zadań w zakresie bezpieczeństwa jądrowego i ochrony radiologicznej kraju prowadzona była cyklicznie dwa razy do roku (w cyklu półrocznym i rocznym) w ramach kontroli zarządczej. Żadne z </w:t>
      </w:r>
      <w:proofErr w:type="spellStart"/>
      <w:r w:rsidRPr="00463E36">
        <w:t>ryzyk</w:t>
      </w:r>
      <w:proofErr w:type="spellEnd"/>
      <w:r w:rsidRPr="00463E36">
        <w:t xml:space="preserve"> nie zostało uznane za nieakceptowalne. Dla </w:t>
      </w:r>
      <w:proofErr w:type="spellStart"/>
      <w:r w:rsidRPr="00463E36">
        <w:t>ryzyk</w:t>
      </w:r>
      <w:proofErr w:type="spellEnd"/>
      <w:r w:rsidRPr="00463E36">
        <w:t xml:space="preserve"> istotnych opracowano plany działań ograniczających, jednakże zaplanowane w nich działania, okazały się nieskuteczne, a ryzyka zmaterializowały się. Dotyczy to w szczególności </w:t>
      </w:r>
      <w:proofErr w:type="spellStart"/>
      <w:r w:rsidRPr="00463E36">
        <w:t>ryzyk</w:t>
      </w:r>
      <w:proofErr w:type="spellEnd"/>
      <w:r w:rsidRPr="00463E36">
        <w:t xml:space="preserve"> nieterminowego prowadzenia postępowań administracyjnych, odchodzenia z PAA kompetentnych pracowników oraz niezrealizowania planu kontroli w 2023 r.</w:t>
      </w:r>
    </w:p>
    <w:p w14:paraId="174F0F32" w14:textId="77777777" w:rsidR="008638F1" w:rsidRPr="00463E36" w:rsidRDefault="008638F1" w:rsidP="008638F1">
      <w:pPr>
        <w:suppressAutoHyphens/>
        <w:spacing w:before="120" w:after="120" w:line="240" w:lineRule="auto"/>
      </w:pPr>
      <w:r w:rsidRPr="00463E36">
        <w:t>Pozytywnie oceniono prowadzenie symulacji scenariuszy kryzysowych związanych z </w:t>
      </w:r>
      <w:proofErr w:type="spellStart"/>
      <w:r w:rsidRPr="00463E36">
        <w:t>ryzykami</w:t>
      </w:r>
      <w:proofErr w:type="spellEnd"/>
      <w:r w:rsidRPr="00463E36">
        <w:t xml:space="preserve"> dla bezpieczeństwa jądrowego i ochrony radiologicznej kraju realizowanych w ramach ćwiczeń i analiz.</w:t>
      </w:r>
    </w:p>
    <w:p w14:paraId="4F06B87F" w14:textId="77777777" w:rsidR="008638F1" w:rsidRPr="00463E36" w:rsidRDefault="008638F1" w:rsidP="008638F1">
      <w:pPr>
        <w:suppressAutoHyphens/>
        <w:spacing w:before="120" w:after="120" w:line="240" w:lineRule="auto"/>
        <w:ind w:left="567" w:right="565"/>
        <w:rPr>
          <w:bCs/>
          <w:sz w:val="16"/>
          <w:szCs w:val="18"/>
        </w:rPr>
      </w:pPr>
      <w:r w:rsidRPr="00463E36">
        <w:rPr>
          <w:sz w:val="16"/>
          <w:szCs w:val="18"/>
        </w:rPr>
        <w:t>Proces prowadzenia kontroli zarządczej odbywał się na podstawie Regulaminu</w:t>
      </w:r>
      <w:r w:rsidRPr="00463E36">
        <w:rPr>
          <w:sz w:val="16"/>
          <w:szCs w:val="18"/>
          <w:vertAlign w:val="superscript"/>
        </w:rPr>
        <w:footnoteReference w:id="56"/>
      </w:r>
      <w:r w:rsidRPr="00463E36">
        <w:rPr>
          <w:sz w:val="16"/>
          <w:szCs w:val="18"/>
        </w:rPr>
        <w:t xml:space="preserve"> i metodyki zarządzania ryzykiem</w:t>
      </w:r>
      <w:r w:rsidRPr="00463E36">
        <w:rPr>
          <w:bCs/>
          <w:sz w:val="16"/>
          <w:szCs w:val="18"/>
        </w:rPr>
        <w:t xml:space="preserve">. Kierujący komórkami organizacyjnymi byli zobowiązani do identyfikacji </w:t>
      </w:r>
      <w:proofErr w:type="spellStart"/>
      <w:r w:rsidRPr="00463E36">
        <w:rPr>
          <w:bCs/>
          <w:sz w:val="16"/>
          <w:szCs w:val="18"/>
        </w:rPr>
        <w:t>ryzyk</w:t>
      </w:r>
      <w:proofErr w:type="spellEnd"/>
      <w:r w:rsidRPr="00463E36">
        <w:rPr>
          <w:bCs/>
          <w:sz w:val="16"/>
          <w:szCs w:val="18"/>
        </w:rPr>
        <w:t xml:space="preserve"> w zakresie realizowanych zadań. Ryzyka były identyfikowane na początku roku. W tym czasie ustalany był też plan działań ograniczających ryzyka. W połowie roku oraz na początku kolejnego roku raportowano sposób realizacji planów działań ograniczających ryzyka.</w:t>
      </w:r>
    </w:p>
    <w:p w14:paraId="4FE0B6FA" w14:textId="77777777" w:rsidR="008638F1" w:rsidRPr="00463E36" w:rsidRDefault="008638F1" w:rsidP="008638F1">
      <w:pPr>
        <w:suppressAutoHyphens/>
        <w:spacing w:before="120" w:after="120" w:line="240" w:lineRule="auto"/>
        <w:ind w:left="567" w:right="565"/>
        <w:rPr>
          <w:sz w:val="16"/>
          <w:szCs w:val="16"/>
        </w:rPr>
      </w:pPr>
      <w:r w:rsidRPr="00463E36">
        <w:rPr>
          <w:sz w:val="16"/>
          <w:szCs w:val="16"/>
        </w:rPr>
        <w:t xml:space="preserve">Plany działań ograniczających opracowano dla </w:t>
      </w:r>
      <w:proofErr w:type="spellStart"/>
      <w:r w:rsidRPr="00463E36">
        <w:rPr>
          <w:sz w:val="16"/>
          <w:szCs w:val="16"/>
        </w:rPr>
        <w:t>ryzyk</w:t>
      </w:r>
      <w:proofErr w:type="spellEnd"/>
      <w:r w:rsidRPr="00463E36">
        <w:rPr>
          <w:sz w:val="16"/>
          <w:szCs w:val="16"/>
        </w:rPr>
        <w:t xml:space="preserve"> uznanych za istotne</w:t>
      </w:r>
      <w:r w:rsidRPr="00463E36">
        <w:rPr>
          <w:bCs/>
          <w:sz w:val="16"/>
          <w:szCs w:val="16"/>
        </w:rPr>
        <w:t xml:space="preserve">. Jednakże wskazane w nich działania okazały się nieskuteczne, przez co zmaterializowały się </w:t>
      </w:r>
      <w:proofErr w:type="spellStart"/>
      <w:r w:rsidRPr="00463E36">
        <w:rPr>
          <w:bCs/>
          <w:sz w:val="16"/>
          <w:szCs w:val="16"/>
        </w:rPr>
        <w:t>ryzka</w:t>
      </w:r>
      <w:proofErr w:type="spellEnd"/>
      <w:r w:rsidRPr="00463E36">
        <w:rPr>
          <w:bCs/>
          <w:sz w:val="16"/>
          <w:szCs w:val="16"/>
        </w:rPr>
        <w:t xml:space="preserve">, w </w:t>
      </w:r>
      <w:r w:rsidRPr="00463E36">
        <w:rPr>
          <w:sz w:val="16"/>
          <w:szCs w:val="16"/>
        </w:rPr>
        <w:t>szczególności</w:t>
      </w:r>
      <w:r w:rsidRPr="00463E36">
        <w:rPr>
          <w:bCs/>
          <w:sz w:val="16"/>
          <w:szCs w:val="16"/>
        </w:rPr>
        <w:t xml:space="preserve"> w zakresie nieterminowego prowadzenia postępowań administracyjnych, niezrealizowania planu kontroli w2023 r. oraz odchodzenia z PAA kompetentnych pracowników.</w:t>
      </w:r>
    </w:p>
    <w:p w14:paraId="7AD882A9" w14:textId="1B96D0D3" w:rsidR="008638F1" w:rsidRPr="00463E36" w:rsidRDefault="008638F1" w:rsidP="008638F1">
      <w:pPr>
        <w:suppressAutoHyphens/>
        <w:spacing w:before="120" w:after="120" w:line="240" w:lineRule="auto"/>
        <w:ind w:left="567" w:right="565"/>
        <w:rPr>
          <w:sz w:val="16"/>
          <w:szCs w:val="16"/>
        </w:rPr>
      </w:pPr>
      <w:r w:rsidRPr="00463E36">
        <w:rPr>
          <w:sz w:val="16"/>
          <w:szCs w:val="16"/>
        </w:rPr>
        <w:lastRenderedPageBreak/>
        <w:t>Audyt wewnętrzny w zakresie funkcjonowania elementów systemu kontroli zarządczej ocenił weryfikowany obszar jako wymagający usprawnień. Pomimo wydania w czerwcu 2024</w:t>
      </w:r>
      <w:r w:rsidR="002237C8" w:rsidRPr="00463E36">
        <w:rPr>
          <w:sz w:val="16"/>
          <w:szCs w:val="16"/>
        </w:rPr>
        <w:t> </w:t>
      </w:r>
      <w:r w:rsidRPr="00463E36">
        <w:rPr>
          <w:sz w:val="16"/>
          <w:szCs w:val="16"/>
        </w:rPr>
        <w:t xml:space="preserve">r. rekomendacji w trakcie kontroli pozostawały one niewdrożone. </w:t>
      </w:r>
    </w:p>
    <w:p w14:paraId="5F199889" w14:textId="77777777" w:rsidR="008638F1" w:rsidRPr="00463E36" w:rsidRDefault="008638F1" w:rsidP="008638F1">
      <w:pPr>
        <w:suppressAutoHyphens/>
        <w:spacing w:before="120" w:after="0" w:line="240" w:lineRule="auto"/>
        <w:ind w:left="567" w:right="567"/>
        <w:rPr>
          <w:sz w:val="16"/>
          <w:szCs w:val="18"/>
        </w:rPr>
      </w:pPr>
      <w:r w:rsidRPr="00463E36">
        <w:rPr>
          <w:bCs/>
          <w:sz w:val="16"/>
          <w:szCs w:val="18"/>
        </w:rPr>
        <w:t xml:space="preserve">Od 1 stycznia 2023 r. pracownicy PAA uczestniczyli w 76 ćwiczeniach, zarówno w zakresie postępowania awaryjnego, zarządzania kryzysowego, jak również spraw obronnych. Tematyka ćwiczeń, w zależności od ich obszaru, obejmowała swoim zakresem między innymi symulacje wpływu sytuacji geopolitycznej na funkcjonowanie PAA, jak również długoterminowego wpływu wystąpienia zdarzenia radiacyjnego na bezpieczeństwo jądrowe i ochronę radiologiczną kraju. PAA prowadziła symulacje skutków radiologicznych hipotetycznych awarii przyszłej elektrowni jądrowej w Polsce. </w:t>
      </w:r>
      <w:r w:rsidRPr="00463E36">
        <w:rPr>
          <w:sz w:val="16"/>
          <w:szCs w:val="18"/>
        </w:rPr>
        <w:t>Dodatkowo, w 2023 r. zakończono proces opracowania i rozwijania zbioru danych dotyczących elektrowni jądrowych mieszczących się w promieniu do 300 km od granic kraju oraz w Ukrainie, wraz ze scenariuszami ich awarii.</w:t>
      </w:r>
    </w:p>
    <w:p w14:paraId="64C0F2E9" w14:textId="77777777" w:rsidR="008638F1" w:rsidRPr="00463E36" w:rsidRDefault="008638F1" w:rsidP="008638F1">
      <w:pPr>
        <w:numPr>
          <w:ilvl w:val="0"/>
          <w:numId w:val="5"/>
        </w:numPr>
        <w:spacing w:before="120" w:after="120" w:line="240" w:lineRule="auto"/>
        <w:ind w:left="567" w:hanging="425"/>
        <w:rPr>
          <w:b/>
          <w:u w:val="single"/>
        </w:rPr>
      </w:pPr>
      <w:r w:rsidRPr="00463E36">
        <w:rPr>
          <w:b/>
          <w:u w:val="single"/>
        </w:rPr>
        <w:t>Uruchamianie lub modernizacja istniejących stacji wczesnego wykrywania skażeń promieniotwórczych</w:t>
      </w:r>
    </w:p>
    <w:p w14:paraId="5933AF15" w14:textId="77777777" w:rsidR="008638F1" w:rsidRPr="00463E36" w:rsidRDefault="008638F1" w:rsidP="008638F1">
      <w:pPr>
        <w:numPr>
          <w:ilvl w:val="0"/>
          <w:numId w:val="6"/>
        </w:numPr>
        <w:spacing w:after="120" w:line="240" w:lineRule="auto"/>
        <w:ind w:left="0" w:firstLine="0"/>
      </w:pPr>
      <w:r w:rsidRPr="00463E36">
        <w:rPr>
          <w:b/>
          <w:bCs/>
        </w:rPr>
        <w:t xml:space="preserve">[Stacje wczesnego wykrywania skażeń promieniotwórczych] </w:t>
      </w:r>
      <w:r w:rsidRPr="00463E36">
        <w:t>Zadania związane z utrzymywaniem oraz rozbudową sieci stacji wczesnego wykrywania zdarzeń promieniotwórczych były realizowane prawidłowo. Agencja osiągnęła w latach 2023-2024 określony w Programie Polskiej Energetyki Jądrowej (dalej: PPEJ)</w:t>
      </w:r>
      <w:r w:rsidRPr="00463E36">
        <w:rPr>
          <w:vertAlign w:val="superscript"/>
        </w:rPr>
        <w:footnoteReference w:id="57"/>
      </w:r>
      <w:r w:rsidRPr="00463E36">
        <w:t xml:space="preserve"> miernik funkcjonowania stacji wczesnego wykrywania skażeń promieniotwórczych</w:t>
      </w:r>
      <w:r w:rsidRPr="00463E36">
        <w:rPr>
          <w:vertAlign w:val="superscript"/>
        </w:rPr>
        <w:footnoteReference w:id="58"/>
      </w:r>
      <w:r w:rsidRPr="00463E36">
        <w:t>. Miernik zakładał funkcjonowanie na koniec 2023 r. 45 takich stacji, w 2024 r. – 55, a funkcjonowało ich 56 (zarówno na koniec 2023 r., jak i 2024 r.). W 2023 r. PAA otworzyła 6 nowych stacji, a w 2024 r. zmodernizowała 4; dodatkowo prowadziła działania w celu otwarcia kolejnych stacji. Jednocześnie zapewniono sprawność techniczną istniejących stacji.</w:t>
      </w:r>
    </w:p>
    <w:p w14:paraId="2ED09BAF" w14:textId="77777777" w:rsidR="008638F1" w:rsidRPr="00463E36" w:rsidRDefault="008638F1" w:rsidP="008638F1">
      <w:pPr>
        <w:spacing w:after="120" w:line="240" w:lineRule="auto"/>
        <w:ind w:left="567" w:right="565"/>
        <w:rPr>
          <w:sz w:val="16"/>
          <w:szCs w:val="16"/>
        </w:rPr>
      </w:pPr>
      <w:r w:rsidRPr="00463E36">
        <w:rPr>
          <w:sz w:val="16"/>
          <w:szCs w:val="16"/>
        </w:rPr>
        <w:t>W latach 2023-2024 Agencja posiadała łącznie 56 funkcjonujących stacji, w tym 39 typu PMS i 17 typu GM. 51 stacji było w wieku poniżej 9 lat, natomiast 5 stacji było w wieku od 27 do 30 lat.</w:t>
      </w:r>
    </w:p>
    <w:p w14:paraId="13F1675D" w14:textId="77777777" w:rsidR="008638F1" w:rsidRPr="00463E36" w:rsidRDefault="008638F1" w:rsidP="008638F1">
      <w:pPr>
        <w:spacing w:after="120" w:line="240" w:lineRule="auto"/>
        <w:ind w:left="567" w:right="567"/>
        <w:rPr>
          <w:sz w:val="16"/>
          <w:szCs w:val="16"/>
        </w:rPr>
      </w:pPr>
      <w:r w:rsidRPr="00463E36">
        <w:rPr>
          <w:sz w:val="16"/>
          <w:szCs w:val="16"/>
        </w:rPr>
        <w:t xml:space="preserve">W PAA opracowano </w:t>
      </w:r>
      <w:r w:rsidRPr="00463E36">
        <w:rPr>
          <w:i/>
          <w:sz w:val="16"/>
          <w:szCs w:val="16"/>
        </w:rPr>
        <w:t>Założenia do projektu sieci wczesnego wykrywania skażeń promieniotwórczych</w:t>
      </w:r>
      <w:r w:rsidRPr="00463E36">
        <w:rPr>
          <w:sz w:val="16"/>
          <w:szCs w:val="16"/>
        </w:rPr>
        <w:t>, które zawierały opis wymagań dotyczących metod wdrażania kolejnych stacji, w tym proces typowania lokalizacji. Opracowano listę 110 rozpatrywanych nowych lokalizacji dla stacji wczesnego wykrywania skażeń promieniotwórczych, które poddano dalszej weryfikacji podczas wizji lokalnych we współpracy z jednostkami samorządu terytorialnego i organami administracji publicznej. W latach 2023-2025</w:t>
      </w:r>
      <w:r w:rsidRPr="00463E36">
        <w:rPr>
          <w:sz w:val="16"/>
          <w:szCs w:val="16"/>
          <w:vertAlign w:val="superscript"/>
        </w:rPr>
        <w:footnoteReference w:id="59"/>
      </w:r>
      <w:r w:rsidRPr="00463E36">
        <w:rPr>
          <w:sz w:val="16"/>
          <w:szCs w:val="16"/>
        </w:rPr>
        <w:t xml:space="preserve"> wytypowano i zweryfikowano 29 lokalizacji w celu utworzenia stacji wczesnego wykrywania skażeń. 23 z nich oceniono negatywnie, 6 pozytywnie. W wyniku pozytywnej weryfikacji dla 4 lokalizacji zawarto umowy najmu terenu, w tym w 1 przypadku zainstalowano stację. W pozostałych 2 przypadkach podejmowane były działania w celu podpisania umowy. W 2025 r. zostało zaplanowanych do uruchomienia 9 nowych stacji.</w:t>
      </w:r>
    </w:p>
    <w:p w14:paraId="2F1705A5" w14:textId="77777777" w:rsidR="008638F1" w:rsidRPr="00463E36" w:rsidRDefault="008638F1" w:rsidP="008638F1">
      <w:pPr>
        <w:spacing w:after="120" w:line="240" w:lineRule="auto"/>
        <w:ind w:left="567" w:right="565"/>
        <w:rPr>
          <w:sz w:val="16"/>
          <w:szCs w:val="16"/>
        </w:rPr>
      </w:pPr>
      <w:r w:rsidRPr="00463E36">
        <w:rPr>
          <w:sz w:val="16"/>
          <w:szCs w:val="16"/>
        </w:rPr>
        <w:t>Zgodnie z wyjaśnieniami</w:t>
      </w:r>
      <w:r w:rsidRPr="00463E36">
        <w:rPr>
          <w:sz w:val="16"/>
          <w:szCs w:val="16"/>
          <w:vertAlign w:val="superscript"/>
        </w:rPr>
        <w:footnoteReference w:id="60"/>
      </w:r>
      <w:r w:rsidRPr="00463E36">
        <w:rPr>
          <w:sz w:val="16"/>
          <w:szCs w:val="16"/>
        </w:rPr>
        <w:t xml:space="preserve"> Prezesa PAA stacje wczesnego wykrywania skażeń promieniotwórczych spełniały standardy wykrywania skażeń określone w przepisach krajowych</w:t>
      </w:r>
      <w:r w:rsidRPr="00463E36">
        <w:rPr>
          <w:sz w:val="16"/>
          <w:szCs w:val="16"/>
          <w:vertAlign w:val="superscript"/>
        </w:rPr>
        <w:footnoteReference w:id="61"/>
      </w:r>
      <w:r w:rsidRPr="00463E36">
        <w:rPr>
          <w:sz w:val="16"/>
          <w:szCs w:val="16"/>
        </w:rPr>
        <w:t>, rekomendacjach KE</w:t>
      </w:r>
      <w:r w:rsidRPr="00463E36">
        <w:rPr>
          <w:sz w:val="16"/>
          <w:szCs w:val="16"/>
          <w:vertAlign w:val="superscript"/>
        </w:rPr>
        <w:footnoteReference w:id="62"/>
      </w:r>
      <w:r w:rsidRPr="00463E36">
        <w:rPr>
          <w:sz w:val="16"/>
          <w:szCs w:val="16"/>
        </w:rPr>
        <w:t xml:space="preserve"> i zaleceniach MAEA</w:t>
      </w:r>
      <w:r w:rsidRPr="00463E36">
        <w:rPr>
          <w:sz w:val="16"/>
          <w:szCs w:val="16"/>
          <w:vertAlign w:val="superscript"/>
        </w:rPr>
        <w:footnoteReference w:id="63"/>
      </w:r>
      <w:r w:rsidRPr="00463E36">
        <w:rPr>
          <w:sz w:val="16"/>
          <w:szCs w:val="16"/>
        </w:rPr>
        <w:t>.</w:t>
      </w:r>
    </w:p>
    <w:p w14:paraId="214060E3" w14:textId="77777777" w:rsidR="008638F1" w:rsidRPr="00463E36" w:rsidRDefault="008638F1" w:rsidP="00F349F2">
      <w:pPr>
        <w:spacing w:after="120" w:line="240" w:lineRule="auto"/>
        <w:ind w:left="567" w:right="567"/>
        <w:rPr>
          <w:sz w:val="16"/>
          <w:szCs w:val="16"/>
        </w:rPr>
      </w:pPr>
      <w:r w:rsidRPr="00463E36">
        <w:rPr>
          <w:sz w:val="16"/>
          <w:szCs w:val="16"/>
        </w:rPr>
        <w:t>Nadzór nad funkcjonowaniem stacji sprawowali pracownicy PAA, a w przypadku 4 stacji duńskich - podmioty zewnętrzne na podstawie zawartych umów. Stacje były poddawane przeglądom technicznym kwartalnym lub rocznym, a w razie potrzeby były naprawiane.</w:t>
      </w:r>
    </w:p>
    <w:p w14:paraId="2EB5D398" w14:textId="77777777" w:rsidR="008638F1" w:rsidRPr="00463E36" w:rsidRDefault="008638F1" w:rsidP="008638F1">
      <w:pPr>
        <w:numPr>
          <w:ilvl w:val="0"/>
          <w:numId w:val="6"/>
        </w:numPr>
        <w:spacing w:after="0" w:line="240" w:lineRule="auto"/>
        <w:ind w:left="0" w:firstLine="0"/>
      </w:pPr>
      <w:r w:rsidRPr="00463E36">
        <w:rPr>
          <w:b/>
        </w:rPr>
        <w:t xml:space="preserve">[Prowadzenie monitoringu radiacyjnego kraju] </w:t>
      </w:r>
      <w:r w:rsidRPr="00463E36">
        <w:t xml:space="preserve">System monitoringu radiacyjnego kraju, mimo występowania incydentów związanych z awariami technicznymi stacji pomiarowych, utrzymywał wysoką sprawność - powyżej 90%. Prezes PAA koordynował </w:t>
      </w:r>
      <w:r w:rsidRPr="00463E36">
        <w:lastRenderedPageBreak/>
        <w:t>działania wszystkich krajowych stacji i placówek wczesnego wykrywania zdarzeń promieniotwórczych. Prowadzono ciągły monitoring sytuacji radiacyjnej kraju oraz zapewniono prawidłową reakcję na zdarzenia radiacyjne. PAA miała dostęp do wyników pomiarów ze wszystkich państw włączonych w system</w:t>
      </w:r>
      <w:r w:rsidRPr="00463E36">
        <w:rPr>
          <w:szCs w:val="20"/>
        </w:rPr>
        <w:t xml:space="preserve"> </w:t>
      </w:r>
      <w:r w:rsidRPr="00463E36">
        <w:t>EURDEP</w:t>
      </w:r>
      <w:r w:rsidRPr="00463E36">
        <w:rPr>
          <w:vertAlign w:val="superscript"/>
        </w:rPr>
        <w:footnoteReference w:id="64"/>
      </w:r>
      <w:r w:rsidRPr="00463E36">
        <w:rPr>
          <w:szCs w:val="20"/>
        </w:rPr>
        <w:t>.</w:t>
      </w:r>
    </w:p>
    <w:p w14:paraId="108328F7" w14:textId="77777777" w:rsidR="008638F1" w:rsidRPr="00463E36" w:rsidRDefault="008638F1" w:rsidP="008638F1">
      <w:pPr>
        <w:spacing w:after="0" w:line="240" w:lineRule="auto"/>
      </w:pPr>
      <w:r w:rsidRPr="00463E36">
        <w:t>Realizowano również monitoring</w:t>
      </w:r>
      <w:r w:rsidRPr="00463E36">
        <w:rPr>
          <w:vertAlign w:val="superscript"/>
        </w:rPr>
        <w:footnoteReference w:id="65"/>
      </w:r>
      <w:r w:rsidRPr="00463E36">
        <w:rPr>
          <w:szCs w:val="20"/>
        </w:rPr>
        <w:t>:</w:t>
      </w:r>
    </w:p>
    <w:p w14:paraId="12C74ECB" w14:textId="77777777" w:rsidR="008638F1" w:rsidRPr="00463E36" w:rsidRDefault="008638F1" w:rsidP="00AA3815">
      <w:pPr>
        <w:numPr>
          <w:ilvl w:val="0"/>
          <w:numId w:val="9"/>
        </w:numPr>
        <w:spacing w:after="0"/>
        <w:ind w:left="284" w:hanging="284"/>
        <w:rPr>
          <w:szCs w:val="20"/>
        </w:rPr>
      </w:pPr>
      <w:r w:rsidRPr="00463E36">
        <w:rPr>
          <w:szCs w:val="20"/>
        </w:rPr>
        <w:t>skażeń promieniotwórczych Morza Bałtyckiego;</w:t>
      </w:r>
    </w:p>
    <w:p w14:paraId="03268B08" w14:textId="77777777" w:rsidR="008638F1" w:rsidRPr="00463E36" w:rsidRDefault="008638F1" w:rsidP="00AA3815">
      <w:pPr>
        <w:numPr>
          <w:ilvl w:val="0"/>
          <w:numId w:val="9"/>
        </w:numPr>
        <w:spacing w:after="0"/>
        <w:ind w:left="284" w:hanging="284"/>
        <w:rPr>
          <w:szCs w:val="20"/>
        </w:rPr>
      </w:pPr>
      <w:r w:rsidRPr="00463E36">
        <w:rPr>
          <w:szCs w:val="20"/>
        </w:rPr>
        <w:t>weryfikacji wyników pomiarów prowadzonych przez operatorów reaktora jądrowego oraz składowiska odpadów promieniotwórczych</w:t>
      </w:r>
      <w:r w:rsidRPr="00463E36">
        <w:rPr>
          <w:szCs w:val="20"/>
          <w:vertAlign w:val="superscript"/>
        </w:rPr>
        <w:footnoteReference w:id="66"/>
      </w:r>
      <w:r w:rsidRPr="00463E36">
        <w:rPr>
          <w:szCs w:val="20"/>
        </w:rPr>
        <w:t>;</w:t>
      </w:r>
    </w:p>
    <w:p w14:paraId="78B057BE" w14:textId="77777777" w:rsidR="008638F1" w:rsidRPr="00463E36" w:rsidRDefault="008638F1" w:rsidP="00AA3815">
      <w:pPr>
        <w:numPr>
          <w:ilvl w:val="0"/>
          <w:numId w:val="9"/>
        </w:numPr>
        <w:spacing w:after="0"/>
        <w:ind w:left="284" w:hanging="284"/>
        <w:rPr>
          <w:szCs w:val="20"/>
        </w:rPr>
      </w:pPr>
      <w:r w:rsidRPr="00463E36">
        <w:rPr>
          <w:i/>
          <w:szCs w:val="20"/>
        </w:rPr>
        <w:t>diety</w:t>
      </w:r>
      <w:r w:rsidRPr="00463E36">
        <w:rPr>
          <w:szCs w:val="20"/>
        </w:rPr>
        <w:t xml:space="preserve"> zgodnie z rekomendacjami Komisji Europejskiej</w:t>
      </w:r>
      <w:r w:rsidRPr="00463E36">
        <w:rPr>
          <w:szCs w:val="20"/>
          <w:vertAlign w:val="superscript"/>
        </w:rPr>
        <w:footnoteReference w:id="67"/>
      </w:r>
      <w:r w:rsidRPr="00463E36">
        <w:rPr>
          <w:szCs w:val="20"/>
        </w:rPr>
        <w:t>.</w:t>
      </w:r>
    </w:p>
    <w:p w14:paraId="202309D1" w14:textId="77777777" w:rsidR="008638F1" w:rsidRPr="00463E36" w:rsidRDefault="008638F1" w:rsidP="008638F1">
      <w:pPr>
        <w:spacing w:after="0"/>
        <w:rPr>
          <w:szCs w:val="20"/>
        </w:rPr>
      </w:pPr>
      <w:r w:rsidRPr="00463E36">
        <w:rPr>
          <w:szCs w:val="20"/>
        </w:rPr>
        <w:t>Ponadto prowadzono pomiary wody wokół byłych obiektów górnictwa uranowego.</w:t>
      </w:r>
    </w:p>
    <w:p w14:paraId="7B3C4FCB" w14:textId="77777777" w:rsidR="008638F1" w:rsidRPr="00463E36" w:rsidRDefault="008638F1" w:rsidP="008638F1">
      <w:pPr>
        <w:spacing w:before="120" w:after="120" w:line="240" w:lineRule="auto"/>
        <w:ind w:left="567" w:right="567"/>
        <w:rPr>
          <w:sz w:val="16"/>
          <w:szCs w:val="16"/>
        </w:rPr>
      </w:pPr>
      <w:r w:rsidRPr="00463E36">
        <w:rPr>
          <w:sz w:val="16"/>
          <w:szCs w:val="16"/>
        </w:rPr>
        <w:t>Monitoring radiacyjny był wykonywany według corocznie zatwierdzanego Plan monitoringu radiacyjnego środowiska dla stacji wczesnego wykrywania skażeń promieniotwórczych. Wyniki pomiarów ze stacji były w sposób automatyczny na bieżąco przekazywane do Komisji Europejskiej</w:t>
      </w:r>
      <w:r w:rsidRPr="00463E36">
        <w:rPr>
          <w:sz w:val="16"/>
          <w:szCs w:val="16"/>
          <w:vertAlign w:val="superscript"/>
        </w:rPr>
        <w:footnoteReference w:id="68"/>
      </w:r>
      <w:r w:rsidRPr="00463E36">
        <w:rPr>
          <w:sz w:val="16"/>
          <w:szCs w:val="16"/>
        </w:rPr>
        <w:t xml:space="preserve"> i do Międzynarodowej Agencji Energii Atomowej</w:t>
      </w:r>
      <w:r w:rsidRPr="00463E36">
        <w:rPr>
          <w:sz w:val="16"/>
          <w:szCs w:val="16"/>
          <w:vertAlign w:val="superscript"/>
        </w:rPr>
        <w:footnoteReference w:id="69"/>
      </w:r>
      <w:r w:rsidRPr="00463E36">
        <w:rPr>
          <w:sz w:val="16"/>
          <w:szCs w:val="16"/>
        </w:rPr>
        <w:t>. Agencja posiadała dostęp do wyników pomiarów ze wszystkich państw w systemie EURDEP.</w:t>
      </w:r>
    </w:p>
    <w:p w14:paraId="53CE19C7" w14:textId="77777777" w:rsidR="008638F1" w:rsidRPr="00463E36" w:rsidRDefault="008638F1" w:rsidP="008638F1">
      <w:pPr>
        <w:spacing w:after="120" w:line="240" w:lineRule="auto"/>
        <w:ind w:left="567" w:right="567"/>
        <w:rPr>
          <w:rFonts w:eastAsia="Lato" w:cs="Lato"/>
          <w:sz w:val="16"/>
          <w:szCs w:val="16"/>
        </w:rPr>
      </w:pPr>
      <w:r w:rsidRPr="00463E36">
        <w:rPr>
          <w:sz w:val="16"/>
          <w:szCs w:val="16"/>
        </w:rPr>
        <w:t xml:space="preserve">W 2023 r. odnotowano przypadki awarii stacji, obejmujących </w:t>
      </w:r>
      <w:r w:rsidRPr="00463E36">
        <w:rPr>
          <w:rFonts w:eastAsia="Lato" w:cs="Lato"/>
          <w:sz w:val="16"/>
          <w:szCs w:val="16"/>
        </w:rPr>
        <w:t>m.in. problemy z komunikacją baz danych, uszkodzenia sond radiometrycznych oraz awarie zasilania. Wszystkie stacje zostały przywrócone do działania w krótkim czasie, wdrożono również plan sprawdzenia zabezpieczeń.</w:t>
      </w:r>
    </w:p>
    <w:p w14:paraId="24BFCB06" w14:textId="77777777" w:rsidR="008638F1" w:rsidRPr="00463E36" w:rsidRDefault="008638F1" w:rsidP="008638F1">
      <w:pPr>
        <w:spacing w:after="120" w:line="240" w:lineRule="auto"/>
        <w:ind w:left="567" w:right="567"/>
        <w:rPr>
          <w:sz w:val="16"/>
          <w:szCs w:val="16"/>
        </w:rPr>
      </w:pPr>
      <w:r w:rsidRPr="00463E36">
        <w:rPr>
          <w:sz w:val="16"/>
          <w:szCs w:val="16"/>
        </w:rPr>
        <w:t>Koordynacja działania wszystkich krajowych stacji i placówek wczesnego wykrywania skażeń promieniotwórczych polegała na zatwierdzaniu lub zgłaszaniu uwag do technik pomiarowych, programów pomiarowych i organizacji pomiarów, przesłanych przez placówki prowadzące pomiary tych skażeń, w celu zapewnienia ich poprawności. Wspierano merytorycznie placówki w zakresie określania przez nie potrzeb sprzętowych, rozwiązywania problemów pomiarowych oraz typowania punktów pomiarowych. Od 2023 r. we współpracy z Głównym Inspektorem Sanitarnym (GIS) prowadzono cykl spotkań z placówkami podstawowymi, podczas których pracownicy PAA dzielili się wiedzą i doświadczeniem w zakresie reagowania na zdarzenia radiacyjne oraz wykonywania pomiarów.</w:t>
      </w:r>
    </w:p>
    <w:p w14:paraId="6CDC75F3" w14:textId="77777777" w:rsidR="008638F1" w:rsidRPr="00463E36" w:rsidRDefault="008638F1" w:rsidP="008638F1">
      <w:pPr>
        <w:spacing w:after="120" w:line="240" w:lineRule="auto"/>
        <w:ind w:left="567" w:right="567"/>
        <w:rPr>
          <w:sz w:val="16"/>
          <w:szCs w:val="16"/>
        </w:rPr>
      </w:pPr>
      <w:r w:rsidRPr="00463E36">
        <w:rPr>
          <w:sz w:val="16"/>
          <w:szCs w:val="16"/>
        </w:rPr>
        <w:t xml:space="preserve">Podstawowa weryfikacja działania oraz poprawność funkcjonowania stacji wczesnego wykrywania skażeń promieniotwórczych była realizowana przez Dyżurnych Krajowego Punktu Kontaktowego PAA. Wyniki pomiarów ze stacji były weryfikowane od 2 do 6 razy na dobę lub miesięcznie w zależności od właściciela stacji. Dodatkowo w związku z trwającą wojną w Ukrainie częstotliwość weryfikacji stacji została zwiększona do interwału 2-godzinnego. W przypadku stwierdzenia na dowolnej stacji Agencji lub Instytutu Meteorologii Gospodarki Wodnej wyniku pomiaru mocy dawki przekraczającego ustalony próg alarmowy (300 </w:t>
      </w:r>
      <w:proofErr w:type="spellStart"/>
      <w:r w:rsidRPr="00463E36">
        <w:rPr>
          <w:sz w:val="16"/>
          <w:szCs w:val="16"/>
        </w:rPr>
        <w:t>nSv</w:t>
      </w:r>
      <w:proofErr w:type="spellEnd"/>
      <w:r w:rsidRPr="00463E36">
        <w:rPr>
          <w:sz w:val="16"/>
          <w:szCs w:val="16"/>
        </w:rPr>
        <w:t>/h), Dyżurny otrzymywał automatyczne powiadomienie SMS.</w:t>
      </w:r>
    </w:p>
    <w:p w14:paraId="60A5E423" w14:textId="77777777" w:rsidR="008638F1" w:rsidRPr="00463E36" w:rsidRDefault="008638F1" w:rsidP="008638F1">
      <w:pPr>
        <w:spacing w:after="120" w:line="240" w:lineRule="auto"/>
        <w:ind w:left="567" w:right="567"/>
        <w:rPr>
          <w:sz w:val="16"/>
          <w:szCs w:val="16"/>
        </w:rPr>
      </w:pPr>
      <w:r w:rsidRPr="00463E36">
        <w:rPr>
          <w:sz w:val="16"/>
          <w:szCs w:val="16"/>
        </w:rPr>
        <w:t>Dyżurni Krajowego Punktu Kontaktowego przyjmowali również zgłoszenia o zdarzeniach radiacyjnych. W przypadku podejrzenia zaistnienia zdarzenia radiacyjnego przeprowadzono pomiary mocy dawki promieniowania jonizującego i skażeń promieniotwórczych. W latach 2023-2025 wystąpiły 2 zdarzenia, w wyniku których dyżurni podejmowali odpowiednie działania.</w:t>
      </w:r>
    </w:p>
    <w:p w14:paraId="572DEC1A" w14:textId="77777777" w:rsidR="008638F1" w:rsidRPr="00463E36" w:rsidRDefault="008638F1" w:rsidP="00F349F2">
      <w:pPr>
        <w:spacing w:after="120" w:line="240" w:lineRule="auto"/>
        <w:ind w:left="567" w:right="567"/>
        <w:rPr>
          <w:sz w:val="16"/>
          <w:szCs w:val="16"/>
        </w:rPr>
      </w:pPr>
      <w:r w:rsidRPr="00463E36">
        <w:rPr>
          <w:sz w:val="16"/>
          <w:szCs w:val="16"/>
        </w:rPr>
        <w:t>Prezes PAA zlecił Centralnemu Laboratorium Ochrony Radiologicznej utrzymywanie ekipy dozymetrycznej z uwagi na brak zasobów kadrowych w Agencji</w:t>
      </w:r>
      <w:r w:rsidRPr="00463E36">
        <w:rPr>
          <w:sz w:val="16"/>
          <w:szCs w:val="16"/>
          <w:vertAlign w:val="superscript"/>
        </w:rPr>
        <w:footnoteReference w:id="70"/>
      </w:r>
      <w:r w:rsidRPr="00463E36">
        <w:rPr>
          <w:sz w:val="16"/>
          <w:szCs w:val="16"/>
          <w:vertAlign w:val="superscript"/>
        </w:rPr>
        <w:t>.</w:t>
      </w:r>
      <w:r w:rsidRPr="00463E36">
        <w:rPr>
          <w:sz w:val="16"/>
          <w:szCs w:val="16"/>
        </w:rPr>
        <w:t>.</w:t>
      </w:r>
    </w:p>
    <w:p w14:paraId="5ED3A305" w14:textId="77777777" w:rsidR="008638F1" w:rsidRPr="00463E36" w:rsidRDefault="008638F1" w:rsidP="008638F1">
      <w:pPr>
        <w:numPr>
          <w:ilvl w:val="0"/>
          <w:numId w:val="5"/>
        </w:numPr>
        <w:spacing w:after="120"/>
        <w:ind w:left="567" w:hanging="340"/>
        <w:rPr>
          <w:b/>
          <w:u w:val="single"/>
        </w:rPr>
      </w:pPr>
      <w:r w:rsidRPr="00463E36">
        <w:rPr>
          <w:b/>
          <w:u w:val="single"/>
        </w:rPr>
        <w:t>Rozwój technologii małych reaktorów modułowych</w:t>
      </w:r>
    </w:p>
    <w:p w14:paraId="7821E927" w14:textId="77777777" w:rsidR="008638F1" w:rsidRPr="00463E36" w:rsidRDefault="008638F1" w:rsidP="008638F1">
      <w:pPr>
        <w:numPr>
          <w:ilvl w:val="0"/>
          <w:numId w:val="6"/>
        </w:numPr>
        <w:spacing w:after="0" w:line="240" w:lineRule="auto"/>
        <w:ind w:left="0" w:firstLine="0"/>
        <w:rPr>
          <w:sz w:val="16"/>
          <w:szCs w:val="16"/>
        </w:rPr>
      </w:pPr>
      <w:r w:rsidRPr="00463E36">
        <w:rPr>
          <w:b/>
          <w:bCs/>
        </w:rPr>
        <w:t>[Działania PAA w zakresie wdrożenia SMR]</w:t>
      </w:r>
      <w:r w:rsidRPr="00463E36">
        <w:t xml:space="preserve"> Agencja wspierała proces przygotowawczy inwestorów do wdrożenia SMR. Prowadziła dialog z zainteresowanymi spółkami, udzielała wskazówek w przygotowaniu wniosków o wydanie zezwoleń </w:t>
      </w:r>
      <w:r w:rsidRPr="00463E36">
        <w:lastRenderedPageBreak/>
        <w:t xml:space="preserve">na budowę elektrowni jądrowych z wykorzystaniem technologii SMR. Na wniosek potencjalnych inwestorów wydano 3 opinie ogólne zawierające ocenę </w:t>
      </w:r>
      <w:r w:rsidRPr="00463E36">
        <w:rPr>
          <w:szCs w:val="20"/>
        </w:rPr>
        <w:t xml:space="preserve">zgodności założeń projektowych oraz wskazano obszary wymagające zmian. Opinie sporządzono </w:t>
      </w:r>
      <w:r w:rsidRPr="00463E36">
        <w:t>w terminach określonych ustawą Prawo atomowe.</w:t>
      </w:r>
    </w:p>
    <w:p w14:paraId="47FA846A" w14:textId="77777777" w:rsidR="008638F1" w:rsidRPr="00463E36" w:rsidRDefault="008638F1" w:rsidP="008638F1">
      <w:pPr>
        <w:spacing w:before="120" w:after="0" w:line="240" w:lineRule="auto"/>
        <w:ind w:left="567" w:right="567"/>
        <w:rPr>
          <w:sz w:val="16"/>
          <w:szCs w:val="16"/>
        </w:rPr>
      </w:pPr>
      <w:r w:rsidRPr="00463E36">
        <w:rPr>
          <w:sz w:val="16"/>
          <w:szCs w:val="16"/>
        </w:rPr>
        <w:t>Zadania w zakresie technologii SMR w PAA realizował Wydział Oceny Zaawansowanych Reaktorów w DBJ. Agencja prowadziła dialog</w:t>
      </w:r>
      <w:r w:rsidRPr="00463E36">
        <w:rPr>
          <w:sz w:val="16"/>
          <w:szCs w:val="16"/>
          <w:vertAlign w:val="superscript"/>
        </w:rPr>
        <w:footnoteReference w:id="71"/>
      </w:r>
      <w:r w:rsidRPr="00463E36">
        <w:rPr>
          <w:sz w:val="16"/>
          <w:szCs w:val="16"/>
        </w:rPr>
        <w:t xml:space="preserve"> ze spółkami OSGE</w:t>
      </w:r>
      <w:r w:rsidRPr="00463E36">
        <w:rPr>
          <w:sz w:val="16"/>
          <w:szCs w:val="16"/>
          <w:vertAlign w:val="superscript"/>
        </w:rPr>
        <w:footnoteReference w:id="72"/>
      </w:r>
      <w:r w:rsidRPr="00463E36">
        <w:rPr>
          <w:sz w:val="16"/>
          <w:szCs w:val="16"/>
        </w:rPr>
        <w:t xml:space="preserve"> i KGHM</w:t>
      </w:r>
      <w:r w:rsidRPr="00463E36">
        <w:rPr>
          <w:sz w:val="16"/>
          <w:szCs w:val="16"/>
          <w:vertAlign w:val="superscript"/>
        </w:rPr>
        <w:footnoteReference w:id="73"/>
      </w:r>
      <w:r w:rsidRPr="00463E36">
        <w:rPr>
          <w:sz w:val="16"/>
          <w:szCs w:val="16"/>
        </w:rPr>
        <w:t xml:space="preserve">, mający na celu wymianę informacji, które pozwolą na właściwe przygotowanie wniosku o wydanie zezwolenia na budowę elektrowni jądrowej z wykorzystaniem technologii SMR. Na wniosek dwóch spółek wydano trzy opinie ogólne: dwie dla OSGE oraz jedną dla KGHM, w których dokonano weryfikacji zgodności przedstawionych założeń technologicznych z obowiązującymi przepisami w zakresie bezpieczeństwa jądrowego. Opinie zwierały ocenę przyjętych przez wnioskodawców założeń projektowych i technologicznych dotyczących SMR oraz wskazywały obszary wymagające zmian. </w:t>
      </w:r>
    </w:p>
    <w:p w14:paraId="2ACEE10F" w14:textId="77777777" w:rsidR="008638F1" w:rsidRPr="00463E36" w:rsidRDefault="008638F1" w:rsidP="008638F1">
      <w:pPr>
        <w:numPr>
          <w:ilvl w:val="0"/>
          <w:numId w:val="6"/>
        </w:numPr>
        <w:spacing w:before="120" w:after="0" w:line="240" w:lineRule="auto"/>
        <w:ind w:left="0" w:firstLine="0"/>
        <w:rPr>
          <w:szCs w:val="20"/>
        </w:rPr>
      </w:pPr>
      <w:r w:rsidRPr="00463E36">
        <w:rPr>
          <w:b/>
          <w:bCs/>
        </w:rPr>
        <w:t>[Współpraca</w:t>
      </w:r>
      <w:r w:rsidRPr="00463E36">
        <w:rPr>
          <w:b/>
        </w:rPr>
        <w:t xml:space="preserve"> w zakresie wdrożenia technologii SMR]</w:t>
      </w:r>
      <w:r w:rsidRPr="00463E36">
        <w:rPr>
          <w:b/>
          <w:bCs/>
        </w:rPr>
        <w:t xml:space="preserve"> </w:t>
      </w:r>
      <w:r w:rsidRPr="00463E36">
        <w:t xml:space="preserve">Agencja podejmowała systemowe i aktywne działania w obszarze współpracy międzynarodowej, ukierunkowane na rozwój kompetencji instytucjonalnych związanych z wdrażaniem technologii małych reaktorów modułowych. Kluczowym krokiem było podpisanie porozumienia z kanadyjskim dozorem jądrowym oraz powołanie </w:t>
      </w:r>
      <w:r w:rsidRPr="00463E36">
        <w:rPr>
          <w:i/>
        </w:rPr>
        <w:t>Komitetu ds. zaawansowanych technologii jądrowych i SMR</w:t>
      </w:r>
      <w:r w:rsidRPr="00463E36">
        <w:t xml:space="preserve">, pełniącego funkcję koordynacyjne, doradcze oraz informacyjne. Działania te miały na celu zapewnienie spójności regulacyjnej, zwiększenie efektywności procesów licencyjnych oraz budowanie zaufania do krajowego systemu dozoru jądrowego związanego z wdrażaniem nowych technologii. Pracownicy Agencji uczestniczyli w szkoleniach, stażach oraz obserwacjach zagranicznych procesów licencyjnych, co przyczyniło się do podniesienia ich kwalifikacji w tym obszarze. Powołanie </w:t>
      </w:r>
      <w:r w:rsidRPr="00463E36">
        <w:rPr>
          <w:i/>
        </w:rPr>
        <w:t>Zespołu ds. analizy rozwiązań prawnych, organizacyjnych i technicznych związanych z wdrażaniem SMR</w:t>
      </w:r>
      <w:r w:rsidRPr="00463E36">
        <w:t xml:space="preserve"> oraz udział w międzynarodowym projekcie Joint </w:t>
      </w:r>
      <w:proofErr w:type="spellStart"/>
      <w:r w:rsidRPr="00463E36">
        <w:t>Early</w:t>
      </w:r>
      <w:proofErr w:type="spellEnd"/>
      <w:r w:rsidRPr="00463E36">
        <w:t xml:space="preserve"> </w:t>
      </w:r>
      <w:proofErr w:type="spellStart"/>
      <w:r w:rsidRPr="00463E36">
        <w:t>Review</w:t>
      </w:r>
      <w:proofErr w:type="spellEnd"/>
      <w:r w:rsidRPr="00463E36">
        <w:t xml:space="preserve"> świadczą o zaangażowaniu w budowanie kompetencji instytucjonalnych i współpracy międzynarodowej.</w:t>
      </w:r>
    </w:p>
    <w:p w14:paraId="5D9CC368" w14:textId="77777777" w:rsidR="008638F1" w:rsidRPr="00463E36" w:rsidRDefault="008638F1" w:rsidP="008638F1">
      <w:pPr>
        <w:spacing w:before="120" w:after="120" w:line="240" w:lineRule="auto"/>
        <w:ind w:left="567" w:right="567"/>
        <w:rPr>
          <w:sz w:val="16"/>
          <w:szCs w:val="16"/>
        </w:rPr>
      </w:pPr>
      <w:r w:rsidRPr="00463E36">
        <w:rPr>
          <w:sz w:val="16"/>
          <w:szCs w:val="16"/>
        </w:rPr>
        <w:t>W ramach współpracy międzynarodowej związanej z rozwojem technologii SMR podpisano 13 lutego 2023 r. porozumienie pomiędzy Prezesem PAA a Komisją Bezpieczeństwa Jądrowego Kanady</w:t>
      </w:r>
      <w:r w:rsidRPr="00463E36">
        <w:rPr>
          <w:sz w:val="16"/>
          <w:szCs w:val="16"/>
          <w:vertAlign w:val="superscript"/>
        </w:rPr>
        <w:footnoteReference w:id="74"/>
      </w:r>
      <w:r w:rsidRPr="00463E36">
        <w:rPr>
          <w:sz w:val="16"/>
          <w:szCs w:val="16"/>
        </w:rPr>
        <w:t>, będące kontynuacją zawartego 24 września 2014 r. porozumienia o współpracy i wymianie informacji w kwestiach dozoru jądrowego</w:t>
      </w:r>
      <w:r w:rsidRPr="00463E36">
        <w:rPr>
          <w:sz w:val="16"/>
          <w:szCs w:val="16"/>
          <w:vertAlign w:val="superscript"/>
        </w:rPr>
        <w:footnoteReference w:id="75"/>
      </w:r>
      <w:r w:rsidRPr="00463E36">
        <w:rPr>
          <w:sz w:val="16"/>
          <w:szCs w:val="16"/>
        </w:rPr>
        <w:t xml:space="preserve">. Głównym celem porozumienia było wykorzystanie doświadczeń kanadyjskiego dozoru jądrowego, prowadzącego ocenę wniosku na budowę reaktora w technologii SMR w Kanadzie. Kolejno 14 czerwca 2023 r. podpisano warunki realizacji porozumienia o współpracy w sprawie SMR, a następnie powołano </w:t>
      </w:r>
      <w:r w:rsidRPr="00463E36">
        <w:rPr>
          <w:i/>
          <w:sz w:val="16"/>
          <w:szCs w:val="16"/>
        </w:rPr>
        <w:t>Komitet</w:t>
      </w:r>
      <w:r w:rsidRPr="00463E36">
        <w:rPr>
          <w:i/>
          <w:sz w:val="16"/>
          <w:szCs w:val="16"/>
          <w:vertAlign w:val="superscript"/>
        </w:rPr>
        <w:footnoteReference w:id="76"/>
      </w:r>
      <w:r w:rsidRPr="00463E36">
        <w:rPr>
          <w:i/>
          <w:sz w:val="16"/>
          <w:szCs w:val="16"/>
        </w:rPr>
        <w:t xml:space="preserve"> ds. zaawansowanych technologii jądrowych i SMR</w:t>
      </w:r>
      <w:r w:rsidRPr="00463E36">
        <w:rPr>
          <w:sz w:val="16"/>
          <w:szCs w:val="16"/>
        </w:rPr>
        <w:t>. Wyznaczał on kierunki współpracy i monitorował ich realizację, stanowiąc jednocześnie platformę do wymiany informacji między organami dozoru jądrowego.</w:t>
      </w:r>
    </w:p>
    <w:p w14:paraId="62014725" w14:textId="77777777" w:rsidR="008638F1" w:rsidRPr="00463E36" w:rsidRDefault="008638F1" w:rsidP="008638F1">
      <w:pPr>
        <w:spacing w:before="120" w:after="0" w:line="240" w:lineRule="auto"/>
        <w:ind w:left="567" w:right="567"/>
        <w:rPr>
          <w:sz w:val="16"/>
          <w:szCs w:val="16"/>
        </w:rPr>
      </w:pPr>
      <w:r w:rsidRPr="00463E36">
        <w:rPr>
          <w:sz w:val="16"/>
          <w:szCs w:val="16"/>
        </w:rPr>
        <w:t>Zakończono również procedowanie projektu porozumienia w sprawie funkcjonowania systemu koordynacji kontroli i nadzoru nad obiektami jądrowymi</w:t>
      </w:r>
      <w:r w:rsidRPr="00463E36">
        <w:rPr>
          <w:sz w:val="16"/>
          <w:szCs w:val="16"/>
          <w:vertAlign w:val="superscript"/>
        </w:rPr>
        <w:footnoteReference w:id="77"/>
      </w:r>
      <w:r w:rsidRPr="00463E36">
        <w:rPr>
          <w:sz w:val="16"/>
          <w:szCs w:val="16"/>
        </w:rPr>
        <w:t xml:space="preserve"> pomiędzy Prezesem PAA a zobowiązanymi organami i służbami państwowymi</w:t>
      </w:r>
      <w:r w:rsidRPr="00463E36">
        <w:rPr>
          <w:sz w:val="16"/>
          <w:szCs w:val="16"/>
          <w:vertAlign w:val="superscript"/>
        </w:rPr>
        <w:footnoteReference w:id="78"/>
      </w:r>
      <w:r w:rsidRPr="00463E36">
        <w:rPr>
          <w:sz w:val="16"/>
          <w:szCs w:val="16"/>
        </w:rPr>
        <w:t>. W styczniu 2025 r. projekt został uzgodniony przez ww. organy i służby. Podpisanie porozumienia zaplanowano na koniec I kwartału 2025 r. Powołano</w:t>
      </w:r>
      <w:r w:rsidRPr="00463E36">
        <w:rPr>
          <w:sz w:val="16"/>
          <w:szCs w:val="16"/>
          <w:vertAlign w:val="superscript"/>
        </w:rPr>
        <w:footnoteReference w:id="79"/>
      </w:r>
      <w:r w:rsidRPr="00463E36">
        <w:rPr>
          <w:sz w:val="16"/>
          <w:szCs w:val="16"/>
        </w:rPr>
        <w:t xml:space="preserve"> </w:t>
      </w:r>
      <w:r w:rsidRPr="00463E36">
        <w:rPr>
          <w:i/>
          <w:sz w:val="16"/>
          <w:szCs w:val="16"/>
        </w:rPr>
        <w:t xml:space="preserve">Zespół </w:t>
      </w:r>
      <w:r w:rsidRPr="00463E36">
        <w:rPr>
          <w:i/>
          <w:iCs/>
          <w:sz w:val="16"/>
          <w:szCs w:val="16"/>
        </w:rPr>
        <w:t>ds.</w:t>
      </w:r>
      <w:r w:rsidRPr="00463E36">
        <w:rPr>
          <w:i/>
          <w:sz w:val="16"/>
          <w:szCs w:val="16"/>
        </w:rPr>
        <w:t xml:space="preserve"> analizy rozwiązań prawnych, organizacyjnych i technicznych związanych z wdrażaniem w Polsce SMR.</w:t>
      </w:r>
      <w:r w:rsidRPr="00463E36">
        <w:rPr>
          <w:sz w:val="16"/>
          <w:szCs w:val="16"/>
        </w:rPr>
        <w:t xml:space="preserve"> Głównym celem zespołu było ujednolicenie procesów licencyjnych oraz wymagań bezpieczeństwa, a także wspieranie wymiany doświadczeń pomiędzy krajami wdrażającymi reaktory SMR.</w:t>
      </w:r>
    </w:p>
    <w:p w14:paraId="66133287" w14:textId="77777777" w:rsidR="008638F1" w:rsidRPr="00463E36" w:rsidRDefault="008638F1" w:rsidP="008638F1">
      <w:pPr>
        <w:spacing w:before="120" w:after="0" w:line="240" w:lineRule="auto"/>
        <w:ind w:left="567" w:right="567"/>
        <w:rPr>
          <w:sz w:val="16"/>
          <w:szCs w:val="16"/>
        </w:rPr>
      </w:pPr>
      <w:r w:rsidRPr="00463E36">
        <w:rPr>
          <w:sz w:val="16"/>
          <w:szCs w:val="16"/>
        </w:rPr>
        <w:lastRenderedPageBreak/>
        <w:t>Pracownicy PAA aktywnie uczestniczyli w pracach grup roboczych</w:t>
      </w:r>
      <w:r w:rsidRPr="00463E36">
        <w:rPr>
          <w:sz w:val="16"/>
          <w:szCs w:val="16"/>
          <w:vertAlign w:val="superscript"/>
        </w:rPr>
        <w:footnoteReference w:id="80"/>
      </w:r>
      <w:r w:rsidRPr="00463E36">
        <w:rPr>
          <w:sz w:val="16"/>
          <w:szCs w:val="16"/>
        </w:rPr>
        <w:t xml:space="preserve">, brali udział w licznych szkoleniach i stażach stanowiskowych oraz uczestniczyli w obserwacji zagranicznych procesów licencyjnych. W 2023 r. 5, a w 2024 r. 10 pracowników PAA uczestniczyło jako obserwatorzy w procesie licencyjnym wdrożenia reaktora w technologii SMR. Agencja dołączyła również do międzynarodowego projektu Joint </w:t>
      </w:r>
      <w:proofErr w:type="spellStart"/>
      <w:r w:rsidRPr="00463E36">
        <w:rPr>
          <w:sz w:val="16"/>
          <w:szCs w:val="16"/>
        </w:rPr>
        <w:t>Early</w:t>
      </w:r>
      <w:proofErr w:type="spellEnd"/>
      <w:r w:rsidRPr="00463E36">
        <w:rPr>
          <w:sz w:val="16"/>
          <w:szCs w:val="16"/>
        </w:rPr>
        <w:t xml:space="preserve"> </w:t>
      </w:r>
      <w:proofErr w:type="spellStart"/>
      <w:r w:rsidRPr="00463E36">
        <w:rPr>
          <w:sz w:val="16"/>
          <w:szCs w:val="16"/>
        </w:rPr>
        <w:t>Review</w:t>
      </w:r>
      <w:proofErr w:type="spellEnd"/>
      <w:r w:rsidRPr="00463E36">
        <w:rPr>
          <w:sz w:val="16"/>
          <w:szCs w:val="16"/>
        </w:rPr>
        <w:t xml:space="preserve"> dotyczącego wspólnej oceny technologii SMR, prowadzonego przez 6 podmiotów sprawujących dozór jądrowy w Unii Europejskiej. W maju 2023 r. sfinalizowano plan współpracy z amerykańskim dozorem jądrowym w związku z budową pierwszej elektrowni jądrowej w Polsce. Obejmował on m.in. program staży stanowiskowych dla pracowników PAA w latach 2023-2024.</w:t>
      </w:r>
    </w:p>
    <w:p w14:paraId="7F83061F" w14:textId="77777777" w:rsidR="008638F1" w:rsidRPr="00463E36" w:rsidRDefault="008638F1" w:rsidP="008638F1">
      <w:pPr>
        <w:numPr>
          <w:ilvl w:val="0"/>
          <w:numId w:val="5"/>
        </w:numPr>
        <w:suppressAutoHyphens/>
        <w:spacing w:before="120" w:after="120" w:line="240" w:lineRule="auto"/>
        <w:ind w:left="567" w:hanging="340"/>
        <w:rPr>
          <w:rFonts w:cs="Times New Roman"/>
          <w:szCs w:val="20"/>
          <w:u w:val="single"/>
        </w:rPr>
      </w:pPr>
      <w:r w:rsidRPr="00463E36">
        <w:rPr>
          <w:b/>
          <w:szCs w:val="20"/>
          <w:u w:val="single"/>
        </w:rPr>
        <w:t>Prowadzenie polityki kadrowej</w:t>
      </w:r>
    </w:p>
    <w:p w14:paraId="608ED316" w14:textId="77777777" w:rsidR="008638F1" w:rsidRPr="00463E36" w:rsidRDefault="008638F1" w:rsidP="008638F1">
      <w:pPr>
        <w:pStyle w:val="Akapitzlist"/>
        <w:numPr>
          <w:ilvl w:val="0"/>
          <w:numId w:val="6"/>
        </w:numPr>
        <w:spacing w:after="120" w:line="240" w:lineRule="auto"/>
        <w:ind w:left="0" w:firstLine="0"/>
        <w:rPr>
          <w:rFonts w:eastAsia="Times New Roman" w:cs="Times New Roman"/>
          <w:szCs w:val="20"/>
        </w:rPr>
      </w:pPr>
      <w:r w:rsidRPr="00463E36">
        <w:rPr>
          <w:rFonts w:eastAsia="Times New Roman" w:cs="Times New Roman"/>
          <w:b/>
        </w:rPr>
        <w:t xml:space="preserve">[Zasoby kadrowe PAA] </w:t>
      </w:r>
      <w:r w:rsidRPr="00463E36">
        <w:rPr>
          <w:rFonts w:eastAsia="Times New Roman" w:cs="Times New Roman"/>
          <w:bCs/>
          <w:szCs w:val="20"/>
        </w:rPr>
        <w:t>Czynnikiem utrudniającym realizację obowiązków ustawowych Agencji były braki kadrowe (</w:t>
      </w:r>
      <w:r w:rsidRPr="00463E36">
        <w:rPr>
          <w:rFonts w:eastAsia="Times New Roman" w:cs="Times New Roman"/>
          <w:szCs w:val="20"/>
        </w:rPr>
        <w:t>47,75 nieobsadzonych etatów), których nie udało się zaspokoić</w:t>
      </w:r>
      <w:r w:rsidRPr="00463E36">
        <w:rPr>
          <w:rFonts w:eastAsia="Times New Roman" w:cs="Times New Roman"/>
        </w:rPr>
        <w:t xml:space="preserve"> pomimo podejmowania szeregu </w:t>
      </w:r>
      <w:r w:rsidRPr="00463E36">
        <w:t>działań w zakresie rekrutacji oraz promocji zatrudnienia.</w:t>
      </w:r>
      <w:r w:rsidRPr="00463E36">
        <w:rPr>
          <w:szCs w:val="20"/>
        </w:rPr>
        <w:t xml:space="preserve"> Sytuacji nie poprawiło </w:t>
      </w:r>
      <w:r w:rsidRPr="00463E36">
        <w:rPr>
          <w:rFonts w:eastAsia="Times New Roman" w:cs="Times New Roman"/>
        </w:rPr>
        <w:t>wykorzystanie</w:t>
      </w:r>
      <w:r w:rsidRPr="00463E36">
        <w:rPr>
          <w:szCs w:val="20"/>
        </w:rPr>
        <w:t xml:space="preserve"> </w:t>
      </w:r>
      <w:r w:rsidRPr="00463E36">
        <w:t>różnych kanałów komunikacji</w:t>
      </w:r>
      <w:r w:rsidRPr="00463E36">
        <w:rPr>
          <w:szCs w:val="20"/>
        </w:rPr>
        <w:t>,</w:t>
      </w:r>
      <w:r w:rsidRPr="00463E36">
        <w:t xml:space="preserve"> narzędzi wspierających dotarcie do </w:t>
      </w:r>
      <w:r w:rsidRPr="00463E36">
        <w:rPr>
          <w:rFonts w:eastAsia="Times New Roman" w:cs="Times New Roman"/>
        </w:rPr>
        <w:t>szerokiego</w:t>
      </w:r>
      <w:r w:rsidRPr="00463E36">
        <w:rPr>
          <w:rFonts w:eastAsia="Times New Roman" w:cs="Times New Roman"/>
          <w:sz w:val="18"/>
          <w:szCs w:val="18"/>
        </w:rPr>
        <w:t xml:space="preserve"> </w:t>
      </w:r>
      <w:r w:rsidRPr="00463E36">
        <w:rPr>
          <w:szCs w:val="20"/>
        </w:rPr>
        <w:t>grona</w:t>
      </w:r>
      <w:r w:rsidRPr="00463E36">
        <w:rPr>
          <w:sz w:val="18"/>
          <w:szCs w:val="18"/>
        </w:rPr>
        <w:t xml:space="preserve"> </w:t>
      </w:r>
      <w:r w:rsidRPr="00463E36">
        <w:t>kandydatów</w:t>
      </w:r>
      <w:r w:rsidRPr="00463E36">
        <w:rPr>
          <w:szCs w:val="20"/>
        </w:rPr>
        <w:t xml:space="preserve"> </w:t>
      </w:r>
      <w:r w:rsidRPr="00463E36">
        <w:t xml:space="preserve">oraz współpraca z instytucjami edukacyjnymi. Główny problem dotyczył pozyskania specjalistów do realizacji </w:t>
      </w:r>
      <w:r w:rsidRPr="00463E36">
        <w:rPr>
          <w:rFonts w:eastAsia="Times New Roman" w:cs="Times New Roman"/>
        </w:rPr>
        <w:t>PPEJ.</w:t>
      </w:r>
      <w:r w:rsidRPr="00463E36">
        <w:rPr>
          <w:szCs w:val="20"/>
        </w:rPr>
        <w:t xml:space="preserve"> </w:t>
      </w:r>
      <w:r w:rsidRPr="00463E36">
        <w:t>W latach 2023-2024 zakładano systematyczne zwiększanie zatrudnienia, ale nie osiągnięto</w:t>
      </w:r>
      <w:r w:rsidRPr="00463E36">
        <w:rPr>
          <w:szCs w:val="20"/>
        </w:rPr>
        <w:t xml:space="preserve"> </w:t>
      </w:r>
      <w:r w:rsidRPr="00463E36">
        <w:t>zakładanych mierników w tym obszarze</w:t>
      </w:r>
      <w:r w:rsidRPr="00463E36">
        <w:rPr>
          <w:rStyle w:val="Odwoanieprzypisudolnego"/>
        </w:rPr>
        <w:footnoteReference w:id="81"/>
      </w:r>
      <w:r w:rsidRPr="00463E36">
        <w:t>, tj.:</w:t>
      </w:r>
    </w:p>
    <w:p w14:paraId="6244EEB2" w14:textId="40F9F447" w:rsidR="008638F1" w:rsidRPr="00463E36" w:rsidRDefault="008638F1" w:rsidP="008638F1">
      <w:pPr>
        <w:pStyle w:val="Akapitzlist"/>
        <w:numPr>
          <w:ilvl w:val="0"/>
          <w:numId w:val="11"/>
        </w:numPr>
        <w:spacing w:after="0" w:line="240" w:lineRule="auto"/>
        <w:ind w:left="426" w:hanging="284"/>
        <w:rPr>
          <w:rFonts w:eastAsia="Times New Roman" w:cs="Times New Roman"/>
          <w:b/>
          <w:szCs w:val="20"/>
        </w:rPr>
      </w:pPr>
      <w:r w:rsidRPr="00463E36">
        <w:t xml:space="preserve">na 1 stycznia 2023 r. zwiększono zatrudnienie </w:t>
      </w:r>
      <w:r w:rsidR="00915891" w:rsidRPr="00463E36">
        <w:t>d</w:t>
      </w:r>
      <w:r w:rsidRPr="00463E36">
        <w:t>o 53,9 etatu przy planowanym poziome 61,6 (87% planu</w:t>
      </w:r>
      <w:r w:rsidRPr="00463E36">
        <w:rPr>
          <w:szCs w:val="20"/>
        </w:rPr>
        <w:t>)</w:t>
      </w:r>
      <w:r w:rsidRPr="00463E36">
        <w:t>;</w:t>
      </w:r>
    </w:p>
    <w:p w14:paraId="09861E99" w14:textId="77777777" w:rsidR="008638F1" w:rsidRPr="00463E36" w:rsidRDefault="008638F1" w:rsidP="008638F1">
      <w:pPr>
        <w:pStyle w:val="Akapitzlist"/>
        <w:numPr>
          <w:ilvl w:val="0"/>
          <w:numId w:val="11"/>
        </w:numPr>
        <w:spacing w:before="120" w:after="0" w:line="240" w:lineRule="auto"/>
        <w:ind w:left="426" w:hanging="284"/>
        <w:rPr>
          <w:rFonts w:eastAsia="Times New Roman" w:cs="Times New Roman"/>
          <w:b/>
          <w:szCs w:val="20"/>
        </w:rPr>
      </w:pPr>
      <w:r w:rsidRPr="00463E36">
        <w:t>na 31 grudnia 2023 r. zwiększono zatrudnienie</w:t>
      </w:r>
      <w:r w:rsidRPr="00463E36">
        <w:rPr>
          <w:szCs w:val="20"/>
        </w:rPr>
        <w:t xml:space="preserve"> </w:t>
      </w:r>
      <w:r w:rsidRPr="00463E36">
        <w:t>do</w:t>
      </w:r>
      <w:r w:rsidRPr="00463E36">
        <w:rPr>
          <w:szCs w:val="20"/>
        </w:rPr>
        <w:t xml:space="preserve"> </w:t>
      </w:r>
      <w:r w:rsidRPr="00463E36">
        <w:t>65,1 etatu przy planowanym 85,5</w:t>
      </w:r>
      <w:r w:rsidRPr="00463E36">
        <w:rPr>
          <w:szCs w:val="20"/>
        </w:rPr>
        <w:t xml:space="preserve"> (</w:t>
      </w:r>
      <w:r w:rsidRPr="00463E36">
        <w:t>76%);</w:t>
      </w:r>
    </w:p>
    <w:p w14:paraId="795097B0" w14:textId="73FB1638" w:rsidR="008638F1" w:rsidRPr="00463E36" w:rsidRDefault="008638F1" w:rsidP="008638F1">
      <w:pPr>
        <w:pStyle w:val="Akapitzlist"/>
        <w:numPr>
          <w:ilvl w:val="0"/>
          <w:numId w:val="11"/>
        </w:numPr>
        <w:spacing w:before="120" w:after="0" w:line="240" w:lineRule="auto"/>
        <w:ind w:left="426" w:hanging="284"/>
        <w:rPr>
          <w:rFonts w:eastAsia="Times New Roman" w:cs="Times New Roman"/>
          <w:b/>
          <w:szCs w:val="20"/>
        </w:rPr>
      </w:pPr>
      <w:r w:rsidRPr="00463E36">
        <w:t xml:space="preserve">na 31 grudnia 2024 r. zwiększono zatrudnienie </w:t>
      </w:r>
      <w:r w:rsidR="00915891" w:rsidRPr="00463E36">
        <w:t>d</w:t>
      </w:r>
      <w:r w:rsidRPr="00463E36">
        <w:t>o 69,75 etatu przy planowanych 85,8</w:t>
      </w:r>
      <w:r w:rsidRPr="00463E36">
        <w:rPr>
          <w:szCs w:val="20"/>
        </w:rPr>
        <w:t> (</w:t>
      </w:r>
      <w:r w:rsidRPr="00463E36">
        <w:t>81%)</w:t>
      </w:r>
      <w:r w:rsidRPr="00463E36">
        <w:rPr>
          <w:szCs w:val="20"/>
        </w:rPr>
        <w:t xml:space="preserve">. </w:t>
      </w:r>
    </w:p>
    <w:p w14:paraId="23D83F6A" w14:textId="77777777" w:rsidR="008638F1" w:rsidRPr="00463E36" w:rsidRDefault="008638F1" w:rsidP="008638F1">
      <w:pPr>
        <w:spacing w:after="0" w:line="240" w:lineRule="auto"/>
        <w:rPr>
          <w:rFonts w:eastAsia="Times New Roman" w:cs="Times New Roman"/>
          <w:b/>
          <w:szCs w:val="20"/>
        </w:rPr>
      </w:pPr>
      <w:r w:rsidRPr="00463E36">
        <w:t>Trudności w pozyskaniu odpowiednich kandydatów wynikały z ograniczonej liczby specjalistów na rynku pracy, braku rozwiniętej branży energetyki jądrowej w Polsce, konkurencji ze strony firm inwestujących w energetykę jądrową, różnic płacowych pomiędzy sektorem prywatnym a administracją publiczną.</w:t>
      </w:r>
    </w:p>
    <w:p w14:paraId="3A057E61" w14:textId="77777777" w:rsidR="008638F1" w:rsidRPr="00463E36" w:rsidRDefault="008638F1" w:rsidP="008638F1">
      <w:pPr>
        <w:spacing w:before="120" w:after="120" w:line="240" w:lineRule="auto"/>
        <w:ind w:left="567" w:right="567"/>
        <w:rPr>
          <w:sz w:val="16"/>
          <w:szCs w:val="16"/>
        </w:rPr>
      </w:pPr>
      <w:r w:rsidRPr="00463E36">
        <w:rPr>
          <w:sz w:val="16"/>
          <w:szCs w:val="16"/>
        </w:rPr>
        <w:t>Na koniec 2023 r. zatrudnionych było 146</w:t>
      </w:r>
      <w:r w:rsidRPr="00463E36">
        <w:rPr>
          <w:sz w:val="16"/>
          <w:szCs w:val="16"/>
          <w:vertAlign w:val="superscript"/>
        </w:rPr>
        <w:footnoteReference w:id="82"/>
      </w:r>
      <w:r w:rsidRPr="00463E36">
        <w:rPr>
          <w:sz w:val="16"/>
          <w:szCs w:val="16"/>
        </w:rPr>
        <w:t xml:space="preserve"> pracowników, a na koniec 2024 r. 163</w:t>
      </w:r>
      <w:r w:rsidRPr="00463E36">
        <w:rPr>
          <w:sz w:val="16"/>
          <w:szCs w:val="16"/>
          <w:vertAlign w:val="superscript"/>
        </w:rPr>
        <w:footnoteReference w:id="83"/>
      </w:r>
      <w:r w:rsidRPr="00463E36">
        <w:rPr>
          <w:sz w:val="16"/>
          <w:szCs w:val="16"/>
        </w:rPr>
        <w:t xml:space="preserve"> pracowników, co stanowi wzrost liczby zatrudnionych o 10,4% w stosunku do poprzedniego roku. Według stanu na 11 marca 2025 r. w PAA zatrudnionych było 167</w:t>
      </w:r>
      <w:r w:rsidRPr="00463E36">
        <w:rPr>
          <w:sz w:val="16"/>
          <w:szCs w:val="16"/>
          <w:vertAlign w:val="superscript"/>
        </w:rPr>
        <w:footnoteReference w:id="84"/>
      </w:r>
      <w:r w:rsidRPr="00463E36">
        <w:rPr>
          <w:sz w:val="16"/>
          <w:szCs w:val="16"/>
        </w:rPr>
        <w:t xml:space="preserve"> pracowników. W badanym okresie stosunek pracy rozwiązało 37 pracowników, z czego w 2023 r. – 21 osób, w 2024 r. – 14 osób, a w 2025 – 2 osoby. Najwięcej osób odchodziło z komórek realizujących zadania w zakresie bezpieczeństwa jądrowego i ochrony radiologicznej, bo aż 14 (DBJ - 7 i DOR - 5, CEZAR - 3). Na 11 marca 2025 r. w PAA pozostawało 47,75 nieobsadzonych etatów.</w:t>
      </w:r>
    </w:p>
    <w:p w14:paraId="7FCE23E7" w14:textId="77777777" w:rsidR="008638F1" w:rsidRPr="00463E36" w:rsidRDefault="008638F1" w:rsidP="008638F1">
      <w:pPr>
        <w:spacing w:after="120" w:line="240" w:lineRule="auto"/>
        <w:ind w:left="567" w:right="567"/>
        <w:rPr>
          <w:sz w:val="16"/>
          <w:szCs w:val="16"/>
        </w:rPr>
      </w:pPr>
      <w:r w:rsidRPr="00463E36">
        <w:rPr>
          <w:rFonts w:eastAsia="Times New Roman" w:cs="Times New Roman"/>
          <w:sz w:val="16"/>
          <w:szCs w:val="16"/>
        </w:rPr>
        <w:t>PAA opracowała</w:t>
      </w:r>
      <w:r w:rsidRPr="00463E36">
        <w:rPr>
          <w:rFonts w:eastAsia="Times New Roman" w:cs="Times New Roman"/>
          <w:bCs/>
          <w:sz w:val="16"/>
          <w:szCs w:val="16"/>
        </w:rPr>
        <w:t xml:space="preserve"> plany zatrudnienia </w:t>
      </w:r>
      <w:r w:rsidRPr="00463E36">
        <w:rPr>
          <w:sz w:val="16"/>
          <w:szCs w:val="16"/>
        </w:rPr>
        <w:t xml:space="preserve">na lata 2023–2025 </w:t>
      </w:r>
      <w:r w:rsidRPr="00463E36">
        <w:rPr>
          <w:rFonts w:eastAsia="Lato" w:cs="Lato"/>
          <w:sz w:val="16"/>
          <w:szCs w:val="16"/>
        </w:rPr>
        <w:t>przygotowane na podstawie analiz potrzeb kadrowych sporządzonych przez kierowników komórek organizacyjnych.</w:t>
      </w:r>
      <w:r w:rsidRPr="00463E36">
        <w:rPr>
          <w:rFonts w:eastAsia="Times New Roman" w:cs="Times New Roman"/>
          <w:sz w:val="16"/>
          <w:szCs w:val="16"/>
        </w:rPr>
        <w:t xml:space="preserve"> </w:t>
      </w:r>
      <w:r w:rsidRPr="00463E36">
        <w:rPr>
          <w:rFonts w:eastAsia="Lato" w:cs="Lato"/>
          <w:sz w:val="16"/>
          <w:szCs w:val="16"/>
        </w:rPr>
        <w:t>Uwzględniono w nich nowe etaty oraz potrzeby wynikające z rozwoju sektora energetyki jądrowej, w tym wdrożenia technologii SMR i realizacji PPEJ</w:t>
      </w:r>
      <w:r w:rsidRPr="00463E36">
        <w:rPr>
          <w:rFonts w:eastAsia="Segoe UI" w:cs="Segoe UI"/>
          <w:sz w:val="16"/>
          <w:szCs w:val="16"/>
        </w:rPr>
        <w:t xml:space="preserve">. </w:t>
      </w:r>
      <w:r w:rsidRPr="00463E36">
        <w:rPr>
          <w:sz w:val="16"/>
          <w:szCs w:val="16"/>
        </w:rPr>
        <w:t>Plany zatrudnienia określały liczbę osób oraz wymagane kompetencje i doświadczenie związane z wdrożeniem SMR oraz PPEJ. Zgodnie z nimi w 2023 r. przewidziano do zatrudnienia 57 nowych pracowników, a w roku 2024 przyjęcie kolejnych 53 (łącznie 110 pracowników). W okresie od 1 stycznia 2023 r. do 11 marca 2025 r. zatrudniono 73 pracowników (w DOR – 9, DBJ- 22, CEZAR - 12), w tym 61</w:t>
      </w:r>
      <w:r w:rsidRPr="00463E36">
        <w:rPr>
          <w:sz w:val="16"/>
          <w:szCs w:val="16"/>
          <w:vertAlign w:val="superscript"/>
        </w:rPr>
        <w:footnoteReference w:id="85"/>
      </w:r>
      <w:r w:rsidRPr="00463E36">
        <w:rPr>
          <w:sz w:val="16"/>
          <w:szCs w:val="16"/>
        </w:rPr>
        <w:t xml:space="preserve"> pracowników w ramach naborów.</w:t>
      </w:r>
    </w:p>
    <w:p w14:paraId="22445EDD" w14:textId="77777777" w:rsidR="008638F1" w:rsidRPr="00463E36" w:rsidRDefault="008638F1" w:rsidP="008638F1">
      <w:pPr>
        <w:suppressAutoHyphens/>
        <w:spacing w:after="0" w:line="240" w:lineRule="auto"/>
        <w:ind w:left="567" w:right="567"/>
        <w:rPr>
          <w:sz w:val="16"/>
          <w:szCs w:val="16"/>
        </w:rPr>
      </w:pPr>
      <w:r w:rsidRPr="00463E36">
        <w:rPr>
          <w:sz w:val="16"/>
          <w:szCs w:val="16"/>
        </w:rPr>
        <w:t>W latach 2023 –2025 Agencja podejmowała działania mające na celu przygotowanie kadrowe do realizacji zadań, poprzez:</w:t>
      </w:r>
    </w:p>
    <w:p w14:paraId="33F80732" w14:textId="77777777" w:rsidR="008638F1" w:rsidRPr="00463E36" w:rsidRDefault="008638F1" w:rsidP="008638F1">
      <w:pPr>
        <w:numPr>
          <w:ilvl w:val="0"/>
          <w:numId w:val="10"/>
        </w:numPr>
        <w:suppressAutoHyphens/>
        <w:spacing w:after="0" w:line="240" w:lineRule="auto"/>
        <w:ind w:left="993" w:right="567" w:hanging="284"/>
        <w:contextualSpacing/>
        <w:rPr>
          <w:sz w:val="16"/>
          <w:szCs w:val="16"/>
        </w:rPr>
      </w:pPr>
      <w:r w:rsidRPr="00463E36">
        <w:rPr>
          <w:sz w:val="16"/>
          <w:szCs w:val="16"/>
        </w:rPr>
        <w:t>publikację ogłoszeń o pracę na stronie PAA, portalu naborów KPRM, na stronach rekrutacyjnych;</w:t>
      </w:r>
    </w:p>
    <w:p w14:paraId="4D38EADF" w14:textId="77777777" w:rsidR="008638F1" w:rsidRPr="00463E36" w:rsidRDefault="008638F1" w:rsidP="008638F1">
      <w:pPr>
        <w:numPr>
          <w:ilvl w:val="0"/>
          <w:numId w:val="10"/>
        </w:numPr>
        <w:suppressAutoHyphens/>
        <w:spacing w:after="0" w:line="240" w:lineRule="auto"/>
        <w:ind w:left="993" w:right="567" w:hanging="284"/>
        <w:contextualSpacing/>
        <w:rPr>
          <w:sz w:val="16"/>
          <w:szCs w:val="16"/>
        </w:rPr>
      </w:pPr>
      <w:r w:rsidRPr="00463E36">
        <w:rPr>
          <w:sz w:val="16"/>
          <w:szCs w:val="16"/>
        </w:rPr>
        <w:lastRenderedPageBreak/>
        <w:t>prowadzenie wykładów i zajęć pokazowych, promujących Agencję jako przyszłego pracodawcę wśród studentów kierunków technicznych;</w:t>
      </w:r>
    </w:p>
    <w:p w14:paraId="1B974175" w14:textId="77777777" w:rsidR="008638F1" w:rsidRPr="00463E36" w:rsidRDefault="008638F1" w:rsidP="008638F1">
      <w:pPr>
        <w:numPr>
          <w:ilvl w:val="0"/>
          <w:numId w:val="10"/>
        </w:numPr>
        <w:suppressAutoHyphens/>
        <w:spacing w:after="0" w:line="240" w:lineRule="auto"/>
        <w:ind w:left="993" w:right="567" w:hanging="284"/>
        <w:contextualSpacing/>
        <w:rPr>
          <w:sz w:val="16"/>
          <w:szCs w:val="16"/>
        </w:rPr>
      </w:pPr>
      <w:r w:rsidRPr="00463E36">
        <w:rPr>
          <w:sz w:val="16"/>
          <w:szCs w:val="16"/>
        </w:rPr>
        <w:t>prowadzenie profilu na LinkedIn, zawierającego treści edukacyjne i informacje o działaniach Agencji;</w:t>
      </w:r>
    </w:p>
    <w:p w14:paraId="14B6F42E" w14:textId="77777777" w:rsidR="008638F1" w:rsidRPr="00463E36" w:rsidRDefault="008638F1" w:rsidP="008638F1">
      <w:pPr>
        <w:numPr>
          <w:ilvl w:val="0"/>
          <w:numId w:val="10"/>
        </w:numPr>
        <w:suppressAutoHyphens/>
        <w:spacing w:after="0" w:line="240" w:lineRule="auto"/>
        <w:ind w:left="993" w:right="567" w:hanging="284"/>
        <w:rPr>
          <w:sz w:val="16"/>
          <w:szCs w:val="16"/>
        </w:rPr>
      </w:pPr>
      <w:r w:rsidRPr="00463E36">
        <w:rPr>
          <w:sz w:val="16"/>
          <w:szCs w:val="16"/>
        </w:rPr>
        <w:t>uczestniczenie w wydarzeniach branżowych i akademickich oraz targach pracy, promujących zatrudnienie;</w:t>
      </w:r>
    </w:p>
    <w:p w14:paraId="49C257E9" w14:textId="77777777" w:rsidR="008638F1" w:rsidRPr="00463E36" w:rsidRDefault="008638F1" w:rsidP="008638F1">
      <w:pPr>
        <w:numPr>
          <w:ilvl w:val="0"/>
          <w:numId w:val="10"/>
        </w:numPr>
        <w:suppressAutoHyphens/>
        <w:spacing w:after="0" w:line="240" w:lineRule="auto"/>
        <w:ind w:left="993" w:right="567" w:hanging="284"/>
        <w:rPr>
          <w:sz w:val="16"/>
          <w:szCs w:val="16"/>
        </w:rPr>
      </w:pPr>
      <w:r w:rsidRPr="00463E36">
        <w:rPr>
          <w:sz w:val="16"/>
          <w:szCs w:val="16"/>
        </w:rPr>
        <w:t>współpracę z instytucjami edukacyjnymi w celu zwiększenia podaży specjalistów na rynku pracy.</w:t>
      </w:r>
    </w:p>
    <w:p w14:paraId="3FB35F42" w14:textId="77777777" w:rsidR="008638F1" w:rsidRPr="00463E36" w:rsidRDefault="008638F1" w:rsidP="008638F1">
      <w:pPr>
        <w:spacing w:before="120" w:after="120" w:line="240" w:lineRule="auto"/>
        <w:ind w:left="567" w:right="565"/>
        <w:rPr>
          <w:bCs/>
          <w:sz w:val="16"/>
          <w:szCs w:val="16"/>
        </w:rPr>
      </w:pPr>
      <w:r w:rsidRPr="00463E36">
        <w:rPr>
          <w:sz w:val="16"/>
          <w:szCs w:val="16"/>
        </w:rPr>
        <w:t>Prezes PAA wskazał</w:t>
      </w:r>
      <w:bookmarkStart w:id="5" w:name="_Ref204759841"/>
      <w:r w:rsidRPr="00463E36">
        <w:rPr>
          <w:sz w:val="16"/>
          <w:szCs w:val="16"/>
          <w:vertAlign w:val="superscript"/>
        </w:rPr>
        <w:footnoteReference w:id="86"/>
      </w:r>
      <w:bookmarkEnd w:id="5"/>
      <w:r w:rsidRPr="00463E36">
        <w:rPr>
          <w:sz w:val="16"/>
          <w:szCs w:val="16"/>
        </w:rPr>
        <w:t>, że trudności w realizacji planu zatrudnienia wynikały z ograniczonej liczby specjalistów w dziedzinie energetyki jądrowej, co jest efektem słabo rozwiniętej branży w Polsce. Pomimo wielokrotnie ponawianych rekrutacji, nie udawało się wyłonić kandydatów. Dodatkowym wyzwaniem była konkurencja ze strony sektora prywatnego oraz znaczne różnice płacowe między administracją publiczną, a rynkiem komercyjnym.</w:t>
      </w:r>
    </w:p>
    <w:p w14:paraId="5F5A4A1B" w14:textId="77777777" w:rsidR="008638F1" w:rsidRPr="00463E36" w:rsidRDefault="008638F1" w:rsidP="00EE50C9">
      <w:pPr>
        <w:spacing w:after="120" w:line="240" w:lineRule="auto"/>
        <w:ind w:left="567" w:right="567"/>
        <w:rPr>
          <w:sz w:val="16"/>
          <w:szCs w:val="16"/>
        </w:rPr>
      </w:pPr>
      <w:r w:rsidRPr="00463E36">
        <w:rPr>
          <w:sz w:val="16"/>
          <w:szCs w:val="16"/>
        </w:rPr>
        <w:t>Prezes PAA wyjaśnił</w:t>
      </w:r>
      <w:r w:rsidRPr="00463E36">
        <w:rPr>
          <w:sz w:val="16"/>
          <w:szCs w:val="16"/>
          <w:vertAlign w:val="superscript"/>
        </w:rPr>
        <w:fldChar w:fldCharType="begin"/>
      </w:r>
      <w:r w:rsidRPr="00463E36">
        <w:rPr>
          <w:sz w:val="16"/>
          <w:szCs w:val="16"/>
          <w:vertAlign w:val="superscript"/>
        </w:rPr>
        <w:instrText xml:space="preserve"> NOTEREF _Ref204759841 \h  \* MERGEFORMAT </w:instrText>
      </w:r>
      <w:r w:rsidRPr="00463E36">
        <w:rPr>
          <w:sz w:val="16"/>
          <w:szCs w:val="16"/>
          <w:vertAlign w:val="superscript"/>
        </w:rPr>
      </w:r>
      <w:r w:rsidRPr="00463E36">
        <w:rPr>
          <w:sz w:val="16"/>
          <w:szCs w:val="16"/>
          <w:vertAlign w:val="superscript"/>
        </w:rPr>
        <w:fldChar w:fldCharType="separate"/>
      </w:r>
      <w:r w:rsidRPr="00463E36">
        <w:rPr>
          <w:sz w:val="16"/>
          <w:szCs w:val="16"/>
          <w:vertAlign w:val="superscript"/>
        </w:rPr>
        <w:t>88</w:t>
      </w:r>
      <w:r w:rsidRPr="00463E36">
        <w:rPr>
          <w:sz w:val="16"/>
          <w:szCs w:val="16"/>
          <w:vertAlign w:val="superscript"/>
        </w:rPr>
        <w:fldChar w:fldCharType="end"/>
      </w:r>
      <w:r w:rsidRPr="00463E36">
        <w:rPr>
          <w:sz w:val="16"/>
          <w:szCs w:val="16"/>
        </w:rPr>
        <w:t>, że mając na uwadze opóźnienia po stronie inwestora pierwszej elektrowni jądrowej, uzyskany poziom zatrudnienia umożliwił realizację zadań wynikających z zawansowania realizacji PPEJ.</w:t>
      </w:r>
    </w:p>
    <w:p w14:paraId="3096086A" w14:textId="77777777" w:rsidR="008638F1" w:rsidRPr="00463E36" w:rsidRDefault="008638F1" w:rsidP="008638F1">
      <w:pPr>
        <w:spacing w:line="240" w:lineRule="auto"/>
      </w:pPr>
      <w:r w:rsidRPr="00463E36">
        <w:t>Biorąc pod uwagę znaczące trudności w pozyskaniu specjalistów do realizacji PPEJ, wskazane jest zintensyfikowanie działań ukierunkowanych na budowanie specjalistycznego zespołu, m.in. poprzez rozwijanie programów partnerskich, wdrażanie dodatkowych rozwiązań w zakresie polityki motywacyjnej oraz zwiększenie wykorzystania potencjału współpracy międzynarodowej.</w:t>
      </w:r>
    </w:p>
    <w:p w14:paraId="06CDA0D4" w14:textId="77777777" w:rsidR="008638F1" w:rsidRPr="00463E36" w:rsidRDefault="008638F1" w:rsidP="008638F1">
      <w:pPr>
        <w:numPr>
          <w:ilvl w:val="0"/>
          <w:numId w:val="6"/>
        </w:numPr>
        <w:spacing w:after="120" w:line="240" w:lineRule="auto"/>
        <w:ind w:left="0" w:firstLine="0"/>
        <w:contextualSpacing/>
      </w:pPr>
      <w:r w:rsidRPr="00463E36">
        <w:rPr>
          <w:b/>
          <w:bCs/>
        </w:rPr>
        <w:t xml:space="preserve">[Rozbudowa kompetencji w ramach realizacji </w:t>
      </w:r>
      <w:r w:rsidRPr="00463E36">
        <w:rPr>
          <w:b/>
        </w:rPr>
        <w:t>PPEJ</w:t>
      </w:r>
      <w:r w:rsidRPr="00463E36">
        <w:rPr>
          <w:b/>
          <w:bCs/>
        </w:rPr>
        <w:t>]</w:t>
      </w:r>
      <w:r w:rsidRPr="00463E36">
        <w:rPr>
          <w:bCs/>
        </w:rPr>
        <w:t xml:space="preserve"> </w:t>
      </w:r>
      <w:r w:rsidRPr="00463E36">
        <w:t>PAA zrealizowała zakładany w PPEJ miernik w zakresie podnoszenia kompetencji pracowników. W 2023 r. planowano 1480 osobodni szkoleniowych, a zrealizowano 1498 (101%). W 2024 r. planowano 1560 osobodni szkoleniowych, a zrealizowano 2088 (134%). PAA zapewniała rozwój zawodowy pracowników, w tym m.in. poprzez umożliwienie im uczestnictwa w kursach i stażach zagranicznych.</w:t>
      </w:r>
    </w:p>
    <w:p w14:paraId="199FA216" w14:textId="77777777" w:rsidR="008638F1" w:rsidRPr="00463E36" w:rsidRDefault="008638F1" w:rsidP="008638F1">
      <w:pPr>
        <w:spacing w:before="100" w:beforeAutospacing="1" w:after="120" w:line="240" w:lineRule="auto"/>
        <w:ind w:left="567" w:right="567"/>
        <w:rPr>
          <w:sz w:val="16"/>
          <w:szCs w:val="16"/>
        </w:rPr>
      </w:pPr>
      <w:r w:rsidRPr="00463E36">
        <w:rPr>
          <w:sz w:val="16"/>
          <w:szCs w:val="16"/>
        </w:rPr>
        <w:t>PAA angażowała się w międzynarodową współpracę w zakresie szkolenia i wymiany doświadczeń specjalistów, biorąc udział w projektach i ćwiczeniach realizowanych wspólnie z organizacjami międzynarodowymi. Brała również czynny udział w szkoleniach i ćwiczeniach przeprowadzanych przez krajowe instytucje. Łącznie w latach 2023-2024 uczestniczyła w 76 ćwiczeniach zarówno z krajowymi, jak i międzynarodowymi podmiotami.</w:t>
      </w:r>
    </w:p>
    <w:p w14:paraId="1C19DAE5" w14:textId="428FD510" w:rsidR="008638F1" w:rsidRPr="00463E36" w:rsidRDefault="008638F1" w:rsidP="006D6606">
      <w:pPr>
        <w:spacing w:after="0" w:line="240" w:lineRule="auto"/>
        <w:ind w:left="567" w:right="567"/>
        <w:rPr>
          <w:sz w:val="16"/>
          <w:szCs w:val="16"/>
        </w:rPr>
      </w:pPr>
      <w:r w:rsidRPr="00463E36">
        <w:rPr>
          <w:sz w:val="16"/>
          <w:szCs w:val="16"/>
        </w:rPr>
        <w:t>Opracowano kompleksowe programy rozwoju zawodowego, w tym dla pracowników PPEJ. Programy obejmowały: indywidualne programy rozwoju zawodowego (IPRZ), profilowanie kompetencyjne, szczegółowe bilanse kompetencyjne dla pracowników. Pracownicy PAA mieli dostęp do specjalistycznych szkoleń krajowych i zagranicznych. Szkolenia obejmowały kursy związane z dozorem jądrowym, ochroną radiologiczną oraz technologiami jądrowymi.</w:t>
      </w:r>
    </w:p>
    <w:p w14:paraId="26EF3FCF" w14:textId="77777777" w:rsidR="008638F1" w:rsidRPr="00463E36" w:rsidRDefault="008638F1" w:rsidP="008638F1">
      <w:pPr>
        <w:numPr>
          <w:ilvl w:val="0"/>
          <w:numId w:val="6"/>
        </w:numPr>
        <w:suppressAutoHyphens/>
        <w:spacing w:before="120" w:after="120" w:line="240" w:lineRule="auto"/>
        <w:ind w:left="0" w:firstLine="0"/>
        <w:rPr>
          <w:rFonts w:eastAsia="Times New Roman" w:cs="Times New Roman"/>
        </w:rPr>
      </w:pPr>
      <w:r w:rsidRPr="00463E36">
        <w:rPr>
          <w:b/>
        </w:rPr>
        <w:t xml:space="preserve">[Regulacje wewnętrzne </w:t>
      </w:r>
      <w:r w:rsidRPr="00463E36">
        <w:rPr>
          <w:b/>
          <w:bCs/>
        </w:rPr>
        <w:t>dot.</w:t>
      </w:r>
      <w:r w:rsidRPr="00463E36">
        <w:rPr>
          <w:b/>
        </w:rPr>
        <w:t xml:space="preserve"> polityki kadrowej]</w:t>
      </w:r>
      <w:r w:rsidRPr="00463E36">
        <w:rPr>
          <w:b/>
          <w:bCs/>
        </w:rPr>
        <w:t xml:space="preserve"> </w:t>
      </w:r>
      <w:r w:rsidRPr="00463E36">
        <w:t xml:space="preserve">Agencja wdrożyła </w:t>
      </w:r>
      <w:r w:rsidRPr="00463E36">
        <w:rPr>
          <w:rFonts w:eastAsia="Times New Roman" w:cs="Times New Roman"/>
        </w:rPr>
        <w:t>przejrzyste regulacje dotyczące naboru na stanowiska, zarówno w służbie cywilnej, jak i poza nią, w tym na wyższe stanowisko państwowe (wiceprezes). Wprowadzono zasady przyznawania nagród, dodatków i premii, zapewniające przejrzystość i jednolitość w zakresie polityki motywacyjnej. Wdrożenie tych regulacji wspierało obszar zarządzania kadrami.</w:t>
      </w:r>
    </w:p>
    <w:p w14:paraId="436FC004" w14:textId="77777777" w:rsidR="008638F1" w:rsidRPr="00463E36" w:rsidRDefault="008638F1" w:rsidP="008638F1">
      <w:pPr>
        <w:suppressAutoHyphens/>
        <w:spacing w:before="120" w:after="120" w:line="240" w:lineRule="auto"/>
        <w:ind w:left="567" w:right="567"/>
        <w:rPr>
          <w:sz w:val="16"/>
          <w:szCs w:val="16"/>
        </w:rPr>
      </w:pPr>
      <w:bookmarkStart w:id="6" w:name="_Hlk203135543"/>
      <w:r w:rsidRPr="00463E36">
        <w:rPr>
          <w:sz w:val="16"/>
          <w:szCs w:val="16"/>
        </w:rPr>
        <w:t>W Agencji wdrożono wewnętrzne regulacje dot. prowadzenia naborów na wolne stanowiska, obejmujące zarówno stanowiska w służbie cywilnej, jak i poza nią</w:t>
      </w:r>
      <w:r w:rsidRPr="00463E36">
        <w:rPr>
          <w:sz w:val="16"/>
          <w:szCs w:val="16"/>
          <w:vertAlign w:val="superscript"/>
        </w:rPr>
        <w:footnoteReference w:id="87"/>
      </w:r>
      <w:r w:rsidRPr="00463E36">
        <w:rPr>
          <w:sz w:val="16"/>
          <w:szCs w:val="16"/>
        </w:rPr>
        <w:t>. Nabór na wyższe stanowiska państwowe (prezesa i wiceprezesa) prowadzony był w oparciu o przepisy ustawy Prawo atomowe</w:t>
      </w:r>
      <w:r w:rsidRPr="00463E36">
        <w:rPr>
          <w:sz w:val="16"/>
          <w:szCs w:val="16"/>
          <w:vertAlign w:val="superscript"/>
        </w:rPr>
        <w:footnoteReference w:id="88"/>
      </w:r>
      <w:r w:rsidRPr="00463E36">
        <w:rPr>
          <w:sz w:val="16"/>
          <w:szCs w:val="16"/>
        </w:rPr>
        <w:t>, a wyłonienie kandydata na wiceprezesa odbywało się z zastosowaniem wewnętrznej procedury.</w:t>
      </w:r>
    </w:p>
    <w:p w14:paraId="31262ECC" w14:textId="55DC0E2B" w:rsidR="008638F1" w:rsidRPr="00463E36" w:rsidRDefault="008638F1" w:rsidP="008638F1">
      <w:pPr>
        <w:suppressAutoHyphens/>
        <w:spacing w:after="0" w:line="240" w:lineRule="auto"/>
        <w:ind w:left="567" w:right="567"/>
        <w:rPr>
          <w:sz w:val="16"/>
          <w:szCs w:val="16"/>
        </w:rPr>
      </w:pPr>
      <w:r w:rsidRPr="00463E36">
        <w:rPr>
          <w:sz w:val="16"/>
          <w:szCs w:val="16"/>
        </w:rPr>
        <w:lastRenderedPageBreak/>
        <w:t>Wprowadzono regulacje dotyczące przyznawania nagród, dodatków oraz innych świadczeń pieniężnych dla członków korpusu służby cywilnej</w:t>
      </w:r>
      <w:r w:rsidRPr="00463E36">
        <w:rPr>
          <w:sz w:val="16"/>
          <w:szCs w:val="16"/>
          <w:vertAlign w:val="superscript"/>
        </w:rPr>
        <w:footnoteReference w:id="89"/>
      </w:r>
      <w:r w:rsidRPr="00463E36">
        <w:rPr>
          <w:sz w:val="16"/>
          <w:szCs w:val="16"/>
        </w:rPr>
        <w:t xml:space="preserve"> oraz pracowników spoza </w:t>
      </w:r>
      <w:bookmarkEnd w:id="6"/>
      <w:r w:rsidRPr="00463E36">
        <w:rPr>
          <w:sz w:val="16"/>
          <w:szCs w:val="16"/>
        </w:rPr>
        <w:t>tego korpusu</w:t>
      </w:r>
      <w:r w:rsidRPr="00463E36">
        <w:rPr>
          <w:sz w:val="16"/>
          <w:szCs w:val="16"/>
          <w:vertAlign w:val="superscript"/>
        </w:rPr>
        <w:footnoteReference w:id="90"/>
      </w:r>
      <w:r w:rsidRPr="00463E36">
        <w:rPr>
          <w:sz w:val="16"/>
          <w:szCs w:val="16"/>
        </w:rPr>
        <w:t>.</w:t>
      </w:r>
    </w:p>
    <w:p w14:paraId="20DE1DAE" w14:textId="3906C286" w:rsidR="008638F1" w:rsidRPr="00463E36" w:rsidRDefault="008638F1" w:rsidP="00B13474">
      <w:pPr>
        <w:numPr>
          <w:ilvl w:val="0"/>
          <w:numId w:val="6"/>
        </w:numPr>
        <w:suppressAutoHyphens/>
        <w:spacing w:before="120" w:after="120" w:line="240" w:lineRule="auto"/>
        <w:ind w:left="0" w:firstLine="0"/>
      </w:pPr>
      <w:bookmarkStart w:id="7" w:name="_Hlk207967041"/>
      <w:r w:rsidRPr="00463E36">
        <w:rPr>
          <w:b/>
        </w:rPr>
        <w:t>[</w:t>
      </w:r>
      <w:r w:rsidR="00195977" w:rsidRPr="00463E36">
        <w:rPr>
          <w:b/>
        </w:rPr>
        <w:t xml:space="preserve">Nieprawidłowe </w:t>
      </w:r>
      <w:r w:rsidRPr="00463E36">
        <w:rPr>
          <w:b/>
        </w:rPr>
        <w:t>działanie w procesie zatrudnienia</w:t>
      </w:r>
      <w:r w:rsidRPr="00463E36">
        <w:rPr>
          <w:b/>
          <w:bCs/>
        </w:rPr>
        <w:t>]</w:t>
      </w:r>
      <w:bookmarkEnd w:id="7"/>
      <w:r w:rsidRPr="00463E36">
        <w:t xml:space="preserve"> Proces zatrudniania na wolne stanowiska w korpusie służby cywilnej (dalej: s.c.) w PAA prowadzony był zasadniczo zgodnie z przepisami ustawy o służbie cywilnej</w:t>
      </w:r>
      <w:r w:rsidRPr="00463E36">
        <w:rPr>
          <w:vertAlign w:val="superscript"/>
        </w:rPr>
        <w:footnoteReference w:id="91"/>
      </w:r>
      <w:r w:rsidRPr="00463E36">
        <w:t xml:space="preserve"> oraz obowiązującymi regulacjami wewnętrznymi </w:t>
      </w:r>
      <w:r w:rsidRPr="00463E36">
        <w:sym w:font="Symbol" w:char="F02D"/>
      </w:r>
      <w:r w:rsidRPr="00463E36">
        <w:t xml:space="preserve"> z wyjątkiem 1 z 4 badanych naborów. W jego efekcie naruszono art. 53a ust. 6 wspomnianej ustawy, który reguluje udzielenie urlopu bezpłatnego osobie już zatrudnionej w służbie cywilnej w przypadku powołania jej na wyższe stanowisko. W analizowanym przypadku dyrektor zatrudniony w PAA wziął udział w</w:t>
      </w:r>
      <w:r w:rsidR="0013591A" w:rsidRPr="00463E36">
        <w:t> </w:t>
      </w:r>
      <w:r w:rsidRPr="00463E36">
        <w:t>naborze na stanowisko głównego specjalisty. W wyniku wygranego naboru Dyrektor Generalny udzielił pracownikowi urlopu bezpłatnego na dodatkowym stanowisku, nie przerywając zatrudnienia w ramach powołania. Takie działanie wskazuje na pozorność przeprowadzonego naboru w celu zabezpieczenia etatu dla dyrektora na wypadek jego odwołania ze stanowiska.</w:t>
      </w:r>
    </w:p>
    <w:p w14:paraId="04256053" w14:textId="77777777" w:rsidR="008638F1" w:rsidRPr="00463E36" w:rsidRDefault="008638F1" w:rsidP="008638F1">
      <w:pPr>
        <w:spacing w:after="120"/>
        <w:ind w:left="567" w:right="567"/>
        <w:rPr>
          <w:sz w:val="16"/>
          <w:szCs w:val="16"/>
        </w:rPr>
      </w:pPr>
      <w:r w:rsidRPr="00463E36">
        <w:rPr>
          <w:sz w:val="16"/>
          <w:szCs w:val="16"/>
        </w:rPr>
        <w:t>Badanie procesu rekrutacji przeprowadzono na podstawie 4 z 59</w:t>
      </w:r>
      <w:r w:rsidRPr="00463E36">
        <w:rPr>
          <w:sz w:val="16"/>
          <w:szCs w:val="16"/>
          <w:vertAlign w:val="superscript"/>
        </w:rPr>
        <w:footnoteReference w:id="92"/>
      </w:r>
      <w:r w:rsidRPr="00463E36">
        <w:rPr>
          <w:sz w:val="16"/>
          <w:szCs w:val="16"/>
        </w:rPr>
        <w:t xml:space="preserve"> naborów zrealizowanych w badanym okresie, które zakończyły się wyłonieniem kandydata.</w:t>
      </w:r>
    </w:p>
    <w:p w14:paraId="28ED07E7" w14:textId="5361538A" w:rsidR="008638F1" w:rsidRPr="00463E36" w:rsidRDefault="008638F1" w:rsidP="008638F1">
      <w:pPr>
        <w:suppressAutoHyphens/>
        <w:spacing w:line="240" w:lineRule="auto"/>
        <w:ind w:left="567" w:right="565"/>
        <w:rPr>
          <w:sz w:val="16"/>
          <w:szCs w:val="16"/>
        </w:rPr>
      </w:pPr>
      <w:r w:rsidRPr="00463E36">
        <w:rPr>
          <w:sz w:val="16"/>
          <w:szCs w:val="16"/>
        </w:rPr>
        <w:t>W 1</w:t>
      </w:r>
      <w:r w:rsidRPr="00463E36">
        <w:rPr>
          <w:sz w:val="16"/>
          <w:szCs w:val="16"/>
          <w:vertAlign w:val="superscript"/>
        </w:rPr>
        <w:footnoteReference w:id="93"/>
      </w:r>
      <w:r w:rsidRPr="00463E36">
        <w:rPr>
          <w:sz w:val="16"/>
          <w:szCs w:val="16"/>
        </w:rPr>
        <w:t xml:space="preserve"> z 4 badanych naborów na stanowisko głównego specjalisty wyłoniono kandydata, który w chwili aplikowania oraz zatrudniania był już pracownikiem PAA, zatrudnionym na stanowisku dyrektora w drodze powołania od stycznia 2023 r. Z wyłonionym kandydatem podpisano umowę o pracę 6 lutego 2024 r., a następnie 7 lutego 2024 r. udzielono urlopu bezpłatnego na czas powołania na wyższe stanowisko. Działanie takie stanowiło naruszeni</w:t>
      </w:r>
      <w:r w:rsidR="00AF1D7F" w:rsidRPr="00463E36">
        <w:rPr>
          <w:sz w:val="16"/>
          <w:szCs w:val="16"/>
        </w:rPr>
        <w:t>e</w:t>
      </w:r>
      <w:r w:rsidRPr="00463E36">
        <w:rPr>
          <w:sz w:val="16"/>
          <w:szCs w:val="16"/>
        </w:rPr>
        <w:t xml:space="preserve"> art. 53a ust. 6 ustawy o służbie cywilnej. Przepis ten nie pozwala na udzielenie urlopu bezpłatnego w celu objęcia stanowiska w s.c. osobie, która zajmuje już wyższe stanowisko. Regulacja ta pozwala na odwrotne działanie, tj. gwarantuje zachowanie dotychczasowego stosunku pracy pracownikowi s.c., który w czasie zatrudnienia zostaje powoływany na wyższe stanowisko w s.c.</w:t>
      </w:r>
    </w:p>
    <w:p w14:paraId="2854E1CA" w14:textId="57CEAC33" w:rsidR="008638F1" w:rsidRPr="00463E36" w:rsidRDefault="008638F1" w:rsidP="008638F1">
      <w:pPr>
        <w:suppressAutoHyphens/>
        <w:spacing w:line="240" w:lineRule="auto"/>
        <w:ind w:left="567" w:right="565"/>
        <w:rPr>
          <w:sz w:val="16"/>
          <w:szCs w:val="16"/>
        </w:rPr>
      </w:pPr>
      <w:r w:rsidRPr="00463E36">
        <w:rPr>
          <w:sz w:val="16"/>
          <w:szCs w:val="16"/>
        </w:rPr>
        <w:t xml:space="preserve">Samo ubieganie się o objęcie stanowiska w s.c. przez pracownika zatrudnionego na wyższym stanowisku w s.c., bez jednoczesnej woli rezygnacji z wyższego stanowiska, wskazuje na pozorność tej czynności. Istotą bowiem nawiązania stosunku pracy jest obowiązek świadczenia pracy na rzecz pracodawcy. </w:t>
      </w:r>
    </w:p>
    <w:p w14:paraId="5B66D70D" w14:textId="1DC540F1" w:rsidR="008638F1" w:rsidRPr="00463E36" w:rsidRDefault="008638F1" w:rsidP="008638F1">
      <w:pPr>
        <w:tabs>
          <w:tab w:val="left" w:pos="7371"/>
        </w:tabs>
        <w:spacing w:after="0" w:line="240" w:lineRule="auto"/>
        <w:ind w:left="567" w:rightChars="282" w:right="564"/>
        <w:rPr>
          <w:rFonts w:eastAsia="Times New Roman" w:cs="Times New Roman"/>
          <w:bCs/>
          <w:sz w:val="16"/>
          <w:szCs w:val="16"/>
        </w:rPr>
      </w:pPr>
      <w:r w:rsidRPr="00463E36">
        <w:rPr>
          <w:sz w:val="16"/>
          <w:szCs w:val="16"/>
        </w:rPr>
        <w:t>Dyrektor Generalny PAA wskazał</w:t>
      </w:r>
      <w:r w:rsidRPr="00463E36">
        <w:rPr>
          <w:sz w:val="16"/>
          <w:szCs w:val="16"/>
          <w:vertAlign w:val="superscript"/>
        </w:rPr>
        <w:footnoteReference w:id="94"/>
      </w:r>
      <w:r w:rsidRPr="00463E36">
        <w:rPr>
          <w:sz w:val="16"/>
          <w:szCs w:val="16"/>
        </w:rPr>
        <w:t>, że urlop bezpłatny został udzielony na podstawie art. 53a ust. 6 ustawy o służbie cywilnej, zgodnie którym pracownikowi s.c. powołanemu na wyższe stanowisko, dyrektor generalny udziela urlopu bezpłatnego na czas powołania.</w:t>
      </w:r>
    </w:p>
    <w:p w14:paraId="3CBA002C" w14:textId="77777777" w:rsidR="008638F1" w:rsidRPr="00463E36" w:rsidRDefault="008638F1" w:rsidP="008638F1">
      <w:pPr>
        <w:spacing w:before="120" w:after="120" w:line="240" w:lineRule="auto"/>
        <w:rPr>
          <w:szCs w:val="20"/>
        </w:rPr>
      </w:pPr>
      <w:r w:rsidRPr="00463E36">
        <w:rPr>
          <w:szCs w:val="20"/>
        </w:rPr>
        <w:t>Nie można zgodzić się, że działanie Dyrektora Generalnego było zgodne z art. 53a ust. 6 ustawy o służbie cywilnej, ponieważ stanowiło jego obejście. Było to działania nieprawidłowe, bowiem urlop bezpłatny może zostać udzielony wyłącznie pracownikowi s.c. w przypadku jego powołania na wyższe stanowisko w s.c., a nie odwrotnie.</w:t>
      </w:r>
    </w:p>
    <w:p w14:paraId="46A572B9" w14:textId="77777777" w:rsidR="008638F1" w:rsidRPr="00463E36" w:rsidRDefault="008638F1" w:rsidP="008638F1">
      <w:pPr>
        <w:numPr>
          <w:ilvl w:val="0"/>
          <w:numId w:val="6"/>
        </w:numPr>
        <w:suppressAutoHyphens/>
        <w:spacing w:before="120" w:after="120" w:line="240" w:lineRule="auto"/>
        <w:ind w:left="0" w:rightChars="-1" w:right="-2" w:firstLine="0"/>
        <w:rPr>
          <w:b/>
        </w:rPr>
      </w:pPr>
      <w:r w:rsidRPr="00463E36">
        <w:t>Opisywany wyżej nabór</w:t>
      </w:r>
      <w:r w:rsidRPr="00463E36">
        <w:rPr>
          <w:vertAlign w:val="superscript"/>
        </w:rPr>
        <w:footnoteReference w:id="95"/>
      </w:r>
      <w:r w:rsidRPr="00463E36">
        <w:t xml:space="preserve"> został przeprowadzony z naruszeniem zasady bezstronności w s.c.</w:t>
      </w:r>
      <w:r w:rsidRPr="00463E36">
        <w:rPr>
          <w:vertAlign w:val="superscript"/>
        </w:rPr>
        <w:footnoteReference w:id="96"/>
      </w:r>
      <w:r w:rsidRPr="00463E36">
        <w:rPr>
          <w:szCs w:val="20"/>
        </w:rPr>
        <w:t xml:space="preserve">. </w:t>
      </w:r>
      <w:r w:rsidRPr="00463E36">
        <w:t xml:space="preserve">Skład komisji </w:t>
      </w:r>
      <w:r w:rsidRPr="00463E36">
        <w:rPr>
          <w:szCs w:val="20"/>
        </w:rPr>
        <w:t xml:space="preserve">rekrutacyjnej nie zapewniał bowiem obiektywizmu naboru, z uwagi na bezpośrednią podległość służbową jednego z członków komisji wobec kandydata uczestniczącego w naborze. Nieprawidłowym było wyrażenie przez Dyrektora Generalnego </w:t>
      </w:r>
      <w:r w:rsidRPr="00463E36">
        <w:rPr>
          <w:rFonts w:eastAsia="Times New Roman" w:cs="Times New Roman"/>
          <w:szCs w:val="20"/>
        </w:rPr>
        <w:t xml:space="preserve">zgody na udział w pracach komisji rekrutacyjnej wspomnianej osoby, z jednoczesnym ograniczeniem jej praw do oceny formalnoprawnej oferty kandydata </w:t>
      </w:r>
      <w:r w:rsidRPr="00463E36">
        <w:rPr>
          <w:rFonts w:eastAsia="Times New Roman" w:cs="Times New Roman"/>
          <w:szCs w:val="20"/>
        </w:rPr>
        <w:lastRenderedPageBreak/>
        <w:t>zamiast wyłączenia jej z procesu naboru. Wdrożona regulacja wewnętrzna</w:t>
      </w:r>
      <w:r w:rsidRPr="00463E36">
        <w:rPr>
          <w:szCs w:val="20"/>
          <w:vertAlign w:val="superscript"/>
        </w:rPr>
        <w:footnoteReference w:id="97"/>
      </w:r>
      <w:r w:rsidRPr="00463E36">
        <w:rPr>
          <w:rFonts w:eastAsia="Times New Roman" w:cs="Times New Roman"/>
          <w:szCs w:val="20"/>
        </w:rPr>
        <w:t xml:space="preserve"> przewidywała udział w pracach komisji rekrutacyjnej pracownika komórki ds. kadr, nie uwzględniając sytuacji przystąpienia do naboru dyrektora tej komórki. Okoliczność ta spowodowała, że żaden z pracowników komórki ds. kadr nie zapewniał bezstronności, a przepisy regulacji nie przewidywały możliwości ograniczenia kompetencji członka komisji rekrutacyjnej.</w:t>
      </w:r>
    </w:p>
    <w:p w14:paraId="542EFBC5" w14:textId="77777777" w:rsidR="008638F1" w:rsidRPr="00463E36" w:rsidRDefault="008638F1" w:rsidP="008638F1">
      <w:pPr>
        <w:spacing w:after="120" w:line="240" w:lineRule="auto"/>
        <w:ind w:left="567" w:right="567"/>
        <w:rPr>
          <w:sz w:val="16"/>
          <w:szCs w:val="16"/>
        </w:rPr>
      </w:pPr>
      <w:r w:rsidRPr="00463E36">
        <w:rPr>
          <w:sz w:val="16"/>
          <w:szCs w:val="16"/>
        </w:rPr>
        <w:t>W badanym naborze jeden z członków komisji rekrutacyjnej w trakcie prowadzonego procesu rekrutacyjnego bezpośrednio podlegał kandydatowi, biorącemu udział w naborze.</w:t>
      </w:r>
    </w:p>
    <w:p w14:paraId="297DA93B" w14:textId="77777777" w:rsidR="008638F1" w:rsidRPr="00463E36" w:rsidRDefault="008638F1" w:rsidP="008638F1">
      <w:pPr>
        <w:suppressAutoHyphens/>
        <w:spacing w:after="120" w:line="240" w:lineRule="auto"/>
        <w:ind w:left="567" w:right="565"/>
        <w:rPr>
          <w:sz w:val="16"/>
          <w:szCs w:val="16"/>
        </w:rPr>
      </w:pPr>
      <w:r w:rsidRPr="00463E36">
        <w:rPr>
          <w:rFonts w:eastAsia="Times New Roman" w:cs="Times New Roman"/>
          <w:sz w:val="16"/>
          <w:szCs w:val="16"/>
        </w:rPr>
        <w:t>Po stwierdzeniu podległości służbowej względem kandydata w naborze członek komisji rekrutacyjnej, co do którego zaistniały wątpliwości dot. bezstronności, poinformował Dyrektora Generalnego PAA o zaistniałej sytuacji. W notatce wskazał, że zobowiązuje się do bezstronnej oceny formalnoprawnej oferty kandydata, ograniczając swoje kompetencje wyłącznie do oceny kompletności złożonych dokumentów, organizacji kolejnych etapów naboru oraz przygotowania dokumentacji z przebiegu naboru. Pracownik ten złożył również oświadczenie o bezstronności.</w:t>
      </w:r>
    </w:p>
    <w:p w14:paraId="54D20F27" w14:textId="77777777" w:rsidR="008638F1" w:rsidRPr="00463E36" w:rsidRDefault="008638F1" w:rsidP="008638F1">
      <w:pPr>
        <w:suppressAutoHyphens/>
        <w:spacing w:after="120" w:line="240" w:lineRule="auto"/>
        <w:ind w:left="567" w:right="565"/>
        <w:rPr>
          <w:sz w:val="16"/>
          <w:szCs w:val="16"/>
        </w:rPr>
      </w:pPr>
      <w:r w:rsidRPr="00463E36">
        <w:rPr>
          <w:rFonts w:eastAsia="Times New Roman" w:cs="Times New Roman"/>
          <w:sz w:val="16"/>
          <w:szCs w:val="16"/>
        </w:rPr>
        <w:t>Dyrektor Generalny PAA wyraził zgodę na udział tej osoby jako członka komisji rekrutacyjnej pomimo istnienia podstaw do jego wyłączenia. Wskazał</w:t>
      </w:r>
      <w:r w:rsidRPr="00463E36">
        <w:rPr>
          <w:rFonts w:eastAsia="Times New Roman" w:cs="Times New Roman"/>
          <w:bCs/>
          <w:sz w:val="16"/>
          <w:szCs w:val="16"/>
          <w:vertAlign w:val="superscript"/>
        </w:rPr>
        <w:footnoteReference w:id="98"/>
      </w:r>
      <w:r w:rsidRPr="00463E36">
        <w:rPr>
          <w:rFonts w:eastAsia="Times New Roman" w:cs="Times New Roman"/>
          <w:sz w:val="16"/>
          <w:szCs w:val="16"/>
        </w:rPr>
        <w:t>, że członek komisji bezpośrednio podległy kandydatowi biorącemu udział w naborze odpowiada jedynie za</w:t>
      </w:r>
      <w:r w:rsidRPr="00463E36">
        <w:rPr>
          <w:rFonts w:eastAsia="Times New Roman" w:cs="Times New Roman"/>
          <w:bCs/>
          <w:sz w:val="16"/>
          <w:szCs w:val="16"/>
        </w:rPr>
        <w:t xml:space="preserve"> </w:t>
      </w:r>
      <w:r w:rsidRPr="00463E36">
        <w:rPr>
          <w:rFonts w:eastAsia="Times New Roman" w:cs="Times New Roman"/>
          <w:sz w:val="16"/>
          <w:szCs w:val="16"/>
        </w:rPr>
        <w:t>stwierdzenie kompletności dokumentów aplikacyjnych, sprawy organizacyjne, a w trakcie rozmowy rekrutacyjnej za obserwowanie procesu wyłącznie pod względem formalnym poprzez sprawdzenie tożsamość kandydata oraz weryfikację zadawanych pytań pod kątem potwierdzenia wszystkich wymagań. Merytorycznie odpowiedzi kandydata zostały natomiast ocenione przez pozostałych członków komisji.</w:t>
      </w:r>
    </w:p>
    <w:p w14:paraId="199C3964" w14:textId="77777777" w:rsidR="008638F1" w:rsidRPr="00463E36" w:rsidRDefault="008638F1" w:rsidP="008638F1">
      <w:pPr>
        <w:suppressAutoHyphens/>
        <w:spacing w:after="120" w:line="240" w:lineRule="auto"/>
        <w:ind w:left="567" w:right="565"/>
        <w:rPr>
          <w:sz w:val="16"/>
          <w:szCs w:val="16"/>
        </w:rPr>
      </w:pPr>
      <w:r w:rsidRPr="00463E36">
        <w:rPr>
          <w:sz w:val="16"/>
          <w:szCs w:val="16"/>
        </w:rPr>
        <w:t>Zgodnie z zarządzeniem w sprawie zasad organizowania i przeprowadzania naboru pracowników w PAA</w:t>
      </w:r>
      <w:r w:rsidRPr="00463E36">
        <w:rPr>
          <w:sz w:val="16"/>
          <w:szCs w:val="16"/>
          <w:vertAlign w:val="superscript"/>
        </w:rPr>
        <w:footnoteReference w:id="99"/>
      </w:r>
      <w:r w:rsidRPr="00463E36">
        <w:rPr>
          <w:sz w:val="16"/>
          <w:szCs w:val="16"/>
        </w:rPr>
        <w:t xml:space="preserve"> Dyrektor Generalny PAA powoływał komisję rekrutacyjną do jego przeprowadzenia, składającą się z co najmniej 3 osób. W jej skład powoływany był każdorazowo pracownik komórki ds. kadr. Regulacja ta nie przewidywała odstępstw od opisywanej zasady ani możliwości ograniczenia kompetencji członka komisji wyłącznie do ceny formalnoprawnej oferty kandydata.</w:t>
      </w:r>
    </w:p>
    <w:p w14:paraId="19526C39" w14:textId="77777777" w:rsidR="008638F1" w:rsidRPr="00463E36" w:rsidRDefault="008638F1" w:rsidP="008638F1">
      <w:pPr>
        <w:spacing w:after="0" w:line="240" w:lineRule="auto"/>
        <w:ind w:left="567" w:rightChars="282" w:right="564"/>
        <w:rPr>
          <w:sz w:val="16"/>
          <w:szCs w:val="16"/>
        </w:rPr>
      </w:pPr>
      <w:r w:rsidRPr="00463E36">
        <w:rPr>
          <w:sz w:val="16"/>
          <w:szCs w:val="16"/>
        </w:rPr>
        <w:t>Dyrektor Generalny PAA wyjaśnił</w:t>
      </w:r>
      <w:r w:rsidRPr="00463E36">
        <w:rPr>
          <w:sz w:val="16"/>
          <w:szCs w:val="16"/>
          <w:vertAlign w:val="superscript"/>
        </w:rPr>
        <w:footnoteReference w:id="100"/>
      </w:r>
      <w:r w:rsidRPr="00463E36">
        <w:rPr>
          <w:sz w:val="16"/>
          <w:szCs w:val="16"/>
        </w:rPr>
        <w:t>, że w każdym naborze uczestniczy obowiązkowo przedstawiciel kadr. W przedmiotowym naborze oceny kandydata dokonała komisja, a pracownik podległy służbowo temu kandydatowi sporządził jedynie dokumentację z przebiegu tego procesu.</w:t>
      </w:r>
    </w:p>
    <w:p w14:paraId="6CDEBBCA" w14:textId="628B9E1F" w:rsidR="008638F1" w:rsidRPr="00463E36" w:rsidRDefault="008638F1" w:rsidP="008638F1">
      <w:pPr>
        <w:spacing w:before="120" w:after="0" w:line="240" w:lineRule="auto"/>
        <w:rPr>
          <w:szCs w:val="20"/>
        </w:rPr>
      </w:pPr>
      <w:r w:rsidRPr="00463E36">
        <w:rPr>
          <w:szCs w:val="20"/>
        </w:rPr>
        <w:t xml:space="preserve">Członek komisji rekrutacyjnej </w:t>
      </w:r>
      <w:r w:rsidR="00AA3815">
        <w:rPr>
          <w:szCs w:val="20"/>
        </w:rPr>
        <w:t>służbowo podlegał</w:t>
      </w:r>
      <w:r w:rsidRPr="00463E36">
        <w:rPr>
          <w:szCs w:val="20"/>
        </w:rPr>
        <w:t xml:space="preserve"> kandydatowi, co stwarzało konflikt interesów i podważało bezstronność procesu naboru. Mimo posiadania informacji w tym zakresie, Dyrektor Generalny nie wyłączył go z udziału w pracach komisji rekrutacyjnej. Ograniczenie kompetencji członka komisji nie eliminowało ryzyka wpływu na przebieg naboru, bowiem jego obecność mogła oddziaływać </w:t>
      </w:r>
      <w:r w:rsidR="00AA3815">
        <w:rPr>
          <w:szCs w:val="20"/>
        </w:rPr>
        <w:t>np. n</w:t>
      </w:r>
      <w:r w:rsidRPr="00463E36">
        <w:rPr>
          <w:szCs w:val="20"/>
        </w:rPr>
        <w:t>a atmosferę rozmowy kwalifikacyjnej, sposób zadawania pytań, czy decyzje pozostałych członków komisji.</w:t>
      </w:r>
    </w:p>
    <w:p w14:paraId="37D727B3" w14:textId="335AFAFF" w:rsidR="008638F1" w:rsidRPr="00463E36" w:rsidRDefault="008638F1" w:rsidP="008638F1">
      <w:pPr>
        <w:numPr>
          <w:ilvl w:val="0"/>
          <w:numId w:val="6"/>
        </w:numPr>
        <w:spacing w:before="120" w:after="120" w:line="240" w:lineRule="auto"/>
        <w:ind w:left="0" w:firstLine="0"/>
        <w:rPr>
          <w:rFonts w:eastAsia="Times New Roman" w:cs="Times New Roman"/>
          <w:bCs/>
          <w:sz w:val="16"/>
          <w:szCs w:val="16"/>
        </w:rPr>
      </w:pPr>
      <w:r w:rsidRPr="00463E36">
        <w:rPr>
          <w:rFonts w:eastAsia="Times New Roman" w:cs="Times New Roman"/>
          <w:b/>
        </w:rPr>
        <w:t>[Doświadczenie i wykształcenie]</w:t>
      </w:r>
      <w:r w:rsidRPr="00463E36">
        <w:rPr>
          <w:rFonts w:eastAsia="Times New Roman" w:cs="Times New Roman"/>
        </w:rPr>
        <w:t xml:space="preserve"> </w:t>
      </w:r>
      <w:r w:rsidRPr="00463E36">
        <w:rPr>
          <w:rFonts w:eastAsia="Segoe UI" w:cs="Segoe UI"/>
          <w:szCs w:val="20"/>
        </w:rPr>
        <w:t>O</w:t>
      </w:r>
      <w:r w:rsidRPr="00463E36">
        <w:rPr>
          <w:rFonts w:eastAsia="Lato" w:cs="Lato"/>
          <w:szCs w:val="20"/>
        </w:rPr>
        <w:t>soby zatrudnione na stanowiskach merytorycznych i kierowniczych posiadały wymagane kwalifikacje, w tym wykształcenie, szkolenia, uprawnienia oraz doświadczenie zawodowe</w:t>
      </w:r>
      <w:r w:rsidRPr="00463E36">
        <w:rPr>
          <w:rFonts w:eastAsia="Segoe UI" w:cs="Segoe UI"/>
          <w:szCs w:val="20"/>
        </w:rPr>
        <w:t>.</w:t>
      </w:r>
      <w:r w:rsidRPr="00463E36">
        <w:rPr>
          <w:rFonts w:eastAsia="Times New Roman" w:cs="Times New Roman"/>
        </w:rPr>
        <w:t xml:space="preserve"> </w:t>
      </w:r>
      <w:r w:rsidRPr="00463E36">
        <w:t>Akta osobowe 10</w:t>
      </w:r>
      <w:bookmarkStart w:id="8" w:name="_Ref205271286"/>
      <w:r w:rsidRPr="00463E36">
        <w:rPr>
          <w:vertAlign w:val="superscript"/>
        </w:rPr>
        <w:footnoteReference w:id="101"/>
      </w:r>
      <w:bookmarkEnd w:id="8"/>
      <w:r w:rsidRPr="00463E36">
        <w:rPr>
          <w:szCs w:val="20"/>
        </w:rPr>
        <w:t> </w:t>
      </w:r>
      <w:r w:rsidRPr="00463E36">
        <w:t xml:space="preserve">pracowników zawierały </w:t>
      </w:r>
      <w:r w:rsidRPr="00463E36">
        <w:rPr>
          <w:rFonts w:eastAsia="Times New Roman" w:cs="Times New Roman"/>
        </w:rPr>
        <w:t xml:space="preserve">kompletną </w:t>
      </w:r>
      <w:r w:rsidRPr="00463E36">
        <w:t>dokumentację potwierdzająca wymagane wykształcenie</w:t>
      </w:r>
      <w:r w:rsidRPr="00463E36">
        <w:rPr>
          <w:szCs w:val="20"/>
        </w:rPr>
        <w:t xml:space="preserve"> </w:t>
      </w:r>
      <w:r w:rsidRPr="00463E36">
        <w:t>oraz doświadczenie zawodowe.</w:t>
      </w:r>
    </w:p>
    <w:p w14:paraId="541AC67B" w14:textId="77777777" w:rsidR="008638F1" w:rsidRPr="00463E36" w:rsidRDefault="008638F1" w:rsidP="008638F1">
      <w:pPr>
        <w:numPr>
          <w:ilvl w:val="0"/>
          <w:numId w:val="6"/>
        </w:numPr>
        <w:suppressAutoHyphens/>
        <w:spacing w:before="120" w:after="120" w:line="240" w:lineRule="auto"/>
        <w:ind w:left="0" w:firstLine="0"/>
        <w:rPr>
          <w:rFonts w:eastAsia="Times New Roman" w:cs="Times New Roman"/>
        </w:rPr>
      </w:pPr>
      <w:r w:rsidRPr="00463E36">
        <w:rPr>
          <w:b/>
        </w:rPr>
        <w:t>[Wynagrodzenia]</w:t>
      </w:r>
      <w:r w:rsidRPr="00463E36">
        <w:rPr>
          <w:szCs w:val="20"/>
        </w:rPr>
        <w:t xml:space="preserve"> W 2024 r. n</w:t>
      </w:r>
      <w:r w:rsidRPr="00463E36">
        <w:rPr>
          <w:rFonts w:eastAsia="Times New Roman" w:cs="Times New Roman"/>
          <w:szCs w:val="20"/>
        </w:rPr>
        <w:t>astąpił</w:t>
      </w:r>
      <w:r w:rsidRPr="00463E36">
        <w:rPr>
          <w:rFonts w:eastAsia="Times New Roman" w:cs="Times New Roman"/>
        </w:rPr>
        <w:t xml:space="preserve"> 15% wzrost wysokości wypłacanych wynagrodzeń </w:t>
      </w:r>
      <w:r w:rsidRPr="00463E36">
        <w:rPr>
          <w:rFonts w:eastAsia="Times New Roman" w:cs="Times New Roman"/>
          <w:szCs w:val="20"/>
        </w:rPr>
        <w:t>w porównaniu</w:t>
      </w:r>
      <w:r w:rsidRPr="00463E36">
        <w:rPr>
          <w:rFonts w:eastAsia="Times New Roman" w:cs="Times New Roman"/>
        </w:rPr>
        <w:t xml:space="preserve"> do 2023 r., </w:t>
      </w:r>
      <w:r w:rsidRPr="00463E36">
        <w:rPr>
          <w:rFonts w:eastAsia="Segoe UI" w:cs="Segoe UI"/>
          <w:szCs w:val="20"/>
        </w:rPr>
        <w:t>w</w:t>
      </w:r>
      <w:r w:rsidRPr="00463E36">
        <w:rPr>
          <w:rFonts w:eastAsia="Lato" w:cs="Lato"/>
          <w:szCs w:val="20"/>
        </w:rPr>
        <w:t>ynikający ze zwiększenia zatrudnienia oraz przyznawania podwyżek i awansów</w:t>
      </w:r>
      <w:r w:rsidRPr="00463E36">
        <w:t xml:space="preserve">. Jednocześnie zmniejszono wysokość dodatkowych świadczeń </w:t>
      </w:r>
      <w:r w:rsidRPr="00463E36">
        <w:rPr>
          <w:szCs w:val="20"/>
        </w:rPr>
        <w:t>(</w:t>
      </w:r>
      <w:r w:rsidRPr="00463E36">
        <w:t>dodatki m.in. motywacyjne, zadaniowe, specjalne oraz nagrody specjalne</w:t>
      </w:r>
      <w:r w:rsidRPr="00463E36">
        <w:rPr>
          <w:szCs w:val="20"/>
        </w:rPr>
        <w:t xml:space="preserve">). </w:t>
      </w:r>
      <w:r w:rsidRPr="00463E36">
        <w:t>Sposób ich wypłacania uregulowano w wewnętrznej procedurze</w:t>
      </w:r>
      <w:r w:rsidRPr="00463E36">
        <w:rPr>
          <w:rFonts w:eastAsia="Times New Roman" w:cs="Times New Roman"/>
          <w:bCs/>
          <w:sz w:val="16"/>
          <w:szCs w:val="16"/>
          <w:vertAlign w:val="superscript"/>
        </w:rPr>
        <w:footnoteReference w:id="102"/>
      </w:r>
      <w:r w:rsidRPr="00463E36">
        <w:rPr>
          <w:szCs w:val="20"/>
        </w:rPr>
        <w:t>.</w:t>
      </w:r>
    </w:p>
    <w:p w14:paraId="223D4F53" w14:textId="77777777" w:rsidR="008638F1" w:rsidRPr="00463E36" w:rsidRDefault="008638F1" w:rsidP="008638F1">
      <w:pPr>
        <w:spacing w:after="0" w:line="240" w:lineRule="auto"/>
        <w:ind w:leftChars="283" w:left="566" w:right="567"/>
        <w:rPr>
          <w:sz w:val="16"/>
          <w:szCs w:val="16"/>
        </w:rPr>
      </w:pPr>
      <w:r w:rsidRPr="00463E36">
        <w:rPr>
          <w:sz w:val="16"/>
          <w:szCs w:val="16"/>
        </w:rPr>
        <w:t xml:space="preserve">Wypłacone wynagrodzenia wynosiły: </w:t>
      </w:r>
    </w:p>
    <w:p w14:paraId="2518F98C" w14:textId="77777777" w:rsidR="008638F1" w:rsidRPr="00463E36" w:rsidRDefault="008638F1" w:rsidP="008638F1">
      <w:pPr>
        <w:numPr>
          <w:ilvl w:val="0"/>
          <w:numId w:val="4"/>
        </w:numPr>
        <w:spacing w:after="0" w:line="240" w:lineRule="auto"/>
        <w:ind w:leftChars="283" w:left="849" w:rightChars="283" w:right="566" w:hanging="283"/>
        <w:contextualSpacing/>
        <w:rPr>
          <w:sz w:val="16"/>
          <w:szCs w:val="16"/>
        </w:rPr>
      </w:pPr>
      <w:r w:rsidRPr="00463E36">
        <w:rPr>
          <w:sz w:val="16"/>
          <w:szCs w:val="16"/>
        </w:rPr>
        <w:lastRenderedPageBreak/>
        <w:t>w 2024 r. 26 149 981 zł</w:t>
      </w:r>
      <w:r w:rsidRPr="00463E36">
        <w:rPr>
          <w:sz w:val="16"/>
          <w:szCs w:val="16"/>
          <w:vertAlign w:val="superscript"/>
        </w:rPr>
        <w:footnoteReference w:id="103"/>
      </w:r>
      <w:r w:rsidRPr="00463E36">
        <w:rPr>
          <w:sz w:val="16"/>
          <w:szCs w:val="16"/>
        </w:rPr>
        <w:t xml:space="preserve"> dla 163 pełno zatrudnionych wg stanu na 31 grudnia 2024 r.;</w:t>
      </w:r>
    </w:p>
    <w:p w14:paraId="4A2A33E5" w14:textId="77777777" w:rsidR="008638F1" w:rsidRPr="00463E36" w:rsidRDefault="008638F1" w:rsidP="008638F1">
      <w:pPr>
        <w:numPr>
          <w:ilvl w:val="0"/>
          <w:numId w:val="4"/>
        </w:numPr>
        <w:spacing w:after="120" w:line="240" w:lineRule="auto"/>
        <w:ind w:leftChars="284" w:left="852" w:right="567" w:hanging="284"/>
        <w:rPr>
          <w:sz w:val="16"/>
          <w:szCs w:val="16"/>
        </w:rPr>
      </w:pPr>
      <w:r w:rsidRPr="00463E36">
        <w:rPr>
          <w:sz w:val="16"/>
          <w:szCs w:val="16"/>
        </w:rPr>
        <w:t>w 2023 r. 22 082 508 zł</w:t>
      </w:r>
      <w:r w:rsidRPr="00463E36">
        <w:rPr>
          <w:sz w:val="16"/>
          <w:szCs w:val="16"/>
          <w:vertAlign w:val="superscript"/>
        </w:rPr>
        <w:footnoteReference w:id="104"/>
      </w:r>
      <w:r w:rsidRPr="00463E36">
        <w:rPr>
          <w:sz w:val="16"/>
          <w:szCs w:val="16"/>
        </w:rPr>
        <w:t xml:space="preserve"> dla 146 pełno zatrudnionych wg stanu na 31 grudnia 2023 r.</w:t>
      </w:r>
    </w:p>
    <w:p w14:paraId="5015AF55" w14:textId="77777777" w:rsidR="008638F1" w:rsidRPr="00463E36" w:rsidRDefault="008638F1" w:rsidP="008638F1">
      <w:pPr>
        <w:suppressAutoHyphens/>
        <w:spacing w:after="120" w:line="240" w:lineRule="auto"/>
        <w:ind w:left="567" w:right="567"/>
        <w:rPr>
          <w:sz w:val="16"/>
          <w:szCs w:val="16"/>
        </w:rPr>
      </w:pPr>
      <w:r w:rsidRPr="00463E36">
        <w:rPr>
          <w:sz w:val="16"/>
          <w:szCs w:val="16"/>
        </w:rPr>
        <w:t xml:space="preserve">Mnożniki do ustalenia wynagrodzenia mieściły się w przedziałach określonych </w:t>
      </w:r>
      <w:r w:rsidRPr="00463E36">
        <w:rPr>
          <w:i/>
          <w:sz w:val="16"/>
          <w:szCs w:val="16"/>
        </w:rPr>
        <w:t>rozporządzeniem Prezesa Rady Ministrów z dnia 29 stycznia 2016 r. w sprawie określenia stanowisk urzędniczych, wymaganych kwalifikacji zawodowych, stopni służbowych urzędników służby cywilnej, mnożników do ustalania wynagrodzenia oraz szczegółowych zasad ustalania i wypłacania innych świadczeń przysługujących członkom korpusu służby cywilnej</w:t>
      </w:r>
      <w:r w:rsidRPr="00463E36">
        <w:rPr>
          <w:rStyle w:val="Odwoanieprzypisudolnego"/>
          <w:sz w:val="16"/>
          <w:szCs w:val="16"/>
        </w:rPr>
        <w:footnoteReference w:id="105"/>
      </w:r>
      <w:r w:rsidRPr="00463E36">
        <w:rPr>
          <w:sz w:val="16"/>
          <w:szCs w:val="16"/>
        </w:rPr>
        <w:t>.</w:t>
      </w:r>
    </w:p>
    <w:p w14:paraId="6AF4333B" w14:textId="77777777" w:rsidR="008638F1" w:rsidRPr="00463E36" w:rsidRDefault="008638F1" w:rsidP="008638F1">
      <w:pPr>
        <w:suppressAutoHyphens/>
        <w:spacing w:after="120" w:line="240" w:lineRule="auto"/>
        <w:ind w:left="567" w:right="567"/>
        <w:rPr>
          <w:rFonts w:eastAsia="Times New Roman" w:cs="Times New Roman"/>
          <w:sz w:val="16"/>
          <w:szCs w:val="16"/>
        </w:rPr>
      </w:pPr>
      <w:r w:rsidRPr="00463E36">
        <w:rPr>
          <w:sz w:val="16"/>
          <w:szCs w:val="16"/>
        </w:rPr>
        <w:t>Łączna kwota wszystkich podwyżek przyznanych pracownikom w latach 2023-2024 wynosiła 3 711 715,29 zł. Badana dokumentacja dla 10</w:t>
      </w:r>
      <w:r w:rsidRPr="00463E36">
        <w:rPr>
          <w:sz w:val="16"/>
          <w:szCs w:val="16"/>
          <w:vertAlign w:val="superscript"/>
        </w:rPr>
        <w:fldChar w:fldCharType="begin"/>
      </w:r>
      <w:r w:rsidRPr="00463E36">
        <w:rPr>
          <w:sz w:val="16"/>
          <w:szCs w:val="16"/>
          <w:vertAlign w:val="superscript"/>
        </w:rPr>
        <w:instrText xml:space="preserve"> NOTEREF _Ref205271286 \h  \* MERGEFORMAT </w:instrText>
      </w:r>
      <w:r w:rsidRPr="00463E36">
        <w:rPr>
          <w:sz w:val="16"/>
          <w:szCs w:val="16"/>
          <w:vertAlign w:val="superscript"/>
        </w:rPr>
      </w:r>
      <w:r w:rsidRPr="00463E36">
        <w:rPr>
          <w:sz w:val="16"/>
          <w:szCs w:val="16"/>
          <w:vertAlign w:val="superscript"/>
        </w:rPr>
        <w:fldChar w:fldCharType="separate"/>
      </w:r>
      <w:r w:rsidRPr="00463E36">
        <w:rPr>
          <w:sz w:val="16"/>
          <w:szCs w:val="16"/>
          <w:vertAlign w:val="superscript"/>
        </w:rPr>
        <w:t>103</w:t>
      </w:r>
      <w:r w:rsidRPr="00463E36">
        <w:rPr>
          <w:sz w:val="16"/>
          <w:szCs w:val="16"/>
          <w:vertAlign w:val="superscript"/>
        </w:rPr>
        <w:fldChar w:fldCharType="end"/>
      </w:r>
      <w:r w:rsidRPr="00463E36">
        <w:rPr>
          <w:sz w:val="16"/>
          <w:szCs w:val="16"/>
        </w:rPr>
        <w:t xml:space="preserve"> pracowników zawierała każdorazowo </w:t>
      </w:r>
      <w:r w:rsidRPr="00463E36">
        <w:rPr>
          <w:rFonts w:eastAsia="Times New Roman" w:cs="Times New Roman"/>
          <w:sz w:val="16"/>
          <w:szCs w:val="16"/>
        </w:rPr>
        <w:t>uzasadnienie dla podniesienia wartości wynagrodzenia.</w:t>
      </w:r>
    </w:p>
    <w:p w14:paraId="355E5918" w14:textId="77777777" w:rsidR="008638F1" w:rsidRPr="00463E36" w:rsidRDefault="008638F1" w:rsidP="0013591A">
      <w:pPr>
        <w:spacing w:after="120" w:line="240" w:lineRule="auto"/>
        <w:ind w:left="567" w:right="567"/>
        <w:rPr>
          <w:rFonts w:eastAsia="Times New Roman" w:cs="Times New Roman"/>
          <w:bCs/>
          <w:sz w:val="16"/>
          <w:szCs w:val="16"/>
        </w:rPr>
      </w:pPr>
      <w:r w:rsidRPr="00463E36">
        <w:rPr>
          <w:sz w:val="16"/>
          <w:szCs w:val="16"/>
        </w:rPr>
        <w:t xml:space="preserve">Łącznie na system motywacyjny w 2023 r. przeznaczone zostały środki w kwocie 5 734 684,48 zł, a w 2024 r. w kwocie 2 780 840,33 zł, w tym </w:t>
      </w:r>
      <w:r w:rsidRPr="00463E36">
        <w:rPr>
          <w:rFonts w:eastAsia="Times New Roman" w:cs="Arial"/>
          <w:sz w:val="16"/>
          <w:szCs w:val="16"/>
          <w:lang w:eastAsia="pl-PL"/>
        </w:rPr>
        <w:t xml:space="preserve">w latach 2023-2024 </w:t>
      </w:r>
      <w:r w:rsidRPr="00463E36">
        <w:rPr>
          <w:sz w:val="16"/>
          <w:szCs w:val="16"/>
        </w:rPr>
        <w:t xml:space="preserve">wypłacono </w:t>
      </w:r>
      <w:r w:rsidRPr="00463E36">
        <w:rPr>
          <w:rFonts w:eastAsia="Times New Roman" w:cs="Arial"/>
          <w:sz w:val="16"/>
          <w:szCs w:val="16"/>
          <w:lang w:eastAsia="pl-PL"/>
        </w:rPr>
        <w:t>nagrody</w:t>
      </w:r>
      <w:r w:rsidRPr="00463E36">
        <w:rPr>
          <w:rFonts w:eastAsia="Times New Roman" w:cs="Arial"/>
          <w:sz w:val="16"/>
          <w:szCs w:val="16"/>
          <w:vertAlign w:val="superscript"/>
          <w:lang w:eastAsia="pl-PL"/>
        </w:rPr>
        <w:footnoteReference w:id="106"/>
      </w:r>
      <w:r w:rsidRPr="00463E36">
        <w:rPr>
          <w:rFonts w:eastAsia="Times New Roman" w:cs="Arial"/>
          <w:sz w:val="16"/>
          <w:szCs w:val="16"/>
          <w:lang w:eastAsia="pl-PL"/>
        </w:rPr>
        <w:t xml:space="preserve"> w wysokości 2 108 622,39 zł</w:t>
      </w:r>
      <w:r w:rsidRPr="00463E36">
        <w:rPr>
          <w:rFonts w:eastAsia="Times New Roman" w:cs="Arial"/>
          <w:sz w:val="16"/>
          <w:szCs w:val="16"/>
          <w:vertAlign w:val="superscript"/>
          <w:lang w:eastAsia="pl-PL"/>
        </w:rPr>
        <w:footnoteReference w:id="107"/>
      </w:r>
      <w:r w:rsidRPr="00463E36">
        <w:rPr>
          <w:rFonts w:eastAsia="Times New Roman" w:cs="Arial"/>
          <w:sz w:val="16"/>
          <w:szCs w:val="16"/>
          <w:lang w:eastAsia="pl-PL"/>
        </w:rPr>
        <w:t>. Nagrody otrzymało 161 ze 167 pracowników.</w:t>
      </w:r>
    </w:p>
    <w:p w14:paraId="3E0CA848" w14:textId="4DEB0C66" w:rsidR="00585759" w:rsidRPr="00463E36" w:rsidRDefault="00585759" w:rsidP="008C534E">
      <w:pPr>
        <w:spacing w:before="240" w:after="120" w:line="240" w:lineRule="auto"/>
        <w:rPr>
          <w:color w:val="000000" w:themeColor="text1"/>
          <w:szCs w:val="20"/>
        </w:rPr>
      </w:pPr>
      <w:r w:rsidRPr="00463E36">
        <w:rPr>
          <w:color w:val="000000" w:themeColor="text1"/>
          <w:szCs w:val="20"/>
        </w:rPr>
        <w:t xml:space="preserve">Biorąc pod uwagę przedstawione w </w:t>
      </w:r>
      <w:r w:rsidR="00AA3815" w:rsidRPr="00AA3815">
        <w:rPr>
          <w:color w:val="000000" w:themeColor="text1"/>
          <w:szCs w:val="20"/>
        </w:rPr>
        <w:t>wystąpieniu pokontrolny</w:t>
      </w:r>
      <w:r w:rsidR="00AA3815">
        <w:rPr>
          <w:color w:val="000000" w:themeColor="text1"/>
          <w:szCs w:val="20"/>
        </w:rPr>
        <w:t>m</w:t>
      </w:r>
      <w:r w:rsidR="00AA3815" w:rsidRPr="00AA3815">
        <w:rPr>
          <w:color w:val="000000" w:themeColor="text1"/>
          <w:szCs w:val="20"/>
        </w:rPr>
        <w:t xml:space="preserve"> </w:t>
      </w:r>
      <w:r w:rsidRPr="00AA3815">
        <w:rPr>
          <w:color w:val="000000" w:themeColor="text1"/>
          <w:szCs w:val="20"/>
        </w:rPr>
        <w:t>oceny</w:t>
      </w:r>
      <w:r w:rsidRPr="00463E36">
        <w:rPr>
          <w:color w:val="000000" w:themeColor="text1"/>
          <w:szCs w:val="20"/>
        </w:rPr>
        <w:t xml:space="preserve"> i ustalenia, zalecam Panu Prezesowi:</w:t>
      </w:r>
    </w:p>
    <w:p w14:paraId="41BF4F35" w14:textId="32D82A5B" w:rsidR="005625BD" w:rsidRPr="00463E36" w:rsidRDefault="00AA3815" w:rsidP="00113606">
      <w:pPr>
        <w:pStyle w:val="Akapitzlist"/>
        <w:numPr>
          <w:ilvl w:val="1"/>
          <w:numId w:val="5"/>
        </w:numPr>
        <w:spacing w:after="120" w:line="240" w:lineRule="auto"/>
        <w:ind w:left="425" w:hanging="357"/>
        <w:contextualSpacing w:val="0"/>
      </w:pPr>
      <w:r>
        <w:t xml:space="preserve">Wprowadzenie rozwiązań zapewniających </w:t>
      </w:r>
      <w:r w:rsidR="007E4FFC" w:rsidRPr="00463E36">
        <w:t>efektywn</w:t>
      </w:r>
      <w:r>
        <w:t>e</w:t>
      </w:r>
      <w:r w:rsidR="007E4FFC" w:rsidRPr="00463E36">
        <w:t xml:space="preserve"> </w:t>
      </w:r>
      <w:r w:rsidR="008C431A" w:rsidRPr="00463E36">
        <w:t>prowadzeni</w:t>
      </w:r>
      <w:r w:rsidR="006A3334" w:rsidRPr="00463E36">
        <w:t>e</w:t>
      </w:r>
      <w:r w:rsidR="008C431A" w:rsidRPr="00463E36">
        <w:t xml:space="preserve"> postępowań administracyjnych</w:t>
      </w:r>
      <w:r w:rsidR="00E8194A" w:rsidRPr="00463E36">
        <w:t xml:space="preserve"> </w:t>
      </w:r>
      <w:r>
        <w:t>i</w:t>
      </w:r>
      <w:r w:rsidR="00DD6A52" w:rsidRPr="00463E36">
        <w:t xml:space="preserve"> kontrol</w:t>
      </w:r>
      <w:r>
        <w:t>nych</w:t>
      </w:r>
      <w:r w:rsidR="00DD6A52" w:rsidRPr="00463E36">
        <w:t xml:space="preserve"> </w:t>
      </w:r>
      <w:r>
        <w:t>oraz s</w:t>
      </w:r>
      <w:r w:rsidRPr="00463E36">
        <w:t xml:space="preserve">prawowanie skutecznego nadzoru nad </w:t>
      </w:r>
      <w:r>
        <w:t>i</w:t>
      </w:r>
      <w:r w:rsidR="00930121" w:rsidRPr="00463E36">
        <w:t xml:space="preserve">ch </w:t>
      </w:r>
      <w:r w:rsidR="007E4FFC" w:rsidRPr="00463E36">
        <w:t>terminowości</w:t>
      </w:r>
      <w:r>
        <w:t xml:space="preserve">ą </w:t>
      </w:r>
      <w:r w:rsidR="007E4FFC" w:rsidRPr="00463E36">
        <w:t>i</w:t>
      </w:r>
      <w:r>
        <w:t> </w:t>
      </w:r>
      <w:r w:rsidR="006A3334" w:rsidRPr="00463E36">
        <w:t>prawidłowośc</w:t>
      </w:r>
      <w:r w:rsidR="007E4FFC" w:rsidRPr="00463E36">
        <w:t>i</w:t>
      </w:r>
      <w:r>
        <w:t>ą</w:t>
      </w:r>
      <w:r w:rsidR="00930121" w:rsidRPr="00463E36">
        <w:t>.</w:t>
      </w:r>
    </w:p>
    <w:p w14:paraId="50314D68" w14:textId="77777777" w:rsidR="007E4FFC" w:rsidRPr="00463E36" w:rsidRDefault="007E4FFC" w:rsidP="007E4FFC">
      <w:pPr>
        <w:pStyle w:val="Akapitzlist"/>
        <w:numPr>
          <w:ilvl w:val="1"/>
          <w:numId w:val="5"/>
        </w:numPr>
        <w:spacing w:after="120" w:line="240" w:lineRule="auto"/>
        <w:ind w:left="425" w:hanging="357"/>
        <w:contextualSpacing w:val="0"/>
      </w:pPr>
      <w:r w:rsidRPr="00463E36">
        <w:t>Zintensyfikowanie działań w celu zatrudnienia pracowników na wolne etaty, w szczególności specjalistów na potrzeby PPEJ.</w:t>
      </w:r>
    </w:p>
    <w:p w14:paraId="16BADDCA" w14:textId="2051126C" w:rsidR="005E6E34" w:rsidRPr="00463E36" w:rsidRDefault="00963596" w:rsidP="00113606">
      <w:pPr>
        <w:pStyle w:val="Akapitzlist"/>
        <w:numPr>
          <w:ilvl w:val="1"/>
          <w:numId w:val="5"/>
        </w:numPr>
        <w:spacing w:after="120" w:line="240" w:lineRule="auto"/>
        <w:ind w:left="425" w:hanging="357"/>
        <w:contextualSpacing w:val="0"/>
      </w:pPr>
      <w:r w:rsidRPr="00463E36">
        <w:t>W</w:t>
      </w:r>
      <w:r w:rsidR="007E4FFC" w:rsidRPr="00463E36">
        <w:t>yeliminowanie możliwości zatrudniania na dodatkowych stanowiskach osób już zatrudnionych na wyższych stanowiskach pracy w służbie cywilnej bez rezygnacji z dotychczas zajmowanego stanowiska</w:t>
      </w:r>
      <w:r w:rsidR="00424F07" w:rsidRPr="00463E36">
        <w:t>.</w:t>
      </w:r>
    </w:p>
    <w:p w14:paraId="23717C34" w14:textId="1071BE2F" w:rsidR="007E4FFC" w:rsidRPr="00463E36" w:rsidRDefault="007E4FFC" w:rsidP="00113606">
      <w:pPr>
        <w:pStyle w:val="Akapitzlist"/>
        <w:numPr>
          <w:ilvl w:val="1"/>
          <w:numId w:val="5"/>
        </w:numPr>
        <w:spacing w:after="120" w:line="240" w:lineRule="auto"/>
        <w:ind w:left="425" w:hanging="357"/>
        <w:contextualSpacing w:val="0"/>
      </w:pPr>
      <w:r w:rsidRPr="00463E36">
        <w:t>Wycofanie zgody na korzystanie przez pracownika z urlopu</w:t>
      </w:r>
      <w:r w:rsidR="00D453A2">
        <w:t xml:space="preserve"> bezpłatnego na dodatkowym (obok zajmowanego) stanowisku pracy</w:t>
      </w:r>
      <w:r w:rsidRPr="00463E36">
        <w:t>, wydanej niezgodnie z art. 53a ust. 6 ustawy o służbie cywilnej.</w:t>
      </w:r>
    </w:p>
    <w:p w14:paraId="49DEF88D" w14:textId="4F4E7F4F" w:rsidR="007E4FFC" w:rsidRPr="00463E36" w:rsidRDefault="00D453A2" w:rsidP="007E4FFC">
      <w:pPr>
        <w:pStyle w:val="Akapitzlist"/>
        <w:numPr>
          <w:ilvl w:val="1"/>
          <w:numId w:val="5"/>
        </w:numPr>
        <w:spacing w:after="120" w:line="240" w:lineRule="auto"/>
        <w:ind w:left="425" w:hanging="357"/>
        <w:contextualSpacing w:val="0"/>
      </w:pPr>
      <w:r>
        <w:t>Zwiększenie nadzoru nad s</w:t>
      </w:r>
      <w:r w:rsidR="007E4FFC" w:rsidRPr="00463E36">
        <w:t>prawn</w:t>
      </w:r>
      <w:r>
        <w:t>ym</w:t>
      </w:r>
      <w:r w:rsidR="007E4FFC" w:rsidRPr="00463E36">
        <w:t xml:space="preserve"> i efektywn</w:t>
      </w:r>
      <w:r>
        <w:t>ym</w:t>
      </w:r>
      <w:r w:rsidR="007E4FFC" w:rsidRPr="00463E36">
        <w:t xml:space="preserve"> wdrażanie</w:t>
      </w:r>
      <w:r>
        <w:t>m</w:t>
      </w:r>
      <w:r w:rsidR="007E4FFC" w:rsidRPr="00463E36">
        <w:t xml:space="preserve"> rekomendacji audytowych.</w:t>
      </w:r>
    </w:p>
    <w:p w14:paraId="66268EA6" w14:textId="09FC00F4" w:rsidR="007E4FFC" w:rsidRPr="00463E36" w:rsidRDefault="007E4FFC" w:rsidP="007E4FFC">
      <w:pPr>
        <w:pStyle w:val="Akapitzlist"/>
        <w:numPr>
          <w:ilvl w:val="1"/>
          <w:numId w:val="5"/>
        </w:numPr>
        <w:spacing w:after="120" w:line="240" w:lineRule="auto"/>
        <w:ind w:left="425" w:hanging="357"/>
        <w:contextualSpacing w:val="0"/>
      </w:pPr>
      <w:r w:rsidRPr="00463E36">
        <w:t>Skuteczne egzekwowanie warunków określonych w wydawanych przez Prezesa PAA zezwoleniach.</w:t>
      </w:r>
    </w:p>
    <w:p w14:paraId="77981E75" w14:textId="2412CE73" w:rsidR="005E6E34" w:rsidRPr="00463E36" w:rsidRDefault="005E6E34" w:rsidP="005E6E34">
      <w:pPr>
        <w:pStyle w:val="akapitwgrupie"/>
        <w:spacing w:after="120" w:line="240" w:lineRule="auto"/>
        <w:ind w:firstLine="0"/>
        <w:rPr>
          <w:rFonts w:ascii="Lato" w:hAnsi="Lato"/>
          <w:sz w:val="20"/>
          <w:szCs w:val="20"/>
        </w:rPr>
      </w:pPr>
      <w:r w:rsidRPr="00463E36">
        <w:rPr>
          <w:rFonts w:ascii="Lato" w:hAnsi="Lato"/>
          <w:sz w:val="20"/>
          <w:szCs w:val="20"/>
          <w:lang w:eastAsia="en-US"/>
        </w:rPr>
        <w:t xml:space="preserve">Proszę Pana Prezesa o przedstawienie, w terminie 30 dni od daty otrzymania </w:t>
      </w:r>
      <w:r w:rsidR="00D453A2">
        <w:rPr>
          <w:rFonts w:ascii="Lato" w:hAnsi="Lato"/>
          <w:iCs/>
          <w:sz w:val="20"/>
          <w:szCs w:val="20"/>
          <w:lang w:eastAsia="en-US"/>
        </w:rPr>
        <w:t>w</w:t>
      </w:r>
      <w:r w:rsidRPr="00D453A2">
        <w:rPr>
          <w:rFonts w:ascii="Lato" w:hAnsi="Lato"/>
          <w:iCs/>
          <w:sz w:val="20"/>
          <w:szCs w:val="20"/>
          <w:lang w:eastAsia="en-US"/>
        </w:rPr>
        <w:t>ystąpienia</w:t>
      </w:r>
      <w:r w:rsidR="00D453A2">
        <w:rPr>
          <w:rFonts w:ascii="Lato" w:hAnsi="Lato"/>
          <w:iCs/>
          <w:sz w:val="20"/>
          <w:szCs w:val="20"/>
          <w:lang w:eastAsia="en-US"/>
        </w:rPr>
        <w:t xml:space="preserve"> pokontrolnego</w:t>
      </w:r>
      <w:r w:rsidRPr="00463E36">
        <w:rPr>
          <w:rFonts w:ascii="Lato" w:hAnsi="Lato"/>
          <w:sz w:val="20"/>
          <w:szCs w:val="20"/>
          <w:lang w:eastAsia="en-US"/>
        </w:rPr>
        <w:t>, informacji o sposobie wykonania zaleceń lub o innym sposobie usunięcia stwierdzonych nieprawidłowości.</w:t>
      </w:r>
    </w:p>
    <w:p w14:paraId="21D57142" w14:textId="33B8459F" w:rsidR="005E6E34" w:rsidRPr="00D453A2" w:rsidRDefault="005E6E34" w:rsidP="00D453A2">
      <w:pPr>
        <w:spacing w:after="120" w:line="240" w:lineRule="auto"/>
      </w:pPr>
      <w:r w:rsidRPr="00D453A2">
        <w:rPr>
          <w:spacing w:val="-2"/>
        </w:rPr>
        <w:t xml:space="preserve">Od </w:t>
      </w:r>
      <w:r w:rsidR="00D453A2" w:rsidRPr="00D453A2">
        <w:rPr>
          <w:spacing w:val="-2"/>
        </w:rPr>
        <w:t>wystąpienia pokontrolnego</w:t>
      </w:r>
      <w:r w:rsidRPr="00D453A2">
        <w:rPr>
          <w:spacing w:val="-2"/>
        </w:rPr>
        <w:t xml:space="preserve"> nie przysługują środki odwoławcze.</w:t>
      </w:r>
    </w:p>
    <w:p w14:paraId="2B2A8408" w14:textId="77777777" w:rsidR="008638F1" w:rsidRPr="00463E36" w:rsidRDefault="008638F1" w:rsidP="00D453A2">
      <w:pPr>
        <w:spacing w:before="360" w:after="200" w:line="240" w:lineRule="auto"/>
      </w:pPr>
      <w:r w:rsidRPr="00463E36">
        <w:t>Z wyrazami szacunku</w:t>
      </w:r>
    </w:p>
    <w:p w14:paraId="1917E061" w14:textId="77777777" w:rsidR="008638F1" w:rsidRPr="00463E36" w:rsidRDefault="008638F1" w:rsidP="008638F1">
      <w:pPr>
        <w:spacing w:after="0" w:line="240" w:lineRule="auto"/>
        <w:jc w:val="left"/>
      </w:pPr>
      <w:bookmarkStart w:id="9" w:name="ezdPracownikPodpisNazwa"/>
      <w:r w:rsidRPr="00463E36">
        <w:t>$IMIE_NAZWISKO_PODPISUJACEGO</w:t>
      </w:r>
      <w:bookmarkEnd w:id="9"/>
    </w:p>
    <w:p w14:paraId="4407A8ED" w14:textId="77777777" w:rsidR="008638F1" w:rsidRPr="00463E36" w:rsidRDefault="008638F1" w:rsidP="008638F1">
      <w:pPr>
        <w:spacing w:after="0" w:line="240" w:lineRule="auto"/>
        <w:jc w:val="left"/>
      </w:pPr>
      <w:bookmarkStart w:id="10" w:name="ezdPracownikPodpisStanowisko"/>
      <w:r w:rsidRPr="00463E36">
        <w:t>$STANOWISKO_PODPISUJACEGO</w:t>
      </w:r>
      <w:bookmarkEnd w:id="10"/>
    </w:p>
    <w:p w14:paraId="14E01FBD" w14:textId="28660DDE" w:rsidR="008638F1" w:rsidRPr="00463E36" w:rsidRDefault="008638F1" w:rsidP="008D54DA">
      <w:pPr>
        <w:spacing w:after="0" w:line="240" w:lineRule="auto"/>
        <w:jc w:val="left"/>
      </w:pPr>
      <w:r w:rsidRPr="00463E36">
        <w:t>Ministerstwo Klimatu i Środowiska</w:t>
      </w:r>
      <w:r w:rsidRPr="00463E36">
        <w:br/>
        <w:t>/ – podpisany cyfrowo/</w:t>
      </w:r>
    </w:p>
    <w:sectPr w:rsidR="008638F1" w:rsidRPr="00463E36" w:rsidSect="00E701B1">
      <w:headerReference w:type="default" r:id="rId8"/>
      <w:footerReference w:type="default" r:id="rId9"/>
      <w:headerReference w:type="first" r:id="rId10"/>
      <w:footerReference w:type="first" r:id="rId11"/>
      <w:pgSz w:w="11906" w:h="16838"/>
      <w:pgMar w:top="1702" w:right="1985"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83C28" w14:textId="77777777" w:rsidR="003B0298" w:rsidRDefault="003B0298">
      <w:pPr>
        <w:spacing w:after="0" w:line="240" w:lineRule="auto"/>
      </w:pPr>
      <w:r>
        <w:separator/>
      </w:r>
    </w:p>
  </w:endnote>
  <w:endnote w:type="continuationSeparator" w:id="0">
    <w:p w14:paraId="2A00CDA4" w14:textId="77777777" w:rsidR="003B0298" w:rsidRDefault="003B0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embedRegular r:id="rId1" w:fontKey="{F95B8876-AD80-42C4-BE3B-E89258A2801C}"/>
  </w:font>
  <w:font w:name="Lato">
    <w:charset w:val="00"/>
    <w:family w:val="swiss"/>
    <w:pitch w:val="variable"/>
    <w:sig w:usb0="E10002FF" w:usb1="5000ECFF" w:usb2="00000021" w:usb3="00000000" w:csb0="0000019F" w:csb1="00000000"/>
    <w:embedRegular r:id="rId2" w:fontKey="{87DE8562-9360-448D-9001-F1AECA037DFA}"/>
    <w:embedBold r:id="rId3" w:fontKey="{2F81738D-6547-4D6B-90F8-39D93FAA4CDE}"/>
    <w:embedItalic r:id="rId4" w:fontKey="{81CE5030-B168-4E67-A7CE-993A9B289595}"/>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610805"/>
      <w:docPartObj>
        <w:docPartGallery w:val="Page Numbers (Bottom of Page)"/>
        <w:docPartUnique/>
      </w:docPartObj>
    </w:sdtPr>
    <w:sdtEndPr/>
    <w:sdtContent>
      <w:sdt>
        <w:sdtPr>
          <w:id w:val="-1769616900"/>
          <w:docPartObj>
            <w:docPartGallery w:val="Page Numbers (Top of Page)"/>
            <w:docPartUnique/>
          </w:docPartObj>
        </w:sdtPr>
        <w:sdtEndPr/>
        <w:sdtContent>
          <w:p w14:paraId="31F7B13E" w14:textId="253A9A40" w:rsidR="008638F1" w:rsidRDefault="008C534E" w:rsidP="008C534E">
            <w:pPr>
              <w:pStyle w:val="Stopka"/>
              <w:jc w:val="right"/>
            </w:pPr>
            <w:r w:rsidRPr="008C534E">
              <w:rPr>
                <w:szCs w:val="16"/>
              </w:rPr>
              <w:t xml:space="preserve">Strona </w:t>
            </w:r>
            <w:r w:rsidRPr="008C534E">
              <w:rPr>
                <w:b/>
                <w:bCs/>
                <w:szCs w:val="16"/>
              </w:rPr>
              <w:fldChar w:fldCharType="begin"/>
            </w:r>
            <w:r w:rsidRPr="008C534E">
              <w:rPr>
                <w:b/>
                <w:bCs/>
                <w:szCs w:val="16"/>
              </w:rPr>
              <w:instrText>PAGE</w:instrText>
            </w:r>
            <w:r w:rsidRPr="008C534E">
              <w:rPr>
                <w:b/>
                <w:bCs/>
                <w:szCs w:val="16"/>
              </w:rPr>
              <w:fldChar w:fldCharType="separate"/>
            </w:r>
            <w:r w:rsidRPr="008C534E">
              <w:rPr>
                <w:b/>
                <w:bCs/>
                <w:szCs w:val="16"/>
              </w:rPr>
              <w:t>2</w:t>
            </w:r>
            <w:r w:rsidRPr="008C534E">
              <w:rPr>
                <w:b/>
                <w:bCs/>
                <w:szCs w:val="16"/>
              </w:rPr>
              <w:fldChar w:fldCharType="end"/>
            </w:r>
            <w:r w:rsidRPr="008C534E">
              <w:rPr>
                <w:szCs w:val="16"/>
              </w:rPr>
              <w:t xml:space="preserve"> z </w:t>
            </w:r>
            <w:r w:rsidRPr="008C534E">
              <w:rPr>
                <w:b/>
                <w:bCs/>
                <w:szCs w:val="16"/>
              </w:rPr>
              <w:fldChar w:fldCharType="begin"/>
            </w:r>
            <w:r w:rsidRPr="008C534E">
              <w:rPr>
                <w:b/>
                <w:bCs/>
                <w:szCs w:val="16"/>
              </w:rPr>
              <w:instrText>NUMPAGES</w:instrText>
            </w:r>
            <w:r w:rsidRPr="008C534E">
              <w:rPr>
                <w:b/>
                <w:bCs/>
                <w:szCs w:val="16"/>
              </w:rPr>
              <w:fldChar w:fldCharType="separate"/>
            </w:r>
            <w:r w:rsidRPr="008C534E">
              <w:rPr>
                <w:b/>
                <w:bCs/>
                <w:szCs w:val="16"/>
              </w:rPr>
              <w:t>2</w:t>
            </w:r>
            <w:r w:rsidRPr="008C534E">
              <w:rPr>
                <w:b/>
                <w:bCs/>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0595A" w14:textId="77777777" w:rsidR="008638F1" w:rsidRPr="00590C4E" w:rsidRDefault="008638F1" w:rsidP="008638F1">
    <w:pPr>
      <w:pStyle w:val="Stopka"/>
      <w:tabs>
        <w:tab w:val="clear" w:pos="4536"/>
        <w:tab w:val="clear" w:pos="9072"/>
        <w:tab w:val="left" w:pos="5954"/>
      </w:tabs>
    </w:pPr>
    <w:r w:rsidRPr="00590C4E">
      <w:tab/>
    </w:r>
    <w:r>
      <w:t xml:space="preserve"> </w:t>
    </w:r>
  </w:p>
  <w:p w14:paraId="0AB0BA00" w14:textId="77777777" w:rsidR="008638F1" w:rsidRPr="0078775A" w:rsidRDefault="008638F1" w:rsidP="008638F1">
    <w:pPr>
      <w:pStyle w:val="Stopka"/>
      <w:tabs>
        <w:tab w:val="clear" w:pos="4536"/>
        <w:tab w:val="clear" w:pos="9072"/>
        <w:tab w:val="left" w:pos="5103"/>
      </w:tabs>
    </w:pPr>
    <w:r w:rsidRPr="0078775A">
      <w:rPr>
        <w:noProof/>
        <w:sz w:val="14"/>
        <w:lang w:eastAsia="pl-PL"/>
      </w:rPr>
      <mc:AlternateContent>
        <mc:Choice Requires="wps">
          <w:drawing>
            <wp:anchor distT="0" distB="0" distL="114300" distR="114300" simplePos="0" relativeHeight="251660288" behindDoc="0" locked="0" layoutInCell="1" allowOverlap="1" wp14:anchorId="563033CE" wp14:editId="12404320">
              <wp:simplePos x="0" y="0"/>
              <wp:positionH relativeFrom="margin">
                <wp:posOffset>0</wp:posOffset>
              </wp:positionH>
              <wp:positionV relativeFrom="paragraph">
                <wp:posOffset>-120650</wp:posOffset>
              </wp:positionV>
              <wp:extent cx="5040000" cy="0"/>
              <wp:effectExtent l="0" t="0" r="27305" b="19050"/>
              <wp:wrapNone/>
              <wp:docPr id="1" name="Łącznik prosty 1"/>
              <wp:cNvGraphicFramePr/>
              <a:graphic xmlns:a="http://schemas.openxmlformats.org/drawingml/2006/main">
                <a:graphicData uri="http://schemas.microsoft.com/office/word/2010/wordprocessingShape">
                  <wps:wsp>
                    <wps:cNvCnPr/>
                    <wps:spPr>
                      <a:xfrm>
                        <a:off x="0" y="0"/>
                        <a:ext cx="5040000"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w:pict>
            <v:line w14:anchorId="6DC01BD2" id="Łącznik prosty 1"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" strokecolor="windowText" strokeweight=".5pt">
              <v:stroke joinstyle="miter"/>
              <w10:wrap anchorx="margin"/>
            </v:line>
          </w:pict>
        </mc:Fallback>
      </mc:AlternateContent>
    </w:r>
    <w:r w:rsidRPr="0078775A">
      <w:t>Telefon: (+48) 22</w:t>
    </w:r>
    <w:r>
      <w:t> </w:t>
    </w:r>
    <w:r w:rsidRPr="0078775A">
      <w:t>369</w:t>
    </w:r>
    <w:r>
      <w:t xml:space="preserve"> </w:t>
    </w:r>
    <w:r w:rsidRPr="0078775A">
      <w:t>29</w:t>
    </w:r>
    <w:r>
      <w:t xml:space="preserve"> </w:t>
    </w:r>
    <w:r w:rsidRPr="0078775A">
      <w:t>00</w:t>
    </w:r>
    <w:r w:rsidRPr="0078775A">
      <w:tab/>
      <w:t xml:space="preserve">ul. Wawelska 52/54, 00-922 Warszawa  </w:t>
    </w:r>
  </w:p>
  <w:p w14:paraId="38DC3F7B" w14:textId="77777777" w:rsidR="008638F1" w:rsidRPr="0078775A" w:rsidRDefault="008638F1" w:rsidP="008638F1">
    <w:pPr>
      <w:pStyle w:val="Stopka"/>
      <w:tabs>
        <w:tab w:val="clear" w:pos="4536"/>
        <w:tab w:val="clear" w:pos="9072"/>
        <w:tab w:val="left" w:pos="5387"/>
      </w:tabs>
    </w:pPr>
    <w:r w:rsidRPr="0078775A">
      <w:t>info@klimat.gov.pl</w:t>
    </w:r>
    <w:r w:rsidRPr="0078775A">
      <w:tab/>
      <w:t xml:space="preserve">Ministerstwo Klimatu i Środowiska  </w:t>
    </w:r>
  </w:p>
  <w:p w14:paraId="747C3556" w14:textId="77777777" w:rsidR="008638F1" w:rsidRPr="0078775A" w:rsidRDefault="008638F1" w:rsidP="008638F1">
    <w:pPr>
      <w:pStyle w:val="Stopka"/>
      <w:tabs>
        <w:tab w:val="left" w:pos="5954"/>
      </w:tabs>
    </w:pPr>
    <w:r w:rsidRPr="0078775A">
      <w:t>www.gov.pl/klimat</w:t>
    </w:r>
  </w:p>
  <w:p w14:paraId="5C171469" w14:textId="77777777" w:rsidR="008638F1" w:rsidRPr="00D71249" w:rsidRDefault="008638F1" w:rsidP="008638F1">
    <w:pPr>
      <w:pStyle w:val="Stopka"/>
      <w:jc w:val="center"/>
      <w:rPr>
        <w:sz w:val="14"/>
      </w:rPr>
    </w:pPr>
    <w:r w:rsidRPr="0078775A">
      <w:rPr>
        <w:sz w:val="14"/>
      </w:rPr>
      <w:t>Działamy zgodnie z EMAS - zarządzając instytucją, dbamy o środowisko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90F5D" w14:textId="77777777" w:rsidR="003B0298" w:rsidRDefault="003B0298">
      <w:pPr>
        <w:spacing w:after="0" w:line="240" w:lineRule="auto"/>
      </w:pPr>
      <w:r>
        <w:separator/>
      </w:r>
    </w:p>
  </w:footnote>
  <w:footnote w:type="continuationSeparator" w:id="0">
    <w:p w14:paraId="10F13470" w14:textId="77777777" w:rsidR="003B0298" w:rsidRDefault="003B0298">
      <w:pPr>
        <w:spacing w:after="0" w:line="240" w:lineRule="auto"/>
      </w:pPr>
      <w:r>
        <w:continuationSeparator/>
      </w:r>
    </w:p>
  </w:footnote>
  <w:footnote w:id="1">
    <w:p w14:paraId="748B399B" w14:textId="58B8C0C3" w:rsidR="008638F1" w:rsidRPr="00463E36" w:rsidRDefault="008638F1">
      <w:pPr>
        <w:pStyle w:val="Tekstprzypisudolnego"/>
        <w:rPr>
          <w:sz w:val="16"/>
          <w:szCs w:val="16"/>
        </w:rPr>
      </w:pPr>
      <w:r w:rsidRPr="00463E36">
        <w:rPr>
          <w:rStyle w:val="Odwoanieprzypisudolnego"/>
          <w:sz w:val="16"/>
          <w:szCs w:val="16"/>
        </w:rPr>
        <w:footnoteRef/>
      </w:r>
      <w:r w:rsidRPr="00463E36">
        <w:rPr>
          <w:sz w:val="16"/>
          <w:szCs w:val="16"/>
        </w:rPr>
        <w:t xml:space="preserve"> Kontrolę przeprowadzili pracownicy Katarzyna Żebrowska – główny specjalista, Krzysztof Stasiak – naczelnik, Justyna Kutra – główny specjalista, Patrycja Opala – młodszy specjalista</w:t>
      </w:r>
      <w:r w:rsidR="00BE778B" w:rsidRPr="00463E36">
        <w:rPr>
          <w:sz w:val="16"/>
          <w:szCs w:val="16"/>
        </w:rPr>
        <w:t>.</w:t>
      </w:r>
    </w:p>
  </w:footnote>
  <w:footnote w:id="2">
    <w:p w14:paraId="531075D1"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Z wykorzystaniem dowodów sporządzonych przed i po tym okresie, jeżeli miały one związek z zakresem kontroli.</w:t>
      </w:r>
    </w:p>
  </w:footnote>
  <w:footnote w:id="3">
    <w:p w14:paraId="3984A7AC"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Dz. U. z 2020 r. poz. 224.</w:t>
      </w:r>
    </w:p>
  </w:footnote>
  <w:footnote w:id="4">
    <w:p w14:paraId="312135AC"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w:t>
      </w:r>
      <w:r w:rsidRPr="00463E36">
        <w:rPr>
          <w:rFonts w:eastAsia="Times New Roman" w:cs="Times New Roman"/>
          <w:sz w:val="16"/>
          <w:szCs w:val="16"/>
          <w:lang w:eastAsia="pl-PL"/>
        </w:rPr>
        <w:t>Dz. U. z 2004 r. poz. 1277.</w:t>
      </w:r>
    </w:p>
  </w:footnote>
  <w:footnote w:id="5">
    <w:p w14:paraId="6214C633"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Zarządzenie z dnia 18.06.2020 r. Ministra Klimatu w sprawie nadania statutu Państwowej Agencji Atomistyki (Dz. Urz. Min. Klim. z 2020 r. poz. 32), zmienione zarządzeniem z dnia 29.12.2022 r. Ministra Klimatu i Środowiska (Dz. Urz. </w:t>
      </w:r>
      <w:proofErr w:type="spellStart"/>
      <w:r w:rsidRPr="00463E36">
        <w:rPr>
          <w:sz w:val="16"/>
          <w:szCs w:val="16"/>
        </w:rPr>
        <w:t>MKiŚ</w:t>
      </w:r>
      <w:proofErr w:type="spellEnd"/>
      <w:r w:rsidRPr="00463E36">
        <w:rPr>
          <w:sz w:val="16"/>
          <w:szCs w:val="16"/>
        </w:rPr>
        <w:t xml:space="preserve"> z 2022 r. poz. 78).</w:t>
      </w:r>
    </w:p>
  </w:footnote>
  <w:footnote w:id="6">
    <w:p w14:paraId="52046DA4"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Zarządzenie nr 7 Prezesa Państwowej Agencji Atomistyki z dnia 30.06.2023 r. w sprawie regulaminu organizacyjnego Państwowej Agencji Atomistyki. Poprzedni regulamin organizacyjny określony został przez zarządzenie nr 3 Prezesa Państwowej Agencji Atomistyki z dnia 26.06.2020 r.</w:t>
      </w:r>
    </w:p>
  </w:footnote>
  <w:footnote w:id="7">
    <w:p w14:paraId="0EEF01A0"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Art. 110 ustawy Prawo atomowe.</w:t>
      </w:r>
    </w:p>
  </w:footnote>
  <w:footnote w:id="8">
    <w:p w14:paraId="021E10D3"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W DOR zaplanowano 603 kontrole, a przeprowadzono 350 – 58% wykonania planu. W DBJ zaplanowano i przeprowadzono 69 kontroli.</w:t>
      </w:r>
    </w:p>
  </w:footnote>
  <w:footnote w:id="9">
    <w:p w14:paraId="56781CE2"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Do dnia zakończenia czynności kontrolnych (21.03.2025 r.).</w:t>
      </w:r>
    </w:p>
  </w:footnote>
  <w:footnote w:id="10">
    <w:p w14:paraId="58F8E6B7"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Państwa członkowskie Unii Europejskiej oraz większość pozostałych krajów Europy, m.in. Wielka Brytania, Szwajcaria, Ukraina, Białoruś.</w:t>
      </w:r>
    </w:p>
  </w:footnote>
  <w:footnote w:id="11">
    <w:p w14:paraId="5FB7D870"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Instrukcje w sprawie wydania zezwolenia na: budowę obiektu jądrowego, rozruch obiektu jądrowego, eksploatację obiektu jądrowego oraz likwidację obiektu jądrowego.</w:t>
      </w:r>
    </w:p>
  </w:footnote>
  <w:footnote w:id="12">
    <w:p w14:paraId="2AF73859"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Procedura nr PO1/PO7.2 Postępowanie dyżurnego centrum do spraw zdarzeń radiacyjnych oraz zespołu awaryjnego w przypadku otrzymania powiadomienia o zdarzeniu radiacyjnym z 25.05.2015 r. ze zmianą </w:t>
      </w:r>
      <w:r w:rsidRPr="00463E36">
        <w:rPr>
          <w:sz w:val="16"/>
          <w:szCs w:val="16"/>
        </w:rPr>
        <w:br/>
        <w:t>z 13.04.2024 r., wraz z Instrukcją Postępowania dyżurnego CEZAR w przypadku zdarzenia radiacyjnego powodującego zagrożenie jednostki organizacyjnej o zasięgu zakładowym, a także 2 Instrukcjami Postępowania dyżurnego CEZAR oraz zespołu awaryjnego w przypadku zdarzenia radiacyjnego powodującego zagrożenie o zasięgu wojewódzkim oraz krajowym.</w:t>
      </w:r>
    </w:p>
  </w:footnote>
  <w:footnote w:id="13">
    <w:p w14:paraId="69398B3E"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Procedura nr P01/PO4.4 przeprowadzania kontroli dozorowych przez Inspektorów Dozoru Jądrowego Departamentu Ochrony Radiologicznej z 17.08.2023 r. wraz z instrukcjami: przeprowadzania kontroli w zakresie ochrony radiologicznej przez Inspektorów Dozoru Jądrowego Departamentu Ochrony Radiologicznej, przeprowadzania kontroli dozorowych przez inspektorów dozoru jądrowego, przygotowania kontroli okresowych i doraźnych, ciągłych oraz dozorowych, przygotowywania i aktualizacji sześcioletniego planu kontroli okresowych w zakresie obiektów jądrowych, składowisk odpadów promieniotwórczych, technologii jądrowych i zabezpieczeń materiałów jądrowych, dokumentowania wyników kontroli, sposobu organizacji elektronicznych zapisów kontroli, przygotowywania rocznego planu kontroli ciągłych dla budowy elektrowni jądrowych.</w:t>
      </w:r>
    </w:p>
  </w:footnote>
  <w:footnote w:id="14">
    <w:p w14:paraId="5F9FAC5A"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Procedura nr P01/PO3.2 przygotowywania projektów decyzji Prezesa PAA na działalność dozorowaną z 18.07.2023 r. oraz procedura nr 001/DBJ wydawania zezwoleń w zakresie działalności związanej z obiektami jądrowymi z 14.06.2017 r.</w:t>
      </w:r>
    </w:p>
  </w:footnote>
  <w:footnote w:id="15">
    <w:p w14:paraId="0BA3E8F1"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Procedura nr 008/DOR z 7.08.2014 r. nadawania uprawnień osobom ubiegającym się o uprawnienia do zatrudnienia na stanowiskach mających istotne znaczenie dla zapewnienia bezpieczeństwa jądrowego i ochrony radiologicznej lub uprawnienia inspektora ochrony radiologicznej.</w:t>
      </w:r>
    </w:p>
  </w:footnote>
  <w:footnote w:id="16">
    <w:p w14:paraId="2A2C1CC6"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Pismo z 12.02.2025 r. znak: BSM.0800.3.2024.IPT.11.</w:t>
      </w:r>
    </w:p>
  </w:footnote>
  <w:footnote w:id="17">
    <w:p w14:paraId="7958ACBF"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Sprawy zezwoleń dotyczyły działalności wskazanych w art. 4 ust. 1 ustawy Prawo atomowe, takich jak: eksploatacji obiektu jądrowego; eksploatacji składowiska odpadów promieniotwórczych; uruchamianie pracowni, w których mają być stosowane źródła promieniowania jonizującego, w szczególności pracowni rentgenowskich lub medycznych pracowni rentgenowskich; stosowaniu urządzeń wytwarzających promieniowanie jonizujące; obrót materiałami lub źródłami promieniotwórczymi.</w:t>
      </w:r>
    </w:p>
  </w:footnote>
  <w:footnote w:id="18">
    <w:p w14:paraId="59E80CE7"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Wybrana próba dotyczyła wydawania zezwoleń dot. działalności, o której mowa w art. 4 ust.1 ustawy Prawo atomowe prowadzonych przez DOR i DBJ w latach 2023-2024. Dobór spraw był wykonany z uwzględnieniem kryterium czasu prowadzenia postępowania.</w:t>
      </w:r>
    </w:p>
  </w:footnote>
  <w:footnote w:id="19">
    <w:p w14:paraId="3643DAF3"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Sprawa znak: DBJ.4110.1.2022.</w:t>
      </w:r>
    </w:p>
  </w:footnote>
  <w:footnote w:id="20">
    <w:p w14:paraId="64337EBB" w14:textId="77777777" w:rsidR="008638F1" w:rsidRPr="00463E36" w:rsidRDefault="008638F1" w:rsidP="008638F1">
      <w:pPr>
        <w:spacing w:after="0" w:line="240" w:lineRule="auto"/>
        <w:rPr>
          <w:sz w:val="16"/>
          <w:szCs w:val="16"/>
        </w:rPr>
      </w:pPr>
      <w:r w:rsidRPr="00463E36">
        <w:rPr>
          <w:rStyle w:val="Odwoanieprzypisudolnego"/>
          <w:sz w:val="16"/>
          <w:szCs w:val="16"/>
        </w:rPr>
        <w:footnoteRef/>
      </w:r>
      <w:r w:rsidRPr="00463E36">
        <w:rPr>
          <w:sz w:val="16"/>
          <w:szCs w:val="16"/>
        </w:rPr>
        <w:t xml:space="preserve"> Pisma z: 12.02.2025 r. znak: BSM.0800.3.2024.IPT.11; 07.03.2025 r. znak: BSM.0800.3.2024.IPT.29; 27.02.2025 r. znak: BSM.0800.3.2024.IPT.22.</w:t>
      </w:r>
    </w:p>
  </w:footnote>
  <w:footnote w:id="21">
    <w:p w14:paraId="3FDE8EA0"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Sprawa znak: DOR.4130.1354.2023.</w:t>
      </w:r>
    </w:p>
  </w:footnote>
  <w:footnote w:id="22">
    <w:p w14:paraId="58126505"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Nr D-16874 z 12.06.2008 r.</w:t>
      </w:r>
    </w:p>
  </w:footnote>
  <w:footnote w:id="23">
    <w:p w14:paraId="54BA42F0"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Art. 37 ust. 1 ustawy z dnia 5 lipca 2018 r. o zarządzie sukcesyjnym przedsiębiorstwem osoby fizycznej i innych ułatwieniach związanych z sukcesją przedsiębiorstw (dalej: ustawa o zarządzie sukcesyjnym; Dz. U. z 2021 r. poz. 170).</w:t>
      </w:r>
    </w:p>
  </w:footnote>
  <w:footnote w:id="24">
    <w:p w14:paraId="08A6CE07"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Np. wyrok NSA z dnia 18 maja 2020 r., sygn. akt: II OSK 2341/19.</w:t>
      </w:r>
    </w:p>
  </w:footnote>
  <w:footnote w:id="25">
    <w:p w14:paraId="023A980C" w14:textId="77777777" w:rsidR="008638F1" w:rsidRPr="00463E36" w:rsidRDefault="008638F1" w:rsidP="008638F1">
      <w:pPr>
        <w:spacing w:after="0" w:line="240" w:lineRule="auto"/>
        <w:rPr>
          <w:sz w:val="16"/>
          <w:szCs w:val="16"/>
        </w:rPr>
      </w:pPr>
      <w:r w:rsidRPr="00463E36">
        <w:rPr>
          <w:rStyle w:val="Odwoanieprzypisudolnego"/>
          <w:sz w:val="16"/>
          <w:szCs w:val="16"/>
        </w:rPr>
        <w:footnoteRef/>
      </w:r>
      <w:r w:rsidRPr="00463E36">
        <w:rPr>
          <w:sz w:val="16"/>
          <w:szCs w:val="16"/>
        </w:rPr>
        <w:t xml:space="preserve"> Pismo z 28.02.2025 r. znak: BSM.0800.3.2024.IPT.26.</w:t>
      </w:r>
    </w:p>
  </w:footnote>
  <w:footnote w:id="26">
    <w:p w14:paraId="1CE7AC00"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Procedura nr 001/DBJ Wydawanie zezwoleń w zakresie działalności związanej z obiektami jądrowymi.</w:t>
      </w:r>
    </w:p>
  </w:footnote>
  <w:footnote w:id="27">
    <w:p w14:paraId="7EBE32D9"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Decyzja nr 2/2023/Maria z 27.10.2023 r. zmieniająca zezwolenie nr 1/2015/Maria z 31.03.2015 r., znak: </w:t>
      </w:r>
      <w:r w:rsidRPr="00463E36">
        <w:rPr>
          <w:sz w:val="16"/>
          <w:szCs w:val="16"/>
        </w:rPr>
        <w:br/>
        <w:t>DBJ-WOZ.4100.1.2023.3.</w:t>
      </w:r>
    </w:p>
  </w:footnote>
  <w:footnote w:id="28">
    <w:p w14:paraId="61B19E2C"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Formularz nr F1/001/DBJ „Raport z oceny formalnoprawnej” stanowiący załącznik do Procedury nr 001/DBJ Wydawanie zezwoleń w zakresie działalności związanej z obiektami jądrowymi.</w:t>
      </w:r>
    </w:p>
  </w:footnote>
  <w:footnote w:id="29">
    <w:p w14:paraId="760DFB30"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Formularz nr F2/001/DBJ „Raport z oceny dozorowej” stanowiący załącznik do Procedury nr 001/DBJ Wydawanie zezwoleń w zakresie działalności związanej z obiektami jądrowymi.</w:t>
      </w:r>
    </w:p>
  </w:footnote>
  <w:footnote w:id="30">
    <w:p w14:paraId="116A4E49"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Pkt 6.4.3.10. Procedury wydawania zezwoleń w zakresie działalności związanej z obiektami jądrowymi.</w:t>
      </w:r>
    </w:p>
  </w:footnote>
  <w:footnote w:id="31">
    <w:p w14:paraId="364A0516"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Pismo z 12.02.2025 r. znak: BSM.0800.3.2024.IPT.11.</w:t>
      </w:r>
    </w:p>
  </w:footnote>
  <w:footnote w:id="32">
    <w:p w14:paraId="50B1EA2B"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Wybrana próba dotyczy wyłącznie postępowań dotyczących zgłoszeń prowadzonych przez DOR.</w:t>
      </w:r>
    </w:p>
  </w:footnote>
  <w:footnote w:id="33">
    <w:p w14:paraId="547150E8"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W sprawach, w których działalność ze źródłami promieniowania jonizującego nie wymaga zezwolenia, wydawane są decyzje o przyjęciu zgłoszenia na wykonywania działalności związanej z narażeniem na promieniowanie jonizujące lub przyjmowane są powiadomienia.</w:t>
      </w:r>
    </w:p>
  </w:footnote>
  <w:footnote w:id="34">
    <w:p w14:paraId="1A39B398" w14:textId="77777777" w:rsidR="008638F1" w:rsidRPr="00463E36" w:rsidRDefault="008638F1" w:rsidP="008638F1">
      <w:pPr>
        <w:tabs>
          <w:tab w:val="left" w:pos="914"/>
        </w:tabs>
        <w:spacing w:after="0" w:line="240" w:lineRule="auto"/>
        <w:rPr>
          <w:sz w:val="16"/>
          <w:szCs w:val="16"/>
        </w:rPr>
      </w:pPr>
      <w:r w:rsidRPr="00463E36">
        <w:rPr>
          <w:rStyle w:val="Odwoanieprzypisudolnego"/>
          <w:sz w:val="16"/>
          <w:szCs w:val="16"/>
        </w:rPr>
        <w:footnoteRef/>
      </w:r>
      <w:r w:rsidRPr="00463E36">
        <w:rPr>
          <w:sz w:val="16"/>
          <w:szCs w:val="16"/>
        </w:rPr>
        <w:t xml:space="preserve"> Rozporządzenie Rady Ministrów z dnia 10.03.2021 r. </w:t>
      </w:r>
      <w:proofErr w:type="spellStart"/>
      <w:r w:rsidRPr="00463E36">
        <w:rPr>
          <w:sz w:val="16"/>
          <w:szCs w:val="16"/>
        </w:rPr>
        <w:t>ws</w:t>
      </w:r>
      <w:proofErr w:type="spellEnd"/>
      <w:r w:rsidRPr="00463E36">
        <w:rPr>
          <w:sz w:val="16"/>
          <w:szCs w:val="16"/>
        </w:rPr>
        <w:t>. przypadków, w których działalność związana z narażeniem na promieniowanie jonizujące nie wymaga zezwolenia, zgłoszenia albo powiadomienia, oraz przypadków, w których może być wykonywana na podstawie zgłoszenia albo powiadomienia (Dz. U. z 2021 r. poz. 796).</w:t>
      </w:r>
    </w:p>
  </w:footnote>
  <w:footnote w:id="35">
    <w:p w14:paraId="32AB837E" w14:textId="77777777" w:rsidR="008638F1" w:rsidRPr="00463E36" w:rsidRDefault="008638F1" w:rsidP="008638F1">
      <w:pPr>
        <w:tabs>
          <w:tab w:val="left" w:pos="914"/>
        </w:tabs>
        <w:spacing w:after="0" w:line="240" w:lineRule="auto"/>
        <w:rPr>
          <w:sz w:val="16"/>
          <w:szCs w:val="16"/>
        </w:rPr>
      </w:pPr>
      <w:r w:rsidRPr="00463E36">
        <w:rPr>
          <w:rStyle w:val="Odwoanieprzypisudolnego"/>
          <w:sz w:val="16"/>
          <w:szCs w:val="16"/>
        </w:rPr>
        <w:footnoteRef/>
      </w:r>
      <w:r w:rsidRPr="00463E36">
        <w:rPr>
          <w:sz w:val="16"/>
          <w:szCs w:val="16"/>
        </w:rPr>
        <w:t xml:space="preserve"> Procedura nr 01/PO3.2 przygotowywania projektów decyzji Prezesa PAA na działalność dozorowaną przez DOR z dnia 18.07.2023 r.</w:t>
      </w:r>
    </w:p>
  </w:footnote>
  <w:footnote w:id="36">
    <w:p w14:paraId="78E0583B"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Zarządzanie ryzkiem w PAA odbywa się na podstawie zarządzenia Nr 8 Prezesa Państwowej Agencji Atomistyki z dnia 19.09.2014 r. w sprawie ustalenia Regulaminu kontroli zarządczej w Państwowej Agencji Atomistyki.</w:t>
      </w:r>
    </w:p>
  </w:footnote>
  <w:footnote w:id="37">
    <w:p w14:paraId="51A5B902"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Pismo z 20.01.2025 r. znak: BSM.0800.3.2024.IPT.2. Załączniki nr 1.4-1.5 Sprawozdanie z przeglądu zrządzania ryzykiem za rok 2023 i za I półrocze 2024.</w:t>
      </w:r>
    </w:p>
  </w:footnote>
  <w:footnote w:id="38">
    <w:p w14:paraId="5DB75904"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Przegląd realizacji działań ograniczających ryzyka dokonywany był w ramach półrocznego i rocznego raportu zarządzania ryzykiem odpowiednio na dzień 30 czerwca oraz 31 grudnia danego roku. Wyniki przeglądu były dokumentowane w cząstkowych Planach działań ograniczających ryzyka właścicieli </w:t>
      </w:r>
      <w:proofErr w:type="spellStart"/>
      <w:r w:rsidRPr="00463E36">
        <w:rPr>
          <w:sz w:val="16"/>
          <w:szCs w:val="16"/>
        </w:rPr>
        <w:t>ryzyk</w:t>
      </w:r>
      <w:proofErr w:type="spellEnd"/>
      <w:r w:rsidRPr="00463E36">
        <w:rPr>
          <w:sz w:val="16"/>
          <w:szCs w:val="16"/>
        </w:rPr>
        <w:t xml:space="preserve"> (dyrektorów poszczególnych komórek organizacyjnych), a następnie w zestawieniu zbiorczym – Planie działań ograniczających ryzyka dla PAA.</w:t>
      </w:r>
    </w:p>
  </w:footnote>
  <w:footnote w:id="39">
    <w:p w14:paraId="5DDEDFBE"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Rejestr spraw DOR i DBJ w zakresie prowadzonych postępowań dot. zezwoleń, zgłoszeń i powiadomień.</w:t>
      </w:r>
    </w:p>
  </w:footnote>
  <w:footnote w:id="40">
    <w:p w14:paraId="4A3A6E70" w14:textId="77777777" w:rsidR="008638F1" w:rsidRPr="00463E36" w:rsidRDefault="008638F1" w:rsidP="008638F1">
      <w:pPr>
        <w:suppressAutoHyphens/>
        <w:spacing w:after="0" w:line="240" w:lineRule="auto"/>
        <w:rPr>
          <w:rFonts w:eastAsia="Times New Roman" w:cs="Times New Roman"/>
          <w:bCs/>
          <w:sz w:val="16"/>
          <w:szCs w:val="16"/>
        </w:rPr>
      </w:pPr>
      <w:r w:rsidRPr="00463E36">
        <w:rPr>
          <w:rStyle w:val="Odwoanieprzypisudolnego"/>
          <w:sz w:val="16"/>
          <w:szCs w:val="16"/>
        </w:rPr>
        <w:footnoteRef/>
      </w:r>
      <w:r w:rsidRPr="00463E36">
        <w:rPr>
          <w:sz w:val="16"/>
          <w:szCs w:val="16"/>
        </w:rPr>
        <w:t xml:space="preserve"> </w:t>
      </w:r>
      <w:r w:rsidRPr="00463E36">
        <w:rPr>
          <w:rFonts w:eastAsia="Times New Roman" w:cs="Times New Roman"/>
          <w:bCs/>
          <w:sz w:val="16"/>
          <w:szCs w:val="16"/>
        </w:rPr>
        <w:t>Pismo z 10.03.2025 r. znak: BSM.0800.3.2024.IPT.28.</w:t>
      </w:r>
    </w:p>
  </w:footnote>
  <w:footnote w:id="41">
    <w:p w14:paraId="3EABA68A" w14:textId="13A493A6"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W DOR zaplanowano 603 kontrole, a </w:t>
      </w:r>
      <w:r w:rsidR="00230929" w:rsidRPr="00463E36">
        <w:rPr>
          <w:sz w:val="16"/>
          <w:szCs w:val="16"/>
        </w:rPr>
        <w:t>rozpocz</w:t>
      </w:r>
      <w:r w:rsidR="00B305DC" w:rsidRPr="00463E36">
        <w:rPr>
          <w:sz w:val="16"/>
          <w:szCs w:val="16"/>
        </w:rPr>
        <w:t>ęto</w:t>
      </w:r>
      <w:r w:rsidR="00230929" w:rsidRPr="00463E36">
        <w:rPr>
          <w:sz w:val="16"/>
          <w:szCs w:val="16"/>
        </w:rPr>
        <w:t xml:space="preserve"> </w:t>
      </w:r>
      <w:r w:rsidRPr="00463E36">
        <w:rPr>
          <w:sz w:val="16"/>
          <w:szCs w:val="16"/>
        </w:rPr>
        <w:t>350 – 58% wykonania planu. W DBJ zaplanowano i przeprowadzono 69 kontroli.</w:t>
      </w:r>
    </w:p>
  </w:footnote>
  <w:footnote w:id="42">
    <w:p w14:paraId="5A20CC88"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Do czasu zakończenia czynności kontrolnych, tj. do 21.03.2025 r.</w:t>
      </w:r>
    </w:p>
  </w:footnote>
  <w:footnote w:id="43">
    <w:p w14:paraId="3753536D"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Wybrana próba dotyczyła kontroli dozorowych prowadzonych przez DOR i DBJ. Dobór kontroli był wykonany z uwzględnieniem kryterium czasu prowadzenia kontroli.</w:t>
      </w:r>
    </w:p>
  </w:footnote>
  <w:footnote w:id="44">
    <w:p w14:paraId="12B44428"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Protokół z kontroli nr DJ/16/2024 z 16.02.2024 r., DJ/473/2023 z 21.12.2023 r., DJ/8/2024 z 7.02.2024 r., DJ/321/2023 z 19.11.2023 r., DJ/181/2024 z 4.09.2024 r., DJ/219/2024 z 14.10.2024 r.</w:t>
      </w:r>
    </w:p>
  </w:footnote>
  <w:footnote w:id="45">
    <w:p w14:paraId="28A777EB"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Pismo z 10.03.2025 r. znak: BSM.0800.3.2024.IPT.28.</w:t>
      </w:r>
    </w:p>
  </w:footnote>
  <w:footnote w:id="46">
    <w:p w14:paraId="3BB02D7D"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Protokół nr DJ/247/2024 z 23.12.2024 r.</w:t>
      </w:r>
    </w:p>
  </w:footnote>
  <w:footnote w:id="47">
    <w:p w14:paraId="70CDFA4F"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Pismo z 10.03.2025 r. znak: BSM.0800.3.2024.IPT.28.</w:t>
      </w:r>
    </w:p>
  </w:footnote>
  <w:footnote w:id="48">
    <w:p w14:paraId="2908AA1A"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Protokół z kontroli nr 20/2024/MARIA z 4.07.2024 r.</w:t>
      </w:r>
    </w:p>
  </w:footnote>
  <w:footnote w:id="49">
    <w:p w14:paraId="4C727598"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Art. 63 ust. 1 ustawy Prawo atomowe.</w:t>
      </w:r>
    </w:p>
  </w:footnote>
  <w:footnote w:id="50">
    <w:p w14:paraId="5E16335D"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Sprawozdanie zawierało nazwy i adresy jednostek organizacyjnych, którym sprzedano źródła promieniotwórcze/urządzenia zawierające źródła promieniotwórcze, informacje o rodzaju i aktywności sprzedanych im źródeł.</w:t>
      </w:r>
    </w:p>
  </w:footnote>
  <w:footnote w:id="51">
    <w:p w14:paraId="14BD6D40"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Decyzja nr D-23411 z 17.08.2023 r. oraz decyzja nr D-21116 z 21.03.2019 r. zmieniona 2 decyzjami.</w:t>
      </w:r>
    </w:p>
  </w:footnote>
  <w:footnote w:id="52">
    <w:p w14:paraId="4214EA65"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Pismo z 10.03.2025 r. znak: BSM.0800.3.2024.IPT.28.</w:t>
      </w:r>
    </w:p>
  </w:footnote>
  <w:footnote w:id="53">
    <w:p w14:paraId="3770FCBC"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Do 21.03.2025 r.</w:t>
      </w:r>
    </w:p>
  </w:footnote>
  <w:footnote w:id="54">
    <w:p w14:paraId="049C7C30"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Pismo z 7.02.2025 r. znak: BSM.0800.3.2024.IPT.16.</w:t>
      </w:r>
    </w:p>
  </w:footnote>
  <w:footnote w:id="55">
    <w:p w14:paraId="0254E049"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Do 21.03.2025 r.</w:t>
      </w:r>
    </w:p>
  </w:footnote>
  <w:footnote w:id="56">
    <w:p w14:paraId="0D2CEF65"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Załącznik do zarządzenia nr 8 Prezesa PAA z dnia 19.09.2014 r. Regulamin kontroli zarządczej w Państwowej Agencji Atomistyki.</w:t>
      </w:r>
    </w:p>
  </w:footnote>
  <w:footnote w:id="57">
    <w:p w14:paraId="0FE8A2E1"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Uchwała nr 141 Rady Ministrów z dnia 2.10.2020 r. w sprawie aktualizacji programu wieloletniego pod nazwą „Program polskiej energetyki jądrowej” (M.P. z 2020 r. poz. 946). Okres realizacji Programu ustalono na lata 2020-2033 (z perspektywą do 2040 r.).</w:t>
      </w:r>
    </w:p>
  </w:footnote>
  <w:footnote w:id="58">
    <w:p w14:paraId="6ABD4A26" w14:textId="6C9EB375" w:rsidR="008638F1" w:rsidRPr="00463E36" w:rsidRDefault="008638F1" w:rsidP="008638F1">
      <w:pPr>
        <w:pStyle w:val="Tekstprzypisudolnego"/>
        <w:rPr>
          <w:sz w:val="16"/>
          <w:szCs w:val="16"/>
        </w:rPr>
      </w:pPr>
      <w:r w:rsidRPr="00463E36">
        <w:rPr>
          <w:rStyle w:val="Odwoanieprzypisudolnego"/>
          <w:sz w:val="16"/>
          <w:szCs w:val="16"/>
        </w:rPr>
        <w:footnoteRef/>
      </w:r>
      <w:r w:rsidR="00CD0AA1" w:rsidRPr="00463E36">
        <w:rPr>
          <w:sz w:val="16"/>
          <w:szCs w:val="16"/>
        </w:rPr>
        <w:t xml:space="preserve"> </w:t>
      </w:r>
      <w:r w:rsidRPr="00463E36">
        <w:rPr>
          <w:sz w:val="16"/>
          <w:szCs w:val="16"/>
        </w:rPr>
        <w:t>Załącznik nr 4 do Programu Polskiej Energetyki Jądrowej. W ramach celu Wzmocnienie dozoru jądrowego PAA: ustalono miernik, określony jako % docelowej liczby [L</w:t>
      </w:r>
      <w:r w:rsidRPr="00463E36">
        <w:rPr>
          <w:sz w:val="16"/>
          <w:szCs w:val="16"/>
          <w:vertAlign w:val="subscript"/>
        </w:rPr>
        <w:t>D</w:t>
      </w:r>
      <w:r w:rsidRPr="00463E36">
        <w:rPr>
          <w:sz w:val="16"/>
          <w:szCs w:val="16"/>
        </w:rPr>
        <w:t>] funkcjonujących stacji wczesnego wykrywania skażeń promieniotwórczych, gdzie [L</w:t>
      </w:r>
      <w:r w:rsidRPr="00463E36">
        <w:rPr>
          <w:sz w:val="16"/>
          <w:szCs w:val="16"/>
          <w:vertAlign w:val="subscript"/>
        </w:rPr>
        <w:t>D</w:t>
      </w:r>
      <w:r w:rsidRPr="00463E36">
        <w:rPr>
          <w:sz w:val="16"/>
          <w:szCs w:val="16"/>
        </w:rPr>
        <w:t>] przyjęto na poziomie 145 stacji, a miernik miał być zrealizowany: w 2024 r. w 38%, co odpowiadało funkcjonowaniu 55 stacji; w 2023 r. w 31%, co odpowiadało funkcjonowaniu 45 stacji.</w:t>
      </w:r>
    </w:p>
  </w:footnote>
  <w:footnote w:id="59">
    <w:p w14:paraId="7AD27C24"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Do 20.03.2025 r.</w:t>
      </w:r>
    </w:p>
  </w:footnote>
  <w:footnote w:id="60">
    <w:p w14:paraId="77F15BA0"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Pismo z 23.01.2025 r. znak: BSM.0800.3.2024.IPT.6.</w:t>
      </w:r>
    </w:p>
  </w:footnote>
  <w:footnote w:id="61">
    <w:p w14:paraId="0154EE5B"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Art. 73 ustawy Prawo atomowe oraz przepisy rozporządzenia Rady Ministrów z dnia 17.12.2002 r. w sprawie stacji wczesnego wykrywania skażeń promieniotwórczych i placówek prowadzących pomiary skażeń promieniotwórczych (Dz. U. z 2002 r. nr 239 poz. 2030).</w:t>
      </w:r>
    </w:p>
  </w:footnote>
  <w:footnote w:id="62">
    <w:p w14:paraId="3248DBD2" w14:textId="77777777" w:rsidR="008638F1" w:rsidRPr="00463E36" w:rsidRDefault="008638F1" w:rsidP="008638F1">
      <w:pPr>
        <w:pStyle w:val="Tekstprzypisudolnego"/>
        <w:rPr>
          <w:sz w:val="16"/>
          <w:szCs w:val="16"/>
          <w:lang w:val="en-GB"/>
        </w:rPr>
      </w:pPr>
      <w:r w:rsidRPr="00463E36">
        <w:rPr>
          <w:rStyle w:val="Odwoanieprzypisudolnego"/>
          <w:sz w:val="16"/>
          <w:szCs w:val="16"/>
        </w:rPr>
        <w:footnoteRef/>
      </w:r>
      <w:r w:rsidRPr="00463E36">
        <w:rPr>
          <w:sz w:val="16"/>
          <w:szCs w:val="16"/>
          <w:lang w:val="en-GB"/>
        </w:rPr>
        <w:t>Nr 2000/473/Euratom.</w:t>
      </w:r>
    </w:p>
  </w:footnote>
  <w:footnote w:id="63">
    <w:p w14:paraId="3025DB10"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lang w:val="en-GB"/>
        </w:rPr>
        <w:t xml:space="preserve"> „Environmental and Source Monitoring for Purposes of Radiation Protection”, Safety Guide No. RS-G-1.8 –w </w:t>
      </w:r>
      <w:proofErr w:type="spellStart"/>
      <w:r w:rsidRPr="00463E36">
        <w:rPr>
          <w:sz w:val="16"/>
          <w:szCs w:val="16"/>
          <w:lang w:val="en-GB"/>
        </w:rPr>
        <w:t>szczególności</w:t>
      </w:r>
      <w:proofErr w:type="spellEnd"/>
      <w:r w:rsidRPr="00463E36">
        <w:rPr>
          <w:sz w:val="16"/>
          <w:szCs w:val="16"/>
          <w:lang w:val="en-GB"/>
        </w:rPr>
        <w:t xml:space="preserve"> </w:t>
      </w:r>
      <w:proofErr w:type="spellStart"/>
      <w:r w:rsidRPr="00463E36">
        <w:rPr>
          <w:sz w:val="16"/>
          <w:szCs w:val="16"/>
          <w:lang w:val="en-GB"/>
        </w:rPr>
        <w:t>rozdz</w:t>
      </w:r>
      <w:proofErr w:type="spellEnd"/>
      <w:r w:rsidRPr="00463E36">
        <w:rPr>
          <w:sz w:val="16"/>
          <w:szCs w:val="16"/>
          <w:lang w:val="en-GB"/>
        </w:rPr>
        <w:t xml:space="preserve">. 6. „Programmes and Systems for Source and Environmental Radiation Monitoring”, Safety Report Series, no. 64 – w </w:t>
      </w:r>
      <w:proofErr w:type="spellStart"/>
      <w:r w:rsidRPr="00463E36">
        <w:rPr>
          <w:sz w:val="16"/>
          <w:szCs w:val="16"/>
          <w:lang w:val="en-GB"/>
        </w:rPr>
        <w:t>szczególności</w:t>
      </w:r>
      <w:proofErr w:type="spellEnd"/>
      <w:r w:rsidRPr="00463E36">
        <w:rPr>
          <w:sz w:val="16"/>
          <w:szCs w:val="16"/>
          <w:lang w:val="en-GB"/>
        </w:rPr>
        <w:t xml:space="preserve"> </w:t>
      </w:r>
      <w:proofErr w:type="spellStart"/>
      <w:r w:rsidRPr="00463E36">
        <w:rPr>
          <w:sz w:val="16"/>
          <w:szCs w:val="16"/>
          <w:lang w:val="en-GB"/>
        </w:rPr>
        <w:t>rozdz</w:t>
      </w:r>
      <w:proofErr w:type="spellEnd"/>
      <w:r w:rsidRPr="00463E36">
        <w:rPr>
          <w:sz w:val="16"/>
          <w:szCs w:val="16"/>
          <w:lang w:val="en-GB"/>
        </w:rPr>
        <w:t xml:space="preserve">. </w:t>
      </w:r>
      <w:r w:rsidRPr="00463E36">
        <w:rPr>
          <w:sz w:val="16"/>
          <w:szCs w:val="16"/>
        </w:rPr>
        <w:t>4 i Appendix III.1.1.</w:t>
      </w:r>
    </w:p>
  </w:footnote>
  <w:footnote w:id="64">
    <w:p w14:paraId="3751B6A3"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Państwa członkowskie Unii Europejskiej oraz większość pozostałych krajów Europy, m.in. Wielka Brytania, Szwajcaria, Białoruś, Ukraina.</w:t>
      </w:r>
    </w:p>
  </w:footnote>
  <w:footnote w:id="65">
    <w:p w14:paraId="54D867CA"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W związku z brakiem laboratorium pomiarów radiometrycznych w strukturze PAA, zadania te, zgodnie z art. 72a ustawy Prawo atomowe, na podstawie umów zostały powierzone instytucjom wyspecjalizowanym w dziedzinie ochrony radiologicznej.</w:t>
      </w:r>
    </w:p>
  </w:footnote>
  <w:footnote w:id="66">
    <w:p w14:paraId="0D128701" w14:textId="77777777" w:rsidR="008638F1" w:rsidRPr="00463E36" w:rsidRDefault="008638F1" w:rsidP="008638F1">
      <w:pPr>
        <w:spacing w:after="0"/>
        <w:rPr>
          <w:sz w:val="16"/>
          <w:szCs w:val="16"/>
        </w:rPr>
      </w:pPr>
      <w:r w:rsidRPr="00463E36">
        <w:rPr>
          <w:rStyle w:val="Odwoanieprzypisudolnego"/>
          <w:sz w:val="16"/>
          <w:szCs w:val="16"/>
        </w:rPr>
        <w:footnoteRef/>
      </w:r>
      <w:r w:rsidRPr="00463E36">
        <w:rPr>
          <w:sz w:val="16"/>
          <w:szCs w:val="16"/>
        </w:rPr>
        <w:t xml:space="preserve"> Otoczenie Krajowego Składowiska Odpadów Promieniotwórczych w Różanie oraz Narodowego Centrum Badań Jądrowych w Świerku.</w:t>
      </w:r>
    </w:p>
  </w:footnote>
  <w:footnote w:id="67">
    <w:p w14:paraId="1AD1E3F1"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2000/473/</w:t>
      </w:r>
      <w:proofErr w:type="spellStart"/>
      <w:r w:rsidRPr="00463E36">
        <w:rPr>
          <w:sz w:val="16"/>
          <w:szCs w:val="16"/>
        </w:rPr>
        <w:t>Euratom</w:t>
      </w:r>
      <w:proofErr w:type="spellEnd"/>
      <w:r w:rsidRPr="00463E36">
        <w:rPr>
          <w:sz w:val="16"/>
          <w:szCs w:val="16"/>
        </w:rPr>
        <w:t>.</w:t>
      </w:r>
    </w:p>
  </w:footnote>
  <w:footnote w:id="68">
    <w:p w14:paraId="01225F55"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Za pośrednictwem systemu EURDEP (</w:t>
      </w:r>
      <w:proofErr w:type="spellStart"/>
      <w:r w:rsidRPr="00463E36">
        <w:rPr>
          <w:sz w:val="16"/>
          <w:szCs w:val="16"/>
        </w:rPr>
        <w:t>European</w:t>
      </w:r>
      <w:proofErr w:type="spellEnd"/>
      <w:r w:rsidRPr="00463E36">
        <w:rPr>
          <w:sz w:val="16"/>
          <w:szCs w:val="16"/>
        </w:rPr>
        <w:t xml:space="preserve"> </w:t>
      </w:r>
      <w:proofErr w:type="spellStart"/>
      <w:r w:rsidRPr="00463E36">
        <w:rPr>
          <w:sz w:val="16"/>
          <w:szCs w:val="16"/>
        </w:rPr>
        <w:t>Radiological</w:t>
      </w:r>
      <w:proofErr w:type="spellEnd"/>
      <w:r w:rsidRPr="00463E36">
        <w:rPr>
          <w:sz w:val="16"/>
          <w:szCs w:val="16"/>
        </w:rPr>
        <w:t xml:space="preserve"> Data Exchange Platform), zgodnie z postanowieniami art. 35 i 36 traktatu EURATOM oraz Decyzji Rady 87/600/</w:t>
      </w:r>
      <w:proofErr w:type="spellStart"/>
      <w:r w:rsidRPr="00463E36">
        <w:rPr>
          <w:sz w:val="16"/>
          <w:szCs w:val="16"/>
        </w:rPr>
        <w:t>Euratom</w:t>
      </w:r>
      <w:proofErr w:type="spellEnd"/>
      <w:r w:rsidRPr="00463E36">
        <w:rPr>
          <w:sz w:val="16"/>
          <w:szCs w:val="16"/>
        </w:rPr>
        <w:t xml:space="preserve"> (z 14.12.1987 r.) w sprawie wspólnotowych warunków wczesnej wymiany informacji w przypadku pogotowia radiologicznego.</w:t>
      </w:r>
    </w:p>
  </w:footnote>
  <w:footnote w:id="69">
    <w:p w14:paraId="1EAFFDFF"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Za pośrednictwem systemu IRMIS (International </w:t>
      </w:r>
      <w:proofErr w:type="spellStart"/>
      <w:r w:rsidRPr="00463E36">
        <w:rPr>
          <w:sz w:val="16"/>
          <w:szCs w:val="16"/>
        </w:rPr>
        <w:t>Radiation</w:t>
      </w:r>
      <w:proofErr w:type="spellEnd"/>
      <w:r w:rsidRPr="00463E36">
        <w:rPr>
          <w:sz w:val="16"/>
          <w:szCs w:val="16"/>
        </w:rPr>
        <w:t xml:space="preserve"> Monitoring Information System).</w:t>
      </w:r>
    </w:p>
  </w:footnote>
  <w:footnote w:id="70">
    <w:p w14:paraId="60AFE95E"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Umowa nr 22/2021/CEZAR/61 w latach 2021-2023, umowa nr 101/2023/CEZAR w latach 2023-2024 oraz umowa nr 264/2024/CEZAR w latach 2024-2025 zawarte z Centralnym Laboratorium Ochrony Radiologicznej.</w:t>
      </w:r>
    </w:p>
  </w:footnote>
  <w:footnote w:id="71">
    <w:p w14:paraId="5798964C"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10 spotkań z przedstawicielami Orlen </w:t>
      </w:r>
      <w:proofErr w:type="spellStart"/>
      <w:r w:rsidRPr="00463E36">
        <w:rPr>
          <w:sz w:val="16"/>
          <w:szCs w:val="16"/>
        </w:rPr>
        <w:t>Synthos</w:t>
      </w:r>
      <w:proofErr w:type="spellEnd"/>
      <w:r w:rsidRPr="00463E36">
        <w:rPr>
          <w:sz w:val="16"/>
          <w:szCs w:val="16"/>
        </w:rPr>
        <w:t xml:space="preserve"> Green Energy i 4 spotkania z przedstawicielami spółki KGHM.</w:t>
      </w:r>
    </w:p>
  </w:footnote>
  <w:footnote w:id="72">
    <w:p w14:paraId="13CACD5C" w14:textId="33EF574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w:t>
      </w:r>
      <w:r w:rsidR="00FE0B39" w:rsidRPr="00463E36">
        <w:rPr>
          <w:sz w:val="16"/>
          <w:szCs w:val="16"/>
        </w:rPr>
        <w:t>Orlen</w:t>
      </w:r>
      <w:r w:rsidRPr="00463E36">
        <w:rPr>
          <w:sz w:val="16"/>
          <w:szCs w:val="16"/>
        </w:rPr>
        <w:t xml:space="preserve"> </w:t>
      </w:r>
      <w:proofErr w:type="spellStart"/>
      <w:r w:rsidRPr="00463E36">
        <w:rPr>
          <w:sz w:val="16"/>
          <w:szCs w:val="16"/>
        </w:rPr>
        <w:t>Synthos</w:t>
      </w:r>
      <w:proofErr w:type="spellEnd"/>
      <w:r w:rsidRPr="00463E36">
        <w:rPr>
          <w:sz w:val="16"/>
          <w:szCs w:val="16"/>
        </w:rPr>
        <w:t xml:space="preserve"> Green Energy.</w:t>
      </w:r>
    </w:p>
  </w:footnote>
  <w:footnote w:id="73">
    <w:p w14:paraId="6634FD8A"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KGHM Polska Miedź S.A.</w:t>
      </w:r>
    </w:p>
  </w:footnote>
  <w:footnote w:id="74">
    <w:p w14:paraId="19EF7D0A"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Porozumienie o współpracy w sprawie technologii zaawansowanych reaktorów i małych reaktorów modułowych, podpisane w Abu Zabi 13.02.2023 r.</w:t>
      </w:r>
    </w:p>
  </w:footnote>
  <w:footnote w:id="75">
    <w:p w14:paraId="139C9D4F"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Porozumienie podpisane we Wiedniu 24.09.2014 r.</w:t>
      </w:r>
    </w:p>
  </w:footnote>
  <w:footnote w:id="76">
    <w:p w14:paraId="7A4BADC5" w14:textId="77777777" w:rsidR="008638F1" w:rsidRPr="00463E36" w:rsidRDefault="008638F1" w:rsidP="008638F1">
      <w:pPr>
        <w:pStyle w:val="Tekstprzypisudolnego"/>
        <w:rPr>
          <w:sz w:val="16"/>
          <w:szCs w:val="16"/>
          <w:lang w:val="en-GB"/>
        </w:rPr>
      </w:pPr>
      <w:r w:rsidRPr="00463E36">
        <w:rPr>
          <w:rStyle w:val="Odwoanieprzypisudolnego"/>
          <w:sz w:val="16"/>
          <w:szCs w:val="16"/>
        </w:rPr>
        <w:footnoteRef/>
      </w:r>
      <w:r w:rsidRPr="00463E36">
        <w:rPr>
          <w:sz w:val="16"/>
          <w:szCs w:val="16"/>
          <w:lang w:val="en-GB"/>
        </w:rPr>
        <w:t xml:space="preserve"> PAA – CNSC Advanced Reactor Technologies (ART) and Small Modular Reactors (SMR) Committee.</w:t>
      </w:r>
    </w:p>
  </w:footnote>
  <w:footnote w:id="77">
    <w:p w14:paraId="4456691C"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Podstawa prawna porozumienia: art. 66 ust. 3 ustawy Prawo atomowe.</w:t>
      </w:r>
    </w:p>
  </w:footnote>
  <w:footnote w:id="78">
    <w:p w14:paraId="420B2B77"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Szefem Agencji Bezpieczeństwa Wewnętrznego, Urzędem Dozoru Technicznego, Głównym Inspektorem Ochrony Środowiska, Głównym Inspektorem Sanitarnym, Komendantem Głównym Państwowej Straży Pożarnej, Głównym Inspektorem Nadzoru Budowlanego, Głównym Inspektorem Pracy</w:t>
      </w:r>
    </w:p>
  </w:footnote>
  <w:footnote w:id="79">
    <w:p w14:paraId="418F5B55" w14:textId="77777777" w:rsidR="008638F1" w:rsidRPr="00463E36" w:rsidRDefault="008638F1" w:rsidP="008638F1">
      <w:pPr>
        <w:spacing w:after="0" w:line="240" w:lineRule="auto"/>
        <w:rPr>
          <w:b/>
          <w:bCs/>
          <w:sz w:val="16"/>
          <w:szCs w:val="16"/>
        </w:rPr>
      </w:pPr>
      <w:r w:rsidRPr="00463E36">
        <w:rPr>
          <w:rStyle w:val="Odwoanieprzypisudolnego"/>
          <w:sz w:val="16"/>
          <w:szCs w:val="16"/>
        </w:rPr>
        <w:footnoteRef/>
      </w:r>
      <w:r w:rsidRPr="00463E36">
        <w:rPr>
          <w:sz w:val="16"/>
          <w:szCs w:val="16"/>
        </w:rPr>
        <w:t xml:space="preserve"> Zarządzeniem nr 6 Prezesa PAA z dnia 18.04.2023 r. w sprawie Zespołu do spraw analizy rozwiązań prawnych, organizacyjnych i technicznych związanych z wdrażaniem w Polsce małych reaktorów modułowych </w:t>
      </w:r>
      <w:hyperlink r:id="rId1" w:history="1">
        <w:r w:rsidRPr="00463E36">
          <w:rPr>
            <w:rStyle w:val="Hipercze"/>
            <w:color w:val="auto"/>
            <w:sz w:val="16"/>
            <w:szCs w:val="16"/>
            <w:u w:val="none"/>
          </w:rPr>
          <w:t>(Dz. Urz. PAA z 2023 r. poz. 6)</w:t>
        </w:r>
      </w:hyperlink>
      <w:r w:rsidRPr="00463E36">
        <w:rPr>
          <w:sz w:val="16"/>
          <w:szCs w:val="16"/>
        </w:rPr>
        <w:t>.</w:t>
      </w:r>
    </w:p>
  </w:footnote>
  <w:footnote w:id="80">
    <w:p w14:paraId="33AFA352"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Grupy robocze utworzone w ramach: Międzynarodowej Agencji Energii Atomowej (MAEA); </w:t>
      </w:r>
      <w:proofErr w:type="spellStart"/>
      <w:r w:rsidRPr="00463E36">
        <w:rPr>
          <w:sz w:val="16"/>
          <w:szCs w:val="16"/>
        </w:rPr>
        <w:t>Nuclear</w:t>
      </w:r>
      <w:proofErr w:type="spellEnd"/>
      <w:r w:rsidRPr="00463E36">
        <w:rPr>
          <w:sz w:val="16"/>
          <w:szCs w:val="16"/>
        </w:rPr>
        <w:t xml:space="preserve"> </w:t>
      </w:r>
      <w:proofErr w:type="spellStart"/>
      <w:r w:rsidRPr="00463E36">
        <w:rPr>
          <w:sz w:val="16"/>
          <w:szCs w:val="16"/>
        </w:rPr>
        <w:t>Harmonization</w:t>
      </w:r>
      <w:proofErr w:type="spellEnd"/>
      <w:r w:rsidRPr="00463E36">
        <w:rPr>
          <w:sz w:val="16"/>
          <w:szCs w:val="16"/>
        </w:rPr>
        <w:t xml:space="preserve"> and </w:t>
      </w:r>
      <w:proofErr w:type="spellStart"/>
      <w:r w:rsidRPr="00463E36">
        <w:rPr>
          <w:sz w:val="16"/>
          <w:szCs w:val="16"/>
        </w:rPr>
        <w:t>Standardization</w:t>
      </w:r>
      <w:proofErr w:type="spellEnd"/>
      <w:r w:rsidRPr="00463E36">
        <w:rPr>
          <w:sz w:val="16"/>
          <w:szCs w:val="16"/>
        </w:rPr>
        <w:t xml:space="preserve"> </w:t>
      </w:r>
      <w:proofErr w:type="spellStart"/>
      <w:r w:rsidRPr="00463E36">
        <w:rPr>
          <w:sz w:val="16"/>
          <w:szCs w:val="16"/>
        </w:rPr>
        <w:t>Initiative</w:t>
      </w:r>
      <w:proofErr w:type="spellEnd"/>
      <w:r w:rsidRPr="00463E36">
        <w:rPr>
          <w:sz w:val="16"/>
          <w:szCs w:val="16"/>
        </w:rPr>
        <w:t xml:space="preserve"> (NHSI); Agencji Energii Jądrowej OECD (NEA OECD), w której przedstawiciele PAA uczestniczyli w pracach </w:t>
      </w:r>
      <w:proofErr w:type="spellStart"/>
      <w:r w:rsidRPr="00463E36">
        <w:rPr>
          <w:sz w:val="16"/>
          <w:szCs w:val="16"/>
        </w:rPr>
        <w:t>Expert</w:t>
      </w:r>
      <w:proofErr w:type="spellEnd"/>
      <w:r w:rsidRPr="00463E36">
        <w:rPr>
          <w:sz w:val="16"/>
          <w:szCs w:val="16"/>
        </w:rPr>
        <w:t xml:space="preserve"> </w:t>
      </w:r>
      <w:proofErr w:type="spellStart"/>
      <w:r w:rsidRPr="00463E36">
        <w:rPr>
          <w:sz w:val="16"/>
          <w:szCs w:val="16"/>
        </w:rPr>
        <w:t>Group</w:t>
      </w:r>
      <w:proofErr w:type="spellEnd"/>
      <w:r w:rsidRPr="00463E36">
        <w:rPr>
          <w:sz w:val="16"/>
          <w:szCs w:val="16"/>
        </w:rPr>
        <w:t xml:space="preserve"> on Small Modular </w:t>
      </w:r>
      <w:proofErr w:type="spellStart"/>
      <w:r w:rsidRPr="00463E36">
        <w:rPr>
          <w:sz w:val="16"/>
          <w:szCs w:val="16"/>
        </w:rPr>
        <w:t>Reactors</w:t>
      </w:r>
      <w:proofErr w:type="spellEnd"/>
      <w:r w:rsidRPr="00463E36">
        <w:rPr>
          <w:sz w:val="16"/>
          <w:szCs w:val="16"/>
        </w:rPr>
        <w:t xml:space="preserve"> (EGSMR).</w:t>
      </w:r>
    </w:p>
  </w:footnote>
  <w:footnote w:id="81">
    <w:p w14:paraId="741959A7"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Miernik liczony jako stosunek liczby zatrudnionych specjalistów do 110 – czyli docelowej ich liczby. Na 01.01.2023 r. – zakładana wartość miernika 56%, na 31.12.2023 r. 75%, a na 31.12.2024 r. 78%.</w:t>
      </w:r>
    </w:p>
  </w:footnote>
  <w:footnote w:id="82">
    <w:p w14:paraId="0B9145D8"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Sprawozdanie o zatrudnieniu i wynagrodzeniach Rb-70 za 2023 r. (stan na koniec okresu sprawozdawczego).</w:t>
      </w:r>
    </w:p>
  </w:footnote>
  <w:footnote w:id="83">
    <w:p w14:paraId="5F3131C7"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Sprawozdanie o zatrudnieniu i wynagrodzeniach Rb-70 za 2024 r. (stan na koniec okresu sprawozdawczego).</w:t>
      </w:r>
    </w:p>
  </w:footnote>
  <w:footnote w:id="84">
    <w:p w14:paraId="7D4F95FA"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Stan zatrudnienia obejmuje wszystkich pracowników zatrudnionych na dzień 11 marca 2025 r. bez pracowników, z którymi rozwiązano stosunek pracy wskazanych w tabeli nr 2 do pisma z 17 marca 2025 r. znak: BSM.0800.3.2024.IPT.30 </w:t>
      </w:r>
    </w:p>
  </w:footnote>
  <w:footnote w:id="85">
    <w:p w14:paraId="71398D3B"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Tabela nr 4 aktualny stan zatrudnienia - załącznik do pisma z 17.03.2025 r. znak: BSM.0800.3.2024.IPT.30.</w:t>
      </w:r>
    </w:p>
  </w:footnote>
  <w:footnote w:id="86">
    <w:p w14:paraId="47EC028D" w14:textId="77777777" w:rsidR="008638F1" w:rsidRPr="00463E36" w:rsidRDefault="008638F1" w:rsidP="008638F1">
      <w:pPr>
        <w:spacing w:after="0" w:line="240" w:lineRule="auto"/>
        <w:rPr>
          <w:sz w:val="16"/>
          <w:szCs w:val="16"/>
        </w:rPr>
      </w:pPr>
      <w:r w:rsidRPr="00463E36">
        <w:rPr>
          <w:rStyle w:val="Odwoanieprzypisudolnego"/>
          <w:sz w:val="16"/>
          <w:szCs w:val="16"/>
        </w:rPr>
        <w:footnoteRef/>
      </w:r>
      <w:r w:rsidRPr="00463E36">
        <w:rPr>
          <w:sz w:val="16"/>
          <w:szCs w:val="16"/>
        </w:rPr>
        <w:t xml:space="preserve"> Pismo z 13.02.2025 r., znak: BSM.0800.3.2024.IPT.12.</w:t>
      </w:r>
    </w:p>
  </w:footnote>
  <w:footnote w:id="87">
    <w:p w14:paraId="442AA746"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Zarządzenie nr 3 Dyrektora Generalnego PAA z dnia 30.03.2022 r. w sprawie zasad organizowania i przeprowadzania naboru pracowników w Państwowej Agencji Atomistyki oraz Procedura naboru na stanowisko Wiceprezesa PAA.</w:t>
      </w:r>
    </w:p>
  </w:footnote>
  <w:footnote w:id="88">
    <w:p w14:paraId="33601048" w14:textId="77777777" w:rsidR="008638F1" w:rsidRPr="00463E36" w:rsidRDefault="008638F1" w:rsidP="008638F1">
      <w:pPr>
        <w:spacing w:after="0" w:line="240" w:lineRule="auto"/>
        <w:rPr>
          <w:b/>
          <w:sz w:val="16"/>
          <w:szCs w:val="16"/>
        </w:rPr>
      </w:pPr>
      <w:r w:rsidRPr="00463E36">
        <w:rPr>
          <w:rStyle w:val="Odwoanieprzypisudolnego"/>
          <w:sz w:val="16"/>
          <w:szCs w:val="16"/>
        </w:rPr>
        <w:footnoteRef/>
      </w:r>
      <w:r w:rsidRPr="00463E36">
        <w:rPr>
          <w:sz w:val="16"/>
          <w:szCs w:val="16"/>
        </w:rPr>
        <w:t xml:space="preserve"> Rozdział 13 ustawy Prawo atomowe.</w:t>
      </w:r>
    </w:p>
  </w:footnote>
  <w:footnote w:id="89">
    <w:p w14:paraId="075D6A8F" w14:textId="77777777" w:rsidR="008638F1" w:rsidRPr="00463E36" w:rsidRDefault="008638F1" w:rsidP="008638F1">
      <w:pPr>
        <w:spacing w:after="0" w:line="240" w:lineRule="auto"/>
        <w:rPr>
          <w:sz w:val="16"/>
          <w:szCs w:val="16"/>
        </w:rPr>
      </w:pPr>
      <w:r w:rsidRPr="00463E36">
        <w:rPr>
          <w:rStyle w:val="Odwoanieprzypisudolnego"/>
          <w:sz w:val="16"/>
          <w:szCs w:val="16"/>
        </w:rPr>
        <w:footnoteRef/>
      </w:r>
      <w:r w:rsidRPr="00463E36">
        <w:rPr>
          <w:sz w:val="16"/>
          <w:szCs w:val="16"/>
        </w:rPr>
        <w:t xml:space="preserve"> Zarządzenie nr 6 Dyrektora Generalnego PAA z dnia 30.03.2012 r. w sprawie zasad i trybu przyznawania w Państwowej Agencji Atomistyki nagród członkom korpusu służby cywilnej, zmienionego Zarządzeniem nr 5 Dyrektora Generalnego PAA z dnia 16.03.2020 r.</w:t>
      </w:r>
    </w:p>
  </w:footnote>
  <w:footnote w:id="90">
    <w:p w14:paraId="25CD9F9B" w14:textId="77777777" w:rsidR="008638F1" w:rsidRPr="00463E36" w:rsidRDefault="008638F1" w:rsidP="008638F1">
      <w:pPr>
        <w:spacing w:after="0" w:line="240" w:lineRule="auto"/>
        <w:rPr>
          <w:sz w:val="16"/>
          <w:szCs w:val="16"/>
        </w:rPr>
      </w:pPr>
      <w:r w:rsidRPr="00463E36">
        <w:rPr>
          <w:rStyle w:val="Odwoanieprzypisudolnego"/>
          <w:sz w:val="16"/>
          <w:szCs w:val="16"/>
        </w:rPr>
        <w:footnoteRef/>
      </w:r>
      <w:r w:rsidRPr="00463E36">
        <w:rPr>
          <w:sz w:val="16"/>
          <w:szCs w:val="16"/>
        </w:rPr>
        <w:t xml:space="preserve"> Zarządzenie nr 1 Dyrektora Generalnego PAA z dnia 30.03.2022 r. w sprawie przyznawania w Państwowej Agencji Atomistyki premii i nagród pracownikom niebędącym członkami korpusu służby cywilnej.</w:t>
      </w:r>
    </w:p>
  </w:footnote>
  <w:footnote w:id="91">
    <w:p w14:paraId="5C70C4DD"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Ustawa z dnia 21 listopada 2008 r. o służbie cywilnej (</w:t>
      </w:r>
      <w:hyperlink r:id="rId2" w:history="1">
        <w:r w:rsidRPr="00463E36">
          <w:rPr>
            <w:rStyle w:val="Hipercze"/>
            <w:color w:val="auto"/>
            <w:sz w:val="16"/>
            <w:szCs w:val="16"/>
            <w:u w:val="none"/>
          </w:rPr>
          <w:t>Dz. U. z 2024 r. poz. 409</w:t>
        </w:r>
      </w:hyperlink>
      <w:r w:rsidRPr="00463E36">
        <w:rPr>
          <w:sz w:val="16"/>
          <w:szCs w:val="16"/>
        </w:rPr>
        <w:t>).</w:t>
      </w:r>
    </w:p>
  </w:footnote>
  <w:footnote w:id="92">
    <w:p w14:paraId="6D3D3E08"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Tabela nr 4 aktualny stan zatrudnienia - załącznik do pisma z 17 marca 2025 r. znak: BSM.0800.3.2024.IPT.30. Dobór próby miał charakter celowy.</w:t>
      </w:r>
    </w:p>
  </w:footnote>
  <w:footnote w:id="93">
    <w:p w14:paraId="61819A63"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Nabór nr 131920 z 23.12.2023 r.</w:t>
      </w:r>
    </w:p>
  </w:footnote>
  <w:footnote w:id="94">
    <w:p w14:paraId="440CADF1"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Pismo z 24.03.2025 r., znak: BSM.0800.3.2024.IPT.31.</w:t>
      </w:r>
    </w:p>
  </w:footnote>
  <w:footnote w:id="95">
    <w:p w14:paraId="3579D88F"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Nabór nr 131920 z 23 grudnia 2023 r.</w:t>
      </w:r>
    </w:p>
  </w:footnote>
  <w:footnote w:id="96">
    <w:p w14:paraId="1E75AFE8" w14:textId="77777777" w:rsidR="008638F1" w:rsidRPr="00463E36" w:rsidRDefault="008638F1" w:rsidP="008638F1">
      <w:pPr>
        <w:pStyle w:val="Tekstprzypisudolnego"/>
        <w:rPr>
          <w:b/>
          <w:bCs/>
          <w:sz w:val="16"/>
          <w:szCs w:val="16"/>
        </w:rPr>
      </w:pPr>
      <w:r w:rsidRPr="00463E36">
        <w:rPr>
          <w:rStyle w:val="Odwoanieprzypisudolnego"/>
          <w:sz w:val="16"/>
          <w:szCs w:val="16"/>
        </w:rPr>
        <w:footnoteRef/>
      </w:r>
      <w:r w:rsidRPr="00463E36">
        <w:rPr>
          <w:sz w:val="16"/>
          <w:szCs w:val="16"/>
        </w:rPr>
        <w:t xml:space="preserve"> Zarządzenie Nr 70 Prezesa Rady Ministrów w sprawie wytycznych w zakresie przestrzegania zasad służby cywilnej oraz w sprawie zasad etyki korpusu służby cywilnej</w:t>
      </w:r>
      <w:r w:rsidRPr="00463E36">
        <w:rPr>
          <w:b/>
          <w:bCs/>
          <w:sz w:val="16"/>
          <w:szCs w:val="16"/>
        </w:rPr>
        <w:t xml:space="preserve"> </w:t>
      </w:r>
      <w:r w:rsidRPr="00463E36">
        <w:rPr>
          <w:sz w:val="16"/>
          <w:szCs w:val="16"/>
        </w:rPr>
        <w:t xml:space="preserve">z dnia 6 października 2011 r. </w:t>
      </w:r>
      <w:hyperlink r:id="rId3" w:history="1">
        <w:r w:rsidRPr="00463E36">
          <w:rPr>
            <w:rStyle w:val="Hipercze"/>
            <w:color w:val="auto"/>
            <w:sz w:val="16"/>
            <w:szCs w:val="16"/>
            <w:u w:val="none"/>
          </w:rPr>
          <w:t>(M.P. Nr 93, poz. 953)</w:t>
        </w:r>
      </w:hyperlink>
      <w:r w:rsidRPr="00463E36">
        <w:rPr>
          <w:sz w:val="16"/>
          <w:szCs w:val="16"/>
        </w:rPr>
        <w:t>.</w:t>
      </w:r>
    </w:p>
  </w:footnote>
  <w:footnote w:id="97">
    <w:p w14:paraId="23EA1579" w14:textId="77777777" w:rsidR="008638F1" w:rsidRPr="00463E36" w:rsidRDefault="008638F1" w:rsidP="008638F1">
      <w:pPr>
        <w:spacing w:after="0" w:line="240" w:lineRule="auto"/>
        <w:ind w:right="-2"/>
        <w:rPr>
          <w:sz w:val="16"/>
          <w:szCs w:val="16"/>
        </w:rPr>
      </w:pPr>
      <w:r w:rsidRPr="00463E36">
        <w:rPr>
          <w:rStyle w:val="Odwoanieprzypisudolnego"/>
          <w:sz w:val="16"/>
          <w:szCs w:val="16"/>
        </w:rPr>
        <w:footnoteRef/>
      </w:r>
      <w:r w:rsidRPr="00463E36">
        <w:rPr>
          <w:sz w:val="16"/>
          <w:szCs w:val="16"/>
        </w:rPr>
        <w:t xml:space="preserve"> Zarządzenie nr 3 Dyrektora Generalnego PAA z 30.03.2022 r. w sprawie zasad organizowania i przeprowadzania naboru pracowników w PAA.</w:t>
      </w:r>
    </w:p>
  </w:footnote>
  <w:footnote w:id="98">
    <w:p w14:paraId="664693A7" w14:textId="77777777" w:rsidR="008638F1" w:rsidRPr="00463E36" w:rsidRDefault="008638F1" w:rsidP="008638F1">
      <w:pPr>
        <w:spacing w:after="0" w:line="240" w:lineRule="auto"/>
        <w:rPr>
          <w:sz w:val="16"/>
          <w:szCs w:val="16"/>
        </w:rPr>
      </w:pPr>
      <w:r w:rsidRPr="00463E36">
        <w:rPr>
          <w:rStyle w:val="Odwoanieprzypisudolnego"/>
          <w:sz w:val="16"/>
          <w:szCs w:val="16"/>
        </w:rPr>
        <w:footnoteRef/>
      </w:r>
      <w:r w:rsidRPr="00463E36">
        <w:rPr>
          <w:sz w:val="16"/>
          <w:szCs w:val="16"/>
        </w:rPr>
        <w:t xml:space="preserve"> Pismo z 24.03.2025 r. znak: BSM.0800.3.2024.IPT.31.</w:t>
      </w:r>
    </w:p>
  </w:footnote>
  <w:footnote w:id="99">
    <w:p w14:paraId="3C9B5F8F" w14:textId="77777777" w:rsidR="008638F1" w:rsidRPr="00463E36" w:rsidRDefault="008638F1" w:rsidP="008638F1">
      <w:pPr>
        <w:spacing w:after="0" w:line="240" w:lineRule="auto"/>
        <w:ind w:right="-2"/>
        <w:rPr>
          <w:sz w:val="16"/>
          <w:szCs w:val="16"/>
        </w:rPr>
      </w:pPr>
      <w:r w:rsidRPr="00463E36">
        <w:rPr>
          <w:rStyle w:val="Odwoanieprzypisudolnego"/>
          <w:sz w:val="16"/>
          <w:szCs w:val="16"/>
        </w:rPr>
        <w:footnoteRef/>
      </w:r>
      <w:r w:rsidRPr="00463E36">
        <w:rPr>
          <w:sz w:val="16"/>
          <w:szCs w:val="16"/>
        </w:rPr>
        <w:t xml:space="preserve"> § 13 ust. 4 zarządzenia nr 3 z dnia 30.03.2022 r.</w:t>
      </w:r>
    </w:p>
  </w:footnote>
  <w:footnote w:id="100">
    <w:p w14:paraId="2FADCE63"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Pismo z 24.03.2025 r., znak: BSM.0800.3.2024.IPT.31.</w:t>
      </w:r>
    </w:p>
  </w:footnote>
  <w:footnote w:id="101">
    <w:p w14:paraId="39D372D9" w14:textId="77777777" w:rsidR="008638F1" w:rsidRPr="00463E36" w:rsidRDefault="008638F1" w:rsidP="008638F1">
      <w:pPr>
        <w:spacing w:after="0" w:line="240" w:lineRule="auto"/>
        <w:rPr>
          <w:sz w:val="16"/>
          <w:szCs w:val="16"/>
          <w:lang w:eastAsia="pl-PL"/>
        </w:rPr>
      </w:pPr>
      <w:r w:rsidRPr="00463E36">
        <w:rPr>
          <w:rStyle w:val="Odwoanieprzypisudolnego"/>
          <w:sz w:val="16"/>
          <w:szCs w:val="16"/>
        </w:rPr>
        <w:footnoteRef/>
      </w:r>
      <w:r w:rsidRPr="00463E36">
        <w:rPr>
          <w:sz w:val="16"/>
          <w:szCs w:val="16"/>
        </w:rPr>
        <w:t xml:space="preserve"> Oceny dokonano na podstawie wytypowanych do próby kontrolnej 10 ze 167 pracowników. </w:t>
      </w:r>
      <w:r w:rsidRPr="00463E36">
        <w:rPr>
          <w:sz w:val="16"/>
          <w:szCs w:val="16"/>
          <w:lang w:eastAsia="pl-PL"/>
        </w:rPr>
        <w:t xml:space="preserve">Dobór próby miał charakter celowy. Przy wyborze próby uwzględniono w szczególności </w:t>
      </w:r>
      <w:r w:rsidRPr="00463E36">
        <w:rPr>
          <w:bCs/>
          <w:sz w:val="16"/>
          <w:szCs w:val="16"/>
          <w:lang w:eastAsia="pl-PL"/>
        </w:rPr>
        <w:t>cztery kluczowe obszary takie jak: przyznawanie dodatkowych świadczeń pieniężnych, prowadzenie naborów oraz dokumentacji kadrowej, c</w:t>
      </w:r>
      <w:r w:rsidRPr="00463E36">
        <w:rPr>
          <w:sz w:val="16"/>
          <w:szCs w:val="16"/>
          <w:lang w:eastAsia="pl-PL"/>
        </w:rPr>
        <w:t>elem weryfikacji zgodności z obowiązującymi przepisami oraz regulacjami wewnętrznymi.</w:t>
      </w:r>
    </w:p>
  </w:footnote>
  <w:footnote w:id="102">
    <w:p w14:paraId="7FE9C239"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Zarządzenie nr 6 Dyrektora Generalnego PAA z dnia 30.03.2012 r. w sprawie zasad i trybu przyznawania </w:t>
      </w:r>
      <w:r w:rsidRPr="00463E36">
        <w:rPr>
          <w:sz w:val="16"/>
          <w:szCs w:val="16"/>
        </w:rPr>
        <w:br/>
        <w:t>w Państwowej Agencji Atomistyki nagród członkom korpusu służby cywilnej.</w:t>
      </w:r>
    </w:p>
  </w:footnote>
  <w:footnote w:id="103">
    <w:p w14:paraId="45CD0B47"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Kwota obejmuje łącznie wynagrodzenia finansowane z budżetu państwa i budżetu środków europejskich, na które składają się: osobowe uposażenia oraz dodatkowe wynagrodzenia roczne wykazane w sprawozdaniu </w:t>
      </w:r>
      <w:r w:rsidRPr="00463E36">
        <w:rPr>
          <w:sz w:val="16"/>
          <w:szCs w:val="16"/>
        </w:rPr>
        <w:br/>
        <w:t>RB-70 za 2024 r.</w:t>
      </w:r>
    </w:p>
  </w:footnote>
  <w:footnote w:id="104">
    <w:p w14:paraId="66368552"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Kwota obejmuje łącznie wynagrodzenia finansowane z budżetu państwa i budżetu środków europejskich, na które składają się: osobowe uposażenia oraz dodatkowe wynagrodzenia roczne wykazane w sprawozdaniu </w:t>
      </w:r>
      <w:r w:rsidRPr="00463E36">
        <w:rPr>
          <w:sz w:val="16"/>
          <w:szCs w:val="16"/>
        </w:rPr>
        <w:br/>
        <w:t>RB-70 za 2023 r.</w:t>
      </w:r>
    </w:p>
  </w:footnote>
  <w:footnote w:id="105">
    <w:p w14:paraId="54A59585"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w:t>
      </w:r>
      <w:hyperlink r:id="rId4" w:history="1">
        <w:r w:rsidRPr="00463E36">
          <w:rPr>
            <w:rStyle w:val="Hipercze"/>
            <w:color w:val="auto"/>
            <w:sz w:val="16"/>
            <w:szCs w:val="16"/>
            <w:u w:val="none"/>
          </w:rPr>
          <w:t>Dz. U. z 2022 r. poz. 2024</w:t>
        </w:r>
      </w:hyperlink>
      <w:r w:rsidRPr="00463E36">
        <w:rPr>
          <w:sz w:val="16"/>
          <w:szCs w:val="16"/>
        </w:rPr>
        <w:t>.</w:t>
      </w:r>
    </w:p>
  </w:footnote>
  <w:footnote w:id="106">
    <w:p w14:paraId="6F65FD62"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Wszystkie nagrody: specjalne, jubileuszowe, roczne, kwartalne.</w:t>
      </w:r>
    </w:p>
  </w:footnote>
  <w:footnote w:id="107">
    <w:p w14:paraId="36B69249" w14:textId="77777777" w:rsidR="008638F1" w:rsidRPr="00463E36" w:rsidRDefault="008638F1" w:rsidP="008638F1">
      <w:pPr>
        <w:pStyle w:val="Tekstprzypisudolnego"/>
        <w:rPr>
          <w:sz w:val="16"/>
          <w:szCs w:val="16"/>
        </w:rPr>
      </w:pPr>
      <w:r w:rsidRPr="00463E36">
        <w:rPr>
          <w:rStyle w:val="Odwoanieprzypisudolnego"/>
          <w:sz w:val="16"/>
          <w:szCs w:val="16"/>
        </w:rPr>
        <w:footnoteRef/>
      </w:r>
      <w:r w:rsidRPr="00463E36">
        <w:rPr>
          <w:sz w:val="16"/>
          <w:szCs w:val="16"/>
        </w:rPr>
        <w:t xml:space="preserve"> Łączna kwota wszystkich wypłaconych nagród w okresie od 01.01.2023-11.03.2025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762F8" w14:textId="77777777" w:rsidR="008638F1" w:rsidRDefault="008638F1" w:rsidP="008638F1">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6A64" w14:textId="77777777" w:rsidR="008638F1" w:rsidRDefault="008638F1">
    <w:pPr>
      <w:pStyle w:val="Nagwek"/>
    </w:pPr>
    <w:r>
      <w:rPr>
        <w:noProof/>
        <w:lang w:eastAsia="pl-PL"/>
      </w:rPr>
      <w:drawing>
        <wp:anchor distT="0" distB="0" distL="114300" distR="114300" simplePos="0" relativeHeight="251657216" behindDoc="0" locked="0" layoutInCell="1" allowOverlap="1" wp14:anchorId="458B6053" wp14:editId="228F4E79">
          <wp:simplePos x="0" y="0"/>
          <wp:positionH relativeFrom="column">
            <wp:posOffset>-911225</wp:posOffset>
          </wp:positionH>
          <wp:positionV relativeFrom="paragraph">
            <wp:posOffset>-445324</wp:posOffset>
          </wp:positionV>
          <wp:extent cx="3146425" cy="1061720"/>
          <wp:effectExtent l="0" t="0" r="0" b="0"/>
          <wp:wrapThrough wrapText="bothSides">
            <wp:wrapPolygon edited="0">
              <wp:start x="3139" y="2325"/>
              <wp:lineTo x="1700" y="3876"/>
              <wp:lineTo x="785" y="6589"/>
              <wp:lineTo x="1308" y="17053"/>
              <wp:lineTo x="3531" y="18215"/>
              <wp:lineTo x="6016" y="18990"/>
              <wp:lineTo x="20532" y="18990"/>
              <wp:lineTo x="20794" y="15890"/>
              <wp:lineTo x="5493" y="15502"/>
              <wp:lineTo x="20401" y="13952"/>
              <wp:lineTo x="20663" y="9689"/>
              <wp:lineTo x="13470" y="9301"/>
              <wp:lineTo x="13601" y="6589"/>
              <wp:lineTo x="10331" y="4651"/>
              <wp:lineTo x="3662" y="2325"/>
              <wp:lineTo x="3139" y="2325"/>
            </wp:wrapPolygon>
          </wp:wrapThrough>
          <wp:docPr id="1486686636" name="Obraz 1486686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3146425"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328D"/>
    <w:multiLevelType w:val="hybridMultilevel"/>
    <w:tmpl w:val="4E5EF2B4"/>
    <w:lvl w:ilvl="0" w:tplc="B538B586">
      <w:start w:val="1"/>
      <w:numFmt w:val="upperRoman"/>
      <w:lvlText w:val="%1."/>
      <w:lvlJc w:val="right"/>
      <w:pPr>
        <w:ind w:left="720" w:hanging="360"/>
      </w:pPr>
      <w:rPr>
        <w:b/>
        <w:bCs w:val="0"/>
      </w:rPr>
    </w:lvl>
    <w:lvl w:ilvl="1" w:tplc="5A0271F6">
      <w:start w:val="1"/>
      <w:numFmt w:val="decimal"/>
      <w:lvlText w:val="%2."/>
      <w:lvlJc w:val="left"/>
      <w:pPr>
        <w:ind w:left="1440" w:hanging="360"/>
      </w:pPr>
      <w:rPr>
        <w:rFonts w:hint="default"/>
      </w:rPr>
    </w:lvl>
    <w:lvl w:ilvl="2" w:tplc="44A4AE72" w:tentative="1">
      <w:start w:val="1"/>
      <w:numFmt w:val="lowerRoman"/>
      <w:lvlText w:val="%3."/>
      <w:lvlJc w:val="right"/>
      <w:pPr>
        <w:ind w:left="2160" w:hanging="180"/>
      </w:pPr>
    </w:lvl>
    <w:lvl w:ilvl="3" w:tplc="F7122E28" w:tentative="1">
      <w:start w:val="1"/>
      <w:numFmt w:val="decimal"/>
      <w:lvlText w:val="%4."/>
      <w:lvlJc w:val="left"/>
      <w:pPr>
        <w:ind w:left="2880" w:hanging="360"/>
      </w:pPr>
    </w:lvl>
    <w:lvl w:ilvl="4" w:tplc="16622F08" w:tentative="1">
      <w:start w:val="1"/>
      <w:numFmt w:val="lowerLetter"/>
      <w:lvlText w:val="%5."/>
      <w:lvlJc w:val="left"/>
      <w:pPr>
        <w:ind w:left="3600" w:hanging="360"/>
      </w:pPr>
    </w:lvl>
    <w:lvl w:ilvl="5" w:tplc="CFF8E3EA" w:tentative="1">
      <w:start w:val="1"/>
      <w:numFmt w:val="lowerRoman"/>
      <w:lvlText w:val="%6."/>
      <w:lvlJc w:val="right"/>
      <w:pPr>
        <w:ind w:left="4320" w:hanging="180"/>
      </w:pPr>
    </w:lvl>
    <w:lvl w:ilvl="6" w:tplc="0CC43CDA" w:tentative="1">
      <w:start w:val="1"/>
      <w:numFmt w:val="decimal"/>
      <w:lvlText w:val="%7."/>
      <w:lvlJc w:val="left"/>
      <w:pPr>
        <w:ind w:left="5040" w:hanging="360"/>
      </w:pPr>
    </w:lvl>
    <w:lvl w:ilvl="7" w:tplc="EDF208AE" w:tentative="1">
      <w:start w:val="1"/>
      <w:numFmt w:val="lowerLetter"/>
      <w:lvlText w:val="%8."/>
      <w:lvlJc w:val="left"/>
      <w:pPr>
        <w:ind w:left="5760" w:hanging="360"/>
      </w:pPr>
    </w:lvl>
    <w:lvl w:ilvl="8" w:tplc="694AA2F6" w:tentative="1">
      <w:start w:val="1"/>
      <w:numFmt w:val="lowerRoman"/>
      <w:lvlText w:val="%9."/>
      <w:lvlJc w:val="right"/>
      <w:pPr>
        <w:ind w:left="6480" w:hanging="180"/>
      </w:pPr>
    </w:lvl>
  </w:abstractNum>
  <w:abstractNum w:abstractNumId="1" w15:restartNumberingAfterBreak="0">
    <w:nsid w:val="06CB3A06"/>
    <w:multiLevelType w:val="multilevel"/>
    <w:tmpl w:val="82B24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B42447"/>
    <w:multiLevelType w:val="hybridMultilevel"/>
    <w:tmpl w:val="EDCAEC8C"/>
    <w:lvl w:ilvl="0" w:tplc="74E62978">
      <w:start w:val="1"/>
      <w:numFmt w:val="lowerLetter"/>
      <w:lvlText w:val="%1)"/>
      <w:lvlJc w:val="left"/>
      <w:pPr>
        <w:ind w:left="1287" w:hanging="360"/>
      </w:pPr>
      <w:rPr>
        <w:rFonts w:hint="default"/>
      </w:rPr>
    </w:lvl>
    <w:lvl w:ilvl="1" w:tplc="6FD011EA" w:tentative="1">
      <w:start w:val="1"/>
      <w:numFmt w:val="bullet"/>
      <w:lvlText w:val="o"/>
      <w:lvlJc w:val="left"/>
      <w:pPr>
        <w:ind w:left="2007" w:hanging="360"/>
      </w:pPr>
      <w:rPr>
        <w:rFonts w:ascii="Courier New" w:hAnsi="Courier New" w:cs="Courier New" w:hint="default"/>
      </w:rPr>
    </w:lvl>
    <w:lvl w:ilvl="2" w:tplc="8DEC3A50" w:tentative="1">
      <w:start w:val="1"/>
      <w:numFmt w:val="bullet"/>
      <w:lvlText w:val=""/>
      <w:lvlJc w:val="left"/>
      <w:pPr>
        <w:ind w:left="2727" w:hanging="360"/>
      </w:pPr>
      <w:rPr>
        <w:rFonts w:ascii="Wingdings" w:hAnsi="Wingdings" w:hint="default"/>
      </w:rPr>
    </w:lvl>
    <w:lvl w:ilvl="3" w:tplc="68923126" w:tentative="1">
      <w:start w:val="1"/>
      <w:numFmt w:val="bullet"/>
      <w:lvlText w:val=""/>
      <w:lvlJc w:val="left"/>
      <w:pPr>
        <w:ind w:left="3447" w:hanging="360"/>
      </w:pPr>
      <w:rPr>
        <w:rFonts w:ascii="Symbol" w:hAnsi="Symbol" w:hint="default"/>
      </w:rPr>
    </w:lvl>
    <w:lvl w:ilvl="4" w:tplc="CC78CEF2" w:tentative="1">
      <w:start w:val="1"/>
      <w:numFmt w:val="bullet"/>
      <w:lvlText w:val="o"/>
      <w:lvlJc w:val="left"/>
      <w:pPr>
        <w:ind w:left="4167" w:hanging="360"/>
      </w:pPr>
      <w:rPr>
        <w:rFonts w:ascii="Courier New" w:hAnsi="Courier New" w:cs="Courier New" w:hint="default"/>
      </w:rPr>
    </w:lvl>
    <w:lvl w:ilvl="5" w:tplc="CB04E344" w:tentative="1">
      <w:start w:val="1"/>
      <w:numFmt w:val="bullet"/>
      <w:lvlText w:val=""/>
      <w:lvlJc w:val="left"/>
      <w:pPr>
        <w:ind w:left="4887" w:hanging="360"/>
      </w:pPr>
      <w:rPr>
        <w:rFonts w:ascii="Wingdings" w:hAnsi="Wingdings" w:hint="default"/>
      </w:rPr>
    </w:lvl>
    <w:lvl w:ilvl="6" w:tplc="6E8ED4AE" w:tentative="1">
      <w:start w:val="1"/>
      <w:numFmt w:val="bullet"/>
      <w:lvlText w:val=""/>
      <w:lvlJc w:val="left"/>
      <w:pPr>
        <w:ind w:left="5607" w:hanging="360"/>
      </w:pPr>
      <w:rPr>
        <w:rFonts w:ascii="Symbol" w:hAnsi="Symbol" w:hint="default"/>
      </w:rPr>
    </w:lvl>
    <w:lvl w:ilvl="7" w:tplc="A89A9184" w:tentative="1">
      <w:start w:val="1"/>
      <w:numFmt w:val="bullet"/>
      <w:lvlText w:val="o"/>
      <w:lvlJc w:val="left"/>
      <w:pPr>
        <w:ind w:left="6327" w:hanging="360"/>
      </w:pPr>
      <w:rPr>
        <w:rFonts w:ascii="Courier New" w:hAnsi="Courier New" w:cs="Courier New" w:hint="default"/>
      </w:rPr>
    </w:lvl>
    <w:lvl w:ilvl="8" w:tplc="FBF8E040" w:tentative="1">
      <w:start w:val="1"/>
      <w:numFmt w:val="bullet"/>
      <w:lvlText w:val=""/>
      <w:lvlJc w:val="left"/>
      <w:pPr>
        <w:ind w:left="7047" w:hanging="360"/>
      </w:pPr>
      <w:rPr>
        <w:rFonts w:ascii="Wingdings" w:hAnsi="Wingdings" w:hint="default"/>
      </w:rPr>
    </w:lvl>
  </w:abstractNum>
  <w:abstractNum w:abstractNumId="3" w15:restartNumberingAfterBreak="0">
    <w:nsid w:val="0FF1501C"/>
    <w:multiLevelType w:val="hybridMultilevel"/>
    <w:tmpl w:val="5C8494F2"/>
    <w:lvl w:ilvl="0" w:tplc="32625FA4">
      <w:start w:val="1"/>
      <w:numFmt w:val="decimal"/>
      <w:lvlText w:val="%1."/>
      <w:lvlJc w:val="left"/>
      <w:pPr>
        <w:ind w:left="6881" w:hanging="360"/>
      </w:pPr>
      <w:rPr>
        <w:rFonts w:ascii="Lato" w:hAnsi="Lato" w:hint="default"/>
        <w:b/>
        <w:bCs/>
        <w:color w:val="auto"/>
        <w:sz w:val="20"/>
        <w:szCs w:val="20"/>
      </w:rPr>
    </w:lvl>
    <w:lvl w:ilvl="1" w:tplc="6B7CD33E" w:tentative="1">
      <w:start w:val="1"/>
      <w:numFmt w:val="lowerLetter"/>
      <w:lvlText w:val="%2."/>
      <w:lvlJc w:val="left"/>
      <w:pPr>
        <w:ind w:left="1440" w:hanging="360"/>
      </w:pPr>
    </w:lvl>
    <w:lvl w:ilvl="2" w:tplc="AB1A6DEE" w:tentative="1">
      <w:start w:val="1"/>
      <w:numFmt w:val="lowerRoman"/>
      <w:lvlText w:val="%3."/>
      <w:lvlJc w:val="right"/>
      <w:pPr>
        <w:ind w:left="2160" w:hanging="180"/>
      </w:pPr>
    </w:lvl>
    <w:lvl w:ilvl="3" w:tplc="CAA0FF02" w:tentative="1">
      <w:start w:val="1"/>
      <w:numFmt w:val="decimal"/>
      <w:lvlText w:val="%4."/>
      <w:lvlJc w:val="left"/>
      <w:pPr>
        <w:ind w:left="2880" w:hanging="360"/>
      </w:pPr>
    </w:lvl>
    <w:lvl w:ilvl="4" w:tplc="8E6AE83E" w:tentative="1">
      <w:start w:val="1"/>
      <w:numFmt w:val="lowerLetter"/>
      <w:lvlText w:val="%5."/>
      <w:lvlJc w:val="left"/>
      <w:pPr>
        <w:ind w:left="3600" w:hanging="360"/>
      </w:pPr>
    </w:lvl>
    <w:lvl w:ilvl="5" w:tplc="2BBE8506" w:tentative="1">
      <w:start w:val="1"/>
      <w:numFmt w:val="lowerRoman"/>
      <w:lvlText w:val="%6."/>
      <w:lvlJc w:val="right"/>
      <w:pPr>
        <w:ind w:left="4320" w:hanging="180"/>
      </w:pPr>
    </w:lvl>
    <w:lvl w:ilvl="6" w:tplc="D112394A" w:tentative="1">
      <w:start w:val="1"/>
      <w:numFmt w:val="decimal"/>
      <w:lvlText w:val="%7."/>
      <w:lvlJc w:val="left"/>
      <w:pPr>
        <w:ind w:left="5040" w:hanging="360"/>
      </w:pPr>
    </w:lvl>
    <w:lvl w:ilvl="7" w:tplc="1D742EA4" w:tentative="1">
      <w:start w:val="1"/>
      <w:numFmt w:val="lowerLetter"/>
      <w:lvlText w:val="%8."/>
      <w:lvlJc w:val="left"/>
      <w:pPr>
        <w:ind w:left="5760" w:hanging="360"/>
      </w:pPr>
    </w:lvl>
    <w:lvl w:ilvl="8" w:tplc="ACB2D33A" w:tentative="1">
      <w:start w:val="1"/>
      <w:numFmt w:val="lowerRoman"/>
      <w:lvlText w:val="%9."/>
      <w:lvlJc w:val="right"/>
      <w:pPr>
        <w:ind w:left="6480" w:hanging="180"/>
      </w:pPr>
    </w:lvl>
  </w:abstractNum>
  <w:abstractNum w:abstractNumId="4" w15:restartNumberingAfterBreak="0">
    <w:nsid w:val="22001E28"/>
    <w:multiLevelType w:val="hybridMultilevel"/>
    <w:tmpl w:val="3440D3BC"/>
    <w:lvl w:ilvl="0" w:tplc="D09EC846">
      <w:start w:val="1"/>
      <w:numFmt w:val="decimal"/>
      <w:lvlText w:val="%1)"/>
      <w:lvlJc w:val="left"/>
      <w:pPr>
        <w:ind w:left="720" w:hanging="360"/>
      </w:pPr>
      <w:rPr>
        <w:rFonts w:hint="default"/>
      </w:rPr>
    </w:lvl>
    <w:lvl w:ilvl="1" w:tplc="C854FC06" w:tentative="1">
      <w:start w:val="1"/>
      <w:numFmt w:val="lowerLetter"/>
      <w:lvlText w:val="%2."/>
      <w:lvlJc w:val="left"/>
      <w:pPr>
        <w:ind w:left="1440" w:hanging="360"/>
      </w:pPr>
    </w:lvl>
    <w:lvl w:ilvl="2" w:tplc="36AA7AAA" w:tentative="1">
      <w:start w:val="1"/>
      <w:numFmt w:val="lowerRoman"/>
      <w:lvlText w:val="%3."/>
      <w:lvlJc w:val="right"/>
      <w:pPr>
        <w:ind w:left="2160" w:hanging="180"/>
      </w:pPr>
    </w:lvl>
    <w:lvl w:ilvl="3" w:tplc="2F2ACEB2" w:tentative="1">
      <w:start w:val="1"/>
      <w:numFmt w:val="decimal"/>
      <w:lvlText w:val="%4."/>
      <w:lvlJc w:val="left"/>
      <w:pPr>
        <w:ind w:left="2880" w:hanging="360"/>
      </w:pPr>
    </w:lvl>
    <w:lvl w:ilvl="4" w:tplc="35B6D3DA" w:tentative="1">
      <w:start w:val="1"/>
      <w:numFmt w:val="lowerLetter"/>
      <w:lvlText w:val="%5."/>
      <w:lvlJc w:val="left"/>
      <w:pPr>
        <w:ind w:left="3600" w:hanging="360"/>
      </w:pPr>
    </w:lvl>
    <w:lvl w:ilvl="5" w:tplc="F296FB82" w:tentative="1">
      <w:start w:val="1"/>
      <w:numFmt w:val="lowerRoman"/>
      <w:lvlText w:val="%6."/>
      <w:lvlJc w:val="right"/>
      <w:pPr>
        <w:ind w:left="4320" w:hanging="180"/>
      </w:pPr>
    </w:lvl>
    <w:lvl w:ilvl="6" w:tplc="37E48F70" w:tentative="1">
      <w:start w:val="1"/>
      <w:numFmt w:val="decimal"/>
      <w:lvlText w:val="%7."/>
      <w:lvlJc w:val="left"/>
      <w:pPr>
        <w:ind w:left="5040" w:hanging="360"/>
      </w:pPr>
    </w:lvl>
    <w:lvl w:ilvl="7" w:tplc="3E6C0A2A" w:tentative="1">
      <w:start w:val="1"/>
      <w:numFmt w:val="lowerLetter"/>
      <w:lvlText w:val="%8."/>
      <w:lvlJc w:val="left"/>
      <w:pPr>
        <w:ind w:left="5760" w:hanging="360"/>
      </w:pPr>
    </w:lvl>
    <w:lvl w:ilvl="8" w:tplc="37042240" w:tentative="1">
      <w:start w:val="1"/>
      <w:numFmt w:val="lowerRoman"/>
      <w:lvlText w:val="%9."/>
      <w:lvlJc w:val="right"/>
      <w:pPr>
        <w:ind w:left="6480" w:hanging="180"/>
      </w:pPr>
    </w:lvl>
  </w:abstractNum>
  <w:abstractNum w:abstractNumId="5" w15:restartNumberingAfterBreak="0">
    <w:nsid w:val="3F4F7204"/>
    <w:multiLevelType w:val="multilevel"/>
    <w:tmpl w:val="C0BA3E9A"/>
    <w:lvl w:ilvl="0">
      <w:start w:val="1"/>
      <w:numFmt w:val="decimal"/>
      <w:lvlText w:val="%1."/>
      <w:lvlJc w:val="left"/>
      <w:pPr>
        <w:tabs>
          <w:tab w:val="num" w:pos="2487"/>
        </w:tabs>
        <w:ind w:left="248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1557CC"/>
    <w:multiLevelType w:val="hybridMultilevel"/>
    <w:tmpl w:val="7C648A22"/>
    <w:lvl w:ilvl="0" w:tplc="CAF0149E">
      <w:start w:val="1"/>
      <w:numFmt w:val="bullet"/>
      <w:lvlText w:val=""/>
      <w:lvlJc w:val="left"/>
      <w:pPr>
        <w:ind w:left="720" w:hanging="360"/>
      </w:pPr>
      <w:rPr>
        <w:rFonts w:ascii="Symbol" w:hAnsi="Symbol" w:hint="default"/>
      </w:rPr>
    </w:lvl>
    <w:lvl w:ilvl="1" w:tplc="94168246" w:tentative="1">
      <w:start w:val="1"/>
      <w:numFmt w:val="bullet"/>
      <w:lvlText w:val="o"/>
      <w:lvlJc w:val="left"/>
      <w:pPr>
        <w:ind w:left="1440" w:hanging="360"/>
      </w:pPr>
      <w:rPr>
        <w:rFonts w:ascii="Courier New" w:hAnsi="Courier New" w:cs="Courier New" w:hint="default"/>
      </w:rPr>
    </w:lvl>
    <w:lvl w:ilvl="2" w:tplc="5DDC301A" w:tentative="1">
      <w:start w:val="1"/>
      <w:numFmt w:val="bullet"/>
      <w:lvlText w:val=""/>
      <w:lvlJc w:val="left"/>
      <w:pPr>
        <w:ind w:left="2160" w:hanging="360"/>
      </w:pPr>
      <w:rPr>
        <w:rFonts w:ascii="Wingdings" w:hAnsi="Wingdings" w:hint="default"/>
      </w:rPr>
    </w:lvl>
    <w:lvl w:ilvl="3" w:tplc="B90C94DC" w:tentative="1">
      <w:start w:val="1"/>
      <w:numFmt w:val="bullet"/>
      <w:lvlText w:val=""/>
      <w:lvlJc w:val="left"/>
      <w:pPr>
        <w:ind w:left="2880" w:hanging="360"/>
      </w:pPr>
      <w:rPr>
        <w:rFonts w:ascii="Symbol" w:hAnsi="Symbol" w:hint="default"/>
      </w:rPr>
    </w:lvl>
    <w:lvl w:ilvl="4" w:tplc="26F6132E" w:tentative="1">
      <w:start w:val="1"/>
      <w:numFmt w:val="bullet"/>
      <w:lvlText w:val="o"/>
      <w:lvlJc w:val="left"/>
      <w:pPr>
        <w:ind w:left="3600" w:hanging="360"/>
      </w:pPr>
      <w:rPr>
        <w:rFonts w:ascii="Courier New" w:hAnsi="Courier New" w:cs="Courier New" w:hint="default"/>
      </w:rPr>
    </w:lvl>
    <w:lvl w:ilvl="5" w:tplc="16EE220A" w:tentative="1">
      <w:start w:val="1"/>
      <w:numFmt w:val="bullet"/>
      <w:lvlText w:val=""/>
      <w:lvlJc w:val="left"/>
      <w:pPr>
        <w:ind w:left="4320" w:hanging="360"/>
      </w:pPr>
      <w:rPr>
        <w:rFonts w:ascii="Wingdings" w:hAnsi="Wingdings" w:hint="default"/>
      </w:rPr>
    </w:lvl>
    <w:lvl w:ilvl="6" w:tplc="3E1C4658" w:tentative="1">
      <w:start w:val="1"/>
      <w:numFmt w:val="bullet"/>
      <w:lvlText w:val=""/>
      <w:lvlJc w:val="left"/>
      <w:pPr>
        <w:ind w:left="5040" w:hanging="360"/>
      </w:pPr>
      <w:rPr>
        <w:rFonts w:ascii="Symbol" w:hAnsi="Symbol" w:hint="default"/>
      </w:rPr>
    </w:lvl>
    <w:lvl w:ilvl="7" w:tplc="0D7CCB30" w:tentative="1">
      <w:start w:val="1"/>
      <w:numFmt w:val="bullet"/>
      <w:lvlText w:val="o"/>
      <w:lvlJc w:val="left"/>
      <w:pPr>
        <w:ind w:left="5760" w:hanging="360"/>
      </w:pPr>
      <w:rPr>
        <w:rFonts w:ascii="Courier New" w:hAnsi="Courier New" w:cs="Courier New" w:hint="default"/>
      </w:rPr>
    </w:lvl>
    <w:lvl w:ilvl="8" w:tplc="771A95D8" w:tentative="1">
      <w:start w:val="1"/>
      <w:numFmt w:val="bullet"/>
      <w:lvlText w:val=""/>
      <w:lvlJc w:val="left"/>
      <w:pPr>
        <w:ind w:left="6480" w:hanging="360"/>
      </w:pPr>
      <w:rPr>
        <w:rFonts w:ascii="Wingdings" w:hAnsi="Wingdings" w:hint="default"/>
      </w:rPr>
    </w:lvl>
  </w:abstractNum>
  <w:abstractNum w:abstractNumId="7" w15:restartNumberingAfterBreak="0">
    <w:nsid w:val="58C950FB"/>
    <w:multiLevelType w:val="hybridMultilevel"/>
    <w:tmpl w:val="56A0B7E0"/>
    <w:lvl w:ilvl="0" w:tplc="CA4C6AA2">
      <w:start w:val="1"/>
      <w:numFmt w:val="lowerLetter"/>
      <w:lvlText w:val="%1)"/>
      <w:lvlJc w:val="left"/>
      <w:pPr>
        <w:ind w:left="1440" w:hanging="360"/>
      </w:pPr>
      <w:rPr>
        <w:rFonts w:hint="default"/>
      </w:rPr>
    </w:lvl>
    <w:lvl w:ilvl="1" w:tplc="4E2C72A8" w:tentative="1">
      <w:start w:val="1"/>
      <w:numFmt w:val="bullet"/>
      <w:lvlText w:val="o"/>
      <w:lvlJc w:val="left"/>
      <w:pPr>
        <w:ind w:left="2160" w:hanging="360"/>
      </w:pPr>
      <w:rPr>
        <w:rFonts w:ascii="Courier New" w:hAnsi="Courier New" w:cs="Courier New" w:hint="default"/>
      </w:rPr>
    </w:lvl>
    <w:lvl w:ilvl="2" w:tplc="2D3E1276" w:tentative="1">
      <w:start w:val="1"/>
      <w:numFmt w:val="bullet"/>
      <w:lvlText w:val=""/>
      <w:lvlJc w:val="left"/>
      <w:pPr>
        <w:ind w:left="2880" w:hanging="360"/>
      </w:pPr>
      <w:rPr>
        <w:rFonts w:ascii="Wingdings" w:hAnsi="Wingdings" w:hint="default"/>
      </w:rPr>
    </w:lvl>
    <w:lvl w:ilvl="3" w:tplc="B33C7B0C" w:tentative="1">
      <w:start w:val="1"/>
      <w:numFmt w:val="bullet"/>
      <w:lvlText w:val=""/>
      <w:lvlJc w:val="left"/>
      <w:pPr>
        <w:ind w:left="3600" w:hanging="360"/>
      </w:pPr>
      <w:rPr>
        <w:rFonts w:ascii="Symbol" w:hAnsi="Symbol" w:hint="default"/>
      </w:rPr>
    </w:lvl>
    <w:lvl w:ilvl="4" w:tplc="F83EE52E" w:tentative="1">
      <w:start w:val="1"/>
      <w:numFmt w:val="bullet"/>
      <w:lvlText w:val="o"/>
      <w:lvlJc w:val="left"/>
      <w:pPr>
        <w:ind w:left="4320" w:hanging="360"/>
      </w:pPr>
      <w:rPr>
        <w:rFonts w:ascii="Courier New" w:hAnsi="Courier New" w:cs="Courier New" w:hint="default"/>
      </w:rPr>
    </w:lvl>
    <w:lvl w:ilvl="5" w:tplc="C852A724" w:tentative="1">
      <w:start w:val="1"/>
      <w:numFmt w:val="bullet"/>
      <w:lvlText w:val=""/>
      <w:lvlJc w:val="left"/>
      <w:pPr>
        <w:ind w:left="5040" w:hanging="360"/>
      </w:pPr>
      <w:rPr>
        <w:rFonts w:ascii="Wingdings" w:hAnsi="Wingdings" w:hint="default"/>
      </w:rPr>
    </w:lvl>
    <w:lvl w:ilvl="6" w:tplc="BE18407E" w:tentative="1">
      <w:start w:val="1"/>
      <w:numFmt w:val="bullet"/>
      <w:lvlText w:val=""/>
      <w:lvlJc w:val="left"/>
      <w:pPr>
        <w:ind w:left="5760" w:hanging="360"/>
      </w:pPr>
      <w:rPr>
        <w:rFonts w:ascii="Symbol" w:hAnsi="Symbol" w:hint="default"/>
      </w:rPr>
    </w:lvl>
    <w:lvl w:ilvl="7" w:tplc="A5A0902E" w:tentative="1">
      <w:start w:val="1"/>
      <w:numFmt w:val="bullet"/>
      <w:lvlText w:val="o"/>
      <w:lvlJc w:val="left"/>
      <w:pPr>
        <w:ind w:left="6480" w:hanging="360"/>
      </w:pPr>
      <w:rPr>
        <w:rFonts w:ascii="Courier New" w:hAnsi="Courier New" w:cs="Courier New" w:hint="default"/>
      </w:rPr>
    </w:lvl>
    <w:lvl w:ilvl="8" w:tplc="AED00A8E" w:tentative="1">
      <w:start w:val="1"/>
      <w:numFmt w:val="bullet"/>
      <w:lvlText w:val=""/>
      <w:lvlJc w:val="left"/>
      <w:pPr>
        <w:ind w:left="7200" w:hanging="360"/>
      </w:pPr>
      <w:rPr>
        <w:rFonts w:ascii="Wingdings" w:hAnsi="Wingdings" w:hint="default"/>
      </w:rPr>
    </w:lvl>
  </w:abstractNum>
  <w:abstractNum w:abstractNumId="8" w15:restartNumberingAfterBreak="0">
    <w:nsid w:val="68D34385"/>
    <w:multiLevelType w:val="hybridMultilevel"/>
    <w:tmpl w:val="397EE578"/>
    <w:lvl w:ilvl="0" w:tplc="121E5C7E">
      <w:start w:val="1"/>
      <w:numFmt w:val="lowerLetter"/>
      <w:lvlText w:val="%1)"/>
      <w:lvlJc w:val="left"/>
      <w:pPr>
        <w:ind w:left="1330" w:hanging="360"/>
      </w:pPr>
      <w:rPr>
        <w:rFonts w:hint="default"/>
      </w:rPr>
    </w:lvl>
    <w:lvl w:ilvl="1" w:tplc="A6E2C74E" w:tentative="1">
      <w:start w:val="1"/>
      <w:numFmt w:val="bullet"/>
      <w:lvlText w:val="o"/>
      <w:lvlJc w:val="left"/>
      <w:pPr>
        <w:ind w:left="2050" w:hanging="360"/>
      </w:pPr>
      <w:rPr>
        <w:rFonts w:ascii="Courier New" w:hAnsi="Courier New" w:cs="Courier New" w:hint="default"/>
      </w:rPr>
    </w:lvl>
    <w:lvl w:ilvl="2" w:tplc="9D1A6E3A" w:tentative="1">
      <w:start w:val="1"/>
      <w:numFmt w:val="bullet"/>
      <w:lvlText w:val=""/>
      <w:lvlJc w:val="left"/>
      <w:pPr>
        <w:ind w:left="2770" w:hanging="360"/>
      </w:pPr>
      <w:rPr>
        <w:rFonts w:ascii="Wingdings" w:hAnsi="Wingdings" w:hint="default"/>
      </w:rPr>
    </w:lvl>
    <w:lvl w:ilvl="3" w:tplc="2AF438CA" w:tentative="1">
      <w:start w:val="1"/>
      <w:numFmt w:val="bullet"/>
      <w:lvlText w:val=""/>
      <w:lvlJc w:val="left"/>
      <w:pPr>
        <w:ind w:left="3490" w:hanging="360"/>
      </w:pPr>
      <w:rPr>
        <w:rFonts w:ascii="Symbol" w:hAnsi="Symbol" w:hint="default"/>
      </w:rPr>
    </w:lvl>
    <w:lvl w:ilvl="4" w:tplc="E864F8B8" w:tentative="1">
      <w:start w:val="1"/>
      <w:numFmt w:val="bullet"/>
      <w:lvlText w:val="o"/>
      <w:lvlJc w:val="left"/>
      <w:pPr>
        <w:ind w:left="4210" w:hanging="360"/>
      </w:pPr>
      <w:rPr>
        <w:rFonts w:ascii="Courier New" w:hAnsi="Courier New" w:cs="Courier New" w:hint="default"/>
      </w:rPr>
    </w:lvl>
    <w:lvl w:ilvl="5" w:tplc="54AA5428" w:tentative="1">
      <w:start w:val="1"/>
      <w:numFmt w:val="bullet"/>
      <w:lvlText w:val=""/>
      <w:lvlJc w:val="left"/>
      <w:pPr>
        <w:ind w:left="4930" w:hanging="360"/>
      </w:pPr>
      <w:rPr>
        <w:rFonts w:ascii="Wingdings" w:hAnsi="Wingdings" w:hint="default"/>
      </w:rPr>
    </w:lvl>
    <w:lvl w:ilvl="6" w:tplc="DAB01B0E" w:tentative="1">
      <w:start w:val="1"/>
      <w:numFmt w:val="bullet"/>
      <w:lvlText w:val=""/>
      <w:lvlJc w:val="left"/>
      <w:pPr>
        <w:ind w:left="5650" w:hanging="360"/>
      </w:pPr>
      <w:rPr>
        <w:rFonts w:ascii="Symbol" w:hAnsi="Symbol" w:hint="default"/>
      </w:rPr>
    </w:lvl>
    <w:lvl w:ilvl="7" w:tplc="31E22D72" w:tentative="1">
      <w:start w:val="1"/>
      <w:numFmt w:val="bullet"/>
      <w:lvlText w:val="o"/>
      <w:lvlJc w:val="left"/>
      <w:pPr>
        <w:ind w:left="6370" w:hanging="360"/>
      </w:pPr>
      <w:rPr>
        <w:rFonts w:ascii="Courier New" w:hAnsi="Courier New" w:cs="Courier New" w:hint="default"/>
      </w:rPr>
    </w:lvl>
    <w:lvl w:ilvl="8" w:tplc="C43CCA8C" w:tentative="1">
      <w:start w:val="1"/>
      <w:numFmt w:val="bullet"/>
      <w:lvlText w:val=""/>
      <w:lvlJc w:val="left"/>
      <w:pPr>
        <w:ind w:left="7090" w:hanging="360"/>
      </w:pPr>
      <w:rPr>
        <w:rFonts w:ascii="Wingdings" w:hAnsi="Wingdings" w:hint="default"/>
      </w:rPr>
    </w:lvl>
  </w:abstractNum>
  <w:abstractNum w:abstractNumId="9" w15:restartNumberingAfterBreak="0">
    <w:nsid w:val="6B4453D4"/>
    <w:multiLevelType w:val="hybridMultilevel"/>
    <w:tmpl w:val="39F26B2C"/>
    <w:lvl w:ilvl="0" w:tplc="BB9E30F6">
      <w:start w:val="1"/>
      <w:numFmt w:val="decimal"/>
      <w:lvlText w:val="%1."/>
      <w:lvlJc w:val="left"/>
      <w:pPr>
        <w:ind w:left="720" w:hanging="360"/>
      </w:pPr>
    </w:lvl>
    <w:lvl w:ilvl="1" w:tplc="B35C4BA6" w:tentative="1">
      <w:start w:val="1"/>
      <w:numFmt w:val="lowerLetter"/>
      <w:lvlText w:val="%2."/>
      <w:lvlJc w:val="left"/>
      <w:pPr>
        <w:ind w:left="1440" w:hanging="360"/>
      </w:pPr>
    </w:lvl>
    <w:lvl w:ilvl="2" w:tplc="B1F6B0F4" w:tentative="1">
      <w:start w:val="1"/>
      <w:numFmt w:val="lowerRoman"/>
      <w:lvlText w:val="%3."/>
      <w:lvlJc w:val="right"/>
      <w:pPr>
        <w:ind w:left="2160" w:hanging="180"/>
      </w:pPr>
    </w:lvl>
    <w:lvl w:ilvl="3" w:tplc="11B6BB72" w:tentative="1">
      <w:start w:val="1"/>
      <w:numFmt w:val="decimal"/>
      <w:lvlText w:val="%4."/>
      <w:lvlJc w:val="left"/>
      <w:pPr>
        <w:ind w:left="2880" w:hanging="360"/>
      </w:pPr>
    </w:lvl>
    <w:lvl w:ilvl="4" w:tplc="BDF298B4" w:tentative="1">
      <w:start w:val="1"/>
      <w:numFmt w:val="lowerLetter"/>
      <w:lvlText w:val="%5."/>
      <w:lvlJc w:val="left"/>
      <w:pPr>
        <w:ind w:left="3600" w:hanging="360"/>
      </w:pPr>
    </w:lvl>
    <w:lvl w:ilvl="5" w:tplc="CAEC5DFC" w:tentative="1">
      <w:start w:val="1"/>
      <w:numFmt w:val="lowerRoman"/>
      <w:lvlText w:val="%6."/>
      <w:lvlJc w:val="right"/>
      <w:pPr>
        <w:ind w:left="4320" w:hanging="180"/>
      </w:pPr>
    </w:lvl>
    <w:lvl w:ilvl="6" w:tplc="117AE2BA" w:tentative="1">
      <w:start w:val="1"/>
      <w:numFmt w:val="decimal"/>
      <w:lvlText w:val="%7."/>
      <w:lvlJc w:val="left"/>
      <w:pPr>
        <w:ind w:left="5040" w:hanging="360"/>
      </w:pPr>
    </w:lvl>
    <w:lvl w:ilvl="7" w:tplc="956496D8" w:tentative="1">
      <w:start w:val="1"/>
      <w:numFmt w:val="lowerLetter"/>
      <w:lvlText w:val="%8."/>
      <w:lvlJc w:val="left"/>
      <w:pPr>
        <w:ind w:left="5760" w:hanging="360"/>
      </w:pPr>
    </w:lvl>
    <w:lvl w:ilvl="8" w:tplc="437C40C0" w:tentative="1">
      <w:start w:val="1"/>
      <w:numFmt w:val="lowerRoman"/>
      <w:lvlText w:val="%9."/>
      <w:lvlJc w:val="right"/>
      <w:pPr>
        <w:ind w:left="6480" w:hanging="180"/>
      </w:pPr>
    </w:lvl>
  </w:abstractNum>
  <w:abstractNum w:abstractNumId="10" w15:restartNumberingAfterBreak="0">
    <w:nsid w:val="7B891C54"/>
    <w:multiLevelType w:val="hybridMultilevel"/>
    <w:tmpl w:val="4D120914"/>
    <w:lvl w:ilvl="0" w:tplc="5024DAA8">
      <w:start w:val="1"/>
      <w:numFmt w:val="decimal"/>
      <w:lvlText w:val="%1)"/>
      <w:lvlJc w:val="left"/>
      <w:pPr>
        <w:ind w:left="720" w:hanging="360"/>
      </w:pPr>
      <w:rPr>
        <w:rFonts w:hint="default"/>
        <w:b w:val="0"/>
        <w:bCs/>
      </w:rPr>
    </w:lvl>
    <w:lvl w:ilvl="1" w:tplc="1A6603AE" w:tentative="1">
      <w:start w:val="1"/>
      <w:numFmt w:val="lowerLetter"/>
      <w:lvlText w:val="%2."/>
      <w:lvlJc w:val="left"/>
      <w:pPr>
        <w:ind w:left="1440" w:hanging="360"/>
      </w:pPr>
    </w:lvl>
    <w:lvl w:ilvl="2" w:tplc="76D66102" w:tentative="1">
      <w:start w:val="1"/>
      <w:numFmt w:val="lowerRoman"/>
      <w:lvlText w:val="%3."/>
      <w:lvlJc w:val="right"/>
      <w:pPr>
        <w:ind w:left="2160" w:hanging="180"/>
      </w:pPr>
    </w:lvl>
    <w:lvl w:ilvl="3" w:tplc="01FCA382" w:tentative="1">
      <w:start w:val="1"/>
      <w:numFmt w:val="decimal"/>
      <w:lvlText w:val="%4."/>
      <w:lvlJc w:val="left"/>
      <w:pPr>
        <w:ind w:left="2880" w:hanging="360"/>
      </w:pPr>
    </w:lvl>
    <w:lvl w:ilvl="4" w:tplc="40F8E560" w:tentative="1">
      <w:start w:val="1"/>
      <w:numFmt w:val="lowerLetter"/>
      <w:lvlText w:val="%5."/>
      <w:lvlJc w:val="left"/>
      <w:pPr>
        <w:ind w:left="3600" w:hanging="360"/>
      </w:pPr>
    </w:lvl>
    <w:lvl w:ilvl="5" w:tplc="4D0A0CCA" w:tentative="1">
      <w:start w:val="1"/>
      <w:numFmt w:val="lowerRoman"/>
      <w:lvlText w:val="%6."/>
      <w:lvlJc w:val="right"/>
      <w:pPr>
        <w:ind w:left="4320" w:hanging="180"/>
      </w:pPr>
    </w:lvl>
    <w:lvl w:ilvl="6" w:tplc="DD34A816" w:tentative="1">
      <w:start w:val="1"/>
      <w:numFmt w:val="decimal"/>
      <w:lvlText w:val="%7."/>
      <w:lvlJc w:val="left"/>
      <w:pPr>
        <w:ind w:left="5040" w:hanging="360"/>
      </w:pPr>
    </w:lvl>
    <w:lvl w:ilvl="7" w:tplc="BF385FAC" w:tentative="1">
      <w:start w:val="1"/>
      <w:numFmt w:val="lowerLetter"/>
      <w:lvlText w:val="%8."/>
      <w:lvlJc w:val="left"/>
      <w:pPr>
        <w:ind w:left="5760" w:hanging="360"/>
      </w:pPr>
    </w:lvl>
    <w:lvl w:ilvl="8" w:tplc="C37AA3C8" w:tentative="1">
      <w:start w:val="1"/>
      <w:numFmt w:val="lowerRoman"/>
      <w:lvlText w:val="%9."/>
      <w:lvlJc w:val="right"/>
      <w:pPr>
        <w:ind w:left="6480" w:hanging="180"/>
      </w:pPr>
    </w:lvl>
  </w:abstractNum>
  <w:num w:numId="1" w16cid:durableId="480930881">
    <w:abstractNumId w:val="9"/>
  </w:num>
  <w:num w:numId="2" w16cid:durableId="2146197914">
    <w:abstractNumId w:val="1"/>
  </w:num>
  <w:num w:numId="3" w16cid:durableId="1325814945">
    <w:abstractNumId w:val="5"/>
  </w:num>
  <w:num w:numId="4" w16cid:durableId="328413707">
    <w:abstractNumId w:val="4"/>
  </w:num>
  <w:num w:numId="5" w16cid:durableId="2147239232">
    <w:abstractNumId w:val="0"/>
  </w:num>
  <w:num w:numId="6" w16cid:durableId="97651523">
    <w:abstractNumId w:val="3"/>
  </w:num>
  <w:num w:numId="7" w16cid:durableId="901253834">
    <w:abstractNumId w:val="7"/>
  </w:num>
  <w:num w:numId="8" w16cid:durableId="165563230">
    <w:abstractNumId w:val="8"/>
  </w:num>
  <w:num w:numId="9" w16cid:durableId="247277622">
    <w:abstractNumId w:val="6"/>
  </w:num>
  <w:num w:numId="10" w16cid:durableId="1703818288">
    <w:abstractNumId w:val="2"/>
  </w:num>
  <w:num w:numId="11" w16cid:durableId="17208587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8F1"/>
    <w:rsid w:val="00000CCA"/>
    <w:rsid w:val="00011168"/>
    <w:rsid w:val="00014C7E"/>
    <w:rsid w:val="00015B5E"/>
    <w:rsid w:val="000258CA"/>
    <w:rsid w:val="00027CF9"/>
    <w:rsid w:val="00034DB5"/>
    <w:rsid w:val="0004525D"/>
    <w:rsid w:val="00047255"/>
    <w:rsid w:val="00051DE5"/>
    <w:rsid w:val="00056724"/>
    <w:rsid w:val="00070710"/>
    <w:rsid w:val="00076840"/>
    <w:rsid w:val="0008000A"/>
    <w:rsid w:val="00092453"/>
    <w:rsid w:val="0009594F"/>
    <w:rsid w:val="000A4F25"/>
    <w:rsid w:val="000A4F94"/>
    <w:rsid w:val="000C320C"/>
    <w:rsid w:val="000D38F6"/>
    <w:rsid w:val="000D3FEC"/>
    <w:rsid w:val="000D4FD2"/>
    <w:rsid w:val="000D6249"/>
    <w:rsid w:val="000E3095"/>
    <w:rsid w:val="000E6F37"/>
    <w:rsid w:val="000E7D29"/>
    <w:rsid w:val="000F0633"/>
    <w:rsid w:val="000F0CFE"/>
    <w:rsid w:val="000F45A3"/>
    <w:rsid w:val="00100297"/>
    <w:rsid w:val="0010685D"/>
    <w:rsid w:val="00113606"/>
    <w:rsid w:val="00116042"/>
    <w:rsid w:val="00116089"/>
    <w:rsid w:val="0011657C"/>
    <w:rsid w:val="001241E1"/>
    <w:rsid w:val="00125528"/>
    <w:rsid w:val="001324AA"/>
    <w:rsid w:val="00132B04"/>
    <w:rsid w:val="00132C23"/>
    <w:rsid w:val="0013591A"/>
    <w:rsid w:val="00137252"/>
    <w:rsid w:val="00142D64"/>
    <w:rsid w:val="00156154"/>
    <w:rsid w:val="00157883"/>
    <w:rsid w:val="00167817"/>
    <w:rsid w:val="00173EF8"/>
    <w:rsid w:val="00176436"/>
    <w:rsid w:val="0018373A"/>
    <w:rsid w:val="00195977"/>
    <w:rsid w:val="00197A04"/>
    <w:rsid w:val="001A4082"/>
    <w:rsid w:val="001B0573"/>
    <w:rsid w:val="001B412D"/>
    <w:rsid w:val="001B5135"/>
    <w:rsid w:val="001D163C"/>
    <w:rsid w:val="001D2B61"/>
    <w:rsid w:val="001D641B"/>
    <w:rsid w:val="001E0EAC"/>
    <w:rsid w:val="001E1E0C"/>
    <w:rsid w:val="001E707A"/>
    <w:rsid w:val="001F0C1F"/>
    <w:rsid w:val="001F28A9"/>
    <w:rsid w:val="001F7755"/>
    <w:rsid w:val="00200537"/>
    <w:rsid w:val="00200890"/>
    <w:rsid w:val="00205553"/>
    <w:rsid w:val="0020594C"/>
    <w:rsid w:val="00207DE1"/>
    <w:rsid w:val="00211C1B"/>
    <w:rsid w:val="002123B1"/>
    <w:rsid w:val="00215567"/>
    <w:rsid w:val="002237C8"/>
    <w:rsid w:val="00227D74"/>
    <w:rsid w:val="0023072B"/>
    <w:rsid w:val="00230929"/>
    <w:rsid w:val="00234C19"/>
    <w:rsid w:val="00235218"/>
    <w:rsid w:val="00237AB1"/>
    <w:rsid w:val="002407DD"/>
    <w:rsid w:val="00240D85"/>
    <w:rsid w:val="00243941"/>
    <w:rsid w:val="00250823"/>
    <w:rsid w:val="00253A41"/>
    <w:rsid w:val="002615FD"/>
    <w:rsid w:val="0026222C"/>
    <w:rsid w:val="00264D39"/>
    <w:rsid w:val="00281999"/>
    <w:rsid w:val="00282C77"/>
    <w:rsid w:val="00292F97"/>
    <w:rsid w:val="00294D7F"/>
    <w:rsid w:val="00297961"/>
    <w:rsid w:val="002A0E9F"/>
    <w:rsid w:val="002A5BF5"/>
    <w:rsid w:val="002A77D8"/>
    <w:rsid w:val="002B09B4"/>
    <w:rsid w:val="002B2FFB"/>
    <w:rsid w:val="002B60CE"/>
    <w:rsid w:val="002C14B9"/>
    <w:rsid w:val="002C5B12"/>
    <w:rsid w:val="002C664C"/>
    <w:rsid w:val="002E2705"/>
    <w:rsid w:val="002E62B4"/>
    <w:rsid w:val="002E667B"/>
    <w:rsid w:val="002F66D8"/>
    <w:rsid w:val="002F7560"/>
    <w:rsid w:val="0030427B"/>
    <w:rsid w:val="0030795E"/>
    <w:rsid w:val="00310CFD"/>
    <w:rsid w:val="0031173A"/>
    <w:rsid w:val="00311EE1"/>
    <w:rsid w:val="00312D01"/>
    <w:rsid w:val="00316AEF"/>
    <w:rsid w:val="00325FA2"/>
    <w:rsid w:val="00335D85"/>
    <w:rsid w:val="003426A6"/>
    <w:rsid w:val="003609A5"/>
    <w:rsid w:val="003609CC"/>
    <w:rsid w:val="003623DA"/>
    <w:rsid w:val="00375F30"/>
    <w:rsid w:val="00375F5D"/>
    <w:rsid w:val="00381B12"/>
    <w:rsid w:val="00383BDF"/>
    <w:rsid w:val="00384793"/>
    <w:rsid w:val="00384C04"/>
    <w:rsid w:val="00391ABE"/>
    <w:rsid w:val="003A4D6E"/>
    <w:rsid w:val="003B0298"/>
    <w:rsid w:val="003B2A1C"/>
    <w:rsid w:val="003C2A0C"/>
    <w:rsid w:val="003C7C21"/>
    <w:rsid w:val="003D0FE7"/>
    <w:rsid w:val="003D32E4"/>
    <w:rsid w:val="003E205A"/>
    <w:rsid w:val="003E31B7"/>
    <w:rsid w:val="003E3366"/>
    <w:rsid w:val="003E4521"/>
    <w:rsid w:val="003F3078"/>
    <w:rsid w:val="00402C93"/>
    <w:rsid w:val="004132A3"/>
    <w:rsid w:val="004136AD"/>
    <w:rsid w:val="00417EBC"/>
    <w:rsid w:val="004216A4"/>
    <w:rsid w:val="00424695"/>
    <w:rsid w:val="00424F07"/>
    <w:rsid w:val="004341C0"/>
    <w:rsid w:val="0043513C"/>
    <w:rsid w:val="00453DB3"/>
    <w:rsid w:val="00455C49"/>
    <w:rsid w:val="00463E36"/>
    <w:rsid w:val="00471390"/>
    <w:rsid w:val="00472C92"/>
    <w:rsid w:val="0047755D"/>
    <w:rsid w:val="0048004C"/>
    <w:rsid w:val="0049547B"/>
    <w:rsid w:val="00496C63"/>
    <w:rsid w:val="00497BAE"/>
    <w:rsid w:val="004B1954"/>
    <w:rsid w:val="004B2312"/>
    <w:rsid w:val="004B3E13"/>
    <w:rsid w:val="004B7189"/>
    <w:rsid w:val="004C60FD"/>
    <w:rsid w:val="004C6EAD"/>
    <w:rsid w:val="004D05D1"/>
    <w:rsid w:val="004E3B29"/>
    <w:rsid w:val="004E5587"/>
    <w:rsid w:val="004E6347"/>
    <w:rsid w:val="004E71A0"/>
    <w:rsid w:val="004F430D"/>
    <w:rsid w:val="004F7924"/>
    <w:rsid w:val="0050390C"/>
    <w:rsid w:val="00511554"/>
    <w:rsid w:val="00511F34"/>
    <w:rsid w:val="00521622"/>
    <w:rsid w:val="00521E96"/>
    <w:rsid w:val="005231DC"/>
    <w:rsid w:val="00524424"/>
    <w:rsid w:val="0052532C"/>
    <w:rsid w:val="00525C77"/>
    <w:rsid w:val="00527094"/>
    <w:rsid w:val="0052709F"/>
    <w:rsid w:val="005308C1"/>
    <w:rsid w:val="00535236"/>
    <w:rsid w:val="005459A9"/>
    <w:rsid w:val="00546A08"/>
    <w:rsid w:val="00557E9C"/>
    <w:rsid w:val="005625BD"/>
    <w:rsid w:val="00563960"/>
    <w:rsid w:val="00564DAD"/>
    <w:rsid w:val="0057277A"/>
    <w:rsid w:val="00580445"/>
    <w:rsid w:val="005818C1"/>
    <w:rsid w:val="0058241B"/>
    <w:rsid w:val="00585759"/>
    <w:rsid w:val="005929A0"/>
    <w:rsid w:val="00594AA0"/>
    <w:rsid w:val="005958C1"/>
    <w:rsid w:val="005A2E3D"/>
    <w:rsid w:val="005B1117"/>
    <w:rsid w:val="005B2B80"/>
    <w:rsid w:val="005B3668"/>
    <w:rsid w:val="005B4F51"/>
    <w:rsid w:val="005B6E49"/>
    <w:rsid w:val="005B7A40"/>
    <w:rsid w:val="005B7BCC"/>
    <w:rsid w:val="005C5A1C"/>
    <w:rsid w:val="005D2957"/>
    <w:rsid w:val="005D6668"/>
    <w:rsid w:val="005D6DD7"/>
    <w:rsid w:val="005E1BA2"/>
    <w:rsid w:val="005E6220"/>
    <w:rsid w:val="005E6E34"/>
    <w:rsid w:val="005F1C4B"/>
    <w:rsid w:val="005F3D35"/>
    <w:rsid w:val="005F58CF"/>
    <w:rsid w:val="005F606F"/>
    <w:rsid w:val="006067F3"/>
    <w:rsid w:val="00612A18"/>
    <w:rsid w:val="00612A8E"/>
    <w:rsid w:val="006177E6"/>
    <w:rsid w:val="006237B2"/>
    <w:rsid w:val="00624F68"/>
    <w:rsid w:val="006353D8"/>
    <w:rsid w:val="00640DF3"/>
    <w:rsid w:val="00650917"/>
    <w:rsid w:val="00654391"/>
    <w:rsid w:val="00660FB7"/>
    <w:rsid w:val="0067727B"/>
    <w:rsid w:val="00677F0C"/>
    <w:rsid w:val="006811A5"/>
    <w:rsid w:val="00696A1E"/>
    <w:rsid w:val="006A3334"/>
    <w:rsid w:val="006A3BAC"/>
    <w:rsid w:val="006B0D15"/>
    <w:rsid w:val="006B1046"/>
    <w:rsid w:val="006C044F"/>
    <w:rsid w:val="006C2C96"/>
    <w:rsid w:val="006D6606"/>
    <w:rsid w:val="006E553D"/>
    <w:rsid w:val="0070535B"/>
    <w:rsid w:val="00705E9F"/>
    <w:rsid w:val="00706CD2"/>
    <w:rsid w:val="00711E93"/>
    <w:rsid w:val="00723FD1"/>
    <w:rsid w:val="00727129"/>
    <w:rsid w:val="007342A0"/>
    <w:rsid w:val="00743CE6"/>
    <w:rsid w:val="00744444"/>
    <w:rsid w:val="00752ACE"/>
    <w:rsid w:val="00752E0E"/>
    <w:rsid w:val="00764A2C"/>
    <w:rsid w:val="00770DB8"/>
    <w:rsid w:val="007751F9"/>
    <w:rsid w:val="0078045F"/>
    <w:rsid w:val="007809B2"/>
    <w:rsid w:val="00780CD7"/>
    <w:rsid w:val="00781C28"/>
    <w:rsid w:val="00782A33"/>
    <w:rsid w:val="0079080C"/>
    <w:rsid w:val="007947EC"/>
    <w:rsid w:val="007A296A"/>
    <w:rsid w:val="007A585C"/>
    <w:rsid w:val="007C7812"/>
    <w:rsid w:val="007C794F"/>
    <w:rsid w:val="007D4644"/>
    <w:rsid w:val="007E1AB8"/>
    <w:rsid w:val="007E21C4"/>
    <w:rsid w:val="007E4FFC"/>
    <w:rsid w:val="0083536C"/>
    <w:rsid w:val="00837701"/>
    <w:rsid w:val="0084184B"/>
    <w:rsid w:val="008422B7"/>
    <w:rsid w:val="008467EC"/>
    <w:rsid w:val="00850E7D"/>
    <w:rsid w:val="0085356B"/>
    <w:rsid w:val="008612A5"/>
    <w:rsid w:val="00861BEF"/>
    <w:rsid w:val="00863505"/>
    <w:rsid w:val="008638F1"/>
    <w:rsid w:val="00863CDB"/>
    <w:rsid w:val="00875A09"/>
    <w:rsid w:val="00876F50"/>
    <w:rsid w:val="0088358E"/>
    <w:rsid w:val="00890895"/>
    <w:rsid w:val="00891D4A"/>
    <w:rsid w:val="00893C8E"/>
    <w:rsid w:val="008A16F2"/>
    <w:rsid w:val="008C431A"/>
    <w:rsid w:val="008C534E"/>
    <w:rsid w:val="008D0B21"/>
    <w:rsid w:val="008D4CC3"/>
    <w:rsid w:val="008D54DA"/>
    <w:rsid w:val="008E27C2"/>
    <w:rsid w:val="008F42C5"/>
    <w:rsid w:val="008F5E3C"/>
    <w:rsid w:val="009110CE"/>
    <w:rsid w:val="00912F54"/>
    <w:rsid w:val="00915891"/>
    <w:rsid w:val="00917989"/>
    <w:rsid w:val="0092027D"/>
    <w:rsid w:val="00926B8E"/>
    <w:rsid w:val="00930121"/>
    <w:rsid w:val="00930584"/>
    <w:rsid w:val="00937D89"/>
    <w:rsid w:val="00946A74"/>
    <w:rsid w:val="00947551"/>
    <w:rsid w:val="00951B82"/>
    <w:rsid w:val="00953E24"/>
    <w:rsid w:val="00961F7C"/>
    <w:rsid w:val="0096296C"/>
    <w:rsid w:val="00963596"/>
    <w:rsid w:val="0096444B"/>
    <w:rsid w:val="00965E30"/>
    <w:rsid w:val="00966C5C"/>
    <w:rsid w:val="00972449"/>
    <w:rsid w:val="009825B6"/>
    <w:rsid w:val="009860AD"/>
    <w:rsid w:val="00992256"/>
    <w:rsid w:val="00996E9A"/>
    <w:rsid w:val="009A020D"/>
    <w:rsid w:val="009A3C7D"/>
    <w:rsid w:val="009A58E8"/>
    <w:rsid w:val="009B0CA2"/>
    <w:rsid w:val="009B467D"/>
    <w:rsid w:val="009C602A"/>
    <w:rsid w:val="009D1A15"/>
    <w:rsid w:val="009D2315"/>
    <w:rsid w:val="009D783C"/>
    <w:rsid w:val="009F4F25"/>
    <w:rsid w:val="009F5A8C"/>
    <w:rsid w:val="00A00DE3"/>
    <w:rsid w:val="00A039B6"/>
    <w:rsid w:val="00A046FA"/>
    <w:rsid w:val="00A10154"/>
    <w:rsid w:val="00A1308F"/>
    <w:rsid w:val="00A21F82"/>
    <w:rsid w:val="00A236F7"/>
    <w:rsid w:val="00A26C58"/>
    <w:rsid w:val="00A30AD8"/>
    <w:rsid w:val="00A3326B"/>
    <w:rsid w:val="00A339D0"/>
    <w:rsid w:val="00A35440"/>
    <w:rsid w:val="00A3762B"/>
    <w:rsid w:val="00A42F88"/>
    <w:rsid w:val="00A43A11"/>
    <w:rsid w:val="00A51296"/>
    <w:rsid w:val="00A53AA4"/>
    <w:rsid w:val="00A65A35"/>
    <w:rsid w:val="00A67D5A"/>
    <w:rsid w:val="00A77228"/>
    <w:rsid w:val="00A80E1F"/>
    <w:rsid w:val="00A861BC"/>
    <w:rsid w:val="00A92A68"/>
    <w:rsid w:val="00A94611"/>
    <w:rsid w:val="00A96BA2"/>
    <w:rsid w:val="00AA2603"/>
    <w:rsid w:val="00AA3815"/>
    <w:rsid w:val="00AA5804"/>
    <w:rsid w:val="00AA5AC7"/>
    <w:rsid w:val="00AB4285"/>
    <w:rsid w:val="00AC023B"/>
    <w:rsid w:val="00AC4E7C"/>
    <w:rsid w:val="00AC66A3"/>
    <w:rsid w:val="00AE1475"/>
    <w:rsid w:val="00AE6867"/>
    <w:rsid w:val="00AF1D7F"/>
    <w:rsid w:val="00AF21DC"/>
    <w:rsid w:val="00AF5F3F"/>
    <w:rsid w:val="00B00892"/>
    <w:rsid w:val="00B13474"/>
    <w:rsid w:val="00B279D9"/>
    <w:rsid w:val="00B27A92"/>
    <w:rsid w:val="00B30096"/>
    <w:rsid w:val="00B305DC"/>
    <w:rsid w:val="00B31FB0"/>
    <w:rsid w:val="00B333CD"/>
    <w:rsid w:val="00B34CFB"/>
    <w:rsid w:val="00B46161"/>
    <w:rsid w:val="00B47034"/>
    <w:rsid w:val="00B472E1"/>
    <w:rsid w:val="00B47C7F"/>
    <w:rsid w:val="00B5438A"/>
    <w:rsid w:val="00B57A5B"/>
    <w:rsid w:val="00B67D23"/>
    <w:rsid w:val="00B7489D"/>
    <w:rsid w:val="00B7503D"/>
    <w:rsid w:val="00BA2569"/>
    <w:rsid w:val="00BA4B55"/>
    <w:rsid w:val="00BB6422"/>
    <w:rsid w:val="00BB6B85"/>
    <w:rsid w:val="00BC7A12"/>
    <w:rsid w:val="00BD01E5"/>
    <w:rsid w:val="00BD4482"/>
    <w:rsid w:val="00BE6A22"/>
    <w:rsid w:val="00BE778B"/>
    <w:rsid w:val="00BF12F1"/>
    <w:rsid w:val="00BF4F2D"/>
    <w:rsid w:val="00BF5DF8"/>
    <w:rsid w:val="00C175A3"/>
    <w:rsid w:val="00C2186A"/>
    <w:rsid w:val="00C253AB"/>
    <w:rsid w:val="00C258C4"/>
    <w:rsid w:val="00C27C9F"/>
    <w:rsid w:val="00C331BC"/>
    <w:rsid w:val="00C413C9"/>
    <w:rsid w:val="00C47839"/>
    <w:rsid w:val="00C50A0A"/>
    <w:rsid w:val="00C5162C"/>
    <w:rsid w:val="00C63A83"/>
    <w:rsid w:val="00C641F4"/>
    <w:rsid w:val="00C65293"/>
    <w:rsid w:val="00C7177B"/>
    <w:rsid w:val="00C74AF7"/>
    <w:rsid w:val="00C82626"/>
    <w:rsid w:val="00C85F5C"/>
    <w:rsid w:val="00C925C8"/>
    <w:rsid w:val="00C97DCA"/>
    <w:rsid w:val="00CA386A"/>
    <w:rsid w:val="00CA3990"/>
    <w:rsid w:val="00CA3A55"/>
    <w:rsid w:val="00CA4539"/>
    <w:rsid w:val="00CA640F"/>
    <w:rsid w:val="00CD0AA1"/>
    <w:rsid w:val="00CD2B0E"/>
    <w:rsid w:val="00CD7D34"/>
    <w:rsid w:val="00CE1ADF"/>
    <w:rsid w:val="00CE368B"/>
    <w:rsid w:val="00CF6D48"/>
    <w:rsid w:val="00CF7033"/>
    <w:rsid w:val="00D175D9"/>
    <w:rsid w:val="00D1791F"/>
    <w:rsid w:val="00D22C69"/>
    <w:rsid w:val="00D27884"/>
    <w:rsid w:val="00D32330"/>
    <w:rsid w:val="00D3257F"/>
    <w:rsid w:val="00D35528"/>
    <w:rsid w:val="00D35E66"/>
    <w:rsid w:val="00D453A2"/>
    <w:rsid w:val="00D51348"/>
    <w:rsid w:val="00D63A2E"/>
    <w:rsid w:val="00D74ABE"/>
    <w:rsid w:val="00D7624B"/>
    <w:rsid w:val="00D76D78"/>
    <w:rsid w:val="00D8305D"/>
    <w:rsid w:val="00D831D8"/>
    <w:rsid w:val="00DA0C2E"/>
    <w:rsid w:val="00DA0DC3"/>
    <w:rsid w:val="00DA492F"/>
    <w:rsid w:val="00DA55C9"/>
    <w:rsid w:val="00DA5721"/>
    <w:rsid w:val="00DA6EAA"/>
    <w:rsid w:val="00DA6F3E"/>
    <w:rsid w:val="00DA7BD4"/>
    <w:rsid w:val="00DB2331"/>
    <w:rsid w:val="00DB63BB"/>
    <w:rsid w:val="00DC468D"/>
    <w:rsid w:val="00DD0B2F"/>
    <w:rsid w:val="00DD6A52"/>
    <w:rsid w:val="00DE13DB"/>
    <w:rsid w:val="00DE44EC"/>
    <w:rsid w:val="00DE481A"/>
    <w:rsid w:val="00DE77FE"/>
    <w:rsid w:val="00DF2303"/>
    <w:rsid w:val="00DF39CA"/>
    <w:rsid w:val="00DF681D"/>
    <w:rsid w:val="00E0117F"/>
    <w:rsid w:val="00E02720"/>
    <w:rsid w:val="00E028B0"/>
    <w:rsid w:val="00E12A8F"/>
    <w:rsid w:val="00E25EB4"/>
    <w:rsid w:val="00E32B22"/>
    <w:rsid w:val="00E34892"/>
    <w:rsid w:val="00E350EA"/>
    <w:rsid w:val="00E378E0"/>
    <w:rsid w:val="00E577BA"/>
    <w:rsid w:val="00E604F1"/>
    <w:rsid w:val="00E614E3"/>
    <w:rsid w:val="00E616AB"/>
    <w:rsid w:val="00E61C5C"/>
    <w:rsid w:val="00E6265F"/>
    <w:rsid w:val="00E701B1"/>
    <w:rsid w:val="00E72999"/>
    <w:rsid w:val="00E8194A"/>
    <w:rsid w:val="00E81AC8"/>
    <w:rsid w:val="00E868CA"/>
    <w:rsid w:val="00E874BD"/>
    <w:rsid w:val="00E91F4B"/>
    <w:rsid w:val="00E95F0C"/>
    <w:rsid w:val="00E96460"/>
    <w:rsid w:val="00E97285"/>
    <w:rsid w:val="00EA2BFD"/>
    <w:rsid w:val="00EA359A"/>
    <w:rsid w:val="00EB2B63"/>
    <w:rsid w:val="00EB3A7B"/>
    <w:rsid w:val="00EB52E9"/>
    <w:rsid w:val="00ED2DD5"/>
    <w:rsid w:val="00ED3D93"/>
    <w:rsid w:val="00ED6E1A"/>
    <w:rsid w:val="00EE00D0"/>
    <w:rsid w:val="00EE12D1"/>
    <w:rsid w:val="00EE1481"/>
    <w:rsid w:val="00EE422D"/>
    <w:rsid w:val="00EE50C9"/>
    <w:rsid w:val="00EE59E3"/>
    <w:rsid w:val="00EE6467"/>
    <w:rsid w:val="00EF00E9"/>
    <w:rsid w:val="00F029FE"/>
    <w:rsid w:val="00F10D87"/>
    <w:rsid w:val="00F1587F"/>
    <w:rsid w:val="00F15F22"/>
    <w:rsid w:val="00F20564"/>
    <w:rsid w:val="00F34848"/>
    <w:rsid w:val="00F349F2"/>
    <w:rsid w:val="00F36E54"/>
    <w:rsid w:val="00F43D09"/>
    <w:rsid w:val="00F4507C"/>
    <w:rsid w:val="00F56746"/>
    <w:rsid w:val="00F62AA2"/>
    <w:rsid w:val="00F635F7"/>
    <w:rsid w:val="00F637ED"/>
    <w:rsid w:val="00F63AB9"/>
    <w:rsid w:val="00F6581A"/>
    <w:rsid w:val="00F7689F"/>
    <w:rsid w:val="00F849D5"/>
    <w:rsid w:val="00F94488"/>
    <w:rsid w:val="00FA4AEB"/>
    <w:rsid w:val="00FB1CA2"/>
    <w:rsid w:val="00FB4C96"/>
    <w:rsid w:val="00FC012F"/>
    <w:rsid w:val="00FC2463"/>
    <w:rsid w:val="00FD007D"/>
    <w:rsid w:val="00FD1771"/>
    <w:rsid w:val="00FD3FC0"/>
    <w:rsid w:val="00FD44D0"/>
    <w:rsid w:val="00FD548B"/>
    <w:rsid w:val="00FD6929"/>
    <w:rsid w:val="00FE04B8"/>
    <w:rsid w:val="00FE0B39"/>
    <w:rsid w:val="00FF2501"/>
    <w:rsid w:val="00FF6881"/>
    <w:rsid w:val="00FF782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34BAD"/>
  <w15:docId w15:val="{7093C605-25F8-474C-B3B9-6686C8513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C90D8C"/>
    <w:pPr>
      <w:jc w:val="both"/>
    </w:pPr>
    <w:rPr>
      <w:rFonts w:ascii="Lato" w:hAnsi="Lato"/>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qFormat/>
    <w:rsid w:val="000F390E"/>
    <w:pPr>
      <w:tabs>
        <w:tab w:val="center" w:pos="4536"/>
        <w:tab w:val="right" w:pos="9072"/>
      </w:tabs>
      <w:spacing w:after="0" w:line="240" w:lineRule="auto"/>
      <w:jc w:val="left"/>
    </w:pPr>
    <w:rPr>
      <w:sz w:val="16"/>
    </w:rPr>
  </w:style>
  <w:style w:type="character" w:customStyle="1" w:styleId="StopkaZnak">
    <w:name w:val="Stopka Znak"/>
    <w:basedOn w:val="Domylnaczcionkaakapitu"/>
    <w:link w:val="Stopka"/>
    <w:uiPriority w:val="99"/>
    <w:rsid w:val="000F390E"/>
    <w:rPr>
      <w:rFonts w:ascii="Lato" w:hAnsi="Lato"/>
      <w:sz w:val="16"/>
    </w:rPr>
  </w:style>
  <w:style w:type="paragraph" w:styleId="Akapitzlist">
    <w:name w:val="List Paragraph"/>
    <w:aliases w:val="Dot pt,F5 List Paragraph,Indicator Text,L1,LISTA,List Paragraph Char Char Char,List Paragraph à moi,List Paragraph1,List Paragraph11,Listaszerű bekezdés1,Listaszerű bekezdés2,Listaszerű bekezdés3,No Spacing1,Numbered Para 1,Recommendation"/>
    <w:basedOn w:val="Normalny"/>
    <w:link w:val="AkapitzlistZnak"/>
    <w:uiPriority w:val="34"/>
    <w:qFormat/>
    <w:rsid w:val="008638F1"/>
    <w:pPr>
      <w:ind w:left="720"/>
      <w:contextualSpacing/>
    </w:pPr>
  </w:style>
  <w:style w:type="paragraph" w:styleId="Tekstprzypisudolnego">
    <w:name w:val="footnote text"/>
    <w:aliases w:val="Footnote,Podrozdzia3,Podrozdział,Tekst przypisu,Tekst przypisu Znak Znak Znak Znak,Tekst przypisu Znak Znak Znak Znak Znak,Tekst przypisu Znak Znak Znak Znak Znak Znak Znak,Tekst przypisu Znak Znak Znak Znak Znak Znak Znak Znak Zn"/>
    <w:basedOn w:val="Normalny"/>
    <w:link w:val="TekstprzypisudolnegoZnak"/>
    <w:uiPriority w:val="99"/>
    <w:unhideWhenUsed/>
    <w:qFormat/>
    <w:rsid w:val="008638F1"/>
    <w:pPr>
      <w:spacing w:after="0" w:line="240" w:lineRule="auto"/>
    </w:pPr>
    <w:rPr>
      <w:szCs w:val="20"/>
    </w:rPr>
  </w:style>
  <w:style w:type="character" w:customStyle="1" w:styleId="TekstprzypisudolnegoZnak">
    <w:name w:val="Tekst przypisu dolnego Znak"/>
    <w:aliases w:val="Footnote Znak,Podrozdzia3 Znak,Podrozdział Znak,Tekst przypisu Znak,Tekst przypisu Znak Znak Znak Znak Znak1,Tekst przypisu Znak Znak Znak Znak Znak Znak,Tekst przypisu Znak Znak Znak Znak Znak Znak Znak Znak"/>
    <w:basedOn w:val="Domylnaczcionkaakapitu"/>
    <w:link w:val="Tekstprzypisudolnego"/>
    <w:uiPriority w:val="99"/>
    <w:qFormat/>
    <w:rsid w:val="008638F1"/>
    <w:rPr>
      <w:rFonts w:ascii="Lato" w:hAnsi="Lato"/>
      <w:sz w:val="20"/>
      <w:szCs w:val="20"/>
    </w:rPr>
  </w:style>
  <w:style w:type="character" w:styleId="Odwoanieprzypisudolnego">
    <w:name w:val="footnote reference"/>
    <w:aliases w:val="1_przypis,EN Footnote Reference,Footnote Reference Number,Footnote Reference Superscript,Footnote number,Footnote reference number,Footnote symbol,Odwołanie przypisu,SUPERS,note TESI"/>
    <w:basedOn w:val="Domylnaczcionkaakapitu"/>
    <w:uiPriority w:val="99"/>
    <w:unhideWhenUsed/>
    <w:qFormat/>
    <w:rsid w:val="008638F1"/>
    <w:rPr>
      <w:vertAlign w:val="superscript"/>
    </w:rPr>
  </w:style>
  <w:style w:type="character" w:customStyle="1" w:styleId="AkapitzlistZnak">
    <w:name w:val="Akapit z listą Znak"/>
    <w:aliases w:val="Dot pt Znak,F5 List Paragraph Znak,Indicator Text Znak,L1 Znak,LISTA Znak,List Paragraph Char Char Char Znak,List Paragraph à moi Znak,List Paragraph1 Znak,List Paragraph11 Znak,Listaszerű bekezdés1 Znak,Listaszerű bekezdés2 Znak"/>
    <w:link w:val="Akapitzlist"/>
    <w:uiPriority w:val="34"/>
    <w:qFormat/>
    <w:locked/>
    <w:rsid w:val="008638F1"/>
    <w:rPr>
      <w:rFonts w:ascii="Lato" w:hAnsi="Lato"/>
      <w:sz w:val="20"/>
    </w:rPr>
  </w:style>
  <w:style w:type="character" w:styleId="Hipercze">
    <w:name w:val="Hyperlink"/>
    <w:uiPriority w:val="99"/>
    <w:rsid w:val="008638F1"/>
    <w:rPr>
      <w:color w:val="0000FF"/>
      <w:u w:val="single"/>
    </w:rPr>
  </w:style>
  <w:style w:type="paragraph" w:styleId="Poprawka">
    <w:name w:val="Revision"/>
    <w:hidden/>
    <w:uiPriority w:val="99"/>
    <w:semiHidden/>
    <w:rsid w:val="008638F1"/>
    <w:pPr>
      <w:spacing w:after="0" w:line="240" w:lineRule="auto"/>
    </w:pPr>
    <w:rPr>
      <w:rFonts w:ascii="Lato" w:hAnsi="Lato"/>
      <w:sz w:val="20"/>
    </w:rPr>
  </w:style>
  <w:style w:type="character" w:customStyle="1" w:styleId="akapitwgrupieZnak">
    <w:name w:val="akapit w grupie Znak"/>
    <w:link w:val="akapitwgrupie"/>
    <w:locked/>
    <w:rsid w:val="00A1308F"/>
    <w:rPr>
      <w:rFonts w:ascii="Times New Roman" w:eastAsia="Times New Roman" w:hAnsi="Times New Roman" w:cs="Times New Roman"/>
      <w:sz w:val="24"/>
      <w:lang w:eastAsia="pl-PL"/>
    </w:rPr>
  </w:style>
  <w:style w:type="paragraph" w:customStyle="1" w:styleId="akapitwgrupie">
    <w:name w:val="akapit w grupie"/>
    <w:basedOn w:val="Normalny"/>
    <w:link w:val="akapitwgrupieZnak"/>
    <w:qFormat/>
    <w:rsid w:val="00A1308F"/>
    <w:pPr>
      <w:spacing w:after="0" w:line="300" w:lineRule="atLeast"/>
      <w:ind w:firstLine="567"/>
    </w:pPr>
    <w:rPr>
      <w:rFonts w:ascii="Times New Roman" w:eastAsia="Times New Roman" w:hAnsi="Times New Roman" w:cs="Times New Roman"/>
      <w:sz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sip.legalis.pl/document-view.seam?documentId=mfrxilrrheydinzqgy3tsltcmfzwsyy" TargetMode="External"/><Relationship Id="rId2" Type="http://schemas.openxmlformats.org/officeDocument/2006/relationships/hyperlink" Target="https://sip.legalis.pl/document-view.seam?documentId=mfrxilrtg4zdamzqgayds" TargetMode="External"/><Relationship Id="rId1" Type="http://schemas.openxmlformats.org/officeDocument/2006/relationships/hyperlink" Target="https://sip.legalis.pl/document-view.seam?documentId=mfrxilrtg4ytqobwgy2tcltcmfzwsyy" TargetMode="External"/><Relationship Id="rId4" Type="http://schemas.openxmlformats.org/officeDocument/2006/relationships/hyperlink" Target="https://sip.legalis.pl/document-view.seam?documentId=mfrxilrtg4ytoojugy4t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F819E-6B7E-402B-A1BA-AF484019C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8706</Words>
  <Characters>52241</Characters>
  <Application>Microsoft Office Word</Application>
  <DocSecurity>0</DocSecurity>
  <Lines>435</Lines>
  <Paragraphs>121</Paragraphs>
  <ScaleCrop>false</ScaleCrop>
  <HeadingPairs>
    <vt:vector size="2" baseType="variant">
      <vt:variant>
        <vt:lpstr>Tytuł</vt:lpstr>
      </vt:variant>
      <vt:variant>
        <vt:i4>1</vt:i4>
      </vt:variant>
    </vt:vector>
  </HeadingPairs>
  <TitlesOfParts>
    <vt:vector size="1" baseType="lpstr">
      <vt:lpstr>Minister Klimatu i Środowiska Paulina Hennig-Kloska kolor</vt:lpstr>
    </vt:vector>
  </TitlesOfParts>
  <Company>Ministerstwo Klimatu i Środowiska</Company>
  <LinksUpToDate>false</LinksUpToDate>
  <CharactersWithSpaces>60826</CharactersWithSpaces>
  <SharedDoc>false</SharedDoc>
  <HLinks>
    <vt:vector size="24" baseType="variant">
      <vt:variant>
        <vt:i4>2293815</vt:i4>
      </vt:variant>
      <vt:variant>
        <vt:i4>9</vt:i4>
      </vt:variant>
      <vt:variant>
        <vt:i4>0</vt:i4>
      </vt:variant>
      <vt:variant>
        <vt:i4>5</vt:i4>
      </vt:variant>
      <vt:variant>
        <vt:lpwstr>https://sip.legalis.pl/document-view.seam?documentId=mfrxilrtg4ytoojugy4tc</vt:lpwstr>
      </vt:variant>
      <vt:variant>
        <vt:lpwstr/>
      </vt:variant>
      <vt:variant>
        <vt:i4>4456466</vt:i4>
      </vt:variant>
      <vt:variant>
        <vt:i4>6</vt:i4>
      </vt:variant>
      <vt:variant>
        <vt:i4>0</vt:i4>
      </vt:variant>
      <vt:variant>
        <vt:i4>5</vt:i4>
      </vt:variant>
      <vt:variant>
        <vt:lpwstr>https://sip.legalis.pl/document-view.seam?documentId=mfrxilrrheydinzqgy3tsltcmfzwsyy</vt:lpwstr>
      </vt:variant>
      <vt:variant>
        <vt:lpwstr/>
      </vt:variant>
      <vt:variant>
        <vt:i4>6488105</vt:i4>
      </vt:variant>
      <vt:variant>
        <vt:i4>3</vt:i4>
      </vt:variant>
      <vt:variant>
        <vt:i4>0</vt:i4>
      </vt:variant>
      <vt:variant>
        <vt:i4>5</vt:i4>
      </vt:variant>
      <vt:variant>
        <vt:lpwstr>https://sip.legalis.pl/document-view.seam?documentId=mfrxilrtg4zdamzqgayds</vt:lpwstr>
      </vt:variant>
      <vt:variant>
        <vt:lpwstr/>
      </vt:variant>
      <vt:variant>
        <vt:i4>5898322</vt:i4>
      </vt:variant>
      <vt:variant>
        <vt:i4>0</vt:i4>
      </vt:variant>
      <vt:variant>
        <vt:i4>0</vt:i4>
      </vt:variant>
      <vt:variant>
        <vt:i4>5</vt:i4>
      </vt:variant>
      <vt:variant>
        <vt:lpwstr>https://sip.legalis.pl/document-view.seam?documentId=mfrxilrtg4ytqobwgy2tcltcmfzwsyy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Klimatu i Środowiska Paulina Hennig-Kloska kolor</dc:title>
  <dc:subject/>
  <dc:creator>Nowakowski Adam</dc:creator>
  <cp:keywords>PL, kolor</cp:keywords>
  <dc:description/>
  <cp:lastModifiedBy>Żebrowska Katarzyna</cp:lastModifiedBy>
  <cp:revision>2</cp:revision>
  <cp:lastPrinted>2022-09-08T13:34:00Z</cp:lastPrinted>
  <dcterms:created xsi:type="dcterms:W3CDTF">2025-09-30T18:12:00Z</dcterms:created>
  <dcterms:modified xsi:type="dcterms:W3CDTF">2025-09-30T18:12:00Z</dcterms:modified>
  <cp:category>KIEROWNICTWO</cp:category>
</cp:coreProperties>
</file>