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58ED0E28" w14:textId="5AD70C75" w:rsidR="00052C63" w:rsidRDefault="002C20D2" w:rsidP="00052C6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052C63">
        <w:rPr>
          <w:rFonts w:cstheme="minorHAnsi"/>
          <w:sz w:val="24"/>
          <w:szCs w:val="24"/>
        </w:rPr>
        <w:t>Centralne Laboratorium Badawcze Oddział w Zielonej Górze Pracownia w Gorzowie Wlkp., ul. Kostrzyńska 48,  66-400 Gorzów Wlkp.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0EA352D6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3D77EB">
      <w:rPr>
        <w:rFonts w:ascii="Arial" w:eastAsia="Calibri" w:hAnsi="Arial" w:cs="Arial"/>
        <w:b/>
        <w:sz w:val="20"/>
      </w:rPr>
      <w:t>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5865AA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006B8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585FE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607C4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5055B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66414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60432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14B57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4E993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2C63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D77EB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0BE8-3B52-48CB-AE3C-37957F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2025-03-06T12:57:00Z</cp:lastPrinted>
  <dcterms:created xsi:type="dcterms:W3CDTF">2025-05-05T06:08:00Z</dcterms:created>
  <dcterms:modified xsi:type="dcterms:W3CDTF">2025-05-05T14:08:00Z</dcterms:modified>
</cp:coreProperties>
</file>