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0B46B34F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0951CE">
        <w:rPr>
          <w:rFonts w:asciiTheme="minorHAnsi" w:hAnsiTheme="minorHAnsi" w:cstheme="minorHAnsi"/>
        </w:rPr>
        <w:t>14 lutego</w:t>
      </w:r>
      <w:r w:rsidRPr="00993348">
        <w:rPr>
          <w:rFonts w:asciiTheme="minorHAnsi" w:hAnsiTheme="minorHAnsi" w:cstheme="minorHAnsi"/>
        </w:rPr>
        <w:t xml:space="preserve"> 202</w:t>
      </w:r>
      <w:r w:rsidR="002B30B5">
        <w:rPr>
          <w:rFonts w:asciiTheme="minorHAnsi" w:hAnsiTheme="minorHAnsi" w:cstheme="minorHAnsi"/>
        </w:rPr>
        <w:t>5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4F1DFF07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2B30B5">
        <w:t>2</w:t>
      </w:r>
      <w:r w:rsidR="005E4E67">
        <w:t>2</w:t>
      </w:r>
      <w:r w:rsidR="0089603B">
        <w:t>.</w:t>
      </w:r>
      <w:r w:rsidR="002B30B5">
        <w:t>1</w:t>
      </w:r>
      <w:r w:rsidR="000951CE">
        <w:t>1</w:t>
      </w:r>
      <w:r>
        <w:t>.202</w:t>
      </w:r>
      <w:r w:rsidR="002B30B5">
        <w:t>4</w:t>
      </w:r>
      <w:r>
        <w:t>.</w:t>
      </w:r>
      <w:r w:rsidR="005E5F3C">
        <w:t>KH.</w:t>
      </w:r>
      <w:r w:rsidR="000951CE">
        <w:t>6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6E5C2C8E" w14:textId="77777777" w:rsidR="000951CE" w:rsidRPr="000951CE" w:rsidRDefault="000951CE" w:rsidP="002B30B5">
      <w:pPr>
        <w:ind w:firstLine="708"/>
        <w:rPr>
          <w:rFonts w:asciiTheme="minorHAnsi" w:hAnsiTheme="minorHAnsi" w:cstheme="minorHAnsi"/>
        </w:rPr>
      </w:pPr>
      <w:r w:rsidRPr="000951CE">
        <w:rPr>
          <w:rFonts w:asciiTheme="minorHAnsi" w:hAnsiTheme="minorHAnsi" w:cstheme="minorHAnsi"/>
        </w:rPr>
        <w:t>Generalny Dyrektor Ochrony Środowiska, na podstawie art. 54 § 4 ustawy z dnia 30 sierpnia 2002 r. – Prawo o postępowaniu przed sądami administracyjnymi (Dz. U. z 2024 r. poz. 935, ze zm.), dalej p.p.s.a., w związku z art. 74 ust. 3 ustawy z dnia 3 października 2008 r. o udostępnianiu informacji o środowisku i jego ochronie, udziale społeczeństwa w ochronie środowiska oraz o ocenach oddziaływania na środowisko (Dz. U. z 2024 r. poz. 1112, ze zm.), dalej u.o.o.ś., zawiadamia o przekazaniu do Wojewódzkiego Sądu Administracyjnego w Warszawie skargi na postanowienie Generalnego Dyrektora Ochrony Środowiska z 17 października 2024 r., znak: DOOŚ-WDŚI.4222.1.2024.KH., odmawiające wszczęcia postępowania w sprawie stwierdzenia nieważności postanowienia Regionalnego Dyrektora Ochrony Środowiska w Warszawie z 13 stycznia 2023 r., znak: WOOŚII.4222.5.2022.MC.58, uzgadniającego warunki realizacji dla przedsięwzięcia pn.: „Budowa autostrady A2 Warszawa - Kukuryki na odcinku obw. Siedlce - węzeł Cicibór (z węzłem). Odcinek VI od km 561+440 do km ok. 580+190 z węzłem Borki o długości ok. 18,750 km”. Równocześnie Generalny Dyrektor Ochrony Środowiska 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D945DFD" w14:textId="600D03EB" w:rsidR="00993348" w:rsidRPr="0089603B" w:rsidRDefault="002B30B5" w:rsidP="002B30B5">
      <w:pPr>
        <w:ind w:firstLine="708"/>
        <w:rPr>
          <w:rFonts w:asciiTheme="minorHAnsi" w:hAnsiTheme="minorHAnsi" w:cstheme="minorHAnsi"/>
          <w:color w:val="000000"/>
        </w:rPr>
      </w:pPr>
      <w:r w:rsidRPr="002B30B5">
        <w:rPr>
          <w:rFonts w:asciiTheme="minorHAnsi" w:hAnsiTheme="minorHAnsi" w:cstheme="minorHAnsi"/>
          <w:color w:val="000000"/>
        </w:rPr>
        <w:t xml:space="preserve">Doręczenie postanowienia stronom </w:t>
      </w:r>
      <w:r w:rsidR="005E5F3C" w:rsidRPr="005E5F3C">
        <w:rPr>
          <w:rFonts w:asciiTheme="minorHAnsi" w:hAnsiTheme="minorHAnsi" w:cstheme="minorHAnsi"/>
        </w:rPr>
        <w:t xml:space="preserve">postępowania uważa się za dokonane po upływie czternastu dni liczonych od następnego dnia po dniu, w którym upubliczniono zawiadomienie. Z treścią postanowienia strony postępowania mogą zapoznać się w: Generalnej Dyrekcji Ochrony Środowiska, Regionalnej Dyrekcji Ochrony Środowiska w </w:t>
      </w:r>
      <w:r>
        <w:rPr>
          <w:rFonts w:asciiTheme="minorHAnsi" w:hAnsiTheme="minorHAnsi" w:cstheme="minorHAnsi"/>
        </w:rPr>
        <w:t>Poznaniu</w:t>
      </w:r>
      <w:r w:rsidR="005E5F3C" w:rsidRPr="005E5F3C">
        <w:rPr>
          <w:rFonts w:asciiTheme="minorHAnsi" w:hAnsiTheme="minorHAnsi" w:cstheme="minorHAnsi"/>
        </w:rPr>
        <w:t xml:space="preserve"> oraz w sposób wskazany w art. 49b § 1 k.p.a. 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47793C0" w14:textId="77777777" w:rsidR="000951CE" w:rsidRPr="000951CE" w:rsidRDefault="000951CE" w:rsidP="000951CE">
      <w:pPr>
        <w:pStyle w:val="Bezodstpw1"/>
        <w:spacing w:after="60"/>
        <w:jc w:val="both"/>
        <w:rPr>
          <w:sz w:val="20"/>
          <w:szCs w:val="20"/>
        </w:rPr>
      </w:pPr>
      <w:r w:rsidRPr="000951CE">
        <w:rPr>
          <w:sz w:val="20"/>
          <w:szCs w:val="20"/>
        </w:rPr>
        <w:t xml:space="preserve"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 </w:t>
      </w:r>
    </w:p>
    <w:p w14:paraId="29C7A8C0" w14:textId="77777777" w:rsidR="000951CE" w:rsidRPr="000951CE" w:rsidRDefault="000951CE" w:rsidP="000951CE">
      <w:pPr>
        <w:pStyle w:val="Bezodstpw1"/>
        <w:spacing w:after="60"/>
        <w:jc w:val="both"/>
        <w:rPr>
          <w:sz w:val="20"/>
          <w:szCs w:val="20"/>
        </w:rPr>
      </w:pPr>
      <w:r w:rsidRPr="000951CE">
        <w:rPr>
          <w:sz w:val="20"/>
          <w:szCs w:val="20"/>
        </w:rPr>
        <w:t xml:space="preserve">Art. 54 § 4 p.p.s.a.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 </w:t>
      </w:r>
    </w:p>
    <w:p w14:paraId="302EE57E" w14:textId="77777777" w:rsidR="000951CE" w:rsidRPr="000951CE" w:rsidRDefault="000951CE" w:rsidP="000951CE">
      <w:pPr>
        <w:pStyle w:val="Bezodstpw1"/>
        <w:spacing w:after="60"/>
        <w:jc w:val="both"/>
        <w:rPr>
          <w:sz w:val="20"/>
          <w:szCs w:val="20"/>
        </w:rPr>
      </w:pPr>
      <w:r w:rsidRPr="000951CE">
        <w:rPr>
          <w:sz w:val="20"/>
          <w:szCs w:val="20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</w:t>
      </w:r>
    </w:p>
    <w:p w14:paraId="68013A49" w14:textId="6BA1906F" w:rsidR="00325164" w:rsidRPr="000951CE" w:rsidRDefault="000951CE" w:rsidP="000951CE">
      <w:pPr>
        <w:pStyle w:val="Bezodstpw1"/>
        <w:spacing w:after="60"/>
        <w:jc w:val="both"/>
        <w:rPr>
          <w:sz w:val="20"/>
          <w:szCs w:val="20"/>
        </w:rPr>
      </w:pPr>
      <w:r w:rsidRPr="000951CE">
        <w:rPr>
          <w:sz w:val="20"/>
          <w:szCs w:val="20"/>
        </w:rPr>
        <w:t xml:space="preserve">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0549" w14:textId="77777777" w:rsidR="000411F0" w:rsidRDefault="000411F0">
      <w:r>
        <w:separator/>
      </w:r>
    </w:p>
  </w:endnote>
  <w:endnote w:type="continuationSeparator" w:id="0">
    <w:p w14:paraId="40EBEA18" w14:textId="77777777" w:rsidR="000411F0" w:rsidRDefault="0004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99E3" w14:textId="77777777" w:rsidR="000411F0" w:rsidRDefault="000411F0">
      <w:r>
        <w:separator/>
      </w:r>
    </w:p>
  </w:footnote>
  <w:footnote w:type="continuationSeparator" w:id="0">
    <w:p w14:paraId="31D5CEC1" w14:textId="77777777" w:rsidR="000411F0" w:rsidRDefault="0004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11</cp:revision>
  <cp:lastPrinted>2023-07-03T10:50:00Z</cp:lastPrinted>
  <dcterms:created xsi:type="dcterms:W3CDTF">2024-12-31T07:47:00Z</dcterms:created>
  <dcterms:modified xsi:type="dcterms:W3CDTF">2025-02-14T11:44:00Z</dcterms:modified>
</cp:coreProperties>
</file>