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EE" w:rsidRDefault="002608EE" w:rsidP="002608EE">
      <w:pPr>
        <w:spacing w:line="240" w:lineRule="auto"/>
        <w:jc w:val="both"/>
      </w:pPr>
      <w:r>
        <w:rPr>
          <w:rFonts w:ascii="Verdana" w:hAnsi="Verdana"/>
          <w:b/>
          <w:bCs/>
          <w:sz w:val="35"/>
          <w:szCs w:val="35"/>
        </w:rPr>
        <w:t>Uzgadnianie projektów budowlanych</w:t>
      </w:r>
    </w:p>
    <w:p w:rsidR="002608EE" w:rsidRDefault="002608EE" w:rsidP="002608EE">
      <w:pPr>
        <w:spacing w:line="240" w:lineRule="auto"/>
        <w:jc w:val="both"/>
      </w:pPr>
      <w:r>
        <w:rPr>
          <w:rFonts w:ascii="Calibri" w:hAnsi="Calibri"/>
        </w:rPr>
        <w:t>Rozporządzenie Ministra Spraw Wewnętrznych i Administracji w sprawie uzgadniania projektu budowlanego pod względem ochrony przeciwpożarowej z dnia 2 grudnia 2015 r. (Dz.U. z 2015 r. poz. 2117)</w:t>
      </w:r>
    </w:p>
    <w:p w:rsidR="002608EE" w:rsidRDefault="002608EE" w:rsidP="002608EE">
      <w:pPr>
        <w:spacing w:after="75" w:line="288" w:lineRule="atLeast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§ 3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Obiektami budowlanymi istotnymi ze względu na konieczność zapewnienia ochrony życia, zdrowia, mienia lub środowiska przed pożarem, klęską żywiołową lub innym miejscowym zagrożeniem, których projekty budowlane wymagają uzgodnienia, są: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budynek zawierający strefę pożarową zakwalifikowaną do kategorii zagrożenia ludzi ZL I, ZL II lub ZL V;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budynek należący do grupy wysokości średniowysokie, wysokie lub wysokościowe, zawierający strefę pożarową zakwalifikowaną do kategorii zagrożenia ludzi ZL III lub ZL IV;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3)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budynek niski zawierający strefę pożarową o powierzchni przekraczającej 1000 m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 zakwalifikowaną do kategorii zagrożenia ludzi ZL III, obejmującą kondygnację nadziemną inną niż pierwsza;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4)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obiekt budowlany inny niż budynek, przeznaczony do użyteczności publicznej lub zamieszkania zbiorowego, w którym przewiduje się możliwość jednoczesnego przebywania w strefie pożarowej ponad 50 osób na powierzchni do 2000 m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5)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obiekt budowlany zawierający strefę pożarową PM, wolno stojące urządzenie technologiczne lub zbiornik poza budynkami, silos, oraz plac składowy albo wiata, jeżeli zachodzi co najmniej jeden z następujących warunków: 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a)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strefa pożarowa PM ma powierzchnię przekraczającą 5000 m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b)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strefa pożarowa PM ma powierzchnię przekraczającą 1000 m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 gęstość obciążenia ogniowego przekraczającą 500 MJ/m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c)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powierzchnia wewnętrzna obiektu budowlanego przekracza 2000 m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 i gęstość obciążenia ogniowego przekracza 500 MJ/m</w:t>
      </w:r>
      <w:r>
        <w:rPr>
          <w:rFonts w:ascii="Calibri" w:eastAsia="Times New Roman" w:hAnsi="Calibri" w:cs="Times New Roman"/>
          <w:sz w:val="24"/>
          <w:szCs w:val="24"/>
          <w:vertAlign w:val="superscript"/>
          <w:lang w:eastAsia="pl-PL"/>
        </w:rPr>
        <w:t>2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d)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występuje zagrożenie wybuchem;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6)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garaż wielokondygnacyjny, garaż zamknięty jednokondygnacyjny wymagający zastosowania samoczynnego urządzenia oddymiającego lub stałego samoczynnego urządzenia gaśniczego wodnego oraz garaż ze stanowiskami postojowymi wielopoziomowymi o więcej niż 10 stanowiskach postojowych;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7)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obiekt budowlany objęty obowiązkiem stosowania systemu sygnalizacji pożarowej, stałych urządzeń gaśniczych lub dźwiękowego systemu ostrzegawczego, na podstawie przepisów w sprawie ochrony przeciwpożarowej budynków, innych obiektów budowlanych i terenów;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8)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stanowisko postojowe dla pojazdu przewożącego towary niebezpieczne oraz parking, na który jest usuwany pojazd przewożący towary niebezpieczne;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9)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sieć wodociągowa przeciwpożarowa z hydrantami zewnętrznymi przeciwpożarowymi, przeciwpożarowy zbiornik wodny oraz stanowisko czerpania wody do celów przeciwpożarowych;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10)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tunel o długości ponad 100 m;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11)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obiekt jądrowy, o którym mowa w art. 3 pkt 17 ustawy z dnia 29 listopada 2000 r. - Prawo atomowe (Dz.U. z 2014 r. poz. 1512 oraz z 2015 r. poz. 1505 i 1893).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2608EE" w:rsidRDefault="002608EE" w:rsidP="002608EE">
      <w:pPr>
        <w:spacing w:after="10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W przypadku odbudowy, rozbudowy, nadbudowy, przebudowy oraz zmiany sposobu użytkowania obiektu budowlanego, a także zapewnienia drogi pożarowej do obiektu budowlanego, gdy ze względu na charakter lub rozmiar robót niezbędne jest sporządzenie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projektu budowlanego, którego rozwiązania projektowe dotyczą warunków ochrony przeciwpożarowej obiektu budowlanego, o którym mowa w ust. 1, uzgodnienie jest wymagane.</w:t>
      </w:r>
    </w:p>
    <w:p w:rsidR="002608EE" w:rsidRDefault="002608EE" w:rsidP="002608EE">
      <w:pPr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2608EE" w:rsidRDefault="002608EE" w:rsidP="002608EE">
      <w:pPr>
        <w:spacing w:after="75" w:line="288" w:lineRule="atLeast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§ 5</w:t>
      </w:r>
      <w:bookmarkStart w:id="0" w:name="_GoBack"/>
      <w:bookmarkEnd w:id="0"/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Uzgodnienia projektu budowlanego dokonuje się w toku wzajemnej współpracy projektanta z rzeczoznawcą do spraw zabezpieczeń przeciwpożarowych w trakcie sporządzania przez projektanta projektu budowlanego polegającej na: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konsultacji rozwiązań projektowych w zakresie oceny ich zgodności z wymaganiami ochrony przeciwpożarowej;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wymianie uwag i stanowisk w zakresie projektowanych technicznych środków zabezpieczenia przeciwpożarowego;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3)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opracowaniu scenariusza pożarowego dla obiektu budowlanego objętego obowiązkiem stosowania systemu sygnalizacji pożarowej.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Odcisk pieczęci i podpis rzeczoznawcy do spraw zabezpieczeń przeciwpożarowych, potwierdzające uzgodnienie projektu budowlanego, umieszcza się na częściach rysunkowych egzemplarzy projektu budowlanego przedstawiających: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1)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rzut kondygnacji podstawowej obiektu budowlanego;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2)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zagospodarowanie działki lub terenu, sporządzone na kopii mapy do celów projektowych.</w:t>
      </w:r>
    </w:p>
    <w:p w:rsidR="002608EE" w:rsidRDefault="002608EE" w:rsidP="002608EE">
      <w:pPr>
        <w:spacing w:after="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</w:p>
    <w:p w:rsidR="002608EE" w:rsidRDefault="002608EE" w:rsidP="002608EE">
      <w:pPr>
        <w:spacing w:after="100" w:line="288" w:lineRule="atLeast"/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pl-PL"/>
        </w:rPr>
        <w:t>3.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Uwagi do projektu budowlanego umieszcza się w sposób czytelny pod odciskiem pieczęci uzgadniającej projekt budowlany, a w przypadku braku miejsca - na odwrocie części rysunkowej, umieszczając pod odciskiem pieczęci uzgadniającej projekt budowlany adnotację „verte”. Pod uwagami na odwrocie części rysunkowej umieszcza się datę, podpis i pieczęć identyfikującą rzeczoznawcę do spraw zabezpieczeń przeciwpożarowych.</w:t>
      </w:r>
    </w:p>
    <w:p w:rsidR="00155A25" w:rsidRDefault="00155A25"/>
    <w:sectPr w:rsidR="00155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EE"/>
    <w:rsid w:val="00155A25"/>
    <w:rsid w:val="0026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8EE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08EE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2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3869</Characters>
  <Application>Microsoft Office Word</Application>
  <DocSecurity>0</DocSecurity>
  <Lines>32</Lines>
  <Paragraphs>9</Paragraphs>
  <ScaleCrop>false</ScaleCrop>
  <Company>HP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Kwatermistrzostwo</dc:creator>
  <cp:lastModifiedBy>Kwatermistrzostwo</cp:lastModifiedBy>
  <cp:revision>1</cp:revision>
  <dcterms:created xsi:type="dcterms:W3CDTF">2018-03-27T12:49:00Z</dcterms:created>
  <dcterms:modified xsi:type="dcterms:W3CDTF">2018-03-27T12:50:00Z</dcterms:modified>
</cp:coreProperties>
</file>