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359410</wp:posOffset>
            </wp:positionH>
            <wp:positionV relativeFrom="margin">
              <wp:posOffset>0</wp:posOffset>
            </wp:positionV>
            <wp:extent cx="3145790" cy="9937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45790" cy="9937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38" w:right="1989" w:bottom="483" w:left="566" w:header="10" w:footer="55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7"/>
        </w:rPr>
        <w:t>Departament Strategii i Odporności Klimatycznej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7"/>
          <w:sz w:val="18"/>
          <w:szCs w:val="18"/>
        </w:rPr>
        <w:t>Nasz znak: DSOK-WOE.053.1.2026.MH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  <w:rPr>
          <w:sz w:val="18"/>
          <w:szCs w:val="18"/>
        </w:rPr>
      </w:pPr>
      <w:r>
        <w:rPr>
          <w:rStyle w:val="CharStyle7"/>
          <w:sz w:val="18"/>
          <w:szCs w:val="18"/>
        </w:rPr>
        <w:t>4295219.17623236.14301602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920"/>
        <w:jc w:val="left"/>
        <w:rPr>
          <w:sz w:val="18"/>
          <w:szCs w:val="18"/>
        </w:rPr>
      </w:pPr>
      <w:r>
        <w:rPr>
          <w:rStyle w:val="CharStyle7"/>
          <w:sz w:val="18"/>
          <w:szCs w:val="18"/>
        </w:rPr>
        <w:t>Warszawa, 25-04-2026 r.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0" w:name="bookmark0"/>
      <w:r>
        <w:rPr>
          <w:rStyle w:val="CharStyle10"/>
          <w:b/>
          <w:bCs/>
        </w:rPr>
        <w:t>Odpowiedź na pismo ws. inicjatywy legislacyjnej w zakresie „kształtowania krajobrazu” oraz aktualizacji przepisów dot. opracowań ekofizjograficznych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Szanowne Panie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przedstawiam odpowiedź zespołu Ministerstwa zgodnie z podziałem pisma na 3 części.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Ad 1) Zgadzamy się z konkluzją Ministerstwa Rozwoju i Technologii, że pojęcie krajobrazu funkcjonuje w wielu dziedzinach i jest różnie rozumiane. Wypracowanie definicji prawnej można uznać za sposób na ułatwienie gminom określania zasad kształtowania krajobrazu. Proces ten wiąże się jednak z istotnymi wyzwaniami, ponieważ ustandaryzowana definicja, odnosząca się do wszystkich kontekstów użycia: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0"/>
        <w:ind w:left="740" w:right="0" w:hanging="360"/>
        <w:jc w:val="left"/>
      </w:pPr>
      <w:r>
        <w:rPr>
          <w:rStyle w:val="CharStyle7"/>
        </w:rPr>
        <w:t>może okazać się zbyt ogólna albo nadmiernie szczegółowa, a przez to nie spełnić postulatu ułatwienia działań samorządom,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0"/>
        <w:ind w:left="740" w:right="0" w:hanging="360"/>
        <w:jc w:val="left"/>
      </w:pPr>
      <w:r>
        <w:rPr>
          <w:rStyle w:val="CharStyle7"/>
        </w:rPr>
        <w:t>może ograniczyć elastyczność w różnicowaniu poziomu ochrony oraz sposobów oddziaływania prawa na krajobraz – w zależności od celu regulacji,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/>
        <w:ind w:left="740" w:right="0" w:hanging="360"/>
        <w:jc w:val="left"/>
      </w:pPr>
      <w:r>
        <w:rPr>
          <w:rStyle w:val="CharStyle7"/>
        </w:rPr>
        <w:t>może prowadzić do nadmiernego rozszerzenia zakresu ingerencji w wykonywanie prawa własności, co znajduje odzwierciedlenie w orzecznictwie Trybunału Konstytucyjnego (w szczególności w wyroku w sprawie P 20/19).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W konsekwencji skutki wprowadzenia jednolitej definicji prawnej mogą okazać się odmienne od zamierzonych. Na obecnym etapie zasadne wydaje się przede wszystkim pogłębienie analiz, uwzględniających w szczególności potrzeby samorządów. Nie można bowiem wykluczyć, że bardziej efektywnym rozwiązaniem byłoby zapewnienie gminom odpowiednich zaleceń lub wytycznych, z których mogłyby korzystać w praktyce.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Ad 2) Potwierdzamy, że prowadzimy prace nad zmianą rozporządzenia Ministra Środowiska z dnia 9 września 2002 r. w sprawie opracowań ekofizjograficznych, uznając tę nowelizację za istotną. Celem jest dostosowanie aktu do współczesnych wymogów i standardów. Współdziałamy z Ministerstwem Rozwoju i Technologii oraz ekspertami.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Ad 3) Kształt Krajowego Planu Odbudowy Zasobów Przyrodniczych został ściśle określony w: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0"/>
        <w:ind w:left="740" w:right="0" w:hanging="360"/>
        <w:jc w:val="left"/>
      </w:pPr>
      <w:r>
        <w:rPr>
          <w:rStyle w:val="CharStyle7"/>
        </w:rPr>
        <w:t>rozporządzeniu Parlamentu Europejskiego i Rady (UE) 2024/1991 w sprawie odbudowy zasobów przyrodniczych,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480"/>
        <w:ind w:left="740" w:right="0" w:hanging="360"/>
        <w:jc w:val="left"/>
      </w:pPr>
      <w:r>
        <w:rPr>
          <w:rStyle w:val="CharStyle7"/>
        </w:rPr>
        <w:t>rozporządzeniu wykonawczym Komisji (UE) 2025/912 ustanawiającym zasady stosowania rozporządzenia Parlamentu Europejskiego i Rady (UE) 2024/1991 w odniesieniu do jednolitego formatu krajowego planu odbudowy zasobów przyrodniczych.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41.34999999999999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223-691-111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"mailto:dsok@klimat.gov.pl" </w:instrText>
      </w:r>
      <w:r>
        <w:fldChar w:fldCharType="separate"/>
      </w:r>
      <w:r>
        <w:rPr>
          <w:rStyle w:val="CharStyle3"/>
        </w:rPr>
        <w:t>dsok@klimat.gov.pl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38" w:right="1989" w:bottom="438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Przygotowaniem wkładów do dokumentu, zgodnych z wymogami jednolitego formatu, zajmują się grupy robocze, których liderami są: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0"/>
        <w:ind w:left="740" w:right="0" w:hanging="360"/>
        <w:jc w:val="left"/>
      </w:pPr>
      <w:r>
        <w:rPr>
          <w:rStyle w:val="CharStyle7"/>
        </w:rPr>
        <w:t>resorty – np. liderem prac nad wkładem dotyczącym art. 11 (ekosystemy rolnicze) jest Ministerstwo Rolnictwa i Rozwoju Wsi,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/>
        <w:ind w:left="740" w:right="0" w:hanging="360"/>
        <w:jc w:val="left"/>
      </w:pPr>
      <w:r>
        <w:rPr>
          <w:rStyle w:val="CharStyle7"/>
        </w:rPr>
        <w:t>instytucje – np. liderem prac nad wkładem dotyczącym art. 4 (ekosystemy lądowe, słodkowodne i przybrzeżne) jest Generalna Dyrekcja Ochrony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Obecnie pracujemy nad złożeniem dokumentu, który przed przekazaniem do Komisji Europejskiej uzgodnimy międzyresortowo oraz poddamy konsultacjom publicznym. Zachęcamy do zaangażowania się w ten proces po jego otwarciu dla wszystkich zainteresowanych.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left"/>
      </w:pPr>
      <w:r>
        <w:rPr>
          <w:rStyle w:val="CharStyle7"/>
        </w:rPr>
        <w:t>Informacje o rozpoczęciu konsultacji będą szeroko komunikowane, m.in. na stronie internetowej Ministerstwa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Dyrektor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Departament Strategii i Odporności Klimatycznej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7"/>
        </w:rPr>
        <w:t>/ – podpisany cyfrowo/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094" w:right="1985" w:bottom="2094" w:left="1956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10040620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60000000000002pt;margin-top:790.60000000000002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Body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Heading #1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Header or footer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ind w:left="1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after="12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Heading #1"/>
    <w:basedOn w:val="Normal"/>
    <w:link w:val="CharStyle10"/>
    <w:pPr>
      <w:widowControl w:val="0"/>
      <w:shd w:val="clear" w:color="auto" w:fill="auto"/>
      <w:spacing w:after="2100" w:line="27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Header or footer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Prosty język. Uniwersalny szablondepartamentu/biura kolor</dc:title>
  <dc:subject/>
  <dc:creator>Kamińska Anna</dc:creator>
  <cp:keywords>PL, KOLOR</cp:keywords>
</cp:coreProperties>
</file>