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79F" w:rsidRDefault="00AF2B2C" w:rsidP="00F1079F">
      <w:pPr>
        <w:pStyle w:val="TechnicalBlock"/>
        <w:ind w:left="-1134" w:right="-1134"/>
      </w:pPr>
      <w:bookmarkStart w:id="0" w:name="DW_BM_COVERPAGE"/>
      <w:bookmarkStart w:id="1" w:name="LW_BM_COVERPAGE"/>
      <w:bookmarkStart w:id="2" w:name="_GoBack"/>
      <w:bookmarkEnd w:id="2"/>
      <w:r>
        <w:rPr>
          <w:noProof/>
          <w:lang w:val="pl-PL" w:eastAsia="pl-PL"/>
        </w:rPr>
        <w:drawing>
          <wp:inline distT="0" distB="0" distL="0" distR="0">
            <wp:extent cx="7219950" cy="5695950"/>
            <wp:effectExtent l="0" t="0" r="0" b="0"/>
            <wp:docPr id="5" name="Obraz 1" descr="Document Cover Page.&#10;Document Number: 10404/21 ADD 5.&#10;Subject Codes: AGRI 321 AGRISTR 51 COH 30.&#10;Heading: COVER NOTE.&#10;Originator: Secretary-General of the European Commission, signed by Ms Martine DEPREZ, Director.&#10;Recipient: Mr Jeppe TRANHOLM-MIKKELSEN, Secretary-General of the Council of the European Union.&#10;Subject: COMMISSION STAFF WORKING DOCUMENT STAKEHOLDER CONSULTATION - SYNOPSIS REPORT Accompanying the document Communication from the Commission to the European Parliament, the Council, the European Economic and Social Committee and the Committee of the Regions A long-term Vision for the EU's Rural Areas - Towards stronger, connected, resilient and prosperous rural areas by 2040.&#10;Commission Document Number: SWD(2021) 167 final.&#10;Preceeding Document Number: Not Set.&#10;Location: Brussels.&#10;Date: 1 July 2021.&#10;Interinstitutional Files: Not Set.&#10;Institutional Framework: Council of the European Union.&#10;Language: EN.&#10;Distribution Code: PUBLIC.&#10;GUID: 470524962362867718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Cover Page.&#10;Document Number: 10404/21 ADD 5.&#10;Subject Codes: AGRI 321 AGRISTR 51 COH 30.&#10;Heading: COVER NOTE.&#10;Originator: Secretary-General of the European Commission, signed by Ms Martine DEPREZ, Director.&#10;Recipient: Mr Jeppe TRANHOLM-MIKKELSEN, Secretary-General of the Council of the European Union.&#10;Subject: COMMISSION STAFF WORKING DOCUMENT STAKEHOLDER CONSULTATION - SYNOPSIS REPORT Accompanying the document Communication from the Commission to the European Parliament, the Council, the European Economic and Social Committee and the Committee of the Regions A long-term Vision for the EU's Rural Areas - Towards stronger, connected, resilient and prosperous rural areas by 2040.&#10;Commission Document Number: SWD(2021) 167 final.&#10;Preceeding Document Number: Not Set.&#10;Location: Brussels.&#10;Date: 1 July 2021.&#10;Interinstitutional Files: Not Set.&#10;Institutional Framework: Council of the European Union.&#10;Language: EN.&#10;Distribution Code: PUBLIC.&#10;GUID: 4705249623628677181_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9950" cy="5695950"/>
                    </a:xfrm>
                    <a:prstGeom prst="rect">
                      <a:avLst/>
                    </a:prstGeom>
                    <a:noFill/>
                    <a:ln>
                      <a:noFill/>
                    </a:ln>
                  </pic:spPr>
                </pic:pic>
              </a:graphicData>
            </a:graphic>
          </wp:inline>
        </w:drawing>
      </w:r>
      <w:bookmarkEnd w:id="0"/>
    </w:p>
    <w:p w:rsidR="00F1079F" w:rsidRDefault="00F1079F" w:rsidP="00F1079F">
      <w:pPr>
        <w:pStyle w:val="EntText"/>
        <w:spacing w:before="480"/>
      </w:pPr>
      <w:r w:rsidRPr="00F1079F">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F1079F">
        <w:instrText>SWD(2021) 167 final</w:instrText>
      </w:r>
      <w:r>
        <w:instrText xml:space="preserve">" </w:instrText>
      </w:r>
      <w:r>
        <w:fldChar w:fldCharType="separate"/>
      </w:r>
      <w:r w:rsidRPr="00F1079F">
        <w:t>SWD(2021) 167 final</w:t>
      </w:r>
      <w:r>
        <w:fldChar w:fldCharType="end"/>
      </w:r>
      <w:r w:rsidRPr="00F1079F">
        <w:t>.</w:t>
      </w:r>
    </w:p>
    <w:p w:rsidR="00F1079F" w:rsidRDefault="00F1079F" w:rsidP="00F1079F">
      <w:pPr>
        <w:pStyle w:val="Lignefinal"/>
      </w:pPr>
    </w:p>
    <w:p w:rsidR="00F1079F" w:rsidRDefault="00F1079F" w:rsidP="00F1079F">
      <w:pPr>
        <w:pStyle w:val="pj"/>
        <w:spacing w:before="120"/>
      </w:pPr>
      <w:r w:rsidRPr="00F1079F">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F1079F">
        <w:instrText>SWD(2021) 167 final</w:instrText>
      </w:r>
      <w:r>
        <w:instrText xml:space="preserve">" </w:instrText>
      </w:r>
      <w:r>
        <w:fldChar w:fldCharType="separate"/>
      </w:r>
      <w:r w:rsidRPr="00F1079F">
        <w:t>SWD(2021) 167 final</w:t>
      </w:r>
      <w:r>
        <w:fldChar w:fldCharType="end"/>
      </w:r>
    </w:p>
    <w:p w:rsidR="00F1079F" w:rsidRPr="00F1079F" w:rsidRDefault="00F1079F" w:rsidP="00F1079F">
      <w:pPr>
        <w:rPr>
          <w:noProof/>
        </w:rPr>
        <w:sectPr w:rsidR="00F1079F" w:rsidRPr="00F1079F" w:rsidSect="00F1079F">
          <w:headerReference w:type="default" r:id="rId9"/>
          <w:footerReference w:type="default" r:id="rId10"/>
          <w:headerReference w:type="first" r:id="rId11"/>
          <w:footerReference w:type="first" r:id="rId12"/>
          <w:pgSz w:w="11904" w:h="16832"/>
          <w:pgMar w:top="624" w:right="1134" w:bottom="1134" w:left="1134" w:header="567" w:footer="567" w:gutter="0"/>
          <w:pgNumType w:start="0"/>
          <w:cols w:space="720"/>
          <w:titlePg/>
          <w:docGrid w:linePitch="326"/>
        </w:sectPr>
      </w:pPr>
    </w:p>
    <w:p w:rsidR="00843EC3" w:rsidRDefault="00AF2B2C">
      <w:pPr>
        <w:pStyle w:val="Pagedecouverture"/>
        <w:rPr>
          <w:noProof/>
          <w:lang w:val="fr-BE"/>
        </w:rPr>
      </w:pPr>
      <w:r>
        <w:rPr>
          <w:noProof/>
          <w:lang w:val="pl-PL" w:eastAsia="pl-PL"/>
        </w:rPr>
        <w:lastRenderedPageBreak/>
        <w:drawing>
          <wp:inline distT="0" distB="0" distL="0" distR="0">
            <wp:extent cx="5772150" cy="6048375"/>
            <wp:effectExtent l="0" t="0" r="0" b="9525"/>
            <wp:docPr id="1" name="Obraz 2" descr="AE29E4AB-4095-422E-A670-898A9A2DD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29E4AB-4095-422E-A670-898A9A2DD6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2150" cy="6048375"/>
                    </a:xfrm>
                    <a:prstGeom prst="rect">
                      <a:avLst/>
                    </a:prstGeom>
                    <a:noFill/>
                    <a:ln>
                      <a:noFill/>
                    </a:ln>
                  </pic:spPr>
                </pic:pic>
              </a:graphicData>
            </a:graphic>
          </wp:inline>
        </w:drawing>
      </w:r>
    </w:p>
    <w:bookmarkEnd w:id="1"/>
    <w:p w:rsidR="00843EC3" w:rsidRDefault="00843EC3">
      <w:pPr>
        <w:rPr>
          <w:noProof/>
          <w:lang w:val="fr-BE"/>
        </w:rPr>
        <w:sectPr w:rsidR="00843EC3">
          <w:headerReference w:type="even" r:id="rId14"/>
          <w:headerReference w:type="default" r:id="rId15"/>
          <w:footerReference w:type="even" r:id="rId16"/>
          <w:footerReference w:type="default" r:id="rId17"/>
          <w:headerReference w:type="first" r:id="rId18"/>
          <w:footerReference w:type="first" r:id="rId19"/>
          <w:pgSz w:w="11904" w:h="16832"/>
          <w:pgMar w:top="1134" w:right="1417" w:bottom="1134" w:left="1417" w:header="709" w:footer="709" w:gutter="0"/>
          <w:pgNumType w:start="0"/>
          <w:cols w:space="720"/>
          <w:docGrid w:linePitch="326"/>
        </w:sectPr>
      </w:pPr>
    </w:p>
    <w:p w:rsidR="00843EC3" w:rsidRDefault="00F1079F">
      <w:pPr>
        <w:pStyle w:val="Nagwek2"/>
        <w:rPr>
          <w:noProof/>
        </w:rPr>
      </w:pPr>
      <w:r>
        <w:rPr>
          <w:noProof/>
          <w:sz w:val="24"/>
        </w:rPr>
        <w:lastRenderedPageBreak/>
        <w:t>1.</w:t>
      </w:r>
      <w:r>
        <w:rPr>
          <w:rFonts w:eastAsia="Arial"/>
          <w:noProof/>
          <w:sz w:val="24"/>
        </w:rPr>
        <w:t xml:space="preserve"> </w:t>
      </w:r>
      <w:r>
        <w:rPr>
          <w:noProof/>
        </w:rPr>
        <w:t>INTRODUCTION</w:t>
      </w:r>
      <w:r>
        <w:rPr>
          <w:noProof/>
          <w:sz w:val="24"/>
        </w:rPr>
        <w:t>:</w:t>
      </w:r>
      <w:r>
        <w:rPr>
          <w:noProof/>
        </w:rPr>
        <w:t xml:space="preserve"> </w:t>
      </w:r>
      <w:r>
        <w:rPr>
          <w:noProof/>
          <w:sz w:val="24"/>
        </w:rPr>
        <w:t>O</w:t>
      </w:r>
      <w:r>
        <w:rPr>
          <w:noProof/>
        </w:rPr>
        <w:t xml:space="preserve">BJECTIVES AND </w:t>
      </w:r>
      <w:r>
        <w:rPr>
          <w:noProof/>
          <w:sz w:val="24"/>
        </w:rPr>
        <w:t>S</w:t>
      </w:r>
      <w:r>
        <w:rPr>
          <w:noProof/>
        </w:rPr>
        <w:t>TAKEHOLDERS</w:t>
      </w:r>
      <w:r>
        <w:rPr>
          <w:noProof/>
          <w:sz w:val="24"/>
        </w:rPr>
        <w:t xml:space="preserve"> </w:t>
      </w:r>
    </w:p>
    <w:p w:rsidR="00843EC3" w:rsidRDefault="00F1079F">
      <w:pPr>
        <w:ind w:left="-5" w:right="13"/>
        <w:rPr>
          <w:noProof/>
          <w:color w:val="auto"/>
          <w:highlight w:val="yellow"/>
        </w:rPr>
      </w:pPr>
      <w:r>
        <w:rPr>
          <w:noProof/>
          <w:color w:val="auto"/>
        </w:rPr>
        <w:t>This report presents the outcome of the different strands of consultation conducted in support of the Communication ‘A long-term Vision for EU’s Rural Areas - Towards empowered, connected, resilient and prosperous rural areas’. The need for designing a long-term vision for rural areas was underlined in President von der Leyen’s political guidelines and in the mission letters to Vice-President Šuica (Democracy and Demography), Commissioner Wojciechowski (Agriculture) and Commissioner Ferreira (Cohesion and Reforms).</w:t>
      </w:r>
    </w:p>
    <w:p w:rsidR="00843EC3" w:rsidRDefault="00F1079F">
      <w:pPr>
        <w:ind w:left="-5" w:right="13"/>
        <w:rPr>
          <w:noProof/>
          <w:color w:val="auto"/>
        </w:rPr>
      </w:pPr>
      <w:r>
        <w:rPr>
          <w:noProof/>
          <w:color w:val="auto"/>
        </w:rPr>
        <w:t>As an integral part of the ‘New Push for European Democracy’ priority under the von der Leyen Commission, the public consultation was geared towards achieving strong participation from citizens and stakeholders to gauge the priorities for (i) rural areas today and (ii) rural areas of the future.</w:t>
      </w:r>
    </w:p>
    <w:p w:rsidR="00843EC3" w:rsidRDefault="00F1079F">
      <w:pPr>
        <w:rPr>
          <w:noProof/>
        </w:rPr>
      </w:pPr>
      <w:r>
        <w:rPr>
          <w:noProof/>
        </w:rPr>
        <w:t xml:space="preserve">The </w:t>
      </w:r>
      <w:r>
        <w:rPr>
          <w:b/>
          <w:bCs/>
          <w:noProof/>
        </w:rPr>
        <w:t>consultation strategy</w:t>
      </w:r>
      <w:r>
        <w:rPr>
          <w:noProof/>
        </w:rPr>
        <w:t xml:space="preserve"> was designed to pay particular attention to people living in rural areas as well as local and regional authorities, as outlined in the mission letter to Vice-President for Democracy and Demography, Dubravka Šuica</w:t>
      </w:r>
      <w:r>
        <w:rPr>
          <w:rStyle w:val="Odwoanieprzypisudolnego"/>
          <w:noProof/>
          <w:color w:val="auto"/>
        </w:rPr>
        <w:footnoteReference w:id="2"/>
      </w:r>
      <w:r>
        <w:rPr>
          <w:noProof/>
        </w:rPr>
        <w:t>. The consultation process was culminated in the</w:t>
      </w:r>
      <w:hyperlink r:id="rId20" w:history="1">
        <w:r>
          <w:rPr>
            <w:noProof/>
          </w:rPr>
          <w:t xml:space="preserve"> Rural Vision Week</w:t>
        </w:r>
      </w:hyperlink>
      <w:r>
        <w:rPr>
          <w:noProof/>
        </w:rPr>
        <w:t>, organised online between 22 and 26 March 2021.</w:t>
      </w:r>
    </w:p>
    <w:p w:rsidR="00843EC3" w:rsidRDefault="00F1079F">
      <w:pPr>
        <w:rPr>
          <w:noProof/>
        </w:rPr>
      </w:pPr>
      <w:r>
        <w:rPr>
          <w:noProof/>
        </w:rPr>
        <w:t>The process included the following consultation elements:</w:t>
      </w:r>
    </w:p>
    <w:p w:rsidR="00843EC3" w:rsidRDefault="00F1079F">
      <w:pPr>
        <w:pStyle w:val="Legenda"/>
        <w:keepNext/>
        <w:rPr>
          <w:noProof/>
        </w:rPr>
      </w:pPr>
      <w:r>
        <w:rPr>
          <w:noProof/>
        </w:rPr>
        <w:lastRenderedPageBreak/>
        <w:t>Figure 1. Consultation streams for the long-term Vision for EU’s Rural Areas</w:t>
      </w:r>
    </w:p>
    <w:p w:rsidR="00843EC3" w:rsidRDefault="00F1079F">
      <w:pPr>
        <w:rPr>
          <w:noProof/>
        </w:rPr>
      </w:pPr>
      <w:r>
        <w:rPr>
          <w:noProof/>
          <w:lang w:val="pl-PL" w:eastAsia="pl-PL"/>
        </w:rPr>
        <w:drawing>
          <wp:inline distT="0" distB="0" distL="0" distR="0">
            <wp:extent cx="5779770" cy="3251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ultation process LTVRA- for translation.jpg"/>
                    <pic:cNvPicPr/>
                  </pic:nvPicPr>
                  <pic:blipFill>
                    <a:blip r:embed="rId21">
                      <a:extLst>
                        <a:ext uri="{28A0092B-C50C-407E-A947-70E740481C1C}">
                          <a14:useLocalDpi xmlns:a14="http://schemas.microsoft.com/office/drawing/2010/main" val="0"/>
                        </a:ext>
                      </a:extLst>
                    </a:blip>
                    <a:stretch>
                      <a:fillRect/>
                    </a:stretch>
                  </pic:blipFill>
                  <pic:spPr>
                    <a:xfrm>
                      <a:off x="0" y="0"/>
                      <a:ext cx="5779770" cy="3251200"/>
                    </a:xfrm>
                    <a:prstGeom prst="rect">
                      <a:avLst/>
                    </a:prstGeom>
                  </pic:spPr>
                </pic:pic>
              </a:graphicData>
            </a:graphic>
          </wp:inline>
        </w:drawing>
      </w:r>
    </w:p>
    <w:p w:rsidR="00843EC3" w:rsidRDefault="00F1079F">
      <w:pPr>
        <w:rPr>
          <w:noProof/>
        </w:rPr>
      </w:pPr>
      <w:r>
        <w:rPr>
          <w:noProof/>
        </w:rPr>
        <w:t xml:space="preserve">These consultation steps were planned in order to reach the stakeholders identified through the mapping conducted in the consultation strategy, which had identified the following groups: </w:t>
      </w:r>
    </w:p>
    <w:p w:rsidR="00843EC3" w:rsidRDefault="00F1079F">
      <w:pPr>
        <w:pStyle w:val="Akapitzlist"/>
        <w:numPr>
          <w:ilvl w:val="0"/>
          <w:numId w:val="8"/>
        </w:numPr>
        <w:spacing w:after="120"/>
        <w:rPr>
          <w:rFonts w:cs="Times New Roman"/>
          <w:noProof/>
          <w:szCs w:val="24"/>
        </w:rPr>
      </w:pPr>
      <w:r>
        <w:rPr>
          <w:rFonts w:cs="Times New Roman"/>
          <w:noProof/>
          <w:szCs w:val="24"/>
        </w:rPr>
        <w:t>Farmers and their organisations (at the EU, national and local level)</w:t>
      </w:r>
    </w:p>
    <w:p w:rsidR="00843EC3" w:rsidRDefault="00F1079F">
      <w:pPr>
        <w:pStyle w:val="Akapitzlist"/>
        <w:numPr>
          <w:ilvl w:val="0"/>
          <w:numId w:val="8"/>
        </w:numPr>
        <w:spacing w:after="120"/>
        <w:rPr>
          <w:rFonts w:cs="Times New Roman"/>
          <w:noProof/>
          <w:szCs w:val="24"/>
        </w:rPr>
      </w:pPr>
      <w:r>
        <w:rPr>
          <w:rFonts w:cs="Times New Roman"/>
          <w:noProof/>
          <w:szCs w:val="24"/>
        </w:rPr>
        <w:t>Consumers and their organisations (at the EU, national and local level)</w:t>
      </w:r>
    </w:p>
    <w:p w:rsidR="00843EC3" w:rsidRDefault="00F1079F">
      <w:pPr>
        <w:pStyle w:val="Akapitzlist"/>
        <w:numPr>
          <w:ilvl w:val="0"/>
          <w:numId w:val="8"/>
        </w:numPr>
        <w:spacing w:after="120"/>
        <w:rPr>
          <w:rFonts w:cs="Times New Roman"/>
          <w:noProof/>
          <w:szCs w:val="24"/>
        </w:rPr>
      </w:pPr>
      <w:r>
        <w:rPr>
          <w:rFonts w:cs="Times New Roman"/>
          <w:noProof/>
          <w:szCs w:val="24"/>
        </w:rPr>
        <w:t>Private Sector – upstream-downstream (food chain  distribution</w:t>
      </w:r>
      <w:r>
        <w:rPr>
          <w:rFonts w:cs="Times New Roman"/>
          <w:noProof/>
          <w:szCs w:val="24"/>
          <w:lang w:val="en-GB"/>
        </w:rPr>
        <w:t xml:space="preserve"> etc.</w:t>
      </w:r>
      <w:r>
        <w:rPr>
          <w:rFonts w:cs="Times New Roman"/>
          <w:noProof/>
          <w:szCs w:val="24"/>
        </w:rPr>
        <w:t>), rural businesses (at the EU, national and local level)</w:t>
      </w:r>
    </w:p>
    <w:p w:rsidR="00843EC3" w:rsidRDefault="00F1079F">
      <w:pPr>
        <w:pStyle w:val="Akapitzlist"/>
        <w:numPr>
          <w:ilvl w:val="0"/>
          <w:numId w:val="8"/>
        </w:numPr>
        <w:spacing w:after="120"/>
        <w:rPr>
          <w:rFonts w:cs="Times New Roman"/>
          <w:noProof/>
          <w:szCs w:val="24"/>
        </w:rPr>
      </w:pPr>
      <w:r>
        <w:rPr>
          <w:rFonts w:cs="Times New Roman"/>
          <w:noProof/>
          <w:szCs w:val="24"/>
        </w:rPr>
        <w:t>Member State Authorities (Governments, Parliaments, Public authorities)</w:t>
      </w:r>
    </w:p>
    <w:p w:rsidR="00843EC3" w:rsidRDefault="00F1079F">
      <w:pPr>
        <w:pStyle w:val="Akapitzlist"/>
        <w:numPr>
          <w:ilvl w:val="0"/>
          <w:numId w:val="8"/>
        </w:numPr>
        <w:spacing w:after="120"/>
        <w:rPr>
          <w:rFonts w:cs="Times New Roman"/>
          <w:noProof/>
          <w:szCs w:val="24"/>
        </w:rPr>
      </w:pPr>
      <w:r>
        <w:rPr>
          <w:rFonts w:cs="Times New Roman"/>
          <w:noProof/>
          <w:szCs w:val="24"/>
        </w:rPr>
        <w:t>Regional/local authorities</w:t>
      </w:r>
    </w:p>
    <w:p w:rsidR="00843EC3" w:rsidRDefault="00F1079F">
      <w:pPr>
        <w:pStyle w:val="Akapitzlist"/>
        <w:numPr>
          <w:ilvl w:val="0"/>
          <w:numId w:val="8"/>
        </w:numPr>
        <w:spacing w:after="120"/>
        <w:rPr>
          <w:rFonts w:cs="Times New Roman"/>
          <w:noProof/>
          <w:szCs w:val="24"/>
        </w:rPr>
      </w:pPr>
      <w:r>
        <w:rPr>
          <w:rFonts w:cs="Times New Roman"/>
          <w:noProof/>
          <w:szCs w:val="24"/>
        </w:rPr>
        <w:t>Environmental NGOs (at the EU, national and local level)</w:t>
      </w:r>
    </w:p>
    <w:p w:rsidR="00843EC3" w:rsidRDefault="00F1079F">
      <w:pPr>
        <w:pStyle w:val="Akapitzlist"/>
        <w:numPr>
          <w:ilvl w:val="0"/>
          <w:numId w:val="8"/>
        </w:numPr>
        <w:spacing w:after="120"/>
        <w:rPr>
          <w:rFonts w:cs="Times New Roman"/>
          <w:noProof/>
          <w:szCs w:val="24"/>
        </w:rPr>
      </w:pPr>
      <w:r>
        <w:rPr>
          <w:rFonts w:cs="Times New Roman"/>
          <w:noProof/>
          <w:szCs w:val="24"/>
        </w:rPr>
        <w:t>Other associations, NGOs and civil society organisations (at the EU, national local and level)</w:t>
      </w:r>
    </w:p>
    <w:p w:rsidR="00843EC3" w:rsidRDefault="00F1079F">
      <w:pPr>
        <w:pStyle w:val="Akapitzlist"/>
        <w:numPr>
          <w:ilvl w:val="0"/>
          <w:numId w:val="8"/>
        </w:numPr>
        <w:spacing w:after="120"/>
        <w:rPr>
          <w:rFonts w:cs="Times New Roman"/>
          <w:noProof/>
          <w:szCs w:val="24"/>
        </w:rPr>
      </w:pPr>
      <w:r>
        <w:rPr>
          <w:rFonts w:cs="Times New Roman"/>
          <w:noProof/>
          <w:szCs w:val="24"/>
        </w:rPr>
        <w:t>Rural networks (at the EU, national and regional level)</w:t>
      </w:r>
    </w:p>
    <w:p w:rsidR="00843EC3" w:rsidRDefault="00F1079F">
      <w:pPr>
        <w:pStyle w:val="Akapitzlist"/>
        <w:numPr>
          <w:ilvl w:val="0"/>
          <w:numId w:val="8"/>
        </w:numPr>
        <w:spacing w:after="120"/>
        <w:rPr>
          <w:rFonts w:cs="Times New Roman"/>
          <w:noProof/>
          <w:szCs w:val="24"/>
        </w:rPr>
      </w:pPr>
      <w:r>
        <w:rPr>
          <w:rFonts w:cs="Times New Roman"/>
          <w:noProof/>
          <w:szCs w:val="24"/>
        </w:rPr>
        <w:t>Academia, experts</w:t>
      </w:r>
    </w:p>
    <w:p w:rsidR="00843EC3" w:rsidRDefault="00F1079F">
      <w:pPr>
        <w:pStyle w:val="Akapitzlist"/>
        <w:numPr>
          <w:ilvl w:val="0"/>
          <w:numId w:val="8"/>
        </w:numPr>
        <w:spacing w:after="120"/>
        <w:rPr>
          <w:rFonts w:cs="Times New Roman"/>
          <w:noProof/>
        </w:rPr>
      </w:pPr>
      <w:r>
        <w:rPr>
          <w:rFonts w:cs="Times New Roman"/>
          <w:noProof/>
        </w:rPr>
        <w:t>Other interested groups and individuals</w:t>
      </w:r>
    </w:p>
    <w:p w:rsidR="00843EC3" w:rsidRDefault="00F1079F">
      <w:pPr>
        <w:rPr>
          <w:noProof/>
          <w:szCs w:val="24"/>
        </w:rPr>
      </w:pPr>
      <w:r>
        <w:rPr>
          <w:noProof/>
        </w:rPr>
        <w:lastRenderedPageBreak/>
        <w:t>The consultation took place against the backdrop of the COVID-19 pandemic. Most exchanges and consultations were carried out virtually, except a limited number of local events organised by rural networks. All identified stakeholder groups have been reached through the different consultation activities</w:t>
      </w:r>
      <w:r>
        <w:rPr>
          <w:rStyle w:val="Odwoanieprzypisudolnego"/>
          <w:noProof/>
        </w:rPr>
        <w:footnoteReference w:id="3"/>
      </w:r>
      <w:r>
        <w:rPr>
          <w:noProof/>
        </w:rPr>
        <w:t>.</w:t>
      </w:r>
    </w:p>
    <w:p w:rsidR="00843EC3" w:rsidRDefault="00F1079F">
      <w:pPr>
        <w:pStyle w:val="Nagwek2"/>
        <w:jc w:val="both"/>
        <w:rPr>
          <w:noProof/>
          <w:color w:val="auto"/>
        </w:rPr>
      </w:pPr>
      <w:r>
        <w:rPr>
          <w:noProof/>
          <w:color w:val="auto"/>
          <w:sz w:val="24"/>
        </w:rPr>
        <w:t>2.</w:t>
      </w:r>
      <w:r>
        <w:rPr>
          <w:rFonts w:eastAsia="Arial"/>
          <w:noProof/>
          <w:color w:val="auto"/>
          <w:sz w:val="24"/>
        </w:rPr>
        <w:t xml:space="preserve"> </w:t>
      </w:r>
      <w:r>
        <w:rPr>
          <w:noProof/>
          <w:color w:val="auto"/>
          <w:sz w:val="24"/>
        </w:rPr>
        <w:t>M</w:t>
      </w:r>
      <w:r>
        <w:rPr>
          <w:noProof/>
          <w:color w:val="auto"/>
        </w:rPr>
        <w:t xml:space="preserve">ETHODOLOGY AND </w:t>
      </w:r>
      <w:r>
        <w:rPr>
          <w:noProof/>
          <w:color w:val="auto"/>
          <w:sz w:val="24"/>
        </w:rPr>
        <w:t>T</w:t>
      </w:r>
      <w:r>
        <w:rPr>
          <w:noProof/>
          <w:color w:val="auto"/>
        </w:rPr>
        <w:t>OOLS</w:t>
      </w:r>
      <w:r>
        <w:rPr>
          <w:noProof/>
          <w:color w:val="auto"/>
          <w:sz w:val="24"/>
        </w:rPr>
        <w:t xml:space="preserve"> </w:t>
      </w:r>
    </w:p>
    <w:p w:rsidR="00843EC3" w:rsidRDefault="00F1079F">
      <w:pPr>
        <w:rPr>
          <w:noProof/>
        </w:rPr>
      </w:pPr>
      <w:r>
        <w:rPr>
          <w:noProof/>
        </w:rPr>
        <w:t xml:space="preserve">The Commission gathered feedback on both its </w:t>
      </w:r>
      <w:r>
        <w:rPr>
          <w:b/>
          <w:bCs/>
          <w:noProof/>
        </w:rPr>
        <w:t>roadmap</w:t>
      </w:r>
      <w:r>
        <w:rPr>
          <w:noProof/>
        </w:rPr>
        <w:t xml:space="preserve"> and </w:t>
      </w:r>
      <w:r>
        <w:rPr>
          <w:b/>
          <w:bCs/>
          <w:noProof/>
        </w:rPr>
        <w:t>online public consultation</w:t>
      </w:r>
      <w:r>
        <w:rPr>
          <w:noProof/>
        </w:rPr>
        <w:t xml:space="preserve"> (OPC) through online questionnaires. The feedback on the roadmap was analysed quantitatively and qualitatively to identify challenges, opportunities and priorities for action. The online public consultation combined a mix of closed questions (where respondents replied to a pre-determined selection of answers) and open questions (where they were free to write any response they choose with up to 1000 characters per response). The questionnaire of the OPC focused on three main aspects (i) rural areas today, (ii) rural areas of the future and (iii) governance of rural areas. </w:t>
      </w:r>
    </w:p>
    <w:p w:rsidR="00843EC3" w:rsidRDefault="00F1079F">
      <w:pPr>
        <w:rPr>
          <w:noProof/>
        </w:rPr>
      </w:pPr>
      <w:r>
        <w:rPr>
          <w:noProof/>
          <w:color w:val="auto"/>
        </w:rPr>
        <w:t xml:space="preserve">Several questions of the </w:t>
      </w:r>
      <w:r>
        <w:rPr>
          <w:b/>
          <w:bCs/>
          <w:noProof/>
          <w:color w:val="auto"/>
        </w:rPr>
        <w:t>Special Eurobarometer</w:t>
      </w:r>
      <w:r>
        <w:rPr>
          <w:noProof/>
          <w:color w:val="auto"/>
        </w:rPr>
        <w:t xml:space="preserve"> </w:t>
      </w:r>
      <w:r>
        <w:rPr>
          <w:b/>
          <w:bCs/>
          <w:noProof/>
          <w:color w:val="auto"/>
        </w:rPr>
        <w:t>504</w:t>
      </w:r>
      <w:r>
        <w:rPr>
          <w:rStyle w:val="Odwoanieprzypisudolnego"/>
          <w:noProof/>
          <w:color w:val="auto"/>
        </w:rPr>
        <w:footnoteReference w:id="4"/>
      </w:r>
      <w:r>
        <w:rPr>
          <w:noProof/>
          <w:color w:val="auto"/>
        </w:rPr>
        <w:t xml:space="preserve"> referred to t</w:t>
      </w:r>
      <w:r>
        <w:rPr>
          <w:noProof/>
        </w:rPr>
        <w:t xml:space="preserve">he situation of rural areas, to how things have changed from 2009 to 2020, and to the objectives of rural development, second pillar of the Common Agricultural Policy (CAP). This survey was carried out in the EU27 between 3 August and 15 September 2020. In total, 27 237 EU citizens from different social and demographic categories were interviewed, in most cases face-to-face in their mother tongue. Given the impact of COVID-19 and subsequent health and safety measures, a face-to-face interview was either not possible or possible only to a certain extent in some countries and was replaced by online interviews. A </w:t>
      </w:r>
      <w:r>
        <w:rPr>
          <w:b/>
          <w:bCs/>
          <w:noProof/>
        </w:rPr>
        <w:t>dedicated Flash Eurobarometer 491</w:t>
      </w:r>
      <w:r>
        <w:rPr>
          <w:rStyle w:val="Odwoanieprzypisudolnego"/>
          <w:b/>
          <w:bCs/>
          <w:noProof/>
        </w:rPr>
        <w:footnoteReference w:id="5"/>
      </w:r>
      <w:r>
        <w:rPr>
          <w:noProof/>
        </w:rPr>
        <w:t xml:space="preserve"> was also carried out in the EU27 between 9 and 18 April 2021 assessing the priorities where the long-term Vision for rural areas should focus on. A total of 25 841 EU citizens were interviewed over the telephone. The survey </w:t>
      </w:r>
      <w:r>
        <w:rPr>
          <w:noProof/>
        </w:rPr>
        <w:lastRenderedPageBreak/>
        <w:t xml:space="preserve">covered the following topics: (1) EU investment in rural areas, (2) transport and connections to rural areas, (3) consequences of the COVID-19 pandemic, (4) environmental problems in rural areas, (5) participation of rural residents. </w:t>
      </w:r>
    </w:p>
    <w:p w:rsidR="00843EC3" w:rsidRDefault="00F1079F">
      <w:pPr>
        <w:rPr>
          <w:noProof/>
        </w:rPr>
      </w:pPr>
      <w:r>
        <w:rPr>
          <w:noProof/>
        </w:rPr>
        <w:t xml:space="preserve">The long-term Vision initiative was also presented in a number of </w:t>
      </w:r>
      <w:r>
        <w:rPr>
          <w:b/>
          <w:bCs/>
          <w:noProof/>
        </w:rPr>
        <w:t xml:space="preserve">events </w:t>
      </w:r>
      <w:r>
        <w:rPr>
          <w:noProof/>
        </w:rPr>
        <w:t xml:space="preserve">across the EU to get the views from rural stakeholders and regional and local authorities. For each event, the Commission representatives identified the main issues highlighted. Targeted stakeholder consultations took also place with national authorities dealing with rural development through the Rural Development Management Committee and rural development stakeholders through the Civil Dialogue Group on Rural Development, and in governance meetings of the EU Rural Networks. The participative foresight exercise for the development of the Vision, led by the Joint Research Centre, was undertaken within a series of meetings of a Thematic Group on the Long Term Rural Vision, set up under the European Network for Rural Development (ENRD). </w:t>
      </w:r>
    </w:p>
    <w:p w:rsidR="00843EC3" w:rsidRDefault="00F1079F">
      <w:pPr>
        <w:rPr>
          <w:noProof/>
        </w:rPr>
      </w:pPr>
      <w:r>
        <w:rPr>
          <w:noProof/>
        </w:rPr>
        <w:t xml:space="preserve">Additionally, the Commission prepared, with the support of the ENRD, a </w:t>
      </w:r>
      <w:r>
        <w:rPr>
          <w:b/>
          <w:bCs/>
          <w:noProof/>
        </w:rPr>
        <w:t>workshop package</w:t>
      </w:r>
      <w:r>
        <w:rPr>
          <w:rStyle w:val="Odwoanieprzypisudolnego"/>
          <w:b/>
          <w:bCs/>
          <w:noProof/>
          <w:color w:val="auto"/>
        </w:rPr>
        <w:footnoteReference w:id="6"/>
      </w:r>
      <w:r>
        <w:rPr>
          <w:noProof/>
        </w:rPr>
        <w:t xml:space="preserve"> “Welcome to our Rural”, provided in 22 EU languages and available online where national rural networks (NRNs) and other rural stakeholders could download material allowing them to organise local participatory events focussing on their own local area and its likely and desired developments from now until 2040.  Outcomes were reported back to the Commission in “harvesting sheets” synthesising the results of the workshop discussions. The NRNs adapted the material to their local conditions and the time and resources they had available. Some groups adhered to the templates very closely; some used them more loosely; and others developed additional and imaginative means to capture rural voices regarding their vision of the future of rural Europe in 2040. Because of the COVID 19 pandemic, almost all workshops took place virtually rather </w:t>
      </w:r>
      <w:r>
        <w:rPr>
          <w:noProof/>
        </w:rPr>
        <w:lastRenderedPageBreak/>
        <w:t>than face to face. Further details of the outcomes can be found in the ENRD report “</w:t>
      </w:r>
      <w:r>
        <w:rPr>
          <w:i/>
          <w:noProof/>
        </w:rPr>
        <w:t>Rural Voices: A qualitative analysis of the findings from stakeholder workshops contributing to the Long-term Vision for Rural Areas</w:t>
      </w:r>
      <w:r>
        <w:rPr>
          <w:noProof/>
        </w:rPr>
        <w:t>”</w:t>
      </w:r>
      <w:r>
        <w:rPr>
          <w:rStyle w:val="Odwoanieprzypisudolnego"/>
          <w:noProof/>
        </w:rPr>
        <w:footnoteReference w:id="7"/>
      </w:r>
      <w:r>
        <w:rPr>
          <w:noProof/>
        </w:rPr>
        <w:t xml:space="preserve">. </w:t>
      </w:r>
      <w:r>
        <w:rPr>
          <w:noProof/>
          <w:highlight w:val="yellow"/>
        </w:rPr>
        <w:t xml:space="preserve"> </w:t>
      </w:r>
    </w:p>
    <w:p w:rsidR="00843EC3" w:rsidRDefault="00F1079F">
      <w:pPr>
        <w:rPr>
          <w:noProof/>
          <w:color w:val="auto"/>
        </w:rPr>
      </w:pPr>
      <w:r>
        <w:rPr>
          <w:noProof/>
          <w:color w:val="auto"/>
        </w:rPr>
        <w:t xml:space="preserve">Finally at the </w:t>
      </w:r>
      <w:r>
        <w:rPr>
          <w:b/>
          <w:bCs/>
          <w:noProof/>
        </w:rPr>
        <w:t>“</w:t>
      </w:r>
      <w:r>
        <w:rPr>
          <w:b/>
          <w:bCs/>
          <w:i/>
          <w:iCs/>
          <w:noProof/>
        </w:rPr>
        <w:t>Rural Vision Week: Imagining the future of Europe’s rural areas”,</w:t>
      </w:r>
      <w:r>
        <w:rPr>
          <w:noProof/>
        </w:rPr>
        <w:t xml:space="preserve"> a large-scale participatory conference</w:t>
      </w:r>
      <w:r>
        <w:rPr>
          <w:b/>
          <w:bCs/>
          <w:i/>
          <w:iCs/>
          <w:noProof/>
        </w:rPr>
        <w:t xml:space="preserve"> </w:t>
      </w:r>
      <w:r>
        <w:rPr>
          <w:noProof/>
          <w:color w:val="auto"/>
        </w:rPr>
        <w:t>organised online by the ENRD in close cooperation with the Commission</w:t>
      </w:r>
      <w:r>
        <w:rPr>
          <w:noProof/>
        </w:rPr>
        <w:t xml:space="preserve"> between 22 and 26 March 2021</w:t>
      </w:r>
      <w:r>
        <w:rPr>
          <w:noProof/>
          <w:color w:val="auto"/>
        </w:rPr>
        <w:t xml:space="preserve">, the results of the different consultation strands were presented, discussed with stakeholders and further developed. Dedicated workshops on key topics were also organised </w:t>
      </w:r>
      <w:r>
        <w:rPr>
          <w:noProof/>
          <w:szCs w:val="24"/>
        </w:rPr>
        <w:t>(</w:t>
      </w:r>
      <w:r>
        <w:rPr>
          <w:noProof/>
        </w:rPr>
        <w:t>this included 8 participative workshops, working plenaries, 11 fringe events, the ENRD Rural Inspiration Awards ceremony, a market place where different stakeholders and networks presented their activities and initiatives linked to the Vision). The intention was to provide maximum opportunities for exchanges between participants, drawing out collective views on stakeholders’ aspirations for the rural Vision. All presentations and information from the event are available on the ENRD</w:t>
      </w:r>
      <w:r>
        <w:rPr>
          <w:rStyle w:val="Odwoanieprzypisudolnego"/>
          <w:noProof/>
        </w:rPr>
        <w:footnoteReference w:id="8"/>
      </w:r>
      <w:r>
        <w:rPr>
          <w:noProof/>
        </w:rPr>
        <w:t>.</w:t>
      </w:r>
    </w:p>
    <w:p w:rsidR="00843EC3" w:rsidRDefault="00F1079F">
      <w:pPr>
        <w:pStyle w:val="Nagwek2"/>
        <w:jc w:val="both"/>
        <w:rPr>
          <w:noProof/>
          <w:color w:val="auto"/>
          <w:sz w:val="24"/>
        </w:rPr>
      </w:pPr>
      <w:r>
        <w:rPr>
          <w:noProof/>
          <w:color w:val="auto"/>
          <w:sz w:val="24"/>
        </w:rPr>
        <w:t>3.</w:t>
      </w:r>
      <w:r>
        <w:rPr>
          <w:rFonts w:eastAsia="Arial"/>
          <w:noProof/>
          <w:color w:val="auto"/>
          <w:sz w:val="24"/>
        </w:rPr>
        <w:t xml:space="preserve"> </w:t>
      </w:r>
      <w:r>
        <w:rPr>
          <w:noProof/>
          <w:color w:val="auto"/>
          <w:sz w:val="24"/>
        </w:rPr>
        <w:t xml:space="preserve">CONSULTATION ACTIVITIES </w:t>
      </w:r>
    </w:p>
    <w:p w:rsidR="00843EC3" w:rsidRDefault="00F1079F">
      <w:pPr>
        <w:pStyle w:val="Nagwek3"/>
        <w:jc w:val="both"/>
        <w:rPr>
          <w:noProof/>
        </w:rPr>
      </w:pPr>
      <w:r>
        <w:rPr>
          <w:noProof/>
        </w:rPr>
        <w:t>a.</w:t>
      </w:r>
      <w:r>
        <w:rPr>
          <w:rFonts w:eastAsia="Arial"/>
          <w:noProof/>
        </w:rPr>
        <w:t xml:space="preserve"> Consultation</w:t>
      </w:r>
      <w:r>
        <w:rPr>
          <w:noProof/>
        </w:rPr>
        <w:t xml:space="preserve"> on the Commission roadmap </w:t>
      </w:r>
    </w:p>
    <w:p w:rsidR="00843EC3" w:rsidRDefault="00F1079F">
      <w:pPr>
        <w:rPr>
          <w:noProof/>
        </w:rPr>
      </w:pPr>
      <w:r>
        <w:rPr>
          <w:noProof/>
        </w:rPr>
        <w:t xml:space="preserve">The </w:t>
      </w:r>
      <w:r>
        <w:rPr>
          <w:b/>
          <w:noProof/>
        </w:rPr>
        <w:t>roadmap consultation</w:t>
      </w:r>
      <w:r>
        <w:rPr>
          <w:noProof/>
        </w:rPr>
        <w:t xml:space="preserve"> for the Vision was open for feedback from 22 July to the 9 September 2020. It has been answered by a total of </w:t>
      </w:r>
      <w:r>
        <w:rPr>
          <w:b/>
          <w:bCs/>
          <w:noProof/>
        </w:rPr>
        <w:t>198 stakeholders</w:t>
      </w:r>
      <w:r>
        <w:rPr>
          <w:noProof/>
        </w:rPr>
        <w:t xml:space="preserve"> including regional interest representations, thematic networks, international organisations, public (national, regional and local) authorities, citizens’ organizations, academia and individual citizens.  </w:t>
      </w:r>
    </w:p>
    <w:p w:rsidR="00843EC3" w:rsidRDefault="00F1079F">
      <w:pPr>
        <w:rPr>
          <w:noProof/>
          <w:color w:val="auto"/>
        </w:rPr>
      </w:pPr>
      <w:r>
        <w:rPr>
          <w:noProof/>
        </w:rPr>
        <w:t>The vast majority of position papers provided pertained to the content of the initiative as opposed to the roadmap itself (which focused on the process)</w:t>
      </w:r>
      <w:r>
        <w:rPr>
          <w:rStyle w:val="Odwoanieprzypisudolnego"/>
          <w:noProof/>
        </w:rPr>
        <w:footnoteReference w:id="9"/>
      </w:r>
      <w:r>
        <w:rPr>
          <w:noProof/>
        </w:rPr>
        <w:t xml:space="preserve">. </w:t>
      </w:r>
      <w:r>
        <w:rPr>
          <w:noProof/>
          <w:color w:val="auto"/>
        </w:rPr>
        <w:t xml:space="preserve">In any case, the </w:t>
      </w:r>
      <w:r>
        <w:rPr>
          <w:noProof/>
          <w:color w:val="auto"/>
        </w:rPr>
        <w:lastRenderedPageBreak/>
        <w:t xml:space="preserve">stakeholders’ contributions for this exercise have also been taken into account during the analysis of the outcomes of the online public consultation (OPC). </w:t>
      </w:r>
    </w:p>
    <w:p w:rsidR="00843EC3" w:rsidRDefault="00F1079F">
      <w:pPr>
        <w:pStyle w:val="Nagwek3"/>
        <w:jc w:val="both"/>
        <w:rPr>
          <w:noProof/>
        </w:rPr>
      </w:pPr>
      <w:r>
        <w:rPr>
          <w:noProof/>
        </w:rPr>
        <w:t>b.</w:t>
      </w:r>
      <w:r>
        <w:rPr>
          <w:rFonts w:eastAsia="Arial"/>
          <w:noProof/>
        </w:rPr>
        <w:t xml:space="preserve"> </w:t>
      </w:r>
      <w:r>
        <w:rPr>
          <w:noProof/>
        </w:rPr>
        <w:t>Online public consultation (OPC)</w:t>
      </w:r>
    </w:p>
    <w:p w:rsidR="00843EC3" w:rsidRDefault="00F1079F">
      <w:pPr>
        <w:spacing w:after="120"/>
        <w:ind w:left="20"/>
        <w:rPr>
          <w:noProof/>
        </w:rPr>
      </w:pPr>
      <w:r>
        <w:rPr>
          <w:noProof/>
        </w:rPr>
        <w:t xml:space="preserve">The public consultation, open from 7 September to 30 November 2020, collected a total of </w:t>
      </w:r>
      <w:r>
        <w:rPr>
          <w:b/>
          <w:bCs/>
          <w:noProof/>
        </w:rPr>
        <w:t>2 326 responses</w:t>
      </w:r>
      <w:r>
        <w:rPr>
          <w:noProof/>
        </w:rPr>
        <w:t xml:space="preserve"> from all 27 Member States and 87 positions papers from different stakeholders. </w:t>
      </w:r>
    </w:p>
    <w:p w:rsidR="00843EC3" w:rsidRDefault="00F1079F">
      <w:pPr>
        <w:pStyle w:val="Legenda"/>
        <w:keepNext/>
        <w:rPr>
          <w:noProof/>
        </w:rPr>
      </w:pPr>
      <w:r>
        <w:rPr>
          <w:noProof/>
        </w:rPr>
        <w:t>Figure 2 Number of respondents to the public consultation by country of origin</w:t>
      </w:r>
    </w:p>
    <w:p w:rsidR="00843EC3" w:rsidRDefault="00B04B20">
      <w:pPr>
        <w:spacing w:after="120"/>
        <w:ind w:left="20"/>
        <w:rPr>
          <w:noProof/>
          <w:szCs w:val="24"/>
        </w:rPr>
      </w:pPr>
      <w:r w:rsidRPr="00B04B20">
        <w:rPr>
          <w:noProof/>
          <w:lang w:val="pl-PL" w:eastAsia="pl-PL"/>
        </w:rPr>
        <w:drawing>
          <wp:inline distT="0" distB="0" distL="0" distR="0">
            <wp:extent cx="573405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4050" cy="2438400"/>
                    </a:xfrm>
                    <a:prstGeom prst="rect">
                      <a:avLst/>
                    </a:prstGeom>
                    <a:noFill/>
                    <a:ln>
                      <a:noFill/>
                    </a:ln>
                  </pic:spPr>
                </pic:pic>
              </a:graphicData>
            </a:graphic>
          </wp:inline>
        </w:drawing>
      </w:r>
    </w:p>
    <w:p w:rsidR="00843EC3" w:rsidRDefault="00F1079F">
      <w:pPr>
        <w:spacing w:after="120"/>
        <w:ind w:left="20"/>
        <w:rPr>
          <w:noProof/>
          <w:szCs w:val="24"/>
        </w:rPr>
      </w:pPr>
      <w:r>
        <w:rPr>
          <w:noProof/>
          <w:szCs w:val="24"/>
        </w:rPr>
        <w:t xml:space="preserve">When it comes to the categories of stakeholder replying, 62% were citizens (52% of which identified as living in a rural area and 9% in a remote rural area), 9% businesses and associations, 5% academic and research institutions, 9% public authorities, 7% NGOs, 5% rural development networks and 2% other respondents. </w:t>
      </w:r>
    </w:p>
    <w:p w:rsidR="00843EC3" w:rsidRDefault="00F1079F">
      <w:pPr>
        <w:spacing w:after="120"/>
        <w:ind w:left="30"/>
        <w:rPr>
          <w:noProof/>
        </w:rPr>
      </w:pPr>
      <w:r>
        <w:rPr>
          <w:noProof/>
        </w:rPr>
        <w:t xml:space="preserve">A flash Eurobarometer survey was conducted in April 2021 to complement the results of the OPC with a representative sample of EU population. </w:t>
      </w:r>
    </w:p>
    <w:p w:rsidR="00843EC3" w:rsidRDefault="00F1079F">
      <w:pPr>
        <w:spacing w:after="120"/>
        <w:ind w:left="30"/>
        <w:rPr>
          <w:noProof/>
          <w:color w:val="auto"/>
          <w:szCs w:val="24"/>
        </w:rPr>
      </w:pPr>
      <w:r>
        <w:rPr>
          <w:noProof/>
          <w:szCs w:val="24"/>
        </w:rPr>
        <w:lastRenderedPageBreak/>
        <w:t>The results of the OPC can be consulted in the “</w:t>
      </w:r>
      <w:r>
        <w:rPr>
          <w:b/>
          <w:noProof/>
          <w:szCs w:val="24"/>
        </w:rPr>
        <w:t>Factual Summary on the public consultation on the long/term vision for rural areas</w:t>
      </w:r>
      <w:r>
        <w:rPr>
          <w:noProof/>
          <w:szCs w:val="24"/>
        </w:rPr>
        <w:t>”</w:t>
      </w:r>
      <w:r>
        <w:rPr>
          <w:rStyle w:val="Odwoanieprzypisudolnego"/>
          <w:noProof/>
          <w:szCs w:val="24"/>
        </w:rPr>
        <w:footnoteReference w:id="10"/>
      </w:r>
      <w:r>
        <w:rPr>
          <w:noProof/>
          <w:szCs w:val="24"/>
        </w:rPr>
        <w:t xml:space="preserve"> and in the “Synthesis of the online public consultation on the Long-term Vision for Rural Areas</w:t>
      </w:r>
      <w:r>
        <w:rPr>
          <w:rStyle w:val="normaltextrun"/>
          <w:noProof/>
          <w:shd w:val="clear" w:color="auto" w:fill="FFFFFF"/>
        </w:rPr>
        <w:t>”.</w:t>
      </w:r>
    </w:p>
    <w:p w:rsidR="00843EC3" w:rsidRDefault="00F1079F">
      <w:pPr>
        <w:pStyle w:val="Nagwek3"/>
        <w:jc w:val="both"/>
        <w:rPr>
          <w:noProof/>
          <w:lang w:val="en-US"/>
        </w:rPr>
      </w:pPr>
      <w:r>
        <w:rPr>
          <w:noProof/>
          <w:lang w:val="en-US"/>
        </w:rPr>
        <w:t xml:space="preserve">c. Eurobarometers </w:t>
      </w:r>
    </w:p>
    <w:p w:rsidR="00843EC3" w:rsidRDefault="00F1079F">
      <w:pPr>
        <w:ind w:left="0" w:firstLine="0"/>
        <w:rPr>
          <w:noProof/>
          <w:lang w:val="en-US"/>
        </w:rPr>
      </w:pPr>
      <w:r>
        <w:rPr>
          <w:noProof/>
        </w:rPr>
        <w:t>Nearly all respondents of the Special Eurobarometer 504 (95%, +3 percentage points since 2017) think that agriculture and rural areas are important for the future. Looking at the longer trend, the proportion has increased by five percentage points since 2009.</w:t>
      </w:r>
    </w:p>
    <w:p w:rsidR="00843EC3" w:rsidRDefault="00F1079F">
      <w:pPr>
        <w:ind w:left="0" w:firstLine="0"/>
        <w:rPr>
          <w:noProof/>
        </w:rPr>
      </w:pPr>
      <w:r>
        <w:rPr>
          <w:noProof/>
        </w:rPr>
        <w:t>Respondents were asked whether things in rural areas in their country have improved, got worse or stayed about the same compared with ten years ago. A larger share of respondents think that things have improved when it comes to access to high-speed internet connections and transport infrastructure connecting to cities. Conversely, a relative majority have answered that things have got worst for job opportunities and health services (figure 3).</w:t>
      </w:r>
    </w:p>
    <w:p w:rsidR="00843EC3" w:rsidRDefault="00F1079F">
      <w:pPr>
        <w:pStyle w:val="Legenda"/>
        <w:keepNext/>
        <w:rPr>
          <w:noProof/>
        </w:rPr>
      </w:pPr>
      <w:r>
        <w:rPr>
          <w:noProof/>
        </w:rPr>
        <w:t>Figure 3 QA19 of Special Eurobarometer 504 on changes in rural areas in the last decade</w:t>
      </w:r>
    </w:p>
    <w:p w:rsidR="00843EC3" w:rsidRDefault="00F1079F">
      <w:pPr>
        <w:rPr>
          <w:noProof/>
        </w:rPr>
      </w:pPr>
      <w:r>
        <w:rPr>
          <w:noProof/>
          <w:lang w:val="pl-PL" w:eastAsia="pl-PL"/>
        </w:rPr>
        <w:drawing>
          <wp:inline distT="0" distB="0" distL="0" distR="0">
            <wp:extent cx="4305869" cy="2873728"/>
            <wp:effectExtent l="19050" t="19050" r="19050" b="22225"/>
            <wp:docPr id="4" name="Picture 4" descr="C:\Users\GAFOGMA\AppData\Local\Temp\1\Temp1_EB93.2_Topic A_CAP.zip\EB93.2_Topic A_CAP\QA19\QA19-GO-EN_E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FOGMA\AppData\Local\Temp\1\Temp1_EB93.2_Topic A_CAP.zip\EB93.2_Topic A_CAP\QA19\QA19-GO-EN_EU-P.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7017" cy="2881168"/>
                    </a:xfrm>
                    <a:prstGeom prst="rect">
                      <a:avLst/>
                    </a:prstGeom>
                    <a:noFill/>
                    <a:ln>
                      <a:solidFill>
                        <a:schemeClr val="accent1"/>
                      </a:solidFill>
                    </a:ln>
                  </pic:spPr>
                </pic:pic>
              </a:graphicData>
            </a:graphic>
          </wp:inline>
        </w:drawing>
      </w:r>
    </w:p>
    <w:p w:rsidR="00843EC3" w:rsidRDefault="00843EC3">
      <w:pPr>
        <w:keepLines/>
        <w:ind w:left="0" w:firstLine="0"/>
        <w:rPr>
          <w:noProof/>
        </w:rPr>
      </w:pPr>
    </w:p>
    <w:p w:rsidR="00843EC3" w:rsidRDefault="00F1079F">
      <w:pPr>
        <w:ind w:left="0" w:firstLine="0"/>
        <w:rPr>
          <w:noProof/>
        </w:rPr>
      </w:pPr>
      <w:r>
        <w:rPr>
          <w:noProof/>
        </w:rPr>
        <w:t>The key findings of the Flash Eurobarometer 491 can be summarized as follows; a majority (79%) of EU citizens support the EU giving consideration to rural areas in public spending decisions. Besides, 65% of EU citizens think that the local area or province should be able to decide how the EU investment in rural is spent. The most mentioned key need of rural areas (44%) is transport infrastructure and connections. Regarding the transport connections, remote rural areas respondents consider difficult or not possible to reach different services by public transport in their area (ranging between 52% and 59% depending on the service). Rural area respondents would like to have access to more local bus services. Citizens living in large towns and cities (61%) will be more likely to visit rural areas compared to before the COVID-19 pandemic. Regarding the environment, a majority of respondents reply that environmental problems are an immediate problem for rural areas (ranging between 52% and 65% depending on the environmental problem). While, EU citizens, are divided when asked whether they can influence decisions affecting their local area, all respondents would like to be more involved by taking part in citizen consultations (63%), attending meetings or events organised in their local area or get involved in community-led projects (56%) and being more involved through social media feeds (42%).</w:t>
      </w:r>
      <w:r>
        <w:rPr>
          <w:rStyle w:val="Odwoanieprzypisudolnego"/>
          <w:noProof/>
        </w:rPr>
        <w:footnoteReference w:id="11"/>
      </w:r>
      <w:r>
        <w:rPr>
          <w:noProof/>
        </w:rPr>
        <w:t xml:space="preserve"> </w:t>
      </w:r>
    </w:p>
    <w:p w:rsidR="00843EC3" w:rsidRDefault="00F1079F">
      <w:pPr>
        <w:pStyle w:val="Nagwek3"/>
        <w:rPr>
          <w:b w:val="0"/>
          <w:noProof/>
        </w:rPr>
      </w:pPr>
      <w:r>
        <w:rPr>
          <w:noProof/>
        </w:rPr>
        <w:t xml:space="preserve">d. Targeted consultations through meetings, conferences and events </w:t>
      </w:r>
    </w:p>
    <w:p w:rsidR="00843EC3" w:rsidRDefault="00F1079F">
      <w:pPr>
        <w:ind w:left="-5" w:right="13"/>
        <w:rPr>
          <w:noProof/>
          <w:color w:val="auto"/>
        </w:rPr>
      </w:pPr>
      <w:r>
        <w:rPr>
          <w:noProof/>
          <w:color w:val="auto"/>
        </w:rPr>
        <w:t>The Commission used this stage to explore the issues in more depth and detail. Despite the qualitative nature of the targeted stakeholder consultations, there were surprising levels of consistency across the groups in their views. Key issues highlighted include the importance of depopulation and generational renewal challenge, the need to ensure access to infrastructure and services, in particular, mobility and connectivity, and the need for job opportunities.</w:t>
      </w:r>
    </w:p>
    <w:p w:rsidR="00843EC3" w:rsidRDefault="00F1079F">
      <w:pPr>
        <w:ind w:left="-5" w:right="13"/>
        <w:rPr>
          <w:noProof/>
          <w:color w:val="auto"/>
        </w:rPr>
      </w:pPr>
      <w:r>
        <w:rPr>
          <w:noProof/>
          <w:color w:val="auto"/>
        </w:rPr>
        <w:lastRenderedPageBreak/>
        <w:t>A detailed list of meetings, conferences and events and key issues highlighted is included in annex 1.</w:t>
      </w:r>
    </w:p>
    <w:p w:rsidR="00843EC3" w:rsidRDefault="00F1079F">
      <w:pPr>
        <w:pStyle w:val="Nagwek3"/>
        <w:rPr>
          <w:b w:val="0"/>
          <w:noProof/>
        </w:rPr>
      </w:pPr>
      <w:r>
        <w:rPr>
          <w:noProof/>
        </w:rPr>
        <w:t xml:space="preserve">e. Workshop Package </w:t>
      </w:r>
    </w:p>
    <w:p w:rsidR="00843EC3" w:rsidRDefault="00F1079F">
      <w:pPr>
        <w:ind w:left="0" w:firstLine="0"/>
        <w:rPr>
          <w:noProof/>
        </w:rPr>
      </w:pPr>
      <w:r>
        <w:rPr>
          <w:noProof/>
        </w:rPr>
        <w:t xml:space="preserve">As indicated in section 2, the European Commission, with the support of the ENRD, provided a pack of materials to support the organisation of participatory workshops with rural stakeholders. National Rural Networks (NRNs), Local Action Groups (LAGs), Europe Direct Centres, local authorities, citizens and community groups have contributed to the European Commission’s development of a Long-Term Vision for Rural Areas (LTVRA) via this consultation stream. </w:t>
      </w:r>
    </w:p>
    <w:p w:rsidR="00843EC3" w:rsidRDefault="00F1079F">
      <w:pPr>
        <w:rPr>
          <w:noProof/>
        </w:rPr>
      </w:pPr>
      <w:r>
        <w:rPr>
          <w:noProof/>
        </w:rPr>
        <w:t xml:space="preserve">The package was available from November 2020, and in order to meet the legislative timetable, the workshops had to be completed by the first week of February 2021. Despite this very short time frame, there was an impressive response from local stakeholders, with workshops organised </w:t>
      </w:r>
      <w:r>
        <w:rPr>
          <w:b/>
          <w:bCs/>
          <w:noProof/>
        </w:rPr>
        <w:t xml:space="preserve">in 19 Member States </w:t>
      </w:r>
      <w:r>
        <w:rPr>
          <w:noProof/>
        </w:rPr>
        <w:t xml:space="preserve">and </w:t>
      </w:r>
      <w:r>
        <w:rPr>
          <w:b/>
          <w:bCs/>
          <w:noProof/>
        </w:rPr>
        <w:t xml:space="preserve">170 contributions received, </w:t>
      </w:r>
      <w:r>
        <w:rPr>
          <w:noProof/>
        </w:rPr>
        <w:t xml:space="preserve">involving more than </w:t>
      </w:r>
      <w:r>
        <w:rPr>
          <w:b/>
          <w:bCs/>
          <w:noProof/>
        </w:rPr>
        <w:t>3 000 rural citizens as active participants</w:t>
      </w:r>
      <w:r>
        <w:rPr>
          <w:noProof/>
        </w:rPr>
        <w:t xml:space="preserve">. </w:t>
      </w:r>
    </w:p>
    <w:p w:rsidR="00843EC3" w:rsidRDefault="00F1079F">
      <w:pPr>
        <w:spacing w:after="234"/>
        <w:ind w:left="-5" w:right="13"/>
        <w:rPr>
          <w:noProof/>
        </w:rPr>
      </w:pPr>
      <w:r>
        <w:rPr>
          <w:noProof/>
          <w:color w:val="auto"/>
        </w:rPr>
        <w:t>An overview produced by the ENRD of key messages which emerged from the stakeholder workshops on the Rural Vision is included in annex 2.</w:t>
      </w:r>
    </w:p>
    <w:p w:rsidR="00843EC3" w:rsidRDefault="00F1079F">
      <w:pPr>
        <w:pStyle w:val="Nagwek3"/>
        <w:rPr>
          <w:noProof/>
        </w:rPr>
      </w:pPr>
      <w:r>
        <w:rPr>
          <w:noProof/>
        </w:rPr>
        <w:t xml:space="preserve">f. Rural Vision Week </w:t>
      </w:r>
    </w:p>
    <w:p w:rsidR="00843EC3" w:rsidRDefault="00F1079F">
      <w:pPr>
        <w:spacing w:after="120"/>
        <w:rPr>
          <w:noProof/>
          <w:color w:val="auto"/>
        </w:rPr>
      </w:pPr>
      <w:r>
        <w:rPr>
          <w:noProof/>
        </w:rPr>
        <w:t>The participatory week-long conference (organised by ENRD in close cooperation with the European Commission</w:t>
      </w:r>
      <w:r>
        <w:rPr>
          <w:b/>
          <w:bCs/>
          <w:noProof/>
        </w:rPr>
        <w:t>): “</w:t>
      </w:r>
      <w:r>
        <w:rPr>
          <w:b/>
          <w:bCs/>
          <w:i/>
          <w:iCs/>
          <w:noProof/>
        </w:rPr>
        <w:t>Rural Vision Week: Imagining the future of Europe’s rural areas”</w:t>
      </w:r>
      <w:r>
        <w:rPr>
          <w:noProof/>
        </w:rPr>
        <w:t xml:space="preserve"> took place as an online event from </w:t>
      </w:r>
      <w:r>
        <w:rPr>
          <w:b/>
          <w:bCs/>
          <w:noProof/>
        </w:rPr>
        <w:t xml:space="preserve">22-26 March 2021. </w:t>
      </w:r>
    </w:p>
    <w:p w:rsidR="00843EC3" w:rsidRDefault="00F1079F">
      <w:pPr>
        <w:spacing w:after="120"/>
        <w:ind w:left="20"/>
        <w:rPr>
          <w:bCs/>
          <w:noProof/>
          <w:color w:val="auto"/>
          <w:szCs w:val="24"/>
        </w:rPr>
      </w:pPr>
      <w:r>
        <w:rPr>
          <w:bCs/>
          <w:noProof/>
          <w:szCs w:val="24"/>
        </w:rPr>
        <w:t xml:space="preserve">The participatory discussions throughout the event were organised around two key questions: </w:t>
      </w:r>
    </w:p>
    <w:p w:rsidR="00843EC3" w:rsidRDefault="00F1079F">
      <w:pPr>
        <w:pStyle w:val="Akapitzlist"/>
        <w:numPr>
          <w:ilvl w:val="0"/>
          <w:numId w:val="11"/>
        </w:numPr>
        <w:spacing w:after="120" w:line="276" w:lineRule="auto"/>
        <w:rPr>
          <w:rFonts w:cs="Times New Roman"/>
          <w:bCs/>
          <w:i/>
          <w:noProof/>
          <w:szCs w:val="24"/>
        </w:rPr>
      </w:pPr>
      <w:r>
        <w:rPr>
          <w:rFonts w:cs="Times New Roman"/>
          <w:bCs/>
          <w:i/>
          <w:noProof/>
          <w:szCs w:val="24"/>
        </w:rPr>
        <w:t xml:space="preserve">What are the key ideas that should be in the vision; and </w:t>
      </w:r>
    </w:p>
    <w:p w:rsidR="00843EC3" w:rsidRDefault="00F1079F">
      <w:pPr>
        <w:pStyle w:val="Akapitzlist"/>
        <w:numPr>
          <w:ilvl w:val="0"/>
          <w:numId w:val="11"/>
        </w:numPr>
        <w:spacing w:after="120" w:line="276" w:lineRule="auto"/>
        <w:rPr>
          <w:rFonts w:cs="Times New Roman"/>
          <w:bCs/>
          <w:i/>
          <w:noProof/>
          <w:szCs w:val="24"/>
        </w:rPr>
      </w:pPr>
      <w:r>
        <w:rPr>
          <w:rFonts w:cs="Times New Roman"/>
          <w:bCs/>
          <w:i/>
          <w:noProof/>
          <w:szCs w:val="24"/>
        </w:rPr>
        <w:t>What are the key changes/conditions needed to get to the vision from where we are today.</w:t>
      </w:r>
    </w:p>
    <w:p w:rsidR="00843EC3" w:rsidRDefault="00F1079F">
      <w:pPr>
        <w:spacing w:after="120"/>
        <w:rPr>
          <w:noProof/>
          <w:lang w:val="en-IE"/>
        </w:rPr>
      </w:pPr>
      <w:r>
        <w:rPr>
          <w:noProof/>
          <w:lang w:val="en-IE"/>
        </w:rPr>
        <w:lastRenderedPageBreak/>
        <w:t>Rural Vision Week attracted a high level of interest with a total 1 365 registrations received and 600 different participants “live”. Participants from the 27 MSs and 8 non-EU countries attended. The event involved over 60 speakers, over 3 000 visits to the market-place, and over 6 000 views of the event web-page. The event also got a high level of social media coverage engaging over 13 000 people via Facebook. The diffusion of the event can also be illustrated   by the Rural Innovation Awards, which recognised EAFRD supported projects in a number of thematic areas around</w:t>
      </w:r>
      <w:r>
        <w:rPr>
          <w:rFonts w:eastAsia="Calibri"/>
          <w:i/>
          <w:iCs/>
          <w:noProof/>
          <w:lang w:val="en-IE"/>
        </w:rPr>
        <w:t xml:space="preserve"> 'Our Rural Future', li</w:t>
      </w:r>
      <w:r>
        <w:rPr>
          <w:rFonts w:eastAsia="Calibri"/>
          <w:noProof/>
          <w:lang w:val="en-IE"/>
        </w:rPr>
        <w:t xml:space="preserve">nking to the Vision, which </w:t>
      </w:r>
      <w:r>
        <w:rPr>
          <w:noProof/>
          <w:lang w:val="en-IE"/>
        </w:rPr>
        <w:t xml:space="preserve">had over 10 000 votes in the Popular Vote category. </w:t>
      </w:r>
    </w:p>
    <w:p w:rsidR="00843EC3" w:rsidRDefault="00F1079F">
      <w:pPr>
        <w:rPr>
          <w:b/>
          <w:noProof/>
        </w:rPr>
      </w:pPr>
      <w:r>
        <w:rPr>
          <w:noProof/>
        </w:rPr>
        <w:t>Presentations, recordings of plenary sessions and key messages from Rural Vision Week are available online on the ENRD website</w:t>
      </w:r>
      <w:r>
        <w:rPr>
          <w:rStyle w:val="Odwoanieprzypisudolnego"/>
          <w:noProof/>
          <w:color w:val="auto"/>
          <w:szCs w:val="24"/>
        </w:rPr>
        <w:footnoteReference w:id="12"/>
      </w:r>
      <w:r>
        <w:rPr>
          <w:noProof/>
        </w:rPr>
        <w:t>.</w:t>
      </w:r>
    </w:p>
    <w:p w:rsidR="00843EC3" w:rsidRDefault="00843EC3">
      <w:pPr>
        <w:rPr>
          <w:noProof/>
        </w:rPr>
      </w:pPr>
    </w:p>
    <w:p w:rsidR="00843EC3" w:rsidRDefault="00F1079F">
      <w:pPr>
        <w:pStyle w:val="Nagwek3"/>
        <w:rPr>
          <w:noProof/>
        </w:rPr>
      </w:pPr>
      <w:r>
        <w:rPr>
          <w:noProof/>
        </w:rPr>
        <w:t xml:space="preserve">g. Engagement with the European Parliament </w:t>
      </w:r>
    </w:p>
    <w:p w:rsidR="00843EC3" w:rsidRDefault="00F1079F">
      <w:pPr>
        <w:ind w:right="13"/>
        <w:rPr>
          <w:noProof/>
          <w:color w:val="auto"/>
        </w:rPr>
      </w:pPr>
      <w:r>
        <w:rPr>
          <w:iCs/>
          <w:noProof/>
        </w:rPr>
        <w:t xml:space="preserve">On the 29 January 2021 Robert Lins, member of the European Parliament (MEP) and chair of the </w:t>
      </w:r>
      <w:r>
        <w:rPr>
          <w:noProof/>
        </w:rPr>
        <w:t>Committee on Agriculture and Rural Development</w:t>
      </w:r>
      <w:r>
        <w:rPr>
          <w:iCs/>
          <w:noProof/>
        </w:rPr>
        <w:t xml:space="preserve">, submitted </w:t>
      </w:r>
      <w:r>
        <w:rPr>
          <w:b/>
          <w:iCs/>
          <w:noProof/>
        </w:rPr>
        <w:t xml:space="preserve">an oral question </w:t>
      </w:r>
      <w:r>
        <w:rPr>
          <w:iCs/>
          <w:noProof/>
        </w:rPr>
        <w:t>on behalf of the Committee on Agriculture and rural Development to the Commission regarding the Long-term vision for rural areas</w:t>
      </w:r>
      <w:r>
        <w:rPr>
          <w:rStyle w:val="Odwoanieprzypisudolnego"/>
          <w:iCs/>
          <w:noProof/>
        </w:rPr>
        <w:footnoteReference w:id="13"/>
      </w:r>
      <w:r>
        <w:rPr>
          <w:iCs/>
          <w:noProof/>
        </w:rPr>
        <w:t xml:space="preserve">. The main issues raised in the oral question refer to the coordination between the different EU policies involved; the involvement of regional and local rural authorities; the harmonisation of the </w:t>
      </w:r>
      <w:r>
        <w:rPr>
          <w:noProof/>
        </w:rPr>
        <w:t>CAP Strategic Plans and adaptations to the CAP instruments with the Vision; and to the funding for rural areas under the CAP and cohesion policy. Commissioner Wojciechowski provided a reply on behalf of the Commission.</w:t>
      </w:r>
    </w:p>
    <w:p w:rsidR="00843EC3" w:rsidRDefault="00F1079F">
      <w:pPr>
        <w:ind w:right="13"/>
        <w:rPr>
          <w:noProof/>
          <w:color w:val="auto"/>
        </w:rPr>
      </w:pPr>
      <w:r>
        <w:rPr>
          <w:noProof/>
          <w:color w:val="auto"/>
        </w:rPr>
        <w:t>On 4 February 2021 a “</w:t>
      </w:r>
      <w:r>
        <w:rPr>
          <w:b/>
          <w:noProof/>
          <w:color w:val="auto"/>
        </w:rPr>
        <w:t>Joint meeting of the Committee of the Regions Natural Resources Commission and the European Parliament's Agriculture Committee on a long-term vision for rural areas</w:t>
      </w:r>
      <w:r>
        <w:rPr>
          <w:noProof/>
          <w:color w:val="auto"/>
        </w:rPr>
        <w:t xml:space="preserve">” took place. Members of both institutions discussed </w:t>
      </w:r>
      <w:r>
        <w:rPr>
          <w:noProof/>
          <w:color w:val="auto"/>
        </w:rPr>
        <w:lastRenderedPageBreak/>
        <w:t>ways to boost recovery in Europe's rural areas and to enable regions to continue to play their role in the preparation and management of future CAP. MEPs and local leaders agreed that the EU’s future rural development policy must be more ambitious and contain a concrete policy framework that will be monitored and evaluated.</w:t>
      </w:r>
    </w:p>
    <w:p w:rsidR="00843EC3" w:rsidRDefault="00F1079F">
      <w:pPr>
        <w:pStyle w:val="Nagwek3"/>
        <w:rPr>
          <w:noProof/>
        </w:rPr>
      </w:pPr>
      <w:r>
        <w:rPr>
          <w:noProof/>
        </w:rPr>
        <w:t>h. Engagement with the Committee of the Regions (CoR) and with the Economic and Social Committee (EESC)</w:t>
      </w:r>
    </w:p>
    <w:p w:rsidR="00843EC3" w:rsidRDefault="00F1079F">
      <w:pPr>
        <w:rPr>
          <w:noProof/>
        </w:rPr>
      </w:pPr>
      <w:r>
        <w:rPr>
          <w:noProof/>
        </w:rPr>
        <w:t>The EESC adopted an opinion “</w:t>
      </w:r>
      <w:r>
        <w:rPr>
          <w:b/>
          <w:bCs/>
          <w:noProof/>
        </w:rPr>
        <w:t>An integrated approach for the EU’s rural areas, with particular emphasis on vulnerable regions</w:t>
      </w:r>
      <w:r>
        <w:rPr>
          <w:noProof/>
        </w:rPr>
        <w:t>” on September 2020. The CoR has also adopted an opinion on the necessary action to undertake for rural areas on December 2020, “</w:t>
      </w:r>
      <w:r>
        <w:rPr>
          <w:b/>
          <w:bCs/>
          <w:noProof/>
        </w:rPr>
        <w:t>EU Strategy for Rural Revival</w:t>
      </w:r>
      <w:r>
        <w:rPr>
          <w:noProof/>
        </w:rPr>
        <w:t>”. The European Commission referred to the Long term vision for rural areas as a way to implement a number of their requests. Besides, the European Commission has engaged in several occasions with both committees on the specific needs of rural areas and the necessary policy answer.</w:t>
      </w:r>
    </w:p>
    <w:p w:rsidR="00843EC3" w:rsidRDefault="00F1079F">
      <w:pPr>
        <w:pStyle w:val="Nagwek3"/>
        <w:rPr>
          <w:noProof/>
        </w:rPr>
      </w:pPr>
      <w:r>
        <w:rPr>
          <w:noProof/>
        </w:rPr>
        <w:t xml:space="preserve">i. Meetings of Vice-President </w:t>
      </w:r>
      <w:r>
        <w:rPr>
          <w:noProof/>
          <w:color w:val="auto"/>
        </w:rPr>
        <w:t>Šuica</w:t>
      </w:r>
      <w:r>
        <w:rPr>
          <w:noProof/>
        </w:rPr>
        <w:t xml:space="preserve"> and Commissioner Wojciechowski with key stakeholders </w:t>
      </w:r>
    </w:p>
    <w:p w:rsidR="00843EC3" w:rsidRDefault="00F1079F">
      <w:pPr>
        <w:ind w:left="-5" w:right="13"/>
        <w:rPr>
          <w:noProof/>
          <w:color w:val="auto"/>
        </w:rPr>
      </w:pPr>
      <w:r>
        <w:rPr>
          <w:noProof/>
          <w:color w:val="auto"/>
        </w:rPr>
        <w:t>Since September 2020, Vice-President Šuica and Commissioner Wojciechowski began meeting with key stakeholders engaged on the long term vision. These stakeholders’ positions echoed those expressed above.</w:t>
      </w:r>
    </w:p>
    <w:p w:rsidR="00843EC3" w:rsidRDefault="00F1079F">
      <w:pPr>
        <w:pStyle w:val="Nagwek2"/>
        <w:spacing w:after="65"/>
        <w:jc w:val="both"/>
        <w:rPr>
          <w:noProof/>
          <w:color w:val="auto"/>
        </w:rPr>
      </w:pPr>
      <w:r>
        <w:rPr>
          <w:noProof/>
          <w:color w:val="auto"/>
          <w:sz w:val="24"/>
        </w:rPr>
        <w:t>4.</w:t>
      </w:r>
      <w:r>
        <w:rPr>
          <w:rFonts w:eastAsia="Arial"/>
          <w:noProof/>
          <w:color w:val="auto"/>
          <w:sz w:val="24"/>
        </w:rPr>
        <w:t xml:space="preserve"> </w:t>
      </w:r>
      <w:r>
        <w:rPr>
          <w:noProof/>
          <w:color w:val="auto"/>
          <w:sz w:val="24"/>
        </w:rPr>
        <w:t>I</w:t>
      </w:r>
      <w:r>
        <w:rPr>
          <w:noProof/>
          <w:color w:val="auto"/>
        </w:rPr>
        <w:t xml:space="preserve">NTERDEPENDENCIES AND CONSISTENCIES IN THE CONTRIBUTIONS FROM STAKEHOLDERS </w:t>
      </w:r>
    </w:p>
    <w:p w:rsidR="00843EC3" w:rsidRDefault="00F1079F">
      <w:pPr>
        <w:ind w:left="-5" w:right="13"/>
        <w:rPr>
          <w:noProof/>
          <w:color w:val="auto"/>
        </w:rPr>
      </w:pPr>
      <w:r>
        <w:rPr>
          <w:noProof/>
          <w:color w:val="auto"/>
        </w:rPr>
        <w:t xml:space="preserve">There is a high degree of consistency between the stakeholder contributions across the different groups and between the findings emerging from each of the consultation strands. The primary concerns of stakeholder groups are listed below. </w:t>
      </w:r>
    </w:p>
    <w:p w:rsidR="00843EC3" w:rsidRDefault="00F1079F">
      <w:pPr>
        <w:pStyle w:val="Akapitzlist"/>
        <w:numPr>
          <w:ilvl w:val="0"/>
          <w:numId w:val="18"/>
        </w:numPr>
        <w:spacing w:before="120" w:after="240" w:line="257" w:lineRule="auto"/>
        <w:contextualSpacing w:val="0"/>
        <w:rPr>
          <w:rFonts w:cs="Times New Roman"/>
          <w:noProof/>
        </w:rPr>
      </w:pPr>
      <w:r>
        <w:rPr>
          <w:rFonts w:cs="Times New Roman"/>
          <w:noProof/>
          <w:szCs w:val="24"/>
          <w:u w:val="single"/>
        </w:rPr>
        <w:t>Urgent needs and challenges for rural areas</w:t>
      </w:r>
      <w:r>
        <w:rPr>
          <w:rFonts w:cs="Times New Roman"/>
          <w:i/>
          <w:noProof/>
          <w:szCs w:val="24"/>
        </w:rPr>
        <w:t xml:space="preserve">: </w:t>
      </w:r>
    </w:p>
    <w:p w:rsidR="00843EC3" w:rsidRDefault="00F1079F">
      <w:pPr>
        <w:pStyle w:val="Akapitzlist"/>
        <w:numPr>
          <w:ilvl w:val="0"/>
          <w:numId w:val="28"/>
        </w:numPr>
        <w:spacing w:after="0" w:line="257" w:lineRule="auto"/>
        <w:rPr>
          <w:rFonts w:cs="Times New Roman"/>
          <w:noProof/>
        </w:rPr>
      </w:pPr>
      <w:r>
        <w:rPr>
          <w:rFonts w:cs="Times New Roman"/>
          <w:b/>
          <w:noProof/>
        </w:rPr>
        <w:t>Infrastructure</w:t>
      </w:r>
      <w:r>
        <w:rPr>
          <w:rFonts w:cs="Times New Roman"/>
          <w:noProof/>
        </w:rPr>
        <w:t xml:space="preserve">; transport infrastructure and connectivity infrastructure. </w:t>
      </w:r>
    </w:p>
    <w:p w:rsidR="00843EC3" w:rsidRDefault="00F1079F">
      <w:pPr>
        <w:pStyle w:val="Akapitzlist"/>
        <w:numPr>
          <w:ilvl w:val="0"/>
          <w:numId w:val="28"/>
        </w:numPr>
        <w:spacing w:after="0" w:line="257" w:lineRule="auto"/>
        <w:rPr>
          <w:rFonts w:cs="Times New Roman"/>
          <w:noProof/>
        </w:rPr>
      </w:pPr>
      <w:r>
        <w:rPr>
          <w:rFonts w:cs="Times New Roman"/>
          <w:b/>
          <w:noProof/>
        </w:rPr>
        <w:t xml:space="preserve">Lack of basic services and amenities; </w:t>
      </w:r>
      <w:r>
        <w:rPr>
          <w:rFonts w:cs="Times New Roman"/>
          <w:noProof/>
        </w:rPr>
        <w:t xml:space="preserve">poor quality public services (schools, health and social care, public transport), quality education and training </w:t>
      </w:r>
      <w:r>
        <w:rPr>
          <w:rFonts w:cs="Times New Roman"/>
          <w:noProof/>
        </w:rPr>
        <w:lastRenderedPageBreak/>
        <w:t xml:space="preserve">opportunities, quality connectivity, banks, post offices and problems related to water management. </w:t>
      </w:r>
    </w:p>
    <w:p w:rsidR="00843EC3" w:rsidRDefault="00F1079F">
      <w:pPr>
        <w:pStyle w:val="Akapitzlist"/>
        <w:numPr>
          <w:ilvl w:val="0"/>
          <w:numId w:val="28"/>
        </w:numPr>
        <w:spacing w:after="0" w:line="257" w:lineRule="auto"/>
        <w:rPr>
          <w:rFonts w:cs="Times New Roman"/>
          <w:noProof/>
        </w:rPr>
      </w:pPr>
      <w:r>
        <w:rPr>
          <w:rFonts w:cs="Times New Roman"/>
          <w:b/>
          <w:noProof/>
        </w:rPr>
        <w:t xml:space="preserve">Lack from quality jobs and </w:t>
      </w:r>
      <w:r>
        <w:rPr>
          <w:rFonts w:cs="Times New Roman"/>
          <w:b/>
          <w:bCs/>
          <w:noProof/>
          <w:lang w:val="en-US"/>
        </w:rPr>
        <w:t>quality jobs opportunities</w:t>
      </w:r>
      <w:r>
        <w:rPr>
          <w:rFonts w:cs="Times New Roman"/>
          <w:bCs/>
          <w:noProof/>
          <w:lang w:val="en-US"/>
        </w:rPr>
        <w:t xml:space="preserve">. </w:t>
      </w:r>
    </w:p>
    <w:p w:rsidR="00843EC3" w:rsidRDefault="00F1079F">
      <w:pPr>
        <w:pStyle w:val="Akapitzlist"/>
        <w:numPr>
          <w:ilvl w:val="0"/>
          <w:numId w:val="28"/>
        </w:numPr>
        <w:spacing w:after="0" w:line="257" w:lineRule="auto"/>
        <w:rPr>
          <w:rFonts w:cs="Times New Roman"/>
          <w:noProof/>
        </w:rPr>
      </w:pPr>
      <w:r>
        <w:rPr>
          <w:rFonts w:cs="Times New Roman"/>
          <w:noProof/>
        </w:rPr>
        <w:t>Low-income levels.</w:t>
      </w:r>
    </w:p>
    <w:p w:rsidR="00843EC3" w:rsidRDefault="00F1079F">
      <w:pPr>
        <w:pStyle w:val="Akapitzlist"/>
        <w:numPr>
          <w:ilvl w:val="0"/>
          <w:numId w:val="28"/>
        </w:numPr>
        <w:spacing w:after="0" w:line="257" w:lineRule="auto"/>
        <w:rPr>
          <w:rFonts w:cs="Times New Roman"/>
          <w:noProof/>
          <w:lang w:val="en-US"/>
        </w:rPr>
      </w:pPr>
      <w:r>
        <w:rPr>
          <w:rFonts w:cs="Times New Roman"/>
          <w:noProof/>
          <w:lang w:val="en-US"/>
        </w:rPr>
        <w:t>Limited generational renewal in agriculture.</w:t>
      </w:r>
    </w:p>
    <w:p w:rsidR="00843EC3" w:rsidRDefault="00F1079F">
      <w:pPr>
        <w:pStyle w:val="Akapitzlist"/>
        <w:numPr>
          <w:ilvl w:val="0"/>
          <w:numId w:val="28"/>
        </w:numPr>
        <w:spacing w:after="0" w:line="257" w:lineRule="auto"/>
        <w:rPr>
          <w:rFonts w:cs="Times New Roman"/>
          <w:noProof/>
        </w:rPr>
      </w:pPr>
      <w:r>
        <w:rPr>
          <w:rFonts w:cs="Times New Roman"/>
          <w:b/>
          <w:noProof/>
          <w:lang w:val="en-US"/>
        </w:rPr>
        <w:t>Population ageing and especially dramatic population declin</w:t>
      </w:r>
      <w:r>
        <w:rPr>
          <w:rFonts w:cs="Times New Roman"/>
          <w:noProof/>
          <w:lang w:val="en-US"/>
        </w:rPr>
        <w:t>e in some rural areas</w:t>
      </w:r>
      <w:r>
        <w:rPr>
          <w:rFonts w:cs="Times New Roman"/>
          <w:noProof/>
        </w:rPr>
        <w:t xml:space="preserve">. </w:t>
      </w:r>
    </w:p>
    <w:p w:rsidR="00843EC3" w:rsidRDefault="00F1079F">
      <w:pPr>
        <w:pStyle w:val="Akapitzlist"/>
        <w:numPr>
          <w:ilvl w:val="0"/>
          <w:numId w:val="28"/>
        </w:numPr>
        <w:spacing w:after="0" w:line="257" w:lineRule="auto"/>
        <w:rPr>
          <w:rFonts w:cs="Times New Roman"/>
          <w:noProof/>
        </w:rPr>
      </w:pPr>
      <w:r>
        <w:rPr>
          <w:rFonts w:cs="Times New Roman"/>
          <w:noProof/>
        </w:rPr>
        <w:t xml:space="preserve">Insufficient and inappropriate housing for certain member states. </w:t>
      </w:r>
    </w:p>
    <w:p w:rsidR="00843EC3" w:rsidRDefault="00F1079F">
      <w:pPr>
        <w:pStyle w:val="Akapitzlist"/>
        <w:numPr>
          <w:ilvl w:val="0"/>
          <w:numId w:val="28"/>
        </w:numPr>
        <w:spacing w:after="0" w:line="257" w:lineRule="auto"/>
        <w:rPr>
          <w:rFonts w:cs="Times New Roman"/>
          <w:noProof/>
        </w:rPr>
      </w:pPr>
      <w:r>
        <w:rPr>
          <w:rFonts w:cs="Times New Roman"/>
          <w:noProof/>
        </w:rPr>
        <w:t xml:space="preserve">Threats to the </w:t>
      </w:r>
      <w:r>
        <w:rPr>
          <w:rFonts w:cs="Times New Roman"/>
          <w:b/>
          <w:noProof/>
        </w:rPr>
        <w:t>environment</w:t>
      </w:r>
      <w:r>
        <w:rPr>
          <w:rFonts w:cs="Times New Roman"/>
          <w:noProof/>
        </w:rPr>
        <w:t xml:space="preserve">. </w:t>
      </w:r>
    </w:p>
    <w:p w:rsidR="00843EC3" w:rsidRDefault="00F1079F">
      <w:pPr>
        <w:pStyle w:val="Akapitzlist"/>
        <w:numPr>
          <w:ilvl w:val="0"/>
          <w:numId w:val="28"/>
        </w:numPr>
        <w:spacing w:after="0" w:line="257" w:lineRule="auto"/>
        <w:rPr>
          <w:rFonts w:cs="Times New Roman"/>
          <w:noProof/>
        </w:rPr>
      </w:pPr>
      <w:r>
        <w:rPr>
          <w:rFonts w:eastAsia="Calibri" w:cs="Times New Roman"/>
          <w:b/>
          <w:bCs/>
          <w:noProof/>
        </w:rPr>
        <w:t>Capacity building</w:t>
      </w:r>
      <w:r>
        <w:rPr>
          <w:rFonts w:eastAsia="Calibri" w:cs="Times New Roman"/>
          <w:noProof/>
        </w:rPr>
        <w:t>: need for development of community leadership, support for community activities and networking.</w:t>
      </w:r>
    </w:p>
    <w:p w:rsidR="00843EC3" w:rsidRDefault="00F1079F">
      <w:pPr>
        <w:pStyle w:val="Akapitzlist"/>
        <w:numPr>
          <w:ilvl w:val="0"/>
          <w:numId w:val="28"/>
        </w:numPr>
        <w:spacing w:after="0" w:line="257" w:lineRule="auto"/>
        <w:rPr>
          <w:rFonts w:cs="Times New Roman"/>
          <w:noProof/>
        </w:rPr>
      </w:pPr>
      <w:r>
        <w:rPr>
          <w:rFonts w:eastAsia="Calibri" w:cs="Times New Roman"/>
          <w:b/>
          <w:bCs/>
          <w:noProof/>
        </w:rPr>
        <w:t>Lack of participation in decision-making</w:t>
      </w:r>
      <w:r>
        <w:rPr>
          <w:rFonts w:eastAsia="Calibri" w:cs="Times New Roman"/>
          <w:noProof/>
        </w:rPr>
        <w:t>: promotion of inclusion and engagement, clarified governance framework incorporating vertical and horizontal linkages.</w:t>
      </w:r>
    </w:p>
    <w:p w:rsidR="00843EC3" w:rsidRDefault="00F1079F">
      <w:pPr>
        <w:pStyle w:val="Akapitzlist"/>
        <w:numPr>
          <w:ilvl w:val="0"/>
          <w:numId w:val="18"/>
        </w:numPr>
        <w:spacing w:before="120" w:after="240" w:line="257" w:lineRule="auto"/>
        <w:ind w:right="11"/>
        <w:rPr>
          <w:rFonts w:cs="Times New Roman"/>
          <w:noProof/>
        </w:rPr>
      </w:pPr>
      <w:r>
        <w:rPr>
          <w:rFonts w:cs="Times New Roman"/>
          <w:noProof/>
          <w:u w:val="single"/>
        </w:rPr>
        <w:t>Opportunities for rural areas</w:t>
      </w:r>
      <w:r>
        <w:rPr>
          <w:rFonts w:cs="Times New Roman"/>
          <w:noProof/>
        </w:rPr>
        <w:t>:</w:t>
      </w:r>
    </w:p>
    <w:p w:rsidR="00843EC3" w:rsidRDefault="00F1079F">
      <w:pPr>
        <w:spacing w:after="0" w:line="266" w:lineRule="auto"/>
        <w:ind w:left="731" w:right="11" w:firstLine="709"/>
        <w:rPr>
          <w:noProof/>
          <w:color w:val="auto"/>
        </w:rPr>
      </w:pPr>
      <w:r>
        <w:rPr>
          <w:noProof/>
          <w:color w:val="auto"/>
        </w:rPr>
        <w:t xml:space="preserve">Economic opportunities: </w:t>
      </w:r>
    </w:p>
    <w:p w:rsidR="00843EC3" w:rsidRDefault="00F1079F">
      <w:pPr>
        <w:pStyle w:val="Akapitzlist"/>
        <w:numPr>
          <w:ilvl w:val="0"/>
          <w:numId w:val="28"/>
        </w:numPr>
        <w:spacing w:after="0" w:line="240" w:lineRule="auto"/>
        <w:ind w:right="13"/>
        <w:rPr>
          <w:rFonts w:cs="Times New Roman"/>
          <w:noProof/>
          <w:lang w:val="en-US"/>
        </w:rPr>
      </w:pPr>
      <w:r>
        <w:rPr>
          <w:rFonts w:cs="Times New Roman"/>
          <w:b/>
          <w:noProof/>
        </w:rPr>
        <w:t>Implementing and embracing innovation</w:t>
      </w:r>
      <w:r>
        <w:rPr>
          <w:rFonts w:cs="Times New Roman"/>
          <w:noProof/>
        </w:rPr>
        <w:t xml:space="preserve"> (economic innovation and social innovation, including networking to build scale).</w:t>
      </w:r>
    </w:p>
    <w:p w:rsidR="00843EC3" w:rsidRDefault="00F1079F">
      <w:pPr>
        <w:pStyle w:val="Akapitzlist"/>
        <w:numPr>
          <w:ilvl w:val="0"/>
          <w:numId w:val="28"/>
        </w:numPr>
        <w:spacing w:after="0" w:line="240" w:lineRule="auto"/>
        <w:ind w:right="13"/>
        <w:rPr>
          <w:rFonts w:cs="Times New Roman"/>
          <w:noProof/>
          <w:lang w:val="en-US"/>
        </w:rPr>
      </w:pPr>
      <w:r>
        <w:rPr>
          <w:rFonts w:cs="Times New Roman"/>
          <w:noProof/>
        </w:rPr>
        <w:t xml:space="preserve">The </w:t>
      </w:r>
      <w:r>
        <w:rPr>
          <w:rFonts w:cs="Times New Roman"/>
          <w:b/>
          <w:noProof/>
        </w:rPr>
        <w:t xml:space="preserve">green transition </w:t>
      </w:r>
      <w:r>
        <w:rPr>
          <w:rFonts w:cs="Times New Roman"/>
          <w:noProof/>
        </w:rPr>
        <w:t xml:space="preserve">and </w:t>
      </w:r>
      <w:r>
        <w:rPr>
          <w:rFonts w:cs="Times New Roman"/>
          <w:b/>
          <w:noProof/>
        </w:rPr>
        <w:t>green economy</w:t>
      </w:r>
      <w:r>
        <w:rPr>
          <w:rFonts w:cs="Times New Roman"/>
          <w:noProof/>
        </w:rPr>
        <w:t xml:space="preserve"> (including Sustainable agriculture, renewable energy, value of ecosystem services).</w:t>
      </w:r>
    </w:p>
    <w:p w:rsidR="00843EC3" w:rsidRDefault="00F1079F">
      <w:pPr>
        <w:spacing w:after="0" w:line="240" w:lineRule="auto"/>
        <w:ind w:left="1440" w:firstLine="0"/>
        <w:rPr>
          <w:noProof/>
          <w:lang w:val="en-US"/>
        </w:rPr>
      </w:pPr>
      <w:r>
        <w:rPr>
          <w:noProof/>
        </w:rPr>
        <w:t>Attractiveness:</w:t>
      </w:r>
    </w:p>
    <w:p w:rsidR="00843EC3" w:rsidRDefault="00F1079F">
      <w:pPr>
        <w:pStyle w:val="Akapitzlist"/>
        <w:numPr>
          <w:ilvl w:val="0"/>
          <w:numId w:val="28"/>
        </w:numPr>
        <w:spacing w:after="0"/>
        <w:ind w:right="13"/>
        <w:rPr>
          <w:rFonts w:cs="Times New Roman"/>
          <w:noProof/>
          <w:lang w:val="en-US"/>
        </w:rPr>
      </w:pPr>
      <w:r>
        <w:rPr>
          <w:rFonts w:cs="Times New Roman"/>
          <w:noProof/>
        </w:rPr>
        <w:t>Higher quality of life (proximity to nature).</w:t>
      </w:r>
    </w:p>
    <w:p w:rsidR="00843EC3" w:rsidRDefault="00F1079F">
      <w:pPr>
        <w:pStyle w:val="Akapitzlist"/>
        <w:numPr>
          <w:ilvl w:val="0"/>
          <w:numId w:val="28"/>
        </w:numPr>
        <w:spacing w:after="0"/>
        <w:ind w:right="13"/>
        <w:rPr>
          <w:rFonts w:cs="Times New Roman"/>
          <w:noProof/>
          <w:lang w:val="en-US"/>
        </w:rPr>
      </w:pPr>
      <w:r>
        <w:rPr>
          <w:rFonts w:cs="Times New Roman"/>
          <w:noProof/>
          <w:lang w:val="en-US"/>
        </w:rPr>
        <w:t xml:space="preserve">The </w:t>
      </w:r>
      <w:r>
        <w:rPr>
          <w:rFonts w:cs="Times New Roman"/>
          <w:b/>
          <w:noProof/>
          <w:lang w:val="en-US"/>
        </w:rPr>
        <w:t>feeling of belonging.</w:t>
      </w:r>
      <w:r>
        <w:rPr>
          <w:rFonts w:cs="Times New Roman"/>
          <w:noProof/>
          <w:lang w:val="en-US"/>
        </w:rPr>
        <w:t xml:space="preserve"> </w:t>
      </w:r>
    </w:p>
    <w:p w:rsidR="00843EC3" w:rsidRDefault="00F1079F">
      <w:pPr>
        <w:pStyle w:val="Akapitzlist"/>
        <w:numPr>
          <w:ilvl w:val="0"/>
          <w:numId w:val="28"/>
        </w:numPr>
        <w:spacing w:after="0"/>
        <w:ind w:right="13"/>
        <w:rPr>
          <w:rFonts w:cs="Times New Roman"/>
          <w:noProof/>
          <w:lang w:val="en-US"/>
        </w:rPr>
      </w:pPr>
      <w:r>
        <w:rPr>
          <w:rFonts w:cs="Times New Roman"/>
          <w:b/>
          <w:noProof/>
          <w:lang w:val="en-US"/>
        </w:rPr>
        <w:t>I</w:t>
      </w:r>
      <w:r>
        <w:rPr>
          <w:rFonts w:cs="Times New Roman"/>
          <w:b/>
          <w:noProof/>
        </w:rPr>
        <w:t>nclusion and engagement.</w:t>
      </w:r>
    </w:p>
    <w:p w:rsidR="00843EC3" w:rsidRDefault="00843EC3">
      <w:pPr>
        <w:pStyle w:val="Akapitzlist"/>
        <w:spacing w:after="0"/>
        <w:ind w:left="1800" w:right="13"/>
        <w:rPr>
          <w:rFonts w:cs="Times New Roman"/>
          <w:noProof/>
          <w:lang w:val="en-US"/>
        </w:rPr>
      </w:pPr>
    </w:p>
    <w:p w:rsidR="00843EC3" w:rsidRDefault="00F1079F">
      <w:pPr>
        <w:pStyle w:val="Nagwek2"/>
        <w:jc w:val="both"/>
        <w:rPr>
          <w:noProof/>
        </w:rPr>
      </w:pPr>
      <w:r>
        <w:rPr>
          <w:noProof/>
          <w:sz w:val="24"/>
        </w:rPr>
        <w:t>5.</w:t>
      </w:r>
      <w:r>
        <w:rPr>
          <w:rFonts w:eastAsia="Arial"/>
          <w:noProof/>
          <w:sz w:val="24"/>
        </w:rPr>
        <w:t xml:space="preserve"> </w:t>
      </w:r>
      <w:r>
        <w:rPr>
          <w:rFonts w:eastAsia="Arial"/>
          <w:noProof/>
          <w:sz w:val="24"/>
        </w:rPr>
        <w:tab/>
      </w:r>
      <w:r>
        <w:rPr>
          <w:noProof/>
          <w:sz w:val="24"/>
        </w:rPr>
        <w:t>M</w:t>
      </w:r>
      <w:r>
        <w:rPr>
          <w:noProof/>
        </w:rPr>
        <w:t>AIN MESSAGES FROM THE CONSULTATION PROCESS</w:t>
      </w:r>
    </w:p>
    <w:p w:rsidR="00843EC3" w:rsidRDefault="00F1079F">
      <w:pPr>
        <w:rPr>
          <w:noProof/>
        </w:rPr>
      </w:pPr>
      <w:r>
        <w:rPr>
          <w:noProof/>
        </w:rPr>
        <w:t>After analysing the results of consultation process listed above, it is possible to categorise the input in (i) Urgent needs and challenges for rural areas, (ii) Opportunities for rural areas, (iii) Key elements for developing the strategy and (iv) Specific actions proposed.</w:t>
      </w:r>
    </w:p>
    <w:p w:rsidR="00843EC3" w:rsidRDefault="00F1079F">
      <w:pPr>
        <w:pStyle w:val="Akapitzlist"/>
        <w:numPr>
          <w:ilvl w:val="0"/>
          <w:numId w:val="29"/>
        </w:numPr>
        <w:spacing w:before="120" w:after="120" w:line="257" w:lineRule="auto"/>
        <w:rPr>
          <w:rFonts w:cs="Times New Roman"/>
          <w:i/>
          <w:noProof/>
          <w:szCs w:val="24"/>
        </w:rPr>
      </w:pPr>
      <w:r>
        <w:rPr>
          <w:rFonts w:cs="Times New Roman"/>
          <w:noProof/>
          <w:szCs w:val="24"/>
          <w:u w:val="single"/>
        </w:rPr>
        <w:lastRenderedPageBreak/>
        <w:t>Urgent needs and challenges for rural areas</w:t>
      </w:r>
      <w:r>
        <w:rPr>
          <w:rFonts w:cs="Times New Roman"/>
          <w:i/>
          <w:noProof/>
          <w:szCs w:val="24"/>
        </w:rPr>
        <w:t>:</w:t>
      </w:r>
    </w:p>
    <w:p w:rsidR="00843EC3" w:rsidRDefault="00F1079F">
      <w:pPr>
        <w:rPr>
          <w:noProof/>
          <w:lang w:val="en-IE"/>
        </w:rPr>
      </w:pPr>
      <w:r>
        <w:rPr>
          <w:noProof/>
          <w:lang w:val="en-IE"/>
        </w:rPr>
        <w:t xml:space="preserve">Stakeholders have shown a high level of unanimity when speaking about </w:t>
      </w:r>
      <w:r>
        <w:rPr>
          <w:b/>
          <w:bCs/>
          <w:noProof/>
          <w:lang w:val="en-IE"/>
        </w:rPr>
        <w:t>infrastructure in the rural areas</w:t>
      </w:r>
      <w:r>
        <w:rPr>
          <w:noProof/>
          <w:lang w:val="en-IE"/>
        </w:rPr>
        <w:t>.</w:t>
      </w:r>
      <w:r>
        <w:rPr>
          <w:b/>
          <w:bCs/>
          <w:noProof/>
          <w:lang w:val="en-IE"/>
        </w:rPr>
        <w:t xml:space="preserve"> </w:t>
      </w:r>
      <w:r>
        <w:rPr>
          <w:noProof/>
          <w:lang w:val="en-IE"/>
        </w:rPr>
        <w:t>There is a generalised perception of lack of good quality infrastructure for several rural areas; transport infrastructure and connectivity infrastructure.</w:t>
      </w:r>
    </w:p>
    <w:p w:rsidR="00843EC3" w:rsidRDefault="00F1079F">
      <w:pPr>
        <w:rPr>
          <w:noProof/>
          <w:lang w:val="en-IE"/>
        </w:rPr>
      </w:pPr>
      <w:r>
        <w:rPr>
          <w:noProof/>
          <w:lang w:val="en-IE"/>
        </w:rPr>
        <w:t xml:space="preserve">Regarding </w:t>
      </w:r>
      <w:r>
        <w:rPr>
          <w:b/>
          <w:bCs/>
          <w:noProof/>
          <w:lang w:val="en-IE"/>
        </w:rPr>
        <w:t>connectivity</w:t>
      </w:r>
      <w:r>
        <w:rPr>
          <w:noProof/>
          <w:lang w:val="en-IE"/>
        </w:rPr>
        <w:t>, the inadequate and sometimes very poor access to digital infrastructure in a number of rural areas was highlighted. Besides, stakeholders have signalled the weak digital skills of the rural population and the low level of digital innovation in rural SMEs. These three elements affect negatively rural areas to adhere the digital transformation.</w:t>
      </w:r>
      <w:r>
        <w:rPr>
          <w:noProof/>
        </w:rPr>
        <w:tab/>
      </w:r>
    </w:p>
    <w:p w:rsidR="00843EC3" w:rsidRDefault="00F1079F">
      <w:pPr>
        <w:rPr>
          <w:noProof/>
          <w:lang w:val="en-IE"/>
        </w:rPr>
      </w:pPr>
      <w:r>
        <w:rPr>
          <w:b/>
          <w:noProof/>
        </w:rPr>
        <w:t>Lack of basic services and amenities.</w:t>
      </w:r>
      <w:r>
        <w:rPr>
          <w:noProof/>
        </w:rPr>
        <w:t xml:space="preserve"> In several rural regions key public services are deficient, services such as public transport, quality education and training opportunities, banks, post offices and problems related to water management. Most of the consultation </w:t>
      </w:r>
      <w:r>
        <w:rPr>
          <w:noProof/>
          <w:lang w:val="en-IE"/>
        </w:rPr>
        <w:t>streams have highlighted the problem of poor quality public services, schools, health and social care, problems that intensify in the more remote is the rural area.</w:t>
      </w:r>
    </w:p>
    <w:p w:rsidR="00843EC3" w:rsidRDefault="00F1079F">
      <w:pPr>
        <w:rPr>
          <w:noProof/>
        </w:rPr>
      </w:pPr>
      <w:r>
        <w:rPr>
          <w:noProof/>
          <w:lang w:val="en-IE"/>
        </w:rPr>
        <w:t xml:space="preserve">In </w:t>
      </w:r>
      <w:r>
        <w:rPr>
          <w:noProof/>
        </w:rPr>
        <w:t xml:space="preserve">certain Member States, stakeholders have also mentioned the </w:t>
      </w:r>
      <w:r>
        <w:rPr>
          <w:b/>
          <w:bCs/>
          <w:noProof/>
        </w:rPr>
        <w:t>insufficient and inappropriate housing</w:t>
      </w:r>
      <w:r>
        <w:rPr>
          <w:noProof/>
        </w:rPr>
        <w:t xml:space="preserve"> situation in rural areas to meet the current needs. For example, the lack of affordable house renting or the difficulty to find properties for sale.</w:t>
      </w:r>
    </w:p>
    <w:p w:rsidR="00843EC3" w:rsidRDefault="00F1079F">
      <w:pPr>
        <w:rPr>
          <w:noProof/>
        </w:rPr>
      </w:pPr>
      <w:r>
        <w:rPr>
          <w:noProof/>
        </w:rPr>
        <w:t xml:space="preserve">EU citizens consider </w:t>
      </w:r>
      <w:r>
        <w:rPr>
          <w:b/>
          <w:noProof/>
        </w:rPr>
        <w:t>threats to the environment</w:t>
      </w:r>
      <w:r>
        <w:rPr>
          <w:noProof/>
        </w:rPr>
        <w:t xml:space="preserve"> among the needs to address in rural areas. The most mentioned issue is the anthropogenic impact on biodiversity, water quality and climate change.</w:t>
      </w:r>
    </w:p>
    <w:p w:rsidR="00843EC3" w:rsidRDefault="00F1079F">
      <w:pPr>
        <w:rPr>
          <w:noProof/>
        </w:rPr>
      </w:pPr>
      <w:r>
        <w:rPr>
          <w:noProof/>
        </w:rPr>
        <w:t xml:space="preserve">Stakeholders consistently expressed the need for </w:t>
      </w:r>
      <w:r>
        <w:rPr>
          <w:b/>
          <w:bCs/>
          <w:noProof/>
        </w:rPr>
        <w:t>capacity building</w:t>
      </w:r>
      <w:r>
        <w:rPr>
          <w:noProof/>
        </w:rPr>
        <w:t xml:space="preserve"> to develop community leadership and support community organisations and activities. There is much existing capacity for mutual social support, but it needs support to develop, especially in areas where population is declining.</w:t>
      </w:r>
    </w:p>
    <w:p w:rsidR="00843EC3" w:rsidRDefault="00F1079F">
      <w:pPr>
        <w:rPr>
          <w:noProof/>
        </w:rPr>
      </w:pPr>
      <w:r>
        <w:rPr>
          <w:noProof/>
        </w:rPr>
        <w:t xml:space="preserve">There is a need for more </w:t>
      </w:r>
      <w:r>
        <w:rPr>
          <w:b/>
          <w:bCs/>
          <w:noProof/>
        </w:rPr>
        <w:t>participation of rural communities in the decision making</w:t>
      </w:r>
      <w:r>
        <w:rPr>
          <w:noProof/>
        </w:rPr>
        <w:t xml:space="preserve"> that affects them. This requires active measures to reach and engage all members of </w:t>
      </w:r>
      <w:r>
        <w:rPr>
          <w:noProof/>
        </w:rPr>
        <w:lastRenderedPageBreak/>
        <w:t>community, including the young and the recently arrived, and an appropriate governance framework.</w:t>
      </w:r>
    </w:p>
    <w:p w:rsidR="00843EC3" w:rsidRDefault="00F1079F">
      <w:pPr>
        <w:rPr>
          <w:noProof/>
          <w:lang w:val="en-IE"/>
        </w:rPr>
      </w:pPr>
      <w:r>
        <w:rPr>
          <w:noProof/>
        </w:rPr>
        <w:t>Economic needs and economic opportunities are key for supporting the population in rural areas. P</w:t>
      </w:r>
      <w:r>
        <w:rPr>
          <w:noProof/>
          <w:lang w:val="en-US"/>
        </w:rPr>
        <w:t>eople living in rural areas</w:t>
      </w:r>
      <w:r>
        <w:rPr>
          <w:noProof/>
        </w:rPr>
        <w:t xml:space="preserve"> lack quality jobs and </w:t>
      </w:r>
      <w:r>
        <w:rPr>
          <w:b/>
          <w:bCs/>
          <w:noProof/>
          <w:lang w:val="en-US"/>
        </w:rPr>
        <w:t xml:space="preserve">quality job opportunities. </w:t>
      </w:r>
      <w:r>
        <w:rPr>
          <w:noProof/>
          <w:lang w:val="en-US"/>
        </w:rPr>
        <w:t xml:space="preserve">Certain stakeholders have highlighted that in rural areas exploitation of regional value added is limited, including through tourism. In certain rural areas, the lack of economic diversification and economic activity creates fewer job opportunities contributing to the vicious circle. </w:t>
      </w:r>
      <w:r>
        <w:rPr>
          <w:b/>
          <w:bCs/>
          <w:noProof/>
          <w:lang w:val="en-IE"/>
        </w:rPr>
        <w:t>Lower-income levels</w:t>
      </w:r>
      <w:r>
        <w:rPr>
          <w:bCs/>
          <w:noProof/>
          <w:lang w:val="en-IE"/>
        </w:rPr>
        <w:t>, such as in the agricultural sector,</w:t>
      </w:r>
      <w:r>
        <w:rPr>
          <w:noProof/>
          <w:lang w:val="en-IE"/>
        </w:rPr>
        <w:t xml:space="preserve"> do not favour the settlement of people in rural areas, besides, they play a negative role in the lack of investment capacity of potential entrepreneurs. Efforts are needed to retain business decision making and value-added in rural areas, rather than exporting both power and profit.</w:t>
      </w:r>
    </w:p>
    <w:p w:rsidR="00843EC3" w:rsidRDefault="00F1079F">
      <w:pPr>
        <w:rPr>
          <w:noProof/>
          <w:lang w:val="en-US"/>
        </w:rPr>
      </w:pPr>
      <w:r>
        <w:rPr>
          <w:b/>
          <w:bCs/>
          <w:noProof/>
          <w:lang w:val="en-US"/>
        </w:rPr>
        <w:t>Agriculture</w:t>
      </w:r>
      <w:r>
        <w:rPr>
          <w:noProof/>
          <w:lang w:val="en-US"/>
        </w:rPr>
        <w:t xml:space="preserve"> keeps being considered as a sector ensuring the sustainability of rural areas, as well as the wider agri-food sector. However, agriculture suffers from limited </w:t>
      </w:r>
      <w:r>
        <w:rPr>
          <w:b/>
          <w:bCs/>
          <w:noProof/>
          <w:lang w:val="en-US"/>
        </w:rPr>
        <w:t>generational renewal</w:t>
      </w:r>
      <w:r>
        <w:rPr>
          <w:noProof/>
          <w:lang w:val="en-US"/>
        </w:rPr>
        <w:t xml:space="preserve"> and is endangered by the viability of small farms. There is a recognised need for agriculture to become more sustainable.</w:t>
      </w:r>
    </w:p>
    <w:p w:rsidR="00843EC3" w:rsidRDefault="00F1079F">
      <w:pPr>
        <w:rPr>
          <w:noProof/>
          <w:lang w:val="en-IE"/>
        </w:rPr>
      </w:pPr>
      <w:r>
        <w:rPr>
          <w:noProof/>
          <w:lang w:val="en-US"/>
        </w:rPr>
        <w:t xml:space="preserve">Rural areas suffer from demographic changes such as </w:t>
      </w:r>
      <w:r>
        <w:rPr>
          <w:b/>
          <w:noProof/>
          <w:lang w:val="en-US"/>
        </w:rPr>
        <w:t>population ageing and especially dramatic population declin</w:t>
      </w:r>
      <w:r>
        <w:rPr>
          <w:noProof/>
          <w:lang w:val="en-US"/>
        </w:rPr>
        <w:t>e in some rural areas.</w:t>
      </w:r>
      <w:r>
        <w:rPr>
          <w:noProof/>
          <w:lang w:val="en-IE"/>
        </w:rPr>
        <w:t xml:space="preserve"> Regions at risk should be identified and measures that look for territorial rebalancing should be adopted. Some stakeholders support positive discrimination measures for regions suffering from depopulation. Innovative approaches to service provision are required, particularly in these areas.</w:t>
      </w:r>
    </w:p>
    <w:p w:rsidR="00843EC3" w:rsidRDefault="00F1079F">
      <w:pPr>
        <w:rPr>
          <w:noProof/>
          <w:lang w:val="en-US"/>
        </w:rPr>
      </w:pPr>
      <w:r>
        <w:rPr>
          <w:noProof/>
          <w:lang w:val="en-US"/>
        </w:rPr>
        <w:t xml:space="preserve">It should be highlighted that </w:t>
      </w:r>
      <w:r>
        <w:rPr>
          <w:b/>
          <w:bCs/>
          <w:noProof/>
          <w:lang w:val="en-US"/>
        </w:rPr>
        <w:t xml:space="preserve">more than 40% of the respondents of the OPC living in rural areas feel left behind </w:t>
      </w:r>
      <w:r>
        <w:rPr>
          <w:noProof/>
          <w:lang w:val="en-US"/>
        </w:rPr>
        <w:t>by society</w:t>
      </w:r>
      <w:r>
        <w:rPr>
          <w:b/>
          <w:bCs/>
          <w:noProof/>
          <w:lang w:val="en-US"/>
        </w:rPr>
        <w:t xml:space="preserve">; </w:t>
      </w:r>
      <w:r>
        <w:rPr>
          <w:noProof/>
          <w:lang w:val="en-US"/>
        </w:rPr>
        <w:t>the share is higher among citizens living in remote rural areas. The reasons for this perception from rural citizens refer to: deteriorated infrastructure and services; lack of economic opportunities; no consideration of specific needs in political decision-making.</w:t>
      </w:r>
    </w:p>
    <w:p w:rsidR="00843EC3" w:rsidRDefault="00F1079F">
      <w:pPr>
        <w:pStyle w:val="Akapitzlist"/>
        <w:numPr>
          <w:ilvl w:val="0"/>
          <w:numId w:val="29"/>
        </w:numPr>
        <w:spacing w:before="240" w:after="120"/>
        <w:rPr>
          <w:rFonts w:cs="Times New Roman"/>
          <w:noProof/>
          <w:szCs w:val="24"/>
          <w:u w:val="single"/>
        </w:rPr>
      </w:pPr>
      <w:r>
        <w:rPr>
          <w:rFonts w:cs="Times New Roman"/>
          <w:noProof/>
          <w:szCs w:val="24"/>
          <w:u w:val="single"/>
        </w:rPr>
        <w:t>Opportunities for rural areas</w:t>
      </w:r>
      <w:r>
        <w:rPr>
          <w:rFonts w:cs="Times New Roman"/>
          <w:noProof/>
          <w:szCs w:val="24"/>
        </w:rPr>
        <w:t xml:space="preserve">: </w:t>
      </w:r>
    </w:p>
    <w:p w:rsidR="00843EC3" w:rsidRDefault="00F1079F">
      <w:pPr>
        <w:ind w:right="13"/>
        <w:rPr>
          <w:noProof/>
          <w:color w:val="auto"/>
        </w:rPr>
      </w:pPr>
      <w:r>
        <w:rPr>
          <w:noProof/>
          <w:color w:val="auto"/>
        </w:rPr>
        <w:lastRenderedPageBreak/>
        <w:t>Economic opportunities:</w:t>
      </w:r>
    </w:p>
    <w:p w:rsidR="00843EC3" w:rsidRDefault="00F1079F">
      <w:pPr>
        <w:pStyle w:val="Akapitzlist"/>
        <w:numPr>
          <w:ilvl w:val="0"/>
          <w:numId w:val="26"/>
        </w:numPr>
        <w:spacing w:after="120" w:line="240" w:lineRule="auto"/>
        <w:ind w:right="13"/>
        <w:rPr>
          <w:rFonts w:cs="Times New Roman"/>
          <w:noProof/>
          <w:lang w:val="en-US"/>
        </w:rPr>
      </w:pPr>
      <w:r>
        <w:rPr>
          <w:rFonts w:cs="Times New Roman"/>
          <w:b/>
          <w:bCs/>
          <w:noProof/>
          <w:lang w:val="en-US"/>
        </w:rPr>
        <w:t>Agriculture</w:t>
      </w:r>
      <w:r>
        <w:rPr>
          <w:rFonts w:cs="Times New Roman"/>
          <w:noProof/>
          <w:lang w:val="en-US"/>
        </w:rPr>
        <w:t xml:space="preserve"> </w:t>
      </w:r>
      <w:r>
        <w:rPr>
          <w:rFonts w:cs="Times New Roman"/>
          <w:b/>
          <w:bCs/>
          <w:noProof/>
          <w:lang w:val="en-US"/>
        </w:rPr>
        <w:t xml:space="preserve">is seen as ensuring sustainability </w:t>
      </w:r>
      <w:r>
        <w:rPr>
          <w:rFonts w:cs="Times New Roman"/>
          <w:noProof/>
          <w:lang w:val="en-US"/>
        </w:rPr>
        <w:t xml:space="preserve">through job creation, access to affordable high-quality food and maintenance of rural landscapes. </w:t>
      </w:r>
      <w:r>
        <w:rPr>
          <w:rFonts w:cs="Times New Roman"/>
          <w:noProof/>
        </w:rPr>
        <w:t xml:space="preserve">While rural areas are more than agriculture, agriculture still plays a key role in the rural fabric. </w:t>
      </w:r>
      <w:r>
        <w:rPr>
          <w:rFonts w:cs="Times New Roman"/>
          <w:b/>
          <w:bCs/>
          <w:noProof/>
        </w:rPr>
        <w:t>Sustainable agriculture</w:t>
      </w:r>
      <w:r>
        <w:rPr>
          <w:rFonts w:cs="Times New Roman"/>
          <w:noProof/>
        </w:rPr>
        <w:t xml:space="preserve"> plays an important role in the transition to the green economy, and in ensuring resilience in rural areas. In the future, agriculture should be more sustainable, have stronger local connections (short supply chains) and diverse value chains. Besides, there is a need to keep investing in the training of the next generation of farmers and experts in 'geographical indications' (GIs) that can take over the activities since generational renewal is at risk. </w:t>
      </w:r>
    </w:p>
    <w:p w:rsidR="00843EC3" w:rsidRDefault="00F1079F">
      <w:pPr>
        <w:pStyle w:val="Akapitzlist"/>
        <w:numPr>
          <w:ilvl w:val="0"/>
          <w:numId w:val="26"/>
        </w:numPr>
        <w:spacing w:after="120" w:line="240" w:lineRule="auto"/>
        <w:rPr>
          <w:rFonts w:cs="Times New Roman"/>
          <w:noProof/>
        </w:rPr>
      </w:pPr>
      <w:r>
        <w:rPr>
          <w:rFonts w:cs="Times New Roman"/>
          <w:b/>
          <w:bCs/>
          <w:noProof/>
        </w:rPr>
        <w:t>Implementing and embracing innovation</w:t>
      </w:r>
      <w:r>
        <w:rPr>
          <w:rFonts w:cs="Times New Roman"/>
          <w:noProof/>
        </w:rPr>
        <w:t xml:space="preserve"> in all aspects is key for the future of rural areas – digital, production, social, community-led – is essential. Social innovations – community-led and community-based – are particularly relevant for rural areas, and need to be re-enforced and fostered for the future. Access to economic opportunities is seen as one of the main factors for attractive areas in the long term. </w:t>
      </w:r>
    </w:p>
    <w:p w:rsidR="00843EC3" w:rsidRDefault="00F1079F">
      <w:pPr>
        <w:spacing w:after="120" w:line="240" w:lineRule="auto"/>
        <w:ind w:left="0" w:firstLine="0"/>
        <w:rPr>
          <w:noProof/>
          <w:szCs w:val="24"/>
        </w:rPr>
      </w:pPr>
      <w:r>
        <w:rPr>
          <w:noProof/>
          <w:szCs w:val="24"/>
        </w:rPr>
        <w:t xml:space="preserve">The green transition: </w:t>
      </w:r>
    </w:p>
    <w:p w:rsidR="00843EC3" w:rsidRDefault="00F1079F">
      <w:pPr>
        <w:pStyle w:val="Akapitzlist"/>
        <w:numPr>
          <w:ilvl w:val="0"/>
          <w:numId w:val="27"/>
        </w:numPr>
        <w:spacing w:after="120" w:line="240" w:lineRule="auto"/>
        <w:rPr>
          <w:rFonts w:cs="Times New Roman"/>
          <w:b/>
          <w:noProof/>
          <w:szCs w:val="24"/>
        </w:rPr>
      </w:pPr>
      <w:r>
        <w:rPr>
          <w:rFonts w:cs="Times New Roman"/>
          <w:noProof/>
          <w:szCs w:val="24"/>
        </w:rPr>
        <w:t>The green transition should be seen as a benefit, not a burden. Rural areas are well-placed to build on their natural assets with the increased focus on mitigating/adapting to climate change. This requires better recognition of eco-system services, and an inclusive approach that supports a fair transition.</w:t>
      </w:r>
    </w:p>
    <w:p w:rsidR="00843EC3" w:rsidRDefault="00F1079F">
      <w:pPr>
        <w:ind w:right="13" w:firstLine="0"/>
        <w:rPr>
          <w:noProof/>
          <w:color w:val="auto"/>
          <w:lang w:val="en-US"/>
        </w:rPr>
      </w:pPr>
      <w:r>
        <w:rPr>
          <w:noProof/>
          <w:color w:val="auto"/>
          <w:lang w:val="en-US"/>
        </w:rPr>
        <w:t xml:space="preserve">Services and connectivity: </w:t>
      </w:r>
    </w:p>
    <w:p w:rsidR="00843EC3" w:rsidRDefault="00F1079F">
      <w:pPr>
        <w:pStyle w:val="Akapitzlist"/>
        <w:numPr>
          <w:ilvl w:val="0"/>
          <w:numId w:val="27"/>
        </w:numPr>
        <w:ind w:right="13"/>
        <w:rPr>
          <w:rFonts w:cs="Times New Roman"/>
          <w:noProof/>
        </w:rPr>
      </w:pPr>
      <w:r>
        <w:rPr>
          <w:rFonts w:cs="Times New Roman"/>
          <w:noProof/>
          <w:lang w:val="en-US"/>
        </w:rPr>
        <w:t xml:space="preserve">The </w:t>
      </w:r>
      <w:r>
        <w:rPr>
          <w:rFonts w:cs="Times New Roman"/>
          <w:b/>
          <w:bCs/>
          <w:noProof/>
          <w:lang w:val="en-US"/>
        </w:rPr>
        <w:t>attractiveness of rural areas is conditioned by multiple factors</w:t>
      </w:r>
      <w:r>
        <w:rPr>
          <w:rFonts w:cs="Times New Roman"/>
          <w:noProof/>
          <w:lang w:val="en-US"/>
        </w:rPr>
        <w:t>, especially by the provision of (e-)services (health and education), a better internet connectivity and more people living in rural areas.</w:t>
      </w:r>
      <w:r>
        <w:rPr>
          <w:rFonts w:cs="Times New Roman"/>
          <w:noProof/>
        </w:rPr>
        <w:t xml:space="preserve"> </w:t>
      </w:r>
      <w:r>
        <w:rPr>
          <w:rFonts w:cs="Times New Roman"/>
          <w:noProof/>
          <w:lang w:val="en-US"/>
        </w:rPr>
        <w:t xml:space="preserve">Access to </w:t>
      </w:r>
      <w:r>
        <w:rPr>
          <w:rFonts w:cs="Times New Roman"/>
          <w:b/>
          <w:bCs/>
          <w:noProof/>
          <w:lang w:val="en-US"/>
        </w:rPr>
        <w:t xml:space="preserve">care facilities </w:t>
      </w:r>
      <w:r>
        <w:rPr>
          <w:rFonts w:cs="Times New Roman"/>
          <w:bCs/>
          <w:noProof/>
          <w:lang w:val="en-US"/>
        </w:rPr>
        <w:t xml:space="preserve">is seen as one of the </w:t>
      </w:r>
      <w:r>
        <w:rPr>
          <w:rFonts w:cs="Times New Roman"/>
          <w:noProof/>
          <w:lang w:val="en-US"/>
        </w:rPr>
        <w:t xml:space="preserve">main factors for attractive areas in the long term. </w:t>
      </w:r>
    </w:p>
    <w:p w:rsidR="00843EC3" w:rsidRDefault="00F1079F">
      <w:pPr>
        <w:pStyle w:val="Akapitzlist"/>
        <w:numPr>
          <w:ilvl w:val="0"/>
          <w:numId w:val="27"/>
        </w:numPr>
        <w:ind w:right="13"/>
        <w:rPr>
          <w:rFonts w:cs="Times New Roman"/>
          <w:noProof/>
        </w:rPr>
      </w:pPr>
      <w:r>
        <w:rPr>
          <w:rFonts w:cs="Times New Roman"/>
          <w:b/>
          <w:noProof/>
          <w:szCs w:val="24"/>
        </w:rPr>
        <w:t>Innovative and alternative mobility approaches</w:t>
      </w:r>
      <w:r>
        <w:rPr>
          <w:rFonts w:cs="Times New Roman"/>
          <w:noProof/>
          <w:szCs w:val="24"/>
        </w:rPr>
        <w:t xml:space="preserve"> can reduce costs and climate impact, and improve accessibility.</w:t>
      </w:r>
    </w:p>
    <w:p w:rsidR="00843EC3" w:rsidRDefault="00F1079F">
      <w:pPr>
        <w:ind w:right="13"/>
        <w:rPr>
          <w:noProof/>
          <w:color w:val="auto"/>
        </w:rPr>
      </w:pPr>
      <w:r>
        <w:rPr>
          <w:noProof/>
          <w:color w:val="auto"/>
        </w:rPr>
        <w:t>Attractiveness:</w:t>
      </w:r>
    </w:p>
    <w:p w:rsidR="00843EC3" w:rsidRDefault="00F1079F">
      <w:pPr>
        <w:pStyle w:val="Akapitzlist"/>
        <w:numPr>
          <w:ilvl w:val="0"/>
          <w:numId w:val="27"/>
        </w:numPr>
        <w:ind w:right="13"/>
        <w:rPr>
          <w:rFonts w:cs="Times New Roman"/>
          <w:noProof/>
          <w:lang w:val="en-US"/>
        </w:rPr>
      </w:pPr>
      <w:r>
        <w:rPr>
          <w:rFonts w:cs="Times New Roman"/>
          <w:noProof/>
        </w:rPr>
        <w:lastRenderedPageBreak/>
        <w:t xml:space="preserve">Higher quality of life, proximity to nature and sense of belonging are among the </w:t>
      </w:r>
      <w:r>
        <w:rPr>
          <w:rFonts w:cs="Times New Roman"/>
          <w:b/>
          <w:bCs/>
          <w:noProof/>
        </w:rPr>
        <w:t>multiple reasons so stay or settle in a rural areas.</w:t>
      </w:r>
    </w:p>
    <w:p w:rsidR="00843EC3" w:rsidRDefault="00F1079F">
      <w:pPr>
        <w:pStyle w:val="Akapitzlist"/>
        <w:numPr>
          <w:ilvl w:val="0"/>
          <w:numId w:val="27"/>
        </w:numPr>
        <w:ind w:right="13"/>
        <w:rPr>
          <w:rFonts w:cs="Times New Roman"/>
          <w:noProof/>
          <w:lang w:val="en-US"/>
        </w:rPr>
      </w:pPr>
      <w:r>
        <w:rPr>
          <w:rFonts w:cs="Times New Roman"/>
          <w:noProof/>
          <w:lang w:val="en-US"/>
        </w:rPr>
        <w:t xml:space="preserve">The importance of the </w:t>
      </w:r>
      <w:r>
        <w:rPr>
          <w:rFonts w:cs="Times New Roman"/>
          <w:b/>
          <w:noProof/>
          <w:lang w:val="en-US"/>
        </w:rPr>
        <w:t>feeling of belonging</w:t>
      </w:r>
      <w:r>
        <w:rPr>
          <w:rFonts w:cs="Times New Roman"/>
          <w:noProof/>
          <w:lang w:val="en-US"/>
        </w:rPr>
        <w:t xml:space="preserve"> is a key element of attractiveness for rural areas. </w:t>
      </w:r>
      <w:r>
        <w:rPr>
          <w:rFonts w:cs="Times New Roman"/>
          <w:noProof/>
          <w:szCs w:val="24"/>
        </w:rPr>
        <w:t xml:space="preserve">Rural areas in 2040 should be open and making everyone feel included whatever their ethnic group, gender, age, disability, origin. This requires working on the needs of both newcomers and current residents. </w:t>
      </w:r>
    </w:p>
    <w:p w:rsidR="00843EC3" w:rsidRDefault="00F1079F">
      <w:pPr>
        <w:pStyle w:val="Akapitzlist"/>
        <w:numPr>
          <w:ilvl w:val="0"/>
          <w:numId w:val="27"/>
        </w:numPr>
        <w:ind w:right="13"/>
        <w:rPr>
          <w:rFonts w:cs="Times New Roman"/>
          <w:noProof/>
          <w:lang w:val="en-US"/>
        </w:rPr>
      </w:pPr>
      <w:r>
        <w:rPr>
          <w:rFonts w:cs="Times New Roman"/>
          <w:noProof/>
          <w:lang w:val="en-US"/>
        </w:rPr>
        <w:t>The importance of preserving the “rural” character was also highlighted (</w:t>
      </w:r>
      <w:r>
        <w:rPr>
          <w:rFonts w:cs="Times New Roman"/>
          <w:i/>
          <w:noProof/>
          <w:lang w:val="en-US"/>
        </w:rPr>
        <w:t>"the rural should stay rural").</w:t>
      </w:r>
    </w:p>
    <w:p w:rsidR="00843EC3" w:rsidRDefault="00F1079F">
      <w:pPr>
        <w:pStyle w:val="Akapitzlist"/>
        <w:numPr>
          <w:ilvl w:val="0"/>
          <w:numId w:val="27"/>
        </w:numPr>
        <w:ind w:right="13"/>
        <w:rPr>
          <w:rFonts w:cs="Times New Roman"/>
          <w:noProof/>
          <w:lang w:val="en-US"/>
        </w:rPr>
      </w:pPr>
      <w:r>
        <w:rPr>
          <w:rFonts w:cs="Times New Roman"/>
          <w:noProof/>
          <w:lang w:val="en-US"/>
        </w:rPr>
        <w:t>The appreciation of rural areas further to the pandemic (</w:t>
      </w:r>
      <w:r>
        <w:rPr>
          <w:noProof/>
        </w:rPr>
        <w:t>less crowded, less contamination; teleworking allowing to work from the courtside)</w:t>
      </w:r>
    </w:p>
    <w:p w:rsidR="00843EC3" w:rsidRDefault="00F1079F">
      <w:pPr>
        <w:spacing w:after="120" w:line="240" w:lineRule="auto"/>
        <w:rPr>
          <w:b/>
          <w:i/>
          <w:noProof/>
          <w:color w:val="auto"/>
          <w:szCs w:val="24"/>
        </w:rPr>
      </w:pPr>
      <w:r>
        <w:rPr>
          <w:noProof/>
          <w:szCs w:val="24"/>
        </w:rPr>
        <w:t xml:space="preserve">Further to the analysis of the opportunities and needs highlighted, a key element for rural areas is to </w:t>
      </w:r>
      <w:r>
        <w:rPr>
          <w:b/>
          <w:noProof/>
          <w:szCs w:val="24"/>
        </w:rPr>
        <w:t>enhance their resilience</w:t>
      </w:r>
      <w:r>
        <w:rPr>
          <w:noProof/>
          <w:szCs w:val="24"/>
        </w:rPr>
        <w:t>, which means rural areas have to go towards a fair, green and inclusive transition</w:t>
      </w:r>
      <w:r>
        <w:rPr>
          <w:b/>
          <w:noProof/>
          <w:szCs w:val="24"/>
        </w:rPr>
        <w:t>.</w:t>
      </w:r>
      <w:r>
        <w:rPr>
          <w:b/>
          <w:i/>
          <w:noProof/>
        </w:rPr>
        <w:t xml:space="preserve"> </w:t>
      </w:r>
      <w:r>
        <w:rPr>
          <w:noProof/>
          <w:szCs w:val="24"/>
        </w:rPr>
        <w:t xml:space="preserve">Being resilient includes social, green and economic elements. Stakeholders consider that smart specialisation can add value, however much emphasis is placed on diversity. Diversification and cooperation are important key elements of rural resilience. </w:t>
      </w:r>
    </w:p>
    <w:p w:rsidR="00843EC3" w:rsidRDefault="00F1079F">
      <w:pPr>
        <w:pStyle w:val="Akapitzlist"/>
        <w:numPr>
          <w:ilvl w:val="0"/>
          <w:numId w:val="29"/>
        </w:numPr>
        <w:spacing w:before="240" w:after="120" w:line="257" w:lineRule="auto"/>
        <w:rPr>
          <w:rFonts w:cs="Times New Roman"/>
          <w:noProof/>
          <w:sz w:val="28"/>
          <w:szCs w:val="24"/>
          <w:u w:val="single"/>
        </w:rPr>
      </w:pPr>
      <w:r>
        <w:rPr>
          <w:rFonts w:cs="Times New Roman"/>
          <w:noProof/>
          <w:u w:val="single"/>
        </w:rPr>
        <w:t>Key elements for the strategy</w:t>
      </w:r>
      <w:r>
        <w:rPr>
          <w:rFonts w:cs="Times New Roman"/>
          <w:noProof/>
        </w:rPr>
        <w:t xml:space="preserve">: </w:t>
      </w:r>
    </w:p>
    <w:p w:rsidR="00843EC3" w:rsidRDefault="00F1079F">
      <w:pPr>
        <w:spacing w:after="120" w:line="240" w:lineRule="auto"/>
        <w:ind w:left="0" w:firstLine="0"/>
        <w:contextualSpacing/>
        <w:rPr>
          <w:noProof/>
          <w:color w:val="auto"/>
          <w:lang w:val="en-IE" w:eastAsia="en-US"/>
        </w:rPr>
      </w:pPr>
      <w:r>
        <w:rPr>
          <w:noProof/>
          <w:color w:val="auto"/>
          <w:lang w:eastAsia="en-US"/>
        </w:rPr>
        <w:t>The different consultation processes have stressed the need of</w:t>
      </w:r>
      <w:r>
        <w:rPr>
          <w:b/>
          <w:i/>
          <w:noProof/>
          <w:color w:val="auto"/>
          <w:lang w:eastAsia="en-US"/>
        </w:rPr>
        <w:t xml:space="preserve"> </w:t>
      </w:r>
      <w:r>
        <w:rPr>
          <w:b/>
          <w:noProof/>
          <w:color w:val="auto"/>
          <w:lang w:eastAsia="en-US"/>
        </w:rPr>
        <w:t>a long-term holistic strategy</w:t>
      </w:r>
      <w:r>
        <w:rPr>
          <w:b/>
          <w:bCs/>
          <w:noProof/>
          <w:color w:val="auto"/>
          <w:lang w:eastAsia="en-US"/>
        </w:rPr>
        <w:t>, at the appropriate scale, developed through bottom-up processes that engage local communities</w:t>
      </w:r>
      <w:r>
        <w:rPr>
          <w:noProof/>
          <w:color w:val="auto"/>
          <w:sz w:val="22"/>
          <w:lang w:eastAsia="en-US"/>
        </w:rPr>
        <w:t>:</w:t>
      </w:r>
      <w:r>
        <w:rPr>
          <w:noProof/>
          <w:color w:val="auto"/>
          <w:lang w:val="en-IE" w:eastAsia="en-US"/>
        </w:rPr>
        <w:t xml:space="preserve"> with a holistic, inclusive, flexible and place-based approach. The participants in the consultation streams have signalled the following elements to be addressed by the Vision: </w:t>
      </w:r>
    </w:p>
    <w:p w:rsidR="00843EC3" w:rsidRDefault="00F1079F">
      <w:pPr>
        <w:pStyle w:val="Akapitzlist"/>
        <w:numPr>
          <w:ilvl w:val="0"/>
          <w:numId w:val="33"/>
        </w:numPr>
        <w:spacing w:after="120" w:line="240" w:lineRule="auto"/>
        <w:rPr>
          <w:rFonts w:cs="Times New Roman"/>
          <w:b/>
          <w:i/>
          <w:noProof/>
          <w:szCs w:val="24"/>
        </w:rPr>
      </w:pPr>
      <w:r>
        <w:rPr>
          <w:rFonts w:cs="Times New Roman"/>
          <w:b/>
          <w:noProof/>
          <w:szCs w:val="24"/>
        </w:rPr>
        <w:t>Improving access to infrastructure and services</w:t>
      </w:r>
      <w:r>
        <w:rPr>
          <w:rFonts w:cs="Times New Roman"/>
          <w:noProof/>
          <w:szCs w:val="24"/>
        </w:rPr>
        <w:t xml:space="preserve">.  Some stakeholders supported the establishment of a basic minimum (benchmark) for the availability of infrastructure/services in rural areas. </w:t>
      </w:r>
    </w:p>
    <w:p w:rsidR="00843EC3" w:rsidRDefault="00F1079F">
      <w:pPr>
        <w:pStyle w:val="Akapitzlist"/>
        <w:numPr>
          <w:ilvl w:val="0"/>
          <w:numId w:val="33"/>
        </w:numPr>
        <w:spacing w:after="120" w:line="240" w:lineRule="auto"/>
        <w:rPr>
          <w:rFonts w:cs="Times New Roman"/>
          <w:b/>
          <w:bCs/>
          <w:i/>
          <w:iCs/>
          <w:noProof/>
        </w:rPr>
      </w:pPr>
      <w:r>
        <w:rPr>
          <w:rFonts w:cs="Times New Roman"/>
          <w:b/>
          <w:bCs/>
          <w:noProof/>
        </w:rPr>
        <w:t>Job creation and support to rural entrepreneurship and innovation</w:t>
      </w:r>
      <w:r>
        <w:rPr>
          <w:rFonts w:cs="Times New Roman"/>
          <w:noProof/>
        </w:rPr>
        <w:t>.</w:t>
      </w:r>
      <w:r>
        <w:rPr>
          <w:rFonts w:cs="Times New Roman"/>
          <w:noProof/>
          <w:lang w:val="en-US"/>
        </w:rPr>
        <w:t xml:space="preserve"> The importance to support innovation, </w:t>
      </w:r>
      <w:r>
        <w:rPr>
          <w:rFonts w:cs="Times New Roman"/>
          <w:b/>
          <w:bCs/>
          <w:noProof/>
          <w:lang w:val="en-US"/>
        </w:rPr>
        <w:t>implementing and embracing innovation in all aspects</w:t>
      </w:r>
      <w:r>
        <w:rPr>
          <w:rFonts w:cs="Times New Roman"/>
          <w:noProof/>
          <w:lang w:val="en-US"/>
        </w:rPr>
        <w:t xml:space="preserve"> – digital, production, social, community-led – is essential. Social </w:t>
      </w:r>
      <w:r>
        <w:rPr>
          <w:rFonts w:cs="Times New Roman"/>
          <w:noProof/>
          <w:lang w:val="en-US"/>
        </w:rPr>
        <w:lastRenderedPageBreak/>
        <w:t xml:space="preserve">innovations – community-led and community-based – are particularly relevant for rural areas, and need to be re-enforced and fostered for the future. </w:t>
      </w:r>
    </w:p>
    <w:p w:rsidR="00843EC3" w:rsidRDefault="00F1079F">
      <w:pPr>
        <w:pStyle w:val="Akapitzlist"/>
        <w:numPr>
          <w:ilvl w:val="0"/>
          <w:numId w:val="33"/>
        </w:numPr>
        <w:spacing w:after="120" w:line="240" w:lineRule="auto"/>
        <w:rPr>
          <w:rFonts w:cs="Times New Roman"/>
          <w:b/>
          <w:bCs/>
          <w:i/>
          <w:iCs/>
          <w:noProof/>
        </w:rPr>
      </w:pPr>
      <w:r>
        <w:rPr>
          <w:rFonts w:cs="Times New Roman"/>
          <w:b/>
          <w:bCs/>
          <w:noProof/>
        </w:rPr>
        <w:t>Improve connectivity and digital solutions</w:t>
      </w:r>
      <w:r>
        <w:rPr>
          <w:rFonts w:cs="Times New Roman"/>
          <w:noProof/>
        </w:rPr>
        <w:t xml:space="preserve"> supporting smart villages to emerge and develop. Broadband is a basic infrastructure, on equal footing with water and electricity. To make the best of digitalization, there is a need to develop skills and applications tailored to rural needs through digital ecosystems. Infrastructure, skills and applications should be available, affordable and accessible. Appropriate training and support to develop digital literacy is crucial.</w:t>
      </w:r>
    </w:p>
    <w:p w:rsidR="00843EC3" w:rsidRDefault="00F1079F">
      <w:pPr>
        <w:pStyle w:val="Akapitzlist"/>
        <w:numPr>
          <w:ilvl w:val="0"/>
          <w:numId w:val="33"/>
        </w:numPr>
        <w:spacing w:after="120" w:line="240" w:lineRule="auto"/>
        <w:rPr>
          <w:rFonts w:cs="Times New Roman"/>
          <w:b/>
          <w:i/>
          <w:noProof/>
        </w:rPr>
      </w:pPr>
      <w:r>
        <w:rPr>
          <w:rFonts w:cs="Times New Roman"/>
          <w:b/>
          <w:noProof/>
        </w:rPr>
        <w:t>Achieve climate, energy and biodiversity targets</w:t>
      </w:r>
      <w:r>
        <w:rPr>
          <w:rFonts w:cs="Times New Roman"/>
          <w:noProof/>
        </w:rPr>
        <w:t xml:space="preserve">. Build on the natural assets of rural areas to contribute to national targets, within an appropriate policy and regulatory framework which retains ownership, control and value in rural communities. </w:t>
      </w:r>
    </w:p>
    <w:p w:rsidR="00843EC3" w:rsidRDefault="00F1079F">
      <w:pPr>
        <w:pStyle w:val="Akapitzlist"/>
        <w:numPr>
          <w:ilvl w:val="0"/>
          <w:numId w:val="33"/>
        </w:numPr>
        <w:spacing w:after="120" w:line="240" w:lineRule="auto"/>
        <w:rPr>
          <w:rFonts w:cs="Times New Roman"/>
          <w:b/>
          <w:i/>
          <w:noProof/>
          <w:szCs w:val="24"/>
        </w:rPr>
      </w:pPr>
      <w:r>
        <w:rPr>
          <w:rFonts w:cs="Times New Roman"/>
          <w:b/>
          <w:noProof/>
          <w:szCs w:val="24"/>
        </w:rPr>
        <w:t>Addressing demographic challenges</w:t>
      </w:r>
      <w:r>
        <w:rPr>
          <w:rFonts w:cs="Times New Roman"/>
          <w:noProof/>
          <w:szCs w:val="24"/>
        </w:rPr>
        <w:t xml:space="preserve"> including depopulation, generational renewal and gender inequality.</w:t>
      </w:r>
    </w:p>
    <w:p w:rsidR="00843EC3" w:rsidRDefault="00F1079F">
      <w:pPr>
        <w:rPr>
          <w:noProof/>
          <w:color w:val="1F497D"/>
          <w:sz w:val="22"/>
          <w:lang w:eastAsia="en-US"/>
        </w:rPr>
      </w:pPr>
      <w:r>
        <w:rPr>
          <w:b/>
          <w:bCs/>
          <w:noProof/>
        </w:rPr>
        <w:t>Employment</w:t>
      </w:r>
      <w:r>
        <w:rPr>
          <w:noProof/>
        </w:rPr>
        <w:t xml:space="preserve"> and </w:t>
      </w:r>
      <w:r>
        <w:rPr>
          <w:b/>
          <w:bCs/>
          <w:noProof/>
        </w:rPr>
        <w:t>innovation</w:t>
      </w:r>
      <w:r>
        <w:rPr>
          <w:noProof/>
        </w:rPr>
        <w:t xml:space="preserve">, </w:t>
      </w:r>
      <w:r>
        <w:rPr>
          <w:b/>
          <w:bCs/>
          <w:noProof/>
        </w:rPr>
        <w:t>access to infrastructure and services</w:t>
      </w:r>
      <w:r>
        <w:rPr>
          <w:noProof/>
        </w:rPr>
        <w:t xml:space="preserve">, as well as </w:t>
      </w:r>
      <w:r>
        <w:rPr>
          <w:b/>
          <w:bCs/>
          <w:noProof/>
        </w:rPr>
        <w:t xml:space="preserve">digital connectivity </w:t>
      </w:r>
      <w:r>
        <w:rPr>
          <w:noProof/>
        </w:rPr>
        <w:t>are identified as the main priorities for the EU’s long-term Vision and Rural Action Plan</w:t>
      </w:r>
      <w:r>
        <w:rPr>
          <w:noProof/>
          <w:color w:val="1F4E79" w:themeColor="accent1" w:themeShade="80"/>
        </w:rPr>
        <w:t xml:space="preserve">. </w:t>
      </w:r>
    </w:p>
    <w:p w:rsidR="00843EC3" w:rsidRDefault="00F1079F">
      <w:pPr>
        <w:rPr>
          <w:i/>
          <w:noProof/>
        </w:rPr>
      </w:pPr>
      <w:r>
        <w:rPr>
          <w:noProof/>
        </w:rPr>
        <w:t xml:space="preserve">The different consultation process have stressed </w:t>
      </w:r>
      <w:r>
        <w:rPr>
          <w:b/>
          <w:noProof/>
        </w:rPr>
        <w:t>the</w:t>
      </w:r>
      <w:r>
        <w:rPr>
          <w:b/>
          <w:i/>
          <w:noProof/>
        </w:rPr>
        <w:t xml:space="preserve"> </w:t>
      </w:r>
      <w:r>
        <w:rPr>
          <w:b/>
          <w:noProof/>
        </w:rPr>
        <w:t>importance of a bottom up approach that can account for the diversity of rural areas and engage rural communities</w:t>
      </w:r>
      <w:r>
        <w:rPr>
          <w:noProof/>
        </w:rPr>
        <w:t xml:space="preserve">. The vision needs to </w:t>
      </w:r>
      <w:r>
        <w:rPr>
          <w:b/>
          <w:noProof/>
        </w:rPr>
        <w:t>promote inclusion and engagement of the full range of different groups</w:t>
      </w:r>
      <w:r>
        <w:rPr>
          <w:noProof/>
        </w:rPr>
        <w:t xml:space="preserve"> (youth, migrants, elderly, women, minorities etc.). Vibrant areas in the future depend on bridges built, trust, diversity and the ownership of any policy. </w:t>
      </w:r>
      <w:r>
        <w:rPr>
          <w:noProof/>
          <w:lang w:val="en-IE"/>
        </w:rPr>
        <w:t>With bottom-up approaches, flexibility and real ownership of activities, many win/win/win opportunities are created – bringing social, economic and environmental benefits to the local community and beyond.</w:t>
      </w:r>
      <w:r>
        <w:rPr>
          <w:noProof/>
          <w:lang w:val="en-US"/>
        </w:rPr>
        <w:t xml:space="preserve"> </w:t>
      </w:r>
      <w:r>
        <w:rPr>
          <w:b/>
          <w:noProof/>
          <w:lang w:val="en-US"/>
        </w:rPr>
        <w:t>Besides, there is a need to cooperate at all levels</w:t>
      </w:r>
      <w:r>
        <w:rPr>
          <w:noProof/>
          <w:lang w:val="en-US"/>
        </w:rPr>
        <w:t xml:space="preserve">, </w:t>
      </w:r>
      <w:r>
        <w:rPr>
          <w:noProof/>
        </w:rPr>
        <w:t>Exchanges, working together and creating links (open communication) are crucial at all levels, and for all types of activity (economic, social and environmental), as can bring in experiences, enable support and bring the communities together. As “Small cannot do it alone”, the building of common agendas is very important.</w:t>
      </w:r>
    </w:p>
    <w:p w:rsidR="00843EC3" w:rsidRDefault="00F1079F">
      <w:pPr>
        <w:pStyle w:val="Akapitzlist"/>
        <w:numPr>
          <w:ilvl w:val="0"/>
          <w:numId w:val="8"/>
        </w:numPr>
        <w:rPr>
          <w:rFonts w:cs="Times New Roman"/>
          <w:noProof/>
          <w:color w:val="1F497D"/>
        </w:rPr>
      </w:pPr>
      <w:r>
        <w:rPr>
          <w:rFonts w:cs="Times New Roman"/>
          <w:noProof/>
        </w:rPr>
        <w:lastRenderedPageBreak/>
        <w:t>Many participants stressed scope to use existing instruments, notably LEADER, to help design and deliver the future vision at local level.</w:t>
      </w:r>
      <w:r>
        <w:rPr>
          <w:rFonts w:cs="Times New Roman"/>
          <w:b/>
          <w:bCs/>
          <w:noProof/>
          <w:lang w:val="en-US"/>
        </w:rPr>
        <w:t xml:space="preserve"> </w:t>
      </w:r>
      <w:r>
        <w:rPr>
          <w:rFonts w:cs="Times New Roman"/>
          <w:bCs/>
          <w:noProof/>
          <w:lang w:val="en-US"/>
        </w:rPr>
        <w:t xml:space="preserve">Participants highlighted </w:t>
      </w:r>
      <w:r>
        <w:rPr>
          <w:rFonts w:cs="Times New Roman"/>
          <w:b/>
          <w:bCs/>
          <w:noProof/>
          <w:lang w:val="en-US"/>
        </w:rPr>
        <w:t xml:space="preserve">the importance to empower local communities </w:t>
      </w:r>
      <w:r>
        <w:rPr>
          <w:rFonts w:cs="Times New Roman"/>
          <w:noProof/>
          <w:lang w:val="en-US"/>
        </w:rPr>
        <w:t xml:space="preserve">by strengthening existing initiatives such as Local Action Groups (LAG) and LEADER methodology for designing rural development actions and stimulate their active contribution to EU policy-making. </w:t>
      </w:r>
    </w:p>
    <w:p w:rsidR="00843EC3" w:rsidRDefault="00F1079F">
      <w:pPr>
        <w:pStyle w:val="Akapitzlist"/>
        <w:numPr>
          <w:ilvl w:val="0"/>
          <w:numId w:val="8"/>
        </w:numPr>
        <w:rPr>
          <w:rFonts w:cs="Times New Roman"/>
          <w:noProof/>
        </w:rPr>
      </w:pPr>
      <w:r>
        <w:rPr>
          <w:rFonts w:cs="Times New Roman"/>
          <w:b/>
          <w:bCs/>
          <w:noProof/>
        </w:rPr>
        <w:t>Participatory approaches are</w:t>
      </w:r>
      <w:r>
        <w:rPr>
          <w:rFonts w:cs="Times New Roman"/>
          <w:noProof/>
        </w:rPr>
        <w:t xml:space="preserve"> also seen as ensuring active and direct contribution of rural people to policy-making processes. </w:t>
      </w:r>
    </w:p>
    <w:p w:rsidR="00843EC3" w:rsidRDefault="00F1079F">
      <w:pPr>
        <w:pStyle w:val="Akapitzlist"/>
        <w:numPr>
          <w:ilvl w:val="0"/>
          <w:numId w:val="8"/>
        </w:numPr>
        <w:spacing w:after="120" w:line="240" w:lineRule="auto"/>
        <w:rPr>
          <w:rFonts w:cs="Times New Roman"/>
          <w:b/>
          <w:i/>
          <w:noProof/>
          <w:szCs w:val="24"/>
        </w:rPr>
      </w:pPr>
      <w:r>
        <w:rPr>
          <w:rFonts w:cs="Times New Roman"/>
          <w:b/>
          <w:noProof/>
          <w:szCs w:val="24"/>
          <w:lang w:val="en-US"/>
        </w:rPr>
        <w:t>C</w:t>
      </w:r>
      <w:r>
        <w:rPr>
          <w:rFonts w:cs="Times New Roman"/>
          <w:b/>
          <w:noProof/>
          <w:szCs w:val="24"/>
        </w:rPr>
        <w:t>ooperation and networking</w:t>
      </w:r>
      <w:r>
        <w:rPr>
          <w:rFonts w:cs="Times New Roman"/>
          <w:noProof/>
          <w:szCs w:val="24"/>
        </w:rPr>
        <w:t>, engaging at local level, as an alternative to the traditional route of consolidation. Networks can operate across distances, and do not have to involve geographical proximity.</w:t>
      </w:r>
    </w:p>
    <w:p w:rsidR="00843EC3" w:rsidRDefault="00F1079F">
      <w:pPr>
        <w:pStyle w:val="Akapitzlist"/>
        <w:numPr>
          <w:ilvl w:val="0"/>
          <w:numId w:val="8"/>
        </w:numPr>
        <w:spacing w:after="137" w:line="240" w:lineRule="auto"/>
        <w:ind w:left="714" w:hanging="357"/>
        <w:rPr>
          <w:rFonts w:cs="Times New Roman"/>
          <w:b/>
          <w:bCs/>
          <w:noProof/>
        </w:rPr>
      </w:pPr>
      <w:r>
        <w:rPr>
          <w:rFonts w:cs="Times New Roman"/>
          <w:b/>
          <w:bCs/>
          <w:noProof/>
        </w:rPr>
        <w:t>Rural-urban linkages</w:t>
      </w:r>
      <w:r>
        <w:rPr>
          <w:rFonts w:cs="Times New Roman"/>
          <w:noProof/>
        </w:rPr>
        <w:t xml:space="preserve"> need to be governed by balanced partnerships that ensure a level-playing field. Rural-rural links also should be promoted.</w:t>
      </w:r>
    </w:p>
    <w:p w:rsidR="00843EC3" w:rsidRDefault="00843EC3">
      <w:pPr>
        <w:pStyle w:val="Akapitzlist"/>
        <w:spacing w:after="137" w:line="240" w:lineRule="auto"/>
        <w:ind w:left="714"/>
        <w:rPr>
          <w:rFonts w:cs="Times New Roman"/>
          <w:b/>
          <w:bCs/>
          <w:noProof/>
        </w:rPr>
      </w:pPr>
    </w:p>
    <w:p w:rsidR="00843EC3" w:rsidRDefault="00F1079F">
      <w:pPr>
        <w:pStyle w:val="Akapitzlist"/>
        <w:numPr>
          <w:ilvl w:val="0"/>
          <w:numId w:val="29"/>
        </w:numPr>
        <w:spacing w:before="240" w:after="120" w:line="257" w:lineRule="auto"/>
        <w:rPr>
          <w:rFonts w:cs="Times New Roman"/>
          <w:noProof/>
          <w:sz w:val="28"/>
          <w:szCs w:val="24"/>
          <w:u w:val="single"/>
        </w:rPr>
      </w:pPr>
      <w:r>
        <w:rPr>
          <w:rFonts w:cs="Times New Roman"/>
          <w:noProof/>
          <w:u w:val="single"/>
        </w:rPr>
        <w:t>Specific actions proposed</w:t>
      </w:r>
      <w:r>
        <w:rPr>
          <w:rFonts w:cs="Times New Roman"/>
          <w:noProof/>
        </w:rPr>
        <w:t xml:space="preserve">: </w:t>
      </w:r>
    </w:p>
    <w:p w:rsidR="00843EC3" w:rsidRDefault="00F1079F">
      <w:pPr>
        <w:rPr>
          <w:noProof/>
          <w:lang w:val="en-US"/>
        </w:rPr>
      </w:pPr>
      <w:r>
        <w:rPr>
          <w:noProof/>
          <w:lang w:val="en-US"/>
        </w:rPr>
        <w:t>The actors have proposed a number of specific measures to tackle the outlined challenges and to make the most of the highlighted opportunities proposing specific instruments and tools. To support rural development, EU policy and other levels of governments could:</w:t>
      </w:r>
    </w:p>
    <w:p w:rsidR="00843EC3" w:rsidRDefault="00F1079F">
      <w:pPr>
        <w:pStyle w:val="Akapitzlist"/>
        <w:numPr>
          <w:ilvl w:val="0"/>
          <w:numId w:val="30"/>
        </w:numPr>
        <w:spacing w:before="120" w:after="120" w:line="257" w:lineRule="auto"/>
        <w:ind w:left="726" w:hanging="357"/>
        <w:contextualSpacing w:val="0"/>
        <w:rPr>
          <w:rFonts w:cs="Times New Roman"/>
          <w:noProof/>
        </w:rPr>
      </w:pPr>
      <w:r>
        <w:rPr>
          <w:rFonts w:cs="Times New Roman"/>
          <w:noProof/>
        </w:rPr>
        <w:t xml:space="preserve">Improve the access and provide </w:t>
      </w:r>
      <w:r>
        <w:rPr>
          <w:rFonts w:cs="Times New Roman"/>
          <w:b/>
          <w:bCs/>
          <w:noProof/>
        </w:rPr>
        <w:t>economic and financial support</w:t>
      </w:r>
      <w:r>
        <w:rPr>
          <w:rFonts w:cs="Times New Roman"/>
          <w:noProof/>
        </w:rPr>
        <w:t>, including support to local projects and access to financing, either EU funding or private investment to rural actors. Besides, several stakeholders have brought attention to the need</w:t>
      </w:r>
      <w:r>
        <w:rPr>
          <w:rFonts w:cs="Times New Roman"/>
          <w:b/>
          <w:bCs/>
          <w:noProof/>
        </w:rPr>
        <w:t xml:space="preserve"> to facilitate the combination of different instruments for territorial development</w:t>
      </w:r>
      <w:r>
        <w:rPr>
          <w:rFonts w:cs="Times New Roman"/>
          <w:noProof/>
        </w:rPr>
        <w:t xml:space="preserve"> </w:t>
      </w:r>
      <w:r>
        <w:rPr>
          <w:rFonts w:cs="Times New Roman"/>
          <w:noProof/>
          <w:shd w:val="clear" w:color="auto" w:fill="FFFFFF"/>
        </w:rPr>
        <w:t>(e.g. multi-funding between ERDF or ESF+ and the EAFRD).</w:t>
      </w:r>
      <w:r>
        <w:rPr>
          <w:rFonts w:cs="Times New Roman"/>
          <w:noProof/>
          <w:szCs w:val="24"/>
        </w:rPr>
        <w:t xml:space="preserve"> </w:t>
      </w:r>
      <w:r>
        <w:rPr>
          <w:rFonts w:cs="Times New Roman"/>
          <w:noProof/>
        </w:rPr>
        <w:t>On the topic of funding, stakeholders have also mentioned the need to reduce bureaucracy that often makes it difficult to develop positive bottom-up initiatives - lifting these obstacles will unlock rural initiatives’ potential.</w:t>
      </w:r>
    </w:p>
    <w:p w:rsidR="00843EC3" w:rsidRDefault="00F1079F">
      <w:pPr>
        <w:pStyle w:val="Akapitzlist"/>
        <w:numPr>
          <w:ilvl w:val="0"/>
          <w:numId w:val="30"/>
        </w:numPr>
        <w:spacing w:before="120" w:after="120" w:line="257" w:lineRule="auto"/>
        <w:ind w:left="726" w:hanging="357"/>
        <w:contextualSpacing w:val="0"/>
        <w:rPr>
          <w:rFonts w:cs="Times New Roman"/>
          <w:noProof/>
          <w:szCs w:val="24"/>
        </w:rPr>
      </w:pPr>
      <w:r>
        <w:rPr>
          <w:rFonts w:cs="Times New Roman"/>
          <w:b/>
          <w:bCs/>
          <w:noProof/>
        </w:rPr>
        <w:t xml:space="preserve">Further improve the targeting of policies to local needs. </w:t>
      </w:r>
      <w:r>
        <w:rPr>
          <w:rFonts w:cs="Times New Roman"/>
          <w:noProof/>
          <w:szCs w:val="24"/>
        </w:rPr>
        <w:t xml:space="preserve">There is a need for flexible policy or regulatory frameworks to enable and support local actions, with strong political commitment and responsibility to follow-up at all levels – EU, national, regional and local. A </w:t>
      </w:r>
      <w:r>
        <w:rPr>
          <w:rFonts w:cs="Times New Roman"/>
          <w:b/>
          <w:noProof/>
          <w:szCs w:val="24"/>
        </w:rPr>
        <w:t>rural proofing mechanism</w:t>
      </w:r>
      <w:r>
        <w:rPr>
          <w:rFonts w:cs="Times New Roman"/>
          <w:noProof/>
          <w:szCs w:val="24"/>
        </w:rPr>
        <w:t xml:space="preserve"> could screen different </w:t>
      </w:r>
      <w:r>
        <w:rPr>
          <w:rFonts w:cs="Times New Roman"/>
          <w:noProof/>
          <w:szCs w:val="24"/>
        </w:rPr>
        <w:lastRenderedPageBreak/>
        <w:t>policies (including State Aid and fiscal policies) through a “rural lens”. Stakeholders stressed that this mechanism should start immediately and encompass funding programmes.</w:t>
      </w:r>
    </w:p>
    <w:p w:rsidR="00843EC3" w:rsidRDefault="00F1079F">
      <w:pPr>
        <w:pStyle w:val="Akapitzlist"/>
        <w:numPr>
          <w:ilvl w:val="0"/>
          <w:numId w:val="30"/>
        </w:numPr>
        <w:spacing w:before="120" w:after="120" w:line="257" w:lineRule="auto"/>
        <w:ind w:left="726" w:hanging="357"/>
        <w:contextualSpacing w:val="0"/>
        <w:rPr>
          <w:rFonts w:cs="Times New Roman"/>
          <w:noProof/>
        </w:rPr>
      </w:pPr>
      <w:r>
        <w:rPr>
          <w:rFonts w:eastAsia="Times New Roman" w:cs="Times New Roman"/>
          <w:b/>
          <w:noProof/>
        </w:rPr>
        <w:t>Empower local communities by strengthening existing initiatives</w:t>
      </w:r>
      <w:r>
        <w:rPr>
          <w:rFonts w:eastAsia="Times New Roman" w:cs="Times New Roman"/>
          <w:noProof/>
        </w:rPr>
        <w:t xml:space="preserve"> (such as LAG and LEADER) and stimulate their active contribution to policy-making. </w:t>
      </w:r>
      <w:r>
        <w:rPr>
          <w:rFonts w:cs="Times New Roman"/>
          <w:noProof/>
        </w:rPr>
        <w:t xml:space="preserve">There is a strong need to foster and support capacity building, engaging local actors and easing access to knowledge and solutions to unlock the potential for innovation, that in rural areas is often collective (social innovation). This requires development of community leadership and support for community activities and networking. Local innovation brokers/animators are needed to create the seeds of change. LEADER plays a role in this respect. The potential of </w:t>
      </w:r>
      <w:r>
        <w:rPr>
          <w:rFonts w:cs="Times New Roman"/>
          <w:b/>
          <w:noProof/>
        </w:rPr>
        <w:t xml:space="preserve">rural hubs </w:t>
      </w:r>
      <w:r>
        <w:rPr>
          <w:rFonts w:cs="Times New Roman"/>
          <w:noProof/>
        </w:rPr>
        <w:t>was strongly highlighted.</w:t>
      </w:r>
    </w:p>
    <w:p w:rsidR="00843EC3" w:rsidRDefault="00F1079F">
      <w:pPr>
        <w:pStyle w:val="Akapitzlist"/>
        <w:numPr>
          <w:ilvl w:val="0"/>
          <w:numId w:val="30"/>
        </w:numPr>
        <w:spacing w:before="120" w:after="120" w:line="257" w:lineRule="auto"/>
        <w:ind w:left="726" w:hanging="357"/>
        <w:contextualSpacing w:val="0"/>
        <w:rPr>
          <w:rFonts w:cs="Times New Roman"/>
          <w:noProof/>
        </w:rPr>
      </w:pPr>
      <w:r>
        <w:rPr>
          <w:rFonts w:cs="Times New Roman"/>
          <w:b/>
          <w:bCs/>
          <w:noProof/>
        </w:rPr>
        <w:t>Data should be available</w:t>
      </w:r>
      <w:r>
        <w:rPr>
          <w:rFonts w:cs="Times New Roman"/>
          <w:noProof/>
        </w:rPr>
        <w:t xml:space="preserve"> to support creation of economic models focused not on growth, but quality of life/well-being. Data needs to be created, communicated and shared/used, as is necessary to value the contribution of rural areas and follow-up implementation of any action. Analytical models and data are needed to be ready for the future. In this context, the idea of </w:t>
      </w:r>
      <w:r>
        <w:rPr>
          <w:rFonts w:cs="Times New Roman"/>
          <w:b/>
          <w:bCs/>
          <w:noProof/>
        </w:rPr>
        <w:t>rural observatory</w:t>
      </w:r>
      <w:r>
        <w:rPr>
          <w:rFonts w:cs="Times New Roman"/>
          <w:noProof/>
        </w:rPr>
        <w:t xml:space="preserve"> was suggested as a possible mechanism to be set up.</w:t>
      </w:r>
    </w:p>
    <w:p w:rsidR="00843EC3" w:rsidRDefault="00F1079F">
      <w:pPr>
        <w:pStyle w:val="Akapitzlist"/>
        <w:numPr>
          <w:ilvl w:val="0"/>
          <w:numId w:val="30"/>
        </w:numPr>
        <w:spacing w:before="120" w:after="120" w:line="257" w:lineRule="auto"/>
        <w:ind w:left="726" w:hanging="357"/>
        <w:contextualSpacing w:val="0"/>
        <w:rPr>
          <w:rFonts w:cs="Times New Roman"/>
          <w:noProof/>
        </w:rPr>
      </w:pPr>
      <w:r>
        <w:rPr>
          <w:rFonts w:eastAsia="Times New Roman" w:cs="Times New Roman"/>
          <w:noProof/>
        </w:rPr>
        <w:t xml:space="preserve">Other suggested actions concerned various social, </w:t>
      </w:r>
      <w:r>
        <w:rPr>
          <w:rFonts w:eastAsia="Times New Roman" w:cs="Times New Roman"/>
          <w:b/>
          <w:bCs/>
          <w:noProof/>
        </w:rPr>
        <w:t>cultural</w:t>
      </w:r>
      <w:r>
        <w:rPr>
          <w:rFonts w:eastAsia="Times New Roman" w:cs="Times New Roman"/>
          <w:noProof/>
        </w:rPr>
        <w:t xml:space="preserve">, </w:t>
      </w:r>
      <w:r>
        <w:rPr>
          <w:rFonts w:eastAsia="Times New Roman" w:cs="Times New Roman"/>
          <w:b/>
          <w:bCs/>
          <w:noProof/>
        </w:rPr>
        <w:t>economic</w:t>
      </w:r>
      <w:r>
        <w:rPr>
          <w:rFonts w:eastAsia="Times New Roman" w:cs="Times New Roman"/>
          <w:noProof/>
        </w:rPr>
        <w:t xml:space="preserve">, and </w:t>
      </w:r>
      <w:r>
        <w:rPr>
          <w:rFonts w:eastAsia="Times New Roman" w:cs="Times New Roman"/>
          <w:b/>
          <w:bCs/>
          <w:noProof/>
        </w:rPr>
        <w:t>environmental aspects</w:t>
      </w:r>
      <w:r>
        <w:rPr>
          <w:rFonts w:eastAsia="Times New Roman" w:cs="Times New Roman"/>
          <w:noProof/>
        </w:rPr>
        <w:t>.</w:t>
      </w:r>
    </w:p>
    <w:p w:rsidR="00843EC3" w:rsidRDefault="00F1079F">
      <w:pPr>
        <w:rPr>
          <w:noProof/>
        </w:rPr>
      </w:pPr>
      <w:r>
        <w:rPr>
          <w:noProof/>
        </w:rPr>
        <w:t>Overall, there is very strong support across the EU for a long term Vision for rural areas with an action plan.</w:t>
      </w:r>
    </w:p>
    <w:p w:rsidR="00843EC3" w:rsidRDefault="00F1079F">
      <w:pPr>
        <w:pStyle w:val="Nagwek2"/>
        <w:jc w:val="both"/>
        <w:rPr>
          <w:noProof/>
          <w:color w:val="auto"/>
        </w:rPr>
      </w:pPr>
      <w:r>
        <w:rPr>
          <w:noProof/>
          <w:color w:val="auto"/>
          <w:sz w:val="24"/>
        </w:rPr>
        <w:t>6.</w:t>
      </w:r>
      <w:r>
        <w:rPr>
          <w:rFonts w:eastAsia="Arial"/>
          <w:noProof/>
          <w:color w:val="auto"/>
          <w:sz w:val="24"/>
        </w:rPr>
        <w:t xml:space="preserve"> </w:t>
      </w:r>
      <w:r>
        <w:rPr>
          <w:noProof/>
          <w:color w:val="auto"/>
          <w:sz w:val="24"/>
        </w:rPr>
        <w:t>H</w:t>
      </w:r>
      <w:r>
        <w:rPr>
          <w:noProof/>
          <w:color w:val="auto"/>
        </w:rPr>
        <w:t>OW FEEDBACK WAS TAKEN INTO ACCOUNT</w:t>
      </w:r>
      <w:r>
        <w:rPr>
          <w:noProof/>
          <w:color w:val="auto"/>
          <w:sz w:val="24"/>
        </w:rPr>
        <w:t xml:space="preserve"> </w:t>
      </w:r>
    </w:p>
    <w:p w:rsidR="00843EC3" w:rsidRDefault="00F1079F">
      <w:pPr>
        <w:rPr>
          <w:noProof/>
        </w:rPr>
      </w:pPr>
      <w:r>
        <w:rPr>
          <w:noProof/>
        </w:rPr>
        <w:t xml:space="preserve">Stakeholder views on the long term vision and the actions needed were analysed and taken into account as much as possible. Thus, the long term vision Communication includes an EU Rural Action Plan with concrete actions addressing challenges and opportunities highlighted in the public consultation and presented above. The Vision addresses 4 blocks referring to stronger, connected, resilient and prosperous rural areas. The Commission has noted the strong call to address governance related issues and in the </w:t>
      </w:r>
      <w:r>
        <w:rPr>
          <w:noProof/>
        </w:rPr>
        <w:lastRenderedPageBreak/>
        <w:t>Communication also proposes to put forward an EU participatory process, linking with the Committee of the Regions, involving local levels of governance to examine the path towards the Vision.</w:t>
      </w:r>
    </w:p>
    <w:p w:rsidR="00843EC3" w:rsidRDefault="00F1079F">
      <w:pPr>
        <w:rPr>
          <w:noProof/>
          <w:color w:val="FF0000"/>
        </w:rPr>
      </w:pPr>
      <w:r>
        <w:rPr>
          <w:noProof/>
        </w:rPr>
        <w:t>A number of actions proposed by stakeholders in the consultation touch upon – or are the exclusive competence of – Member States. Implementing these actions will therefore depend on Member States’ engagement through the proposed Rural Pact. The Commission is prepared to support and complement Member State actions in this area.</w:t>
      </w:r>
      <w:r>
        <w:rPr>
          <w:noProof/>
          <w:color w:val="FF0000"/>
        </w:rPr>
        <w:br w:type="page"/>
      </w:r>
    </w:p>
    <w:p w:rsidR="00843EC3" w:rsidRDefault="00F1079F">
      <w:pPr>
        <w:spacing w:after="160" w:line="254" w:lineRule="auto"/>
        <w:rPr>
          <w:noProof/>
          <w:color w:val="FF0000"/>
        </w:rPr>
      </w:pPr>
      <w:r>
        <w:rPr>
          <w:b/>
          <w:noProof/>
          <w:color w:val="auto"/>
        </w:rPr>
        <w:lastRenderedPageBreak/>
        <w:t xml:space="preserve">Annex 1. Events in the context of the consultation activities of the Long Term Vision for EU’s Rural Areas. </w:t>
      </w:r>
    </w:p>
    <w:tbl>
      <w:tblPr>
        <w:tblpPr w:leftFromText="180" w:rightFromText="180" w:vertAnchor="page" w:horzAnchor="margin" w:tblpY="2563"/>
        <w:tblW w:w="9067" w:type="dxa"/>
        <w:tblLook w:val="04A0" w:firstRow="1" w:lastRow="0" w:firstColumn="1" w:lastColumn="0" w:noHBand="0" w:noVBand="1"/>
      </w:tblPr>
      <w:tblGrid>
        <w:gridCol w:w="1670"/>
        <w:gridCol w:w="2018"/>
        <w:gridCol w:w="1777"/>
        <w:gridCol w:w="3602"/>
      </w:tblGrid>
      <w:tr w:rsidR="00843EC3">
        <w:trPr>
          <w:trHeight w:val="300"/>
        </w:trPr>
        <w:tc>
          <w:tcPr>
            <w:tcW w:w="1670" w:type="dxa"/>
            <w:tcBorders>
              <w:top w:val="single" w:sz="4" w:space="0" w:color="auto"/>
              <w:left w:val="single" w:sz="4" w:space="0" w:color="auto"/>
              <w:bottom w:val="single" w:sz="4" w:space="0" w:color="auto"/>
              <w:right w:val="single" w:sz="4" w:space="0" w:color="auto"/>
            </w:tcBorders>
            <w:shd w:val="clear" w:color="000000" w:fill="548235"/>
            <w:noWrap/>
            <w:vAlign w:val="bottom"/>
            <w:hideMark/>
          </w:tcPr>
          <w:p w:rsidR="00843EC3" w:rsidRDefault="00F1079F">
            <w:pPr>
              <w:rPr>
                <w:b/>
                <w:noProof/>
                <w:color w:val="FFFFFF" w:themeColor="background1"/>
                <w:lang w:val="en-US"/>
              </w:rPr>
            </w:pPr>
            <w:r>
              <w:rPr>
                <w:b/>
                <w:noProof/>
                <w:color w:val="FFFFFF" w:themeColor="background1"/>
                <w:lang w:val="en-US"/>
              </w:rPr>
              <w:t>Date</w:t>
            </w:r>
          </w:p>
        </w:tc>
        <w:tc>
          <w:tcPr>
            <w:tcW w:w="2018" w:type="dxa"/>
            <w:tcBorders>
              <w:top w:val="single" w:sz="4" w:space="0" w:color="auto"/>
              <w:left w:val="nil"/>
              <w:bottom w:val="single" w:sz="4" w:space="0" w:color="auto"/>
              <w:right w:val="single" w:sz="4" w:space="0" w:color="auto"/>
            </w:tcBorders>
            <w:shd w:val="clear" w:color="000000" w:fill="548235"/>
            <w:noWrap/>
            <w:vAlign w:val="bottom"/>
            <w:hideMark/>
          </w:tcPr>
          <w:p w:rsidR="00843EC3" w:rsidRDefault="00F1079F">
            <w:pPr>
              <w:rPr>
                <w:b/>
                <w:noProof/>
                <w:color w:val="FFFFFF" w:themeColor="background1"/>
                <w:lang w:val="en-US"/>
              </w:rPr>
            </w:pPr>
            <w:r>
              <w:rPr>
                <w:b/>
                <w:noProof/>
                <w:color w:val="FFFFFF" w:themeColor="background1"/>
                <w:lang w:val="en-US"/>
              </w:rPr>
              <w:t>Event</w:t>
            </w:r>
          </w:p>
        </w:tc>
        <w:tc>
          <w:tcPr>
            <w:tcW w:w="1777" w:type="dxa"/>
            <w:tcBorders>
              <w:top w:val="single" w:sz="4" w:space="0" w:color="auto"/>
              <w:left w:val="nil"/>
              <w:bottom w:val="single" w:sz="4" w:space="0" w:color="auto"/>
              <w:right w:val="single" w:sz="4" w:space="0" w:color="auto"/>
            </w:tcBorders>
            <w:shd w:val="clear" w:color="000000" w:fill="548235"/>
            <w:vAlign w:val="bottom"/>
            <w:hideMark/>
          </w:tcPr>
          <w:p w:rsidR="00843EC3" w:rsidRDefault="00F1079F">
            <w:pPr>
              <w:rPr>
                <w:b/>
                <w:noProof/>
                <w:color w:val="FFFFFF" w:themeColor="background1"/>
                <w:lang w:val="en-US"/>
              </w:rPr>
            </w:pPr>
            <w:r>
              <w:rPr>
                <w:b/>
                <w:noProof/>
                <w:color w:val="FFFFFF" w:themeColor="background1"/>
                <w:lang w:val="en-US"/>
              </w:rPr>
              <w:t>Organiser</w:t>
            </w:r>
          </w:p>
        </w:tc>
        <w:tc>
          <w:tcPr>
            <w:tcW w:w="3602" w:type="dxa"/>
            <w:tcBorders>
              <w:top w:val="single" w:sz="4" w:space="0" w:color="auto"/>
              <w:left w:val="nil"/>
              <w:bottom w:val="single" w:sz="4" w:space="0" w:color="auto"/>
              <w:right w:val="single" w:sz="4" w:space="0" w:color="auto"/>
            </w:tcBorders>
            <w:shd w:val="clear" w:color="000000" w:fill="548235"/>
            <w:vAlign w:val="bottom"/>
            <w:hideMark/>
          </w:tcPr>
          <w:p w:rsidR="00843EC3" w:rsidRDefault="00F1079F">
            <w:pPr>
              <w:rPr>
                <w:b/>
                <w:noProof/>
                <w:color w:val="FFFFFF" w:themeColor="background1"/>
                <w:lang w:val="en-US"/>
              </w:rPr>
            </w:pPr>
            <w:r>
              <w:rPr>
                <w:b/>
                <w:noProof/>
                <w:color w:val="FFFFFF" w:themeColor="background1"/>
                <w:lang w:val="en-US"/>
              </w:rPr>
              <w:t xml:space="preserve">Key highlights of the discussion </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26/05/2020</w:t>
            </w:r>
          </w:p>
        </w:tc>
        <w:tc>
          <w:tcPr>
            <w:tcW w:w="2018" w:type="dxa"/>
            <w:tcBorders>
              <w:top w:val="nil"/>
              <w:left w:val="nil"/>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 xml:space="preserve">13th Rural Networks’ Steering Group (SG) </w:t>
            </w:r>
            <w:hyperlink r:id="rId24" w:history="1">
              <w:r>
                <w:rPr>
                  <w:rStyle w:val="Hipercze"/>
                  <w:rFonts w:eastAsia="Arial"/>
                  <w:noProof/>
                </w:rPr>
                <w:t>meeting</w:t>
              </w:r>
            </w:hyperlink>
          </w:p>
        </w:tc>
        <w:tc>
          <w:tcPr>
            <w:tcW w:w="1777" w:type="dxa"/>
            <w:tcBorders>
              <w:top w:val="nil"/>
              <w:left w:val="nil"/>
              <w:bottom w:val="single" w:sz="4" w:space="0" w:color="auto"/>
              <w:right w:val="single" w:sz="4" w:space="0" w:color="auto"/>
            </w:tcBorders>
            <w:shd w:val="clear" w:color="auto" w:fill="auto"/>
          </w:tcPr>
          <w:p w:rsidR="00843EC3" w:rsidRDefault="00F1079F">
            <w:pPr>
              <w:rPr>
                <w:noProof/>
                <w:lang w:val="en-US"/>
              </w:rPr>
            </w:pPr>
            <w:r>
              <w:rPr>
                <w:rStyle w:val="Fuentedeprrafopredeter"/>
                <w:noProof/>
              </w:rPr>
              <w:t>DG AGRI</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 xml:space="preserve">The meeting served to inform SG members of the purposes and process for the long term Vision for rural areas (LTVRA). </w:t>
            </w:r>
          </w:p>
          <w:p w:rsidR="00843EC3" w:rsidRDefault="00F1079F">
            <w:pPr>
              <w:spacing w:before="120" w:after="120" w:line="266" w:lineRule="auto"/>
              <w:ind w:left="68" w:right="57" w:hanging="11"/>
              <w:rPr>
                <w:noProof/>
                <w:lang w:val="en-US"/>
              </w:rPr>
            </w:pPr>
            <w:r>
              <w:rPr>
                <w:rStyle w:val="Fuentedeprrafopredeter"/>
                <w:noProof/>
              </w:rPr>
              <w:t>Target group: members of EU Rural Networks governance (public authorities, civil society, LEADER LAGs, networks advisors/researchers etc).</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02/09/2021</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DESIRA review meeting</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Research Executive Agency (REA)</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DESIRA presented its brief for LTVRA on digital game changers in agriculture, forestry and rural areas.</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Target group: Scientists and European Commission experts.</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22-23/09/2020</w:t>
            </w:r>
          </w:p>
        </w:tc>
        <w:tc>
          <w:tcPr>
            <w:tcW w:w="2018" w:type="dxa"/>
            <w:tcBorders>
              <w:top w:val="nil"/>
              <w:left w:val="nil"/>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 xml:space="preserve">1st Thematic Group (TG) </w:t>
            </w:r>
            <w:hyperlink r:id="rId25" w:history="1">
              <w:r>
                <w:rPr>
                  <w:rStyle w:val="Hipercze"/>
                  <w:rFonts w:eastAsia="Arial"/>
                  <w:noProof/>
                </w:rPr>
                <w:t>meeting</w:t>
              </w:r>
            </w:hyperlink>
            <w:r>
              <w:rPr>
                <w:rStyle w:val="Fuentedeprrafopredeter"/>
                <w:noProof/>
              </w:rPr>
              <w:t xml:space="preserve"> on the Long Term Rural Vision</w:t>
            </w:r>
          </w:p>
        </w:tc>
        <w:tc>
          <w:tcPr>
            <w:tcW w:w="1777" w:type="dxa"/>
            <w:tcBorders>
              <w:top w:val="nil"/>
              <w:left w:val="nil"/>
              <w:bottom w:val="single" w:sz="4" w:space="0" w:color="auto"/>
              <w:right w:val="single" w:sz="4" w:space="0" w:color="auto"/>
            </w:tcBorders>
            <w:shd w:val="clear" w:color="auto" w:fill="auto"/>
          </w:tcPr>
          <w:p w:rsidR="00843EC3" w:rsidRDefault="00F1079F">
            <w:pPr>
              <w:rPr>
                <w:noProof/>
                <w:lang w:val="en-US"/>
              </w:rPr>
            </w:pPr>
            <w:r>
              <w:rPr>
                <w:rStyle w:val="Fuentedeprrafopredeter"/>
                <w:noProof/>
              </w:rPr>
              <w:t>ENRD</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noProof/>
              </w:rPr>
            </w:pPr>
            <w:r>
              <w:rPr>
                <w:rStyle w:val="Fuentedeprrafopredeter"/>
                <w:noProof/>
              </w:rPr>
              <w:t>The meeting served to set the scene for the work on the LTVRA, start the work on the Foresight exercise and discussed the steps for encouraging stakeholder engagement.</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 xml:space="preserve">Target group: rural development experts and practioners. </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06/10/2020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Rural</w:t>
            </w:r>
          </w:p>
          <w:p w:rsidR="00843EC3" w:rsidRDefault="00F1079F">
            <w:pPr>
              <w:jc w:val="left"/>
              <w:rPr>
                <w:noProof/>
                <w:lang w:val="en-US"/>
              </w:rPr>
            </w:pPr>
            <w:r>
              <w:rPr>
                <w:noProof/>
                <w:lang w:val="en-US"/>
              </w:rPr>
              <w:t>Development Committee</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DG AGRI</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 xml:space="preserve">Information about the state of play and about the report on the impact of demographic change – no comments. </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Target group: national authorities dealing with rural development.</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rPr>
                <w:noProof/>
                <w:lang w:val="en-US"/>
              </w:rPr>
            </w:pPr>
            <w:r>
              <w:rPr>
                <w:noProof/>
              </w:rPr>
              <w:lastRenderedPageBreak/>
              <w:t>08/10/</w:t>
            </w:r>
            <w:r>
              <w:rPr>
                <w:rStyle w:val="Fuentedeprrafopredeter"/>
                <w:noProof/>
              </w:rPr>
              <w:t>2020</w:t>
            </w:r>
          </w:p>
        </w:tc>
        <w:tc>
          <w:tcPr>
            <w:tcW w:w="2018" w:type="dxa"/>
            <w:tcBorders>
              <w:top w:val="nil"/>
              <w:left w:val="nil"/>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 xml:space="preserve">14th Rural Networks’ Steering Group </w:t>
            </w:r>
            <w:hyperlink r:id="rId26" w:history="1">
              <w:r>
                <w:rPr>
                  <w:rStyle w:val="Hipercze"/>
                  <w:rFonts w:eastAsia="Arial"/>
                  <w:noProof/>
                </w:rPr>
                <w:t>meeting</w:t>
              </w:r>
            </w:hyperlink>
          </w:p>
        </w:tc>
        <w:tc>
          <w:tcPr>
            <w:tcW w:w="1777" w:type="dxa"/>
            <w:tcBorders>
              <w:top w:val="nil"/>
              <w:left w:val="nil"/>
              <w:bottom w:val="single" w:sz="4" w:space="0" w:color="auto"/>
              <w:right w:val="single" w:sz="4" w:space="0" w:color="auto"/>
            </w:tcBorders>
            <w:shd w:val="clear" w:color="auto" w:fill="auto"/>
          </w:tcPr>
          <w:p w:rsidR="00843EC3" w:rsidRDefault="00F1079F">
            <w:pPr>
              <w:rPr>
                <w:noProof/>
                <w:lang w:val="en-US"/>
              </w:rPr>
            </w:pPr>
            <w:r>
              <w:rPr>
                <w:noProof/>
              </w:rPr>
              <w:t>DG AGRI</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 xml:space="preserve">Information on steps planned for developing the LTVRA. Exchange on the role that they and rural networks could play to engage stakeholders in this process. </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members of EU Rural Networks governance (public authorities, civil society, LEADER LAGs, networks advisors/researchers etc).</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11/10/2020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Reto “España Vaciada”</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DG COMM</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Very worried about depopulation and generational renewal. Need to support digital skills for people in rural areas, in particular the senior.</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Target group: rural stakeholders from areas affected by depopulation.</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12/10/2020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3rd Citizen Engagement and Deliberative Democracy Festival</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JRC</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Presentation of   LTVRA focussing on stakeholder workshop package and scope for use in other policy settings.</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13/10/2020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EWRC ESPON ESCAPE</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REGIO/ESPON ESCAPE</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Responding to presentation of research project, informing about LTVRA and illustrating linkages/policy relevance of project.</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13/10/2020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rPr>
            </w:pPr>
            <w:r>
              <w:rPr>
                <w:noProof/>
                <w:lang w:val="en-US"/>
              </w:rPr>
              <w:t xml:space="preserve">EWRC - Young people's vision for rural areas and digitilisation </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BCO Network Support Facility</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 xml:space="preserve">Presentation of the LTVRA and debate with youth organizations. </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 xml:space="preserve">Target group: rural youth. </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20/10/</w:t>
            </w:r>
            <w:r>
              <w:rPr>
                <w:rStyle w:val="Fuentedeprrafopredeter"/>
                <w:noProof/>
              </w:rPr>
              <w:t>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rStyle w:val="Fuentedeprrafopredeter"/>
                <w:noProof/>
              </w:rPr>
              <w:t xml:space="preserve">Interim TG </w:t>
            </w:r>
            <w:hyperlink r:id="rId27" w:history="1">
              <w:r>
                <w:rPr>
                  <w:rStyle w:val="Hipercze"/>
                  <w:rFonts w:eastAsia="Arial"/>
                  <w:noProof/>
                </w:rPr>
                <w:t>meeting</w:t>
              </w:r>
            </w:hyperlink>
            <w:r>
              <w:rPr>
                <w:rStyle w:val="Fuentedeprrafopredeter"/>
                <w:noProof/>
              </w:rPr>
              <w:t xml:space="preserve"> on the Long Term Rural Vision</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rPr>
              <w:t>ENRD</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meeting continued the work carried out during the 1st TG Meeting on the Foresight exercise with the JRC.</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lastRenderedPageBreak/>
              <w:t xml:space="preserve">Target group:  rural development experts and practioners. </w:t>
            </w:r>
          </w:p>
        </w:tc>
      </w:tr>
      <w:tr w:rsidR="00843EC3">
        <w:trPr>
          <w:trHeight w:val="9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rPr>
                <w:noProof/>
                <w:lang w:val="en-US"/>
              </w:rPr>
            </w:pPr>
            <w:r>
              <w:rPr>
                <w:noProof/>
              </w:rPr>
              <w:lastRenderedPageBreak/>
              <w:t>22/10/</w:t>
            </w:r>
            <w:r>
              <w:rPr>
                <w:rStyle w:val="Fuentedeprrafopredeter"/>
                <w:noProof/>
              </w:rPr>
              <w:t>2020</w:t>
            </w:r>
          </w:p>
        </w:tc>
        <w:tc>
          <w:tcPr>
            <w:tcW w:w="2018" w:type="dxa"/>
            <w:tcBorders>
              <w:top w:val="nil"/>
              <w:left w:val="nil"/>
              <w:bottom w:val="single" w:sz="4" w:space="0" w:color="auto"/>
              <w:right w:val="single" w:sz="4" w:space="0" w:color="auto"/>
            </w:tcBorders>
            <w:shd w:val="clear" w:color="auto" w:fill="auto"/>
            <w:noWrap/>
          </w:tcPr>
          <w:p w:rsidR="00843EC3" w:rsidRDefault="00F1079F">
            <w:pPr>
              <w:rPr>
                <w:noProof/>
                <w:lang w:val="en-US"/>
              </w:rPr>
            </w:pPr>
            <w:r>
              <w:rPr>
                <w:rStyle w:val="Fuentedeprrafopredeter"/>
                <w:noProof/>
              </w:rPr>
              <w:t>18</w:t>
            </w:r>
            <w:r>
              <w:rPr>
                <w:rStyle w:val="Fuentedeprrafopredeter"/>
                <w:noProof/>
                <w:vertAlign w:val="superscript"/>
              </w:rPr>
              <w:t>th</w:t>
            </w:r>
            <w:r>
              <w:rPr>
                <w:rStyle w:val="Fuentedeprrafopredeter"/>
                <w:noProof/>
              </w:rPr>
              <w:t xml:space="preserve"> National Rural Network (NRN) </w:t>
            </w:r>
            <w:hyperlink r:id="rId28" w:history="1">
              <w:r>
                <w:rPr>
                  <w:rStyle w:val="Hipercze"/>
                  <w:rFonts w:eastAsia="Arial"/>
                  <w:noProof/>
                </w:rPr>
                <w:t>Meeting</w:t>
              </w:r>
            </w:hyperlink>
          </w:p>
        </w:tc>
        <w:tc>
          <w:tcPr>
            <w:tcW w:w="1777" w:type="dxa"/>
            <w:tcBorders>
              <w:top w:val="nil"/>
              <w:left w:val="nil"/>
              <w:bottom w:val="single" w:sz="4" w:space="0" w:color="auto"/>
              <w:right w:val="single" w:sz="4" w:space="0" w:color="auto"/>
            </w:tcBorders>
            <w:shd w:val="clear" w:color="auto" w:fill="auto"/>
          </w:tcPr>
          <w:p w:rsidR="00843EC3" w:rsidRDefault="00F1079F">
            <w:pPr>
              <w:rPr>
                <w:noProof/>
                <w:lang w:val="en-US"/>
              </w:rPr>
            </w:pPr>
            <w:r>
              <w:rPr>
                <w:noProof/>
              </w:rPr>
              <w:t>ENRD</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meeting informed NRNs about the LTVRA and encouraged them to engage stakeholders in their respective countries. It included a presentation by DG AGRI and a brief exchange on the Stakeholder Workshop Toolkit to engage rural stakeholders.</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Support Units of National Rural Networks.</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12/11/2020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Rural research &amp; policy workshop</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REA and AGRI</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Presentation of LTVRA to 19 rural research and innovation projects funded under Horizon 2020 and discussion on their results and potential inputs.</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 xml:space="preserve">Target groups: Scientists and European Commission experts. </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23/11/2020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rPr>
            </w:pPr>
            <w:r>
              <w:rPr>
                <w:noProof/>
                <w:lang w:val="en-US"/>
              </w:rPr>
              <w:t>Policy seminar</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RELOCAL consortium</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Perceptions of spatial injustice. Responding to project findings. Informing about Rural Vision.</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Target group: scientists and policy makers.</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24/11/2020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noProof/>
              </w:rPr>
              <w:t>Meeting with rural women - Castellón, Extremadura) and Albacete (ES)</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Europe Direct Extremadura</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EU recovery needs the recovery of rural areas. Generational renewal should pay particular attention to gender. CAP needs to improve gender equality. Important to take also into account the situation of old women in rural areas.</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Target group: rural women.</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24/11/2020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rPr>
            </w:pPr>
            <w:r>
              <w:rPr>
                <w:rStyle w:val="Fuentedeprrafopredeter"/>
                <w:noProof/>
              </w:rPr>
              <w:t xml:space="preserve">ENRD </w:t>
            </w:r>
            <w:hyperlink r:id="rId29" w:history="1">
              <w:r>
                <w:rPr>
                  <w:rStyle w:val="Hipercze"/>
                  <w:rFonts w:eastAsia="Arial"/>
                  <w:noProof/>
                </w:rPr>
                <w:t>Workshop</w:t>
              </w:r>
            </w:hyperlink>
            <w:r>
              <w:rPr>
                <w:rStyle w:val="Fuentedeprrafopredeter"/>
                <w:noProof/>
              </w:rPr>
              <w:t xml:space="preserve"> for National Rural Networks on Valorising and </w:t>
            </w:r>
            <w:r>
              <w:rPr>
                <w:rStyle w:val="Fuentedeprrafopredeter"/>
                <w:noProof/>
              </w:rPr>
              <w:lastRenderedPageBreak/>
              <w:t>Communicating Successful Projects</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rPr>
            </w:pPr>
            <w:r>
              <w:rPr>
                <w:noProof/>
              </w:rPr>
              <w:lastRenderedPageBreak/>
              <w:t>ENRD</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 xml:space="preserve">The workshop informed NRNs about the LTVRA, relevant sources of information such as the </w:t>
            </w:r>
            <w:r>
              <w:rPr>
                <w:rStyle w:val="Fuentedeprrafopredeter"/>
                <w:noProof/>
              </w:rPr>
              <w:lastRenderedPageBreak/>
              <w:t>ENRD Rural Vision Portal, and shared feedback on planned NRN activities to engage stakeholders in LTVRA process.</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Support Units of National Rural Networks.</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lastRenderedPageBreak/>
              <w:t>26/11/2020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s-ES"/>
              </w:rPr>
            </w:pPr>
            <w:r>
              <w:rPr>
                <w:noProof/>
                <w:lang w:val="es-ES_tradnl"/>
              </w:rPr>
              <w:t>Reto demográfico - Next Generation EU27</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 xml:space="preserve">Europe Direct Castellón </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Need to ensure basic services, support small municipalities and address demographic challenges in a demographic strategy.</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rural people from areas affected by depopulation.</w:t>
            </w:r>
          </w:p>
        </w:tc>
      </w:tr>
      <w:tr w:rsidR="00843EC3">
        <w:trPr>
          <w:trHeight w:val="600"/>
        </w:trPr>
        <w:tc>
          <w:tcPr>
            <w:tcW w:w="1670" w:type="dxa"/>
            <w:tcBorders>
              <w:top w:val="nil"/>
              <w:left w:val="single" w:sz="4" w:space="0" w:color="auto"/>
              <w:bottom w:val="single" w:sz="4" w:space="0" w:color="auto"/>
              <w:right w:val="single" w:sz="4" w:space="0" w:color="auto"/>
            </w:tcBorders>
            <w:shd w:val="clear" w:color="auto" w:fill="auto"/>
            <w:noWrap/>
            <w:hideMark/>
          </w:tcPr>
          <w:p w:rsidR="00843EC3" w:rsidRDefault="00F1079F">
            <w:pPr>
              <w:jc w:val="left"/>
              <w:rPr>
                <w:noProof/>
                <w:lang w:val="en-US"/>
              </w:rPr>
            </w:pPr>
            <w:r>
              <w:rPr>
                <w:noProof/>
              </w:rPr>
              <w:t>27/11/2020</w:t>
            </w:r>
          </w:p>
        </w:tc>
        <w:tc>
          <w:tcPr>
            <w:tcW w:w="2018" w:type="dxa"/>
            <w:tcBorders>
              <w:top w:val="nil"/>
              <w:left w:val="nil"/>
              <w:bottom w:val="single" w:sz="4" w:space="0" w:color="auto"/>
              <w:right w:val="single" w:sz="4" w:space="0" w:color="auto"/>
            </w:tcBorders>
            <w:shd w:val="clear" w:color="auto" w:fill="auto"/>
            <w:noWrap/>
            <w:hideMark/>
          </w:tcPr>
          <w:p w:rsidR="00843EC3" w:rsidRDefault="00623324">
            <w:pPr>
              <w:jc w:val="left"/>
              <w:rPr>
                <w:noProof/>
                <w:lang w:val="en-US"/>
              </w:rPr>
            </w:pPr>
            <w:hyperlink r:id="rId30" w:history="1">
              <w:r w:rsidR="00F1079F">
                <w:rPr>
                  <w:rStyle w:val="Hipercze"/>
                  <w:rFonts w:eastAsia="Arial"/>
                  <w:noProof/>
                </w:rPr>
                <w:t>Webinar</w:t>
              </w:r>
            </w:hyperlink>
            <w:r w:rsidR="00F1079F">
              <w:rPr>
                <w:noProof/>
              </w:rPr>
              <w:t>: "A European Rural Agenda needed after COVID crisis"</w:t>
            </w:r>
          </w:p>
        </w:tc>
        <w:tc>
          <w:tcPr>
            <w:tcW w:w="1777" w:type="dxa"/>
            <w:tcBorders>
              <w:top w:val="nil"/>
              <w:left w:val="nil"/>
              <w:bottom w:val="single" w:sz="4" w:space="0" w:color="auto"/>
              <w:right w:val="single" w:sz="4" w:space="0" w:color="auto"/>
            </w:tcBorders>
            <w:shd w:val="clear" w:color="auto" w:fill="auto"/>
            <w:hideMark/>
          </w:tcPr>
          <w:p w:rsidR="00843EC3" w:rsidRDefault="00F1079F">
            <w:pPr>
              <w:jc w:val="left"/>
              <w:rPr>
                <w:noProof/>
                <w:lang w:val="en-US"/>
              </w:rPr>
            </w:pPr>
            <w:r>
              <w:rPr>
                <w:noProof/>
              </w:rPr>
              <w:t>Committee of the Regions</w:t>
            </w:r>
          </w:p>
        </w:tc>
        <w:tc>
          <w:tcPr>
            <w:tcW w:w="3602" w:type="dxa"/>
            <w:tcBorders>
              <w:top w:val="nil"/>
              <w:left w:val="nil"/>
              <w:bottom w:val="single" w:sz="4" w:space="0" w:color="auto"/>
              <w:right w:val="single" w:sz="4" w:space="0" w:color="auto"/>
            </w:tcBorders>
            <w:shd w:val="clear" w:color="auto" w:fill="auto"/>
            <w:hideMark/>
          </w:tcPr>
          <w:p w:rsidR="00843EC3" w:rsidRDefault="00F1079F">
            <w:pPr>
              <w:spacing w:before="120" w:after="120" w:line="266" w:lineRule="auto"/>
              <w:ind w:left="68" w:right="57" w:hanging="11"/>
              <w:rPr>
                <w:rStyle w:val="Fuentedeprrafopredeter"/>
                <w:noProof/>
              </w:rPr>
            </w:pPr>
            <w:r>
              <w:rPr>
                <w:rStyle w:val="Fuentedeprrafopredeter"/>
                <w:noProof/>
              </w:rPr>
              <w:t>The ENRD CP presented the work and results on rural responses to COVID and the links to the LTVRA.</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Committee of the Regions, EP Intergroups, stakeholders.</w:t>
            </w:r>
          </w:p>
        </w:tc>
      </w:tr>
      <w:tr w:rsidR="00843EC3">
        <w:trPr>
          <w:trHeight w:val="841"/>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02-03/12/</w:t>
            </w:r>
            <w:r>
              <w:rPr>
                <w:rStyle w:val="Fuentedeprrafopredeter"/>
                <w:noProof/>
              </w:rPr>
              <w:t>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lang w:val="en-US"/>
              </w:rPr>
            </w:pPr>
            <w:r>
              <w:rPr>
                <w:rStyle w:val="Fuentedeprrafopredeter"/>
                <w:noProof/>
              </w:rPr>
              <w:t xml:space="preserve">2nd Thematic Group (TG) </w:t>
            </w:r>
            <w:hyperlink r:id="rId31" w:history="1">
              <w:r>
                <w:rPr>
                  <w:rStyle w:val="Hipercze"/>
                  <w:rFonts w:eastAsia="Arial"/>
                  <w:noProof/>
                </w:rPr>
                <w:t>meeting</w:t>
              </w:r>
            </w:hyperlink>
            <w:r>
              <w:rPr>
                <w:rStyle w:val="Fuentedeprrafopredeter"/>
                <w:noProof/>
              </w:rPr>
              <w:t xml:space="preserve"> on the Long Term Rural Vision</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s-ES_tradnl"/>
              </w:rPr>
            </w:pPr>
            <w:r>
              <w:rPr>
                <w:noProof/>
              </w:rPr>
              <w:t>ENRD</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meeting continued the work on the Foresight exercise to further develop the scenarios. There was also a session to discuss activities for stakeholder involvement in the LTVRA.</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 xml:space="preserve">Target group:  rural development experts and practioners. </w:t>
            </w:r>
          </w:p>
        </w:tc>
      </w:tr>
      <w:tr w:rsidR="00843EC3">
        <w:trPr>
          <w:trHeight w:val="1250"/>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04/12/</w:t>
            </w:r>
            <w:r>
              <w:rPr>
                <w:rStyle w:val="Fuentedeprrafopredeter"/>
                <w:noProof/>
              </w:rPr>
              <w:t>2020</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rPr>
            </w:pPr>
            <w:r>
              <w:rPr>
                <w:noProof/>
              </w:rPr>
              <w:t xml:space="preserve">7th meeting of the EU Rural Networks </w:t>
            </w:r>
            <w:hyperlink r:id="rId32" w:history="1">
              <w:r>
                <w:rPr>
                  <w:rStyle w:val="Hipercze"/>
                  <w:rFonts w:eastAsia="Arial"/>
                  <w:noProof/>
                </w:rPr>
                <w:t>Assembly</w:t>
              </w:r>
            </w:hyperlink>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rPr>
              <w:t>DG AGRI</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Assembly served to inform members of the steps being taken for developing the LTVRA (inputs from DG AGRI) and discussed the role that they could play in stakeholder engagement.</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 xml:space="preserve">Target group: members of EU Rural Networks governance (public authorities, civil society, </w:t>
            </w:r>
            <w:r>
              <w:rPr>
                <w:rStyle w:val="Fuentedeprrafopredeter"/>
                <w:noProof/>
              </w:rPr>
              <w:lastRenderedPageBreak/>
              <w:t>LEADER LAGs, networks  advisors/researchers etc).</w:t>
            </w:r>
          </w:p>
        </w:tc>
      </w:tr>
      <w:tr w:rsidR="00843EC3">
        <w:trPr>
          <w:trHeight w:val="1693"/>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rPr>
            </w:pPr>
            <w:r>
              <w:rPr>
                <w:noProof/>
              </w:rPr>
              <w:lastRenderedPageBreak/>
              <w:t>11/1/2021</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rStyle w:val="Fuentedeprrafopredeter"/>
                <w:noProof/>
              </w:rPr>
            </w:pPr>
            <w:r>
              <w:rPr>
                <w:noProof/>
                <w:lang w:val="en-US"/>
              </w:rPr>
              <w:t>RURALIZATION review meeting</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rPr>
            </w:pPr>
            <w:r>
              <w:rPr>
                <w:noProof/>
                <w:lang w:val="en-US"/>
              </w:rPr>
              <w:t>REA</w:t>
            </w:r>
          </w:p>
        </w:tc>
        <w:tc>
          <w:tcPr>
            <w:tcW w:w="3602" w:type="dxa"/>
            <w:tcBorders>
              <w:top w:val="nil"/>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Ruralization presented work on trends and rural dreams of the young as important inputs.</w:t>
            </w:r>
          </w:p>
          <w:p w:rsidR="00843EC3" w:rsidRDefault="00F1079F">
            <w:pPr>
              <w:spacing w:before="120" w:after="120" w:line="266" w:lineRule="auto"/>
              <w:ind w:left="68" w:right="57" w:hanging="11"/>
              <w:rPr>
                <w:rStyle w:val="Fuentedeprrafopredeter"/>
                <w:noProof/>
              </w:rPr>
            </w:pPr>
            <w:r>
              <w:rPr>
                <w:rStyle w:val="Fuentedeprrafopredeter"/>
                <w:rFonts w:eastAsia="Calibri"/>
                <w:noProof/>
              </w:rPr>
              <w:t>Target group:  Scientists and European Commission experts.</w:t>
            </w:r>
          </w:p>
        </w:tc>
      </w:tr>
      <w:tr w:rsidR="00843EC3">
        <w:trPr>
          <w:trHeight w:val="1693"/>
        </w:trPr>
        <w:tc>
          <w:tcPr>
            <w:tcW w:w="1670" w:type="dxa"/>
            <w:tcBorders>
              <w:top w:val="nil"/>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27/01/</w:t>
            </w:r>
            <w:r>
              <w:rPr>
                <w:rStyle w:val="Fuentedeprrafopredeter"/>
                <w:noProof/>
              </w:rPr>
              <w:t>2021</w:t>
            </w:r>
          </w:p>
        </w:tc>
        <w:tc>
          <w:tcPr>
            <w:tcW w:w="2018" w:type="dxa"/>
            <w:tcBorders>
              <w:top w:val="nil"/>
              <w:left w:val="nil"/>
              <w:bottom w:val="single" w:sz="4" w:space="0" w:color="auto"/>
              <w:right w:val="single" w:sz="4" w:space="0" w:color="auto"/>
            </w:tcBorders>
            <w:shd w:val="clear" w:color="auto" w:fill="auto"/>
            <w:noWrap/>
          </w:tcPr>
          <w:p w:rsidR="00843EC3" w:rsidRDefault="00F1079F">
            <w:pPr>
              <w:jc w:val="left"/>
              <w:rPr>
                <w:noProof/>
              </w:rPr>
            </w:pPr>
            <w:r>
              <w:rPr>
                <w:rStyle w:val="Fuentedeprrafopredeter"/>
                <w:noProof/>
              </w:rPr>
              <w:t xml:space="preserve">3rd Thematic Group (TG) </w:t>
            </w:r>
            <w:hyperlink r:id="rId33" w:history="1">
              <w:r>
                <w:rPr>
                  <w:rStyle w:val="Hipercze"/>
                  <w:rFonts w:eastAsia="Arial"/>
                  <w:noProof/>
                </w:rPr>
                <w:t>meeting</w:t>
              </w:r>
            </w:hyperlink>
            <w:r>
              <w:rPr>
                <w:rStyle w:val="Fuentedeprrafopredeter"/>
                <w:noProof/>
              </w:rPr>
              <w:t xml:space="preserve"> on the Long Term Rural Vision</w:t>
            </w:r>
          </w:p>
        </w:tc>
        <w:tc>
          <w:tcPr>
            <w:tcW w:w="1777" w:type="dxa"/>
            <w:tcBorders>
              <w:top w:val="nil"/>
              <w:left w:val="nil"/>
              <w:bottom w:val="single" w:sz="4" w:space="0" w:color="auto"/>
              <w:right w:val="single" w:sz="4" w:space="0" w:color="auto"/>
            </w:tcBorders>
            <w:shd w:val="clear" w:color="auto" w:fill="auto"/>
          </w:tcPr>
          <w:p w:rsidR="00843EC3" w:rsidRDefault="00F1079F">
            <w:pPr>
              <w:jc w:val="left"/>
              <w:rPr>
                <w:noProof/>
                <w:lang w:val="en-US"/>
              </w:rPr>
            </w:pPr>
            <w:r>
              <w:rPr>
                <w:noProof/>
              </w:rPr>
              <w:t>ENRD</w:t>
            </w:r>
          </w:p>
        </w:tc>
        <w:tc>
          <w:tcPr>
            <w:tcW w:w="3602" w:type="dxa"/>
            <w:tcBorders>
              <w:top w:val="nil"/>
              <w:left w:val="nil"/>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meeting took stock of the main messages emerging from the work carried out so far by stakeholders and projects around the EU, and exchanged about the common strands and the step changes needed to ensure the future LTVRA becomes a reality for rural communities across Europe.</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 xml:space="preserve">Target group: rural development experts and practioners. </w:t>
            </w:r>
          </w:p>
        </w:tc>
      </w:tr>
      <w:tr w:rsidR="00843EC3">
        <w:trPr>
          <w:trHeight w:val="1095"/>
        </w:trPr>
        <w:tc>
          <w:tcPr>
            <w:tcW w:w="1670" w:type="dxa"/>
            <w:tcBorders>
              <w:top w:val="nil"/>
              <w:left w:val="single" w:sz="4" w:space="0" w:color="auto"/>
              <w:bottom w:val="single" w:sz="4" w:space="0" w:color="auto"/>
              <w:right w:val="single" w:sz="4" w:space="0" w:color="auto"/>
            </w:tcBorders>
            <w:shd w:val="clear" w:color="auto" w:fill="auto"/>
            <w:noWrap/>
            <w:hideMark/>
          </w:tcPr>
          <w:p w:rsidR="00843EC3" w:rsidRDefault="00F1079F">
            <w:pPr>
              <w:jc w:val="left"/>
              <w:rPr>
                <w:noProof/>
                <w:lang w:val="en-US"/>
              </w:rPr>
            </w:pPr>
            <w:r>
              <w:rPr>
                <w:noProof/>
              </w:rPr>
              <w:t>28/01/2021</w:t>
            </w:r>
          </w:p>
        </w:tc>
        <w:tc>
          <w:tcPr>
            <w:tcW w:w="2018" w:type="dxa"/>
            <w:tcBorders>
              <w:top w:val="nil"/>
              <w:left w:val="nil"/>
              <w:bottom w:val="single" w:sz="4" w:space="0" w:color="auto"/>
              <w:right w:val="single" w:sz="4" w:space="0" w:color="auto"/>
            </w:tcBorders>
            <w:shd w:val="clear" w:color="auto" w:fill="auto"/>
            <w:noWrap/>
            <w:hideMark/>
          </w:tcPr>
          <w:p w:rsidR="00843EC3" w:rsidRDefault="00F1079F">
            <w:pPr>
              <w:jc w:val="left"/>
              <w:rPr>
                <w:noProof/>
                <w:lang w:val="es-ES_tradnl"/>
              </w:rPr>
            </w:pPr>
            <w:r>
              <w:rPr>
                <w:rStyle w:val="Fuentedeprrafopredeter"/>
                <w:noProof/>
              </w:rPr>
              <w:t>French NRN Meeting (regions)</w:t>
            </w:r>
          </w:p>
        </w:tc>
        <w:tc>
          <w:tcPr>
            <w:tcW w:w="1777" w:type="dxa"/>
            <w:tcBorders>
              <w:top w:val="nil"/>
              <w:left w:val="nil"/>
              <w:bottom w:val="single" w:sz="4" w:space="0" w:color="auto"/>
              <w:right w:val="single" w:sz="4" w:space="0" w:color="auto"/>
            </w:tcBorders>
            <w:shd w:val="clear" w:color="auto" w:fill="auto"/>
            <w:hideMark/>
          </w:tcPr>
          <w:p w:rsidR="00843EC3" w:rsidRDefault="00F1079F">
            <w:pPr>
              <w:jc w:val="left"/>
              <w:rPr>
                <w:noProof/>
                <w:lang w:val="en-US"/>
              </w:rPr>
            </w:pPr>
            <w:r>
              <w:rPr>
                <w:noProof/>
              </w:rPr>
              <w:t>NRN France (Regions)</w:t>
            </w:r>
          </w:p>
        </w:tc>
        <w:tc>
          <w:tcPr>
            <w:tcW w:w="3602" w:type="dxa"/>
            <w:tcBorders>
              <w:top w:val="nil"/>
              <w:left w:val="nil"/>
              <w:bottom w:val="single" w:sz="4" w:space="0" w:color="auto"/>
              <w:right w:val="single" w:sz="4" w:space="0" w:color="auto"/>
            </w:tcBorders>
            <w:shd w:val="clear" w:color="auto" w:fill="auto"/>
            <w:hideMark/>
          </w:tcPr>
          <w:p w:rsidR="00843EC3" w:rsidRDefault="00F1079F">
            <w:pPr>
              <w:spacing w:before="120" w:after="120" w:line="266" w:lineRule="auto"/>
              <w:ind w:left="68" w:right="57" w:hanging="11"/>
              <w:rPr>
                <w:rStyle w:val="Fuentedeprrafopredeter"/>
                <w:noProof/>
              </w:rPr>
            </w:pPr>
            <w:r>
              <w:rPr>
                <w:rStyle w:val="Fuentedeprrafopredeter"/>
                <w:noProof/>
              </w:rPr>
              <w:t xml:space="preserve">Meeting with RED, ANCT, LEADER France and regional NRNs and ENRD with a brief presentation describing the LTVRA process and next steps. </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 xml:space="preserve">Target group: members of French rural networks. </w:t>
            </w:r>
          </w:p>
        </w:tc>
      </w:tr>
      <w:tr w:rsidR="00843EC3">
        <w:trPr>
          <w:trHeight w:val="841"/>
        </w:trPr>
        <w:tc>
          <w:tcPr>
            <w:tcW w:w="1670"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rPr>
              <w:t>11/02/</w:t>
            </w:r>
            <w:r>
              <w:rPr>
                <w:rStyle w:val="Fuentedeprrafopredeter"/>
                <w:noProof/>
              </w:rPr>
              <w:t>2021</w:t>
            </w:r>
          </w:p>
        </w:tc>
        <w:tc>
          <w:tcPr>
            <w:tcW w:w="2018"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lang w:val="es-ES_tradnl"/>
              </w:rPr>
            </w:pPr>
            <w:r>
              <w:rPr>
                <w:rStyle w:val="Fuentedeprrafopredeter"/>
                <w:noProof/>
              </w:rPr>
              <w:t>19</w:t>
            </w:r>
            <w:r>
              <w:rPr>
                <w:rStyle w:val="Fuentedeprrafopredeter"/>
                <w:noProof/>
                <w:vertAlign w:val="superscript"/>
              </w:rPr>
              <w:t>th</w:t>
            </w:r>
            <w:r>
              <w:rPr>
                <w:rStyle w:val="Fuentedeprrafopredeter"/>
                <w:noProof/>
              </w:rPr>
              <w:t xml:space="preserve"> NRN </w:t>
            </w:r>
            <w:hyperlink r:id="rId34" w:history="1">
              <w:r>
                <w:rPr>
                  <w:rStyle w:val="Hipercze"/>
                  <w:rFonts w:eastAsia="Arial"/>
                  <w:noProof/>
                </w:rPr>
                <w:t>meeting</w:t>
              </w:r>
            </w:hyperlink>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843EC3" w:rsidRDefault="00F1079F">
            <w:pPr>
              <w:jc w:val="left"/>
              <w:rPr>
                <w:noProof/>
                <w:lang w:val="en-US"/>
              </w:rPr>
            </w:pPr>
            <w:r>
              <w:rPr>
                <w:noProof/>
              </w:rPr>
              <w:t>ENRD</w:t>
            </w:r>
          </w:p>
        </w:tc>
        <w:tc>
          <w:tcPr>
            <w:tcW w:w="3602" w:type="dxa"/>
            <w:tcBorders>
              <w:top w:val="single" w:sz="4" w:space="0" w:color="auto"/>
              <w:left w:val="single" w:sz="4" w:space="0" w:color="auto"/>
              <w:bottom w:val="single" w:sz="4" w:space="0" w:color="auto"/>
              <w:right w:val="single" w:sz="4" w:space="0" w:color="auto"/>
            </w:tcBorders>
            <w:shd w:val="clear" w:color="auto" w:fill="auto"/>
          </w:tcPr>
          <w:p w:rsidR="00843EC3" w:rsidRDefault="00F1079F">
            <w:pPr>
              <w:spacing w:before="120" w:after="120" w:line="266" w:lineRule="auto"/>
              <w:ind w:left="68" w:right="57" w:hanging="11"/>
              <w:rPr>
                <w:rStyle w:val="Fuentedeprrafopredeter"/>
                <w:noProof/>
              </w:rPr>
            </w:pPr>
            <w:r>
              <w:rPr>
                <w:rStyle w:val="Fuentedeprrafopredeter"/>
                <w:noProof/>
              </w:rPr>
              <w:t>The meeting shared the initial results of the respective NRN organised stakeholder discussions and discussed their involvement in the forthcoming Rural Vision Week.</w:t>
            </w:r>
          </w:p>
          <w:p w:rsidR="00843EC3" w:rsidRDefault="00F1079F">
            <w:pPr>
              <w:spacing w:before="120" w:after="120" w:line="266" w:lineRule="auto"/>
              <w:ind w:left="68" w:right="57" w:hanging="11"/>
              <w:rPr>
                <w:rStyle w:val="Fuentedeprrafopredeter"/>
                <w:rFonts w:eastAsia="Calibri"/>
                <w:noProof/>
              </w:rPr>
            </w:pPr>
            <w:r>
              <w:rPr>
                <w:rStyle w:val="Fuentedeprrafopredeter"/>
                <w:noProof/>
              </w:rPr>
              <w:t>Target group: Support Units of National Rural Networks.</w:t>
            </w:r>
          </w:p>
        </w:tc>
      </w:tr>
      <w:tr w:rsidR="00843EC3">
        <w:trPr>
          <w:trHeight w:val="1770"/>
        </w:trPr>
        <w:tc>
          <w:tcPr>
            <w:tcW w:w="1670"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rPr>
            </w:pPr>
            <w:r>
              <w:rPr>
                <w:noProof/>
                <w:lang w:val="en-US"/>
              </w:rPr>
              <w:lastRenderedPageBreak/>
              <w:t>11/2/2021</w:t>
            </w:r>
          </w:p>
        </w:tc>
        <w:tc>
          <w:tcPr>
            <w:tcW w:w="2018"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rStyle w:val="Fuentedeprrafopredeter"/>
                <w:noProof/>
              </w:rPr>
            </w:pPr>
            <w:r>
              <w:rPr>
                <w:noProof/>
                <w:lang w:val="en-US"/>
              </w:rPr>
              <w:t>Civil dialogue group on rural development</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843EC3" w:rsidRDefault="00F1079F">
            <w:pPr>
              <w:jc w:val="left"/>
              <w:rPr>
                <w:noProof/>
              </w:rPr>
            </w:pPr>
            <w:r>
              <w:rPr>
                <w:noProof/>
                <w:lang w:val="en-US"/>
              </w:rPr>
              <w:t>AGRI</w:t>
            </w:r>
          </w:p>
        </w:tc>
        <w:tc>
          <w:tcPr>
            <w:tcW w:w="3602" w:type="dxa"/>
            <w:tcBorders>
              <w:top w:val="single" w:sz="4" w:space="0" w:color="auto"/>
              <w:left w:val="single" w:sz="4" w:space="0" w:color="auto"/>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Importance of youth and digital ("no fiber, no youth; no youth, no vibrant rural areas")</w:t>
            </w:r>
            <w:r>
              <w:rPr>
                <w:rStyle w:val="Fuentedeprrafopredeter"/>
                <w:rFonts w:eastAsia="Calibri"/>
                <w:noProof/>
              </w:rPr>
              <w:br/>
              <w:t>Importance of agriculture beyond economy and jobs - landscape, environment, quality of life; impact of COVID (new eyes for rural areas). Presentation of lessons from research.</w:t>
            </w:r>
          </w:p>
          <w:p w:rsidR="00843EC3" w:rsidRDefault="00F1079F">
            <w:pPr>
              <w:spacing w:before="120" w:after="120" w:line="266" w:lineRule="auto"/>
              <w:ind w:left="68" w:right="57" w:hanging="11"/>
              <w:rPr>
                <w:rStyle w:val="Fuentedeprrafopredeter"/>
                <w:noProof/>
              </w:rPr>
            </w:pPr>
            <w:r>
              <w:rPr>
                <w:rStyle w:val="Fuentedeprrafopredeter"/>
                <w:noProof/>
              </w:rPr>
              <w:t>Target group: stakeholders dealing with rural development.</w:t>
            </w:r>
          </w:p>
        </w:tc>
      </w:tr>
      <w:tr w:rsidR="00843EC3">
        <w:trPr>
          <w:trHeight w:val="742"/>
        </w:trPr>
        <w:tc>
          <w:tcPr>
            <w:tcW w:w="1670"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22-26/03/2021</w:t>
            </w:r>
          </w:p>
        </w:tc>
        <w:tc>
          <w:tcPr>
            <w:tcW w:w="2018" w:type="dxa"/>
            <w:tcBorders>
              <w:top w:val="single" w:sz="4" w:space="0" w:color="auto"/>
              <w:left w:val="nil"/>
              <w:bottom w:val="single" w:sz="4" w:space="0" w:color="auto"/>
              <w:right w:val="single" w:sz="4" w:space="0" w:color="auto"/>
            </w:tcBorders>
            <w:shd w:val="clear" w:color="auto" w:fill="auto"/>
            <w:noWrap/>
          </w:tcPr>
          <w:p w:rsidR="00843EC3" w:rsidRDefault="00F1079F">
            <w:pPr>
              <w:jc w:val="left"/>
              <w:rPr>
                <w:rStyle w:val="Fuentedeprrafopredeter"/>
                <w:noProof/>
              </w:rPr>
            </w:pPr>
            <w:r>
              <w:rPr>
                <w:rStyle w:val="Fuentedeprrafopredeter"/>
                <w:noProof/>
              </w:rPr>
              <w:t xml:space="preserve">Rural Vision Week: </w:t>
            </w:r>
            <w:r>
              <w:rPr>
                <w:rStyle w:val="Fuentedeprrafopredeter"/>
                <w:i/>
                <w:noProof/>
              </w:rPr>
              <w:t>Imagining the future of Europe’s rural areas</w:t>
            </w:r>
          </w:p>
        </w:tc>
        <w:tc>
          <w:tcPr>
            <w:tcW w:w="1777" w:type="dxa"/>
            <w:tcBorders>
              <w:top w:val="single" w:sz="4" w:space="0" w:color="auto"/>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ENRD</w:t>
            </w:r>
          </w:p>
        </w:tc>
        <w:tc>
          <w:tcPr>
            <w:tcW w:w="3602" w:type="dxa"/>
            <w:tcBorders>
              <w:top w:val="single" w:sz="4" w:space="0" w:color="auto"/>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noProof/>
              </w:rPr>
            </w:pPr>
            <w:r>
              <w:rPr>
                <w:rStyle w:val="Fuentedeprrafopredeter"/>
                <w:noProof/>
              </w:rPr>
              <w:t>Large-scale participatory online event around the Long Term Vision – details in pt. 3(f).</w:t>
            </w:r>
          </w:p>
          <w:p w:rsidR="00843EC3" w:rsidRDefault="00F1079F">
            <w:pPr>
              <w:spacing w:before="120" w:after="120" w:line="266" w:lineRule="auto"/>
              <w:ind w:left="68" w:right="57" w:hanging="11"/>
              <w:rPr>
                <w:rStyle w:val="Fuentedeprrafopredeter"/>
                <w:noProof/>
              </w:rPr>
            </w:pPr>
            <w:r>
              <w:rPr>
                <w:rStyle w:val="Fuentedeprrafopredeter"/>
                <w:noProof/>
              </w:rPr>
              <w:t xml:space="preserve">Target group:  a wide range of rural development stakeholders including NGO’s/associations, </w:t>
            </w:r>
            <w:r>
              <w:rPr>
                <w:noProof/>
              </w:rPr>
              <w:t>National Rural Networks, LEADER LAGs, Managing Authorities and bodies representing regional and local administration, researchers, EU institutions etc.</w:t>
            </w:r>
          </w:p>
        </w:tc>
      </w:tr>
      <w:tr w:rsidR="00843EC3">
        <w:trPr>
          <w:trHeight w:val="742"/>
        </w:trPr>
        <w:tc>
          <w:tcPr>
            <w:tcW w:w="1670"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05/05/2021</w:t>
            </w:r>
          </w:p>
        </w:tc>
        <w:tc>
          <w:tcPr>
            <w:tcW w:w="2018" w:type="dxa"/>
            <w:tcBorders>
              <w:top w:val="single" w:sz="4" w:space="0" w:color="auto"/>
              <w:left w:val="nil"/>
              <w:bottom w:val="single" w:sz="4" w:space="0" w:color="auto"/>
              <w:right w:val="single" w:sz="4" w:space="0" w:color="auto"/>
            </w:tcBorders>
            <w:shd w:val="clear" w:color="auto" w:fill="auto"/>
            <w:noWrap/>
          </w:tcPr>
          <w:p w:rsidR="00843EC3" w:rsidRDefault="00F1079F">
            <w:pPr>
              <w:jc w:val="left"/>
              <w:rPr>
                <w:noProof/>
                <w:lang w:val="en-US"/>
              </w:rPr>
            </w:pPr>
            <w:r>
              <w:rPr>
                <w:rStyle w:val="Fuentedeprrafopredeter"/>
                <w:noProof/>
              </w:rPr>
              <w:t>4</w:t>
            </w:r>
            <w:r>
              <w:rPr>
                <w:rStyle w:val="Fuentedeprrafopredeter"/>
                <w:noProof/>
                <w:vertAlign w:val="superscript"/>
              </w:rPr>
              <w:t>th</w:t>
            </w:r>
            <w:r>
              <w:rPr>
                <w:rStyle w:val="Fuentedeprrafopredeter"/>
                <w:noProof/>
              </w:rPr>
              <w:t xml:space="preserve"> Thematic Group (TG) </w:t>
            </w:r>
            <w:hyperlink r:id="rId35" w:history="1">
              <w:r>
                <w:rPr>
                  <w:rStyle w:val="Hipercze"/>
                  <w:rFonts w:eastAsia="Arial"/>
                  <w:noProof/>
                </w:rPr>
                <w:t>meeting</w:t>
              </w:r>
            </w:hyperlink>
            <w:r>
              <w:rPr>
                <w:rStyle w:val="Fuentedeprrafopredeter"/>
                <w:noProof/>
              </w:rPr>
              <w:t xml:space="preserve"> on the Long Term Rural Vision</w:t>
            </w:r>
          </w:p>
        </w:tc>
        <w:tc>
          <w:tcPr>
            <w:tcW w:w="1777" w:type="dxa"/>
            <w:tcBorders>
              <w:top w:val="single" w:sz="4" w:space="0" w:color="auto"/>
              <w:left w:val="nil"/>
              <w:bottom w:val="single" w:sz="4" w:space="0" w:color="auto"/>
              <w:right w:val="single" w:sz="4" w:space="0" w:color="auto"/>
            </w:tcBorders>
            <w:shd w:val="clear" w:color="auto" w:fill="auto"/>
          </w:tcPr>
          <w:p w:rsidR="00843EC3" w:rsidRDefault="00F1079F">
            <w:pPr>
              <w:jc w:val="left"/>
              <w:rPr>
                <w:noProof/>
                <w:lang w:val="en-US"/>
              </w:rPr>
            </w:pPr>
            <w:r>
              <w:rPr>
                <w:noProof/>
                <w:lang w:val="en-US"/>
              </w:rPr>
              <w:t>ENRD</w:t>
            </w:r>
          </w:p>
        </w:tc>
        <w:tc>
          <w:tcPr>
            <w:tcW w:w="3602" w:type="dxa"/>
            <w:tcBorders>
              <w:top w:val="single" w:sz="4" w:space="0" w:color="auto"/>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noProof/>
              </w:rPr>
            </w:pPr>
            <w:r>
              <w:rPr>
                <w:rStyle w:val="Fuentedeprrafopredeter"/>
                <w:noProof/>
              </w:rPr>
              <w:t>The meeting took stock of the main messages which emerged from Rural Vision Week, shared experiences from MS that have developed their own integrated rural strategies or agendas, and considered how stakeholders can help make the future Vision a reality at local level and how networks can best provide support.</w:t>
            </w:r>
          </w:p>
          <w:p w:rsidR="00843EC3" w:rsidRDefault="00F1079F">
            <w:pPr>
              <w:spacing w:before="120" w:after="120" w:line="266" w:lineRule="auto"/>
              <w:ind w:left="68" w:right="57" w:hanging="11"/>
              <w:rPr>
                <w:rStyle w:val="Fuentedeprrafopredeter"/>
                <w:noProof/>
              </w:rPr>
            </w:pPr>
            <w:r>
              <w:rPr>
                <w:rStyle w:val="Fuentedeprrafopredeter"/>
                <w:noProof/>
              </w:rPr>
              <w:t>Target group: rural development experts and practioners.</w:t>
            </w:r>
          </w:p>
        </w:tc>
      </w:tr>
      <w:tr w:rsidR="00843EC3">
        <w:trPr>
          <w:trHeight w:val="742"/>
        </w:trPr>
        <w:tc>
          <w:tcPr>
            <w:tcW w:w="1670" w:type="dxa"/>
            <w:tcBorders>
              <w:top w:val="single" w:sz="4" w:space="0" w:color="auto"/>
              <w:left w:val="single" w:sz="4" w:space="0" w:color="auto"/>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lastRenderedPageBreak/>
              <w:t>Various</w:t>
            </w:r>
          </w:p>
        </w:tc>
        <w:tc>
          <w:tcPr>
            <w:tcW w:w="2018" w:type="dxa"/>
            <w:tcBorders>
              <w:top w:val="single" w:sz="4" w:space="0" w:color="auto"/>
              <w:left w:val="nil"/>
              <w:bottom w:val="single" w:sz="4" w:space="0" w:color="auto"/>
              <w:right w:val="single" w:sz="4" w:space="0" w:color="auto"/>
            </w:tcBorders>
            <w:shd w:val="clear" w:color="auto" w:fill="auto"/>
            <w:noWrap/>
          </w:tcPr>
          <w:p w:rsidR="00843EC3" w:rsidRDefault="00F1079F">
            <w:pPr>
              <w:jc w:val="left"/>
              <w:rPr>
                <w:noProof/>
                <w:lang w:val="en-US"/>
              </w:rPr>
            </w:pPr>
            <w:r>
              <w:rPr>
                <w:noProof/>
                <w:lang w:val="en-US"/>
              </w:rPr>
              <w:t>OECD Rural Working Party</w:t>
            </w:r>
          </w:p>
        </w:tc>
        <w:tc>
          <w:tcPr>
            <w:tcW w:w="1777" w:type="dxa"/>
            <w:tcBorders>
              <w:top w:val="single" w:sz="4" w:space="0" w:color="auto"/>
              <w:left w:val="nil"/>
              <w:bottom w:val="single" w:sz="4" w:space="0" w:color="auto"/>
              <w:right w:val="single" w:sz="4" w:space="0" w:color="auto"/>
            </w:tcBorders>
            <w:shd w:val="clear" w:color="auto" w:fill="auto"/>
          </w:tcPr>
          <w:p w:rsidR="00843EC3" w:rsidRDefault="00F1079F">
            <w:pPr>
              <w:jc w:val="left"/>
              <w:rPr>
                <w:noProof/>
                <w:lang w:val="es-ES_tradnl"/>
              </w:rPr>
            </w:pPr>
            <w:r>
              <w:rPr>
                <w:noProof/>
                <w:lang w:val="en-US"/>
              </w:rPr>
              <w:t>OECD</w:t>
            </w:r>
          </w:p>
        </w:tc>
        <w:tc>
          <w:tcPr>
            <w:tcW w:w="3602" w:type="dxa"/>
            <w:tcBorders>
              <w:top w:val="single" w:sz="4" w:space="0" w:color="auto"/>
              <w:left w:val="nil"/>
              <w:bottom w:val="single" w:sz="4" w:space="0" w:color="auto"/>
              <w:right w:val="single" w:sz="4" w:space="0" w:color="auto"/>
            </w:tcBorders>
            <w:shd w:val="clear" w:color="auto" w:fill="auto"/>
            <w:vAlign w:val="bottom"/>
          </w:tcPr>
          <w:p w:rsidR="00843EC3" w:rsidRDefault="00F1079F">
            <w:pPr>
              <w:spacing w:before="120" w:after="120" w:line="266" w:lineRule="auto"/>
              <w:ind w:left="68" w:right="57" w:hanging="11"/>
              <w:rPr>
                <w:rStyle w:val="Fuentedeprrafopredeter"/>
                <w:rFonts w:eastAsia="Calibri"/>
                <w:noProof/>
              </w:rPr>
            </w:pPr>
            <w:r>
              <w:rPr>
                <w:rStyle w:val="Fuentedeprrafopredeter"/>
                <w:noProof/>
              </w:rPr>
              <w:t>Informing about the rural vision</w:t>
            </w:r>
            <w:r>
              <w:rPr>
                <w:rStyle w:val="Fuentedeprrafopredeter"/>
                <w:rFonts w:eastAsia="Calibri"/>
                <w:noProof/>
              </w:rPr>
              <w:t xml:space="preserve"> initiative, highlighting links to OECD activities.</w:t>
            </w:r>
          </w:p>
          <w:p w:rsidR="00843EC3" w:rsidRDefault="00F1079F">
            <w:pPr>
              <w:spacing w:before="120" w:after="120" w:line="266" w:lineRule="auto"/>
              <w:ind w:left="68" w:right="57" w:hanging="11"/>
              <w:rPr>
                <w:rStyle w:val="Fuentedeprrafopredeter"/>
                <w:rFonts w:eastAsia="Calibri"/>
                <w:noProof/>
              </w:rPr>
            </w:pPr>
            <w:r>
              <w:rPr>
                <w:rStyle w:val="Fuentedeprrafopredeter"/>
                <w:rFonts w:eastAsia="Calibri"/>
                <w:noProof/>
              </w:rPr>
              <w:t>Experts on rural development from OECD countries.</w:t>
            </w:r>
          </w:p>
        </w:tc>
      </w:tr>
    </w:tbl>
    <w:p w:rsidR="00843EC3" w:rsidRDefault="00843EC3">
      <w:pPr>
        <w:spacing w:after="160" w:line="259" w:lineRule="auto"/>
        <w:ind w:left="0" w:firstLine="0"/>
        <w:jc w:val="left"/>
        <w:rPr>
          <w:noProof/>
          <w:color w:val="FF0000"/>
        </w:rPr>
      </w:pPr>
    </w:p>
    <w:p w:rsidR="00843EC3" w:rsidRDefault="00843EC3">
      <w:pPr>
        <w:spacing w:after="234"/>
        <w:ind w:left="-5" w:right="13"/>
        <w:rPr>
          <w:noProof/>
          <w:color w:val="FF0000"/>
        </w:rPr>
        <w:sectPr w:rsidR="00843EC3">
          <w:headerReference w:type="even" r:id="rId36"/>
          <w:headerReference w:type="default" r:id="rId37"/>
          <w:footerReference w:type="even" r:id="rId38"/>
          <w:footerReference w:type="default" r:id="rId39"/>
          <w:headerReference w:type="first" r:id="rId40"/>
          <w:footerReference w:type="first" r:id="rId41"/>
          <w:pgSz w:w="11904" w:h="16832"/>
          <w:pgMar w:top="1420" w:right="1376" w:bottom="1406" w:left="1426" w:header="720" w:footer="693" w:gutter="0"/>
          <w:pgNumType w:start="1"/>
          <w:cols w:space="720"/>
          <w:titlePg/>
        </w:sectPr>
      </w:pPr>
    </w:p>
    <w:p w:rsidR="00843EC3" w:rsidRDefault="00F1079F">
      <w:pPr>
        <w:spacing w:after="234"/>
        <w:ind w:left="-5" w:right="13"/>
        <w:rPr>
          <w:b/>
          <w:noProof/>
          <w:color w:val="auto"/>
        </w:rPr>
      </w:pPr>
      <w:r>
        <w:rPr>
          <w:b/>
          <w:noProof/>
          <w:color w:val="auto"/>
        </w:rPr>
        <w:lastRenderedPageBreak/>
        <w:t>Annex 2 – “Rural Voices”: Overview of key thematic messages from stakeholder workshops on the Rural (source: ENRD)</w:t>
      </w:r>
    </w:p>
    <w:tbl>
      <w:tblPr>
        <w:tblStyle w:val="Tabela-Siatka"/>
        <w:tblW w:w="15877" w:type="dxa"/>
        <w:tblInd w:w="-998" w:type="dxa"/>
        <w:tblLayout w:type="fixed"/>
        <w:tblLook w:val="04A0" w:firstRow="1" w:lastRow="0" w:firstColumn="1" w:lastColumn="0" w:noHBand="0" w:noVBand="1"/>
      </w:tblPr>
      <w:tblGrid>
        <w:gridCol w:w="1542"/>
        <w:gridCol w:w="3544"/>
        <w:gridCol w:w="4129"/>
        <w:gridCol w:w="6662"/>
      </w:tblGrid>
      <w:tr w:rsidR="00843EC3">
        <w:tc>
          <w:tcPr>
            <w:tcW w:w="154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183"/>
          </w:tcPr>
          <w:p w:rsidR="00843EC3" w:rsidRDefault="00F1079F">
            <w:pPr>
              <w:spacing w:before="120" w:after="120" w:line="240" w:lineRule="auto"/>
              <w:ind w:left="0" w:firstLine="0"/>
              <w:jc w:val="center"/>
              <w:rPr>
                <w:rFonts w:asciiTheme="minorHAnsi" w:eastAsiaTheme="minorHAnsi" w:hAnsiTheme="minorHAnsi" w:cstheme="minorHAnsi"/>
                <w:noProof/>
                <w:color w:val="FFFFFF" w:themeColor="background1"/>
                <w:sz w:val="22"/>
              </w:rPr>
            </w:pPr>
            <w:r>
              <w:rPr>
                <w:rFonts w:asciiTheme="minorHAnsi" w:eastAsiaTheme="minorHAnsi" w:hAnsiTheme="minorHAnsi" w:cstheme="minorHAnsi"/>
                <w:b/>
                <w:noProof/>
                <w:color w:val="FFFFFF" w:themeColor="background1"/>
                <w:sz w:val="22"/>
              </w:rPr>
              <w:t>TOPICS</w:t>
            </w:r>
          </w:p>
        </w:tc>
        <w:tc>
          <w:tcPr>
            <w:tcW w:w="354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183"/>
          </w:tcPr>
          <w:p w:rsidR="00843EC3" w:rsidRDefault="00F1079F">
            <w:pPr>
              <w:spacing w:before="120" w:after="120" w:line="240" w:lineRule="auto"/>
              <w:ind w:left="0" w:firstLine="0"/>
              <w:jc w:val="center"/>
              <w:rPr>
                <w:rFonts w:asciiTheme="minorHAnsi" w:eastAsiaTheme="minorHAnsi" w:hAnsiTheme="minorHAnsi" w:cstheme="minorHAnsi"/>
                <w:b/>
                <w:noProof/>
                <w:color w:val="FFFFFF" w:themeColor="background1"/>
                <w:sz w:val="22"/>
              </w:rPr>
            </w:pPr>
            <w:r>
              <w:rPr>
                <w:rFonts w:asciiTheme="minorHAnsi" w:eastAsiaTheme="minorHAnsi" w:hAnsiTheme="minorHAnsi" w:cstheme="minorHAnsi"/>
                <w:b/>
                <w:noProof/>
                <w:color w:val="FFFFFF" w:themeColor="background1"/>
                <w:sz w:val="22"/>
              </w:rPr>
              <w:t xml:space="preserve">CURRENT CONCERNS </w:t>
            </w:r>
          </w:p>
        </w:tc>
        <w:tc>
          <w:tcPr>
            <w:tcW w:w="41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183"/>
          </w:tcPr>
          <w:p w:rsidR="00843EC3" w:rsidRDefault="00F1079F">
            <w:pPr>
              <w:spacing w:before="120" w:after="120" w:line="240" w:lineRule="auto"/>
              <w:ind w:left="0" w:firstLine="0"/>
              <w:jc w:val="center"/>
              <w:rPr>
                <w:rFonts w:asciiTheme="minorHAnsi" w:eastAsiaTheme="minorHAnsi" w:hAnsiTheme="minorHAnsi" w:cstheme="minorHAnsi"/>
                <w:b/>
                <w:noProof/>
                <w:color w:val="FFFFFF" w:themeColor="background1"/>
                <w:sz w:val="22"/>
              </w:rPr>
            </w:pPr>
            <w:r>
              <w:rPr>
                <w:rFonts w:asciiTheme="minorHAnsi" w:eastAsiaTheme="minorHAnsi" w:hAnsiTheme="minorHAnsi" w:cstheme="minorHAnsi"/>
                <w:b/>
                <w:noProof/>
                <w:color w:val="FFFFFF" w:themeColor="background1"/>
                <w:sz w:val="22"/>
              </w:rPr>
              <w:t>OPPORTUNITIES FOR THE FUTURE</w:t>
            </w:r>
          </w:p>
        </w:tc>
        <w:tc>
          <w:tcPr>
            <w:tcW w:w="666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8183"/>
          </w:tcPr>
          <w:p w:rsidR="00843EC3" w:rsidRDefault="00F1079F">
            <w:pPr>
              <w:spacing w:before="120" w:after="120" w:line="240" w:lineRule="auto"/>
              <w:ind w:left="0" w:firstLine="0"/>
              <w:jc w:val="center"/>
              <w:rPr>
                <w:rFonts w:asciiTheme="minorHAnsi" w:eastAsiaTheme="minorHAnsi" w:hAnsiTheme="minorHAnsi" w:cstheme="minorHAnsi"/>
                <w:b/>
                <w:noProof/>
                <w:color w:val="FFFFFF" w:themeColor="background1"/>
                <w:sz w:val="22"/>
              </w:rPr>
            </w:pPr>
            <w:r>
              <w:rPr>
                <w:rFonts w:asciiTheme="minorHAnsi" w:eastAsiaTheme="minorHAnsi" w:hAnsiTheme="minorHAnsi" w:cstheme="minorHAnsi"/>
                <w:b/>
                <w:noProof/>
                <w:color w:val="FFFFFF" w:themeColor="background1"/>
                <w:sz w:val="22"/>
              </w:rPr>
              <w:t>SPECIFIC ACTIONS TO ENABLE STEP CHANGES</w:t>
            </w:r>
          </w:p>
        </w:tc>
      </w:tr>
      <w:tr w:rsidR="00843EC3">
        <w:tc>
          <w:tcPr>
            <w:tcW w:w="1542" w:type="dxa"/>
            <w:tcBorders>
              <w:top w:val="single" w:sz="18" w:space="0" w:color="FFFFFF" w:themeColor="background1"/>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Infrastructure and services</w:t>
            </w:r>
          </w:p>
        </w:tc>
        <w:tc>
          <w:tcPr>
            <w:tcW w:w="3544" w:type="dxa"/>
            <w:tcBorders>
              <w:top w:val="single" w:sz="18" w:space="0" w:color="FFFFFF" w:themeColor="background1"/>
              <w:left w:val="single" w:sz="4" w:space="0" w:color="008183"/>
              <w:bottom w:val="single" w:sz="4" w:space="0" w:color="008183"/>
              <w:right w:val="single" w:sz="4" w:space="0" w:color="008183"/>
            </w:tcBorders>
          </w:tcPr>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Poor quality public services, schools, health and social care and infrastructure.</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An overly urban-centric transport and mobility system.</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The lack of vitality of village and town centres and hubs.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Neglect of heritage of historic and industrial buildings.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Insufficient and inappropriate housing to meet current needs.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Inadequate water supply, water treatment and flood and drought management.</w:t>
            </w:r>
          </w:p>
        </w:tc>
        <w:tc>
          <w:tcPr>
            <w:tcW w:w="4129" w:type="dxa"/>
            <w:tcBorders>
              <w:top w:val="single" w:sz="18" w:space="0" w:color="FFFFFF" w:themeColor="background1"/>
              <w:left w:val="single" w:sz="4" w:space="0" w:color="008183"/>
              <w:bottom w:val="single" w:sz="4" w:space="0" w:color="008183"/>
              <w:right w:val="single" w:sz="4" w:space="0" w:color="008183"/>
            </w:tcBorders>
          </w:tcPr>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Scope for</w:t>
            </w:r>
            <w:r>
              <w:rPr>
                <w:rFonts w:asciiTheme="minorHAnsi" w:eastAsiaTheme="minorHAnsi" w:hAnsiTheme="minorHAnsi" w:cstheme="minorHAnsi"/>
                <w:b/>
                <w:noProof/>
                <w:color w:val="auto"/>
                <w:sz w:val="20"/>
              </w:rPr>
              <w:t xml:space="preserve"> digital innovation, service hubs and rural schools</w:t>
            </w:r>
            <w:r>
              <w:rPr>
                <w:rFonts w:asciiTheme="minorHAnsi" w:eastAsiaTheme="minorHAnsi" w:hAnsiTheme="minorHAnsi" w:cstheme="minorHAnsi"/>
                <w:noProof/>
                <w:color w:val="auto"/>
                <w:sz w:val="20"/>
              </w:rPr>
              <w:t xml:space="preserve"> for the provision of rural services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demand for wider </w:t>
            </w:r>
            <w:r>
              <w:rPr>
                <w:rFonts w:asciiTheme="minorHAnsi" w:eastAsiaTheme="minorHAnsi" w:hAnsiTheme="minorHAnsi" w:cstheme="minorHAnsi"/>
                <w:b/>
                <w:noProof/>
                <w:color w:val="auto"/>
                <w:sz w:val="20"/>
              </w:rPr>
              <w:t xml:space="preserve">sustainable rural mobility approaches </w:t>
            </w:r>
            <w:r>
              <w:rPr>
                <w:rFonts w:asciiTheme="minorHAnsi" w:eastAsiaTheme="minorHAnsi" w:hAnsiTheme="minorHAnsi" w:cstheme="minorHAnsi"/>
                <w:noProof/>
                <w:color w:val="auto"/>
                <w:sz w:val="20"/>
              </w:rPr>
              <w:t>building on developing links between different modes of transport, on-demand services and new technologies.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bCs/>
                <w:noProof/>
                <w:color w:val="auto"/>
                <w:sz w:val="20"/>
              </w:rPr>
              <w:t>Revitalisation of</w:t>
            </w:r>
            <w:r>
              <w:rPr>
                <w:rFonts w:asciiTheme="minorHAnsi" w:eastAsiaTheme="minorHAnsi" w:hAnsiTheme="minorHAnsi" w:cstheme="minorHAnsi"/>
                <w:b/>
                <w:bCs/>
                <w:noProof/>
                <w:color w:val="auto"/>
                <w:sz w:val="20"/>
              </w:rPr>
              <w:t xml:space="preserve"> rural centres</w:t>
            </w:r>
            <w:r>
              <w:rPr>
                <w:rFonts w:asciiTheme="minorHAnsi" w:eastAsiaTheme="minorHAnsi" w:hAnsiTheme="minorHAnsi" w:cstheme="minorHAnsi"/>
                <w:bCs/>
                <w:noProof/>
                <w:color w:val="auto"/>
                <w:sz w:val="20"/>
              </w:rPr>
              <w:t xml:space="preserve"> </w:t>
            </w:r>
            <w:r>
              <w:rPr>
                <w:rFonts w:asciiTheme="minorHAnsi" w:eastAsiaTheme="minorHAnsi" w:hAnsiTheme="minorHAnsi" w:cstheme="minorHAnsi"/>
                <w:b/>
                <w:bCs/>
                <w:noProof/>
                <w:color w:val="auto"/>
                <w:sz w:val="20"/>
              </w:rPr>
              <w:t>and abandoned buildings</w:t>
            </w:r>
            <w:r>
              <w:rPr>
                <w:rFonts w:asciiTheme="minorHAnsi" w:eastAsiaTheme="minorHAnsi" w:hAnsiTheme="minorHAnsi" w:cstheme="minorHAnsi"/>
                <w:bCs/>
                <w:noProof/>
                <w:color w:val="auto"/>
                <w:sz w:val="20"/>
              </w:rPr>
              <w:t xml:space="preserve"> to build a new rural identity. </w:t>
            </w:r>
            <w:r>
              <w:rPr>
                <w:rFonts w:asciiTheme="minorHAnsi" w:eastAsiaTheme="minorHAnsi" w:hAnsiTheme="minorHAnsi" w:cstheme="minorHAnsi"/>
                <w:b/>
                <w:noProof/>
                <w:color w:val="auto"/>
                <w:sz w:val="20"/>
              </w:rPr>
              <w:t xml:space="preserve">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 xml:space="preserve">A growing stock of rural housing </w:t>
            </w:r>
            <w:r>
              <w:rPr>
                <w:rFonts w:asciiTheme="minorHAnsi" w:eastAsiaTheme="minorHAnsi" w:hAnsiTheme="minorHAnsi" w:cstheme="minorHAnsi"/>
                <w:noProof/>
                <w:color w:val="auto"/>
                <w:sz w:val="20"/>
              </w:rPr>
              <w:t>which needs to be managed to support demands from existing and newcomers to rural areas.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The potential of improved </w:t>
            </w:r>
            <w:r>
              <w:rPr>
                <w:rFonts w:asciiTheme="minorHAnsi" w:eastAsiaTheme="minorHAnsi" w:hAnsiTheme="minorHAnsi" w:cstheme="minorHAnsi"/>
                <w:b/>
                <w:noProof/>
                <w:color w:val="auto"/>
                <w:sz w:val="20"/>
              </w:rPr>
              <w:t>water management infrastructure</w:t>
            </w:r>
            <w:r>
              <w:rPr>
                <w:rFonts w:asciiTheme="minorHAnsi" w:eastAsiaTheme="minorHAnsi" w:hAnsiTheme="minorHAnsi" w:cstheme="minorHAnsi"/>
                <w:noProof/>
                <w:color w:val="auto"/>
                <w:sz w:val="20"/>
              </w:rPr>
              <w:t xml:space="preserve"> to tackle drought and floods.</w:t>
            </w:r>
          </w:p>
        </w:tc>
        <w:tc>
          <w:tcPr>
            <w:tcW w:w="6662" w:type="dxa"/>
            <w:tcBorders>
              <w:top w:val="single" w:sz="18" w:space="0" w:color="FFFFFF" w:themeColor="background1"/>
              <w:left w:val="single" w:sz="4" w:space="0" w:color="008183"/>
              <w:bottom w:val="single" w:sz="4" w:space="0" w:color="008183"/>
              <w:right w:val="single" w:sz="4" w:space="0" w:color="008183"/>
            </w:tcBorders>
          </w:tcPr>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Establish a base level of</w:t>
            </w:r>
            <w:r>
              <w:rPr>
                <w:rFonts w:asciiTheme="minorHAnsi" w:eastAsiaTheme="minorHAnsi" w:hAnsiTheme="minorHAnsi" w:cstheme="minorHAnsi"/>
                <w:b/>
                <w:noProof/>
                <w:color w:val="auto"/>
                <w:sz w:val="20"/>
              </w:rPr>
              <w:t xml:space="preserve"> infrastructure to support the functioning of the rural welfare state</w:t>
            </w:r>
            <w:r>
              <w:rPr>
                <w:rFonts w:asciiTheme="minorHAnsi" w:eastAsiaTheme="minorHAnsi" w:hAnsiTheme="minorHAnsi" w:cstheme="minorHAnsi"/>
                <w:noProof/>
                <w:color w:val="auto"/>
                <w:sz w:val="20"/>
              </w:rPr>
              <w:t xml:space="preserve"> comprising a basic minimum of services that can be considered a right (e.g. internet, access to public services, etc).</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Invest in a</w:t>
            </w:r>
            <w:r>
              <w:rPr>
                <w:rFonts w:asciiTheme="minorHAnsi" w:eastAsiaTheme="minorHAnsi" w:hAnsiTheme="minorHAnsi" w:cstheme="minorHAnsi"/>
                <w:b/>
                <w:noProof/>
                <w:color w:val="auto"/>
                <w:sz w:val="20"/>
              </w:rPr>
              <w:t xml:space="preserve"> modal shift from private cars to public transport and alternative mobility </w:t>
            </w:r>
            <w:r>
              <w:rPr>
                <w:rFonts w:asciiTheme="minorHAnsi" w:eastAsiaTheme="minorHAnsi" w:hAnsiTheme="minorHAnsi" w:cstheme="minorHAnsi"/>
                <w:noProof/>
                <w:color w:val="auto"/>
                <w:sz w:val="20"/>
              </w:rPr>
              <w:t>and from hydrocarbon to post carbon transport systems.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Remodel settlement centres and target </w:t>
            </w:r>
            <w:r>
              <w:rPr>
                <w:rFonts w:asciiTheme="minorHAnsi" w:eastAsiaTheme="minorHAnsi" w:hAnsiTheme="minorHAnsi" w:cstheme="minorHAnsi"/>
                <w:b/>
                <w:noProof/>
                <w:color w:val="auto"/>
                <w:sz w:val="20"/>
              </w:rPr>
              <w:t>investment on historic and traditional buildings</w:t>
            </w:r>
            <w:r>
              <w:rPr>
                <w:rFonts w:asciiTheme="minorHAnsi" w:eastAsiaTheme="minorHAnsi" w:hAnsiTheme="minorHAnsi" w:cstheme="minorHAnsi"/>
                <w:noProof/>
                <w:color w:val="auto"/>
                <w:sz w:val="20"/>
              </w:rPr>
              <w:t xml:space="preserve"> to transform those that are no longer fit for purpose into vibrant community and business uses.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 xml:space="preserve">Enhance water infrastructure resilience, </w:t>
            </w:r>
            <w:r>
              <w:rPr>
                <w:rFonts w:asciiTheme="minorHAnsi" w:eastAsiaTheme="minorHAnsi" w:hAnsiTheme="minorHAnsi" w:cstheme="minorHAnsi"/>
                <w:bCs/>
                <w:noProof/>
                <w:color w:val="auto"/>
                <w:sz w:val="20"/>
              </w:rPr>
              <w:t xml:space="preserve">adapted to and with increased resilience to changing climate </w:t>
            </w:r>
            <w:r>
              <w:rPr>
                <w:rFonts w:asciiTheme="minorHAnsi" w:eastAsiaTheme="minorHAnsi" w:hAnsiTheme="minorHAnsi" w:cstheme="minorHAnsi"/>
                <w:noProof/>
                <w:color w:val="auto"/>
                <w:sz w:val="20"/>
              </w:rPr>
              <w:t>with respect to drinking water supplies, sewerage, flood management, storm water, drought and irrigation needs.</w:t>
            </w:r>
          </w:p>
          <w:p w:rsidR="00843EC3" w:rsidRDefault="00F1079F">
            <w:pPr>
              <w:numPr>
                <w:ilvl w:val="0"/>
                <w:numId w:val="9"/>
              </w:numPr>
              <w:spacing w:after="0" w:line="240" w:lineRule="auto"/>
              <w:ind w:left="184" w:hanging="184"/>
              <w:jc w:val="left"/>
              <w:rPr>
                <w:rFonts w:asciiTheme="minorHAnsi" w:eastAsiaTheme="minorHAnsi" w:hAnsiTheme="minorHAnsi" w:cstheme="minorHAnsi"/>
                <w:b/>
                <w:noProof/>
                <w:color w:val="auto"/>
                <w:sz w:val="20"/>
              </w:rPr>
            </w:pPr>
            <w:r>
              <w:rPr>
                <w:rFonts w:cstheme="minorHAnsi"/>
                <w:b/>
                <w:noProof/>
                <w:sz w:val="20"/>
              </w:rPr>
              <w:t>Capacity building and support for community/volunteer services</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Digital and technological change</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Poor access to digital infrastructure in rural areas.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Weak digital skills of the rural population.</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Low level of digital innovation in rural SMEs.</w:t>
            </w: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Emergence of the </w:t>
            </w:r>
            <w:r>
              <w:rPr>
                <w:rFonts w:asciiTheme="minorHAnsi" w:eastAsiaTheme="minorHAnsi" w:hAnsiTheme="minorHAnsi" w:cstheme="minorHAnsi"/>
                <w:b/>
                <w:noProof/>
                <w:color w:val="auto"/>
                <w:sz w:val="20"/>
              </w:rPr>
              <w:t>digital era</w:t>
            </w:r>
            <w:r>
              <w:rPr>
                <w:rFonts w:asciiTheme="minorHAnsi" w:eastAsiaTheme="minorHAnsi" w:hAnsiTheme="minorHAnsi" w:cstheme="minorHAnsi"/>
                <w:noProof/>
                <w:color w:val="auto"/>
                <w:sz w:val="20"/>
              </w:rPr>
              <w:t xml:space="preserve">, with new models for the provision of </w:t>
            </w:r>
            <w:r>
              <w:rPr>
                <w:rFonts w:asciiTheme="minorHAnsi" w:eastAsiaTheme="minorHAnsi" w:hAnsiTheme="minorHAnsi" w:cstheme="minorHAnsi"/>
                <w:bCs/>
                <w:noProof/>
                <w:color w:val="auto"/>
                <w:sz w:val="20"/>
              </w:rPr>
              <w:t>basic of rural services, jobs, work practices and market access.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bCs/>
                <w:noProof/>
                <w:color w:val="auto"/>
                <w:sz w:val="20"/>
              </w:rPr>
              <w:t xml:space="preserve">Growing demand for </w:t>
            </w:r>
            <w:r>
              <w:rPr>
                <w:rFonts w:asciiTheme="minorHAnsi" w:eastAsiaTheme="minorHAnsi" w:hAnsiTheme="minorHAnsi" w:cstheme="minorHAnsi"/>
                <w:b/>
                <w:bCs/>
                <w:noProof/>
                <w:color w:val="auto"/>
                <w:sz w:val="20"/>
              </w:rPr>
              <w:t>digital services and technological innovation</w:t>
            </w:r>
            <w:r>
              <w:rPr>
                <w:rFonts w:asciiTheme="minorHAnsi" w:eastAsiaTheme="minorHAnsi" w:hAnsiTheme="minorHAnsi" w:cstheme="minorHAnsi"/>
                <w:bCs/>
                <w:noProof/>
                <w:color w:val="auto"/>
                <w:sz w:val="20"/>
              </w:rPr>
              <w:t xml:space="preserve"> at local level (in towns and farms).</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bookmarkStart w:id="4" w:name="_Hlk66608054"/>
            <w:r>
              <w:rPr>
                <w:rFonts w:asciiTheme="minorHAnsi" w:eastAsiaTheme="minorHAnsi" w:hAnsiTheme="minorHAnsi" w:cstheme="minorHAnsi"/>
                <w:noProof/>
                <w:color w:val="auto"/>
                <w:sz w:val="20"/>
              </w:rPr>
              <w:t xml:space="preserve">Provide affordable </w:t>
            </w:r>
            <w:r>
              <w:rPr>
                <w:rFonts w:asciiTheme="minorHAnsi" w:eastAsiaTheme="minorHAnsi" w:hAnsiTheme="minorHAnsi" w:cstheme="minorHAnsi"/>
                <w:b/>
                <w:noProof/>
                <w:color w:val="auto"/>
                <w:sz w:val="20"/>
              </w:rPr>
              <w:t>digital infrastructure</w:t>
            </w:r>
            <w:r>
              <w:rPr>
                <w:rFonts w:asciiTheme="minorHAnsi" w:eastAsiaTheme="minorHAnsi" w:hAnsiTheme="minorHAnsi" w:cstheme="minorHAnsi"/>
                <w:noProof/>
                <w:color w:val="auto"/>
                <w:sz w:val="20"/>
              </w:rPr>
              <w:t xml:space="preserve"> as a basic right, sufficient for business activity, e-service provision and social life. </w:t>
            </w:r>
          </w:p>
          <w:bookmarkEnd w:id="4"/>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Enhance </w:t>
            </w:r>
            <w:r>
              <w:rPr>
                <w:rFonts w:asciiTheme="minorHAnsi" w:eastAsiaTheme="minorHAnsi" w:hAnsiTheme="minorHAnsi" w:cstheme="minorHAnsi"/>
                <w:b/>
                <w:noProof/>
                <w:color w:val="auto"/>
                <w:sz w:val="20"/>
              </w:rPr>
              <w:t>digital literacy</w:t>
            </w:r>
            <w:r>
              <w:rPr>
                <w:rFonts w:asciiTheme="minorHAnsi" w:eastAsiaTheme="minorHAnsi" w:hAnsiTheme="minorHAnsi" w:cstheme="minorHAnsi"/>
                <w:noProof/>
                <w:color w:val="auto"/>
                <w:sz w:val="20"/>
              </w:rPr>
              <w:t xml:space="preserve"> of rural citizens via inclusive training, education programmes and information campaigns, and to enhance e-service provision and use.</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Extend</w:t>
            </w:r>
            <w:r>
              <w:rPr>
                <w:rFonts w:asciiTheme="minorHAnsi" w:eastAsiaTheme="minorHAnsi" w:hAnsiTheme="minorHAnsi" w:cstheme="minorHAnsi"/>
                <w:b/>
                <w:noProof/>
                <w:color w:val="auto"/>
                <w:sz w:val="20"/>
              </w:rPr>
              <w:t xml:space="preserve"> innovation partnerships and advisors into the wider rural domain </w:t>
            </w:r>
            <w:r>
              <w:rPr>
                <w:rFonts w:asciiTheme="minorHAnsi" w:eastAsiaTheme="minorHAnsi" w:hAnsiTheme="minorHAnsi" w:cstheme="minorHAnsi"/>
                <w:noProof/>
                <w:color w:val="auto"/>
                <w:sz w:val="20"/>
              </w:rPr>
              <w:t>and promote innovation activity more vigorously at local levels.</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Basic goods/food/</w:t>
            </w:r>
          </w:p>
          <w:p w:rsidR="00843EC3" w:rsidRDefault="00F1079F">
            <w:pPr>
              <w:spacing w:after="0" w:line="240" w:lineRule="auto"/>
              <w:ind w:left="0" w:firstLine="0"/>
              <w:jc w:val="left"/>
              <w:rPr>
                <w:rFonts w:asciiTheme="minorHAnsi" w:eastAsiaTheme="minorHAnsi" w:hAnsiTheme="minorHAnsi" w:cstheme="minorHAnsi"/>
                <w:noProof/>
                <w:color w:val="auto"/>
                <w:sz w:val="20"/>
              </w:rPr>
            </w:pPr>
            <w:r>
              <w:rPr>
                <w:rFonts w:asciiTheme="minorHAnsi" w:eastAsiaTheme="minorHAnsi" w:hAnsiTheme="minorHAnsi" w:cstheme="minorHAnsi"/>
                <w:b/>
                <w:bCs/>
                <w:noProof/>
                <w:color w:val="auto"/>
                <w:sz w:val="20"/>
              </w:rPr>
              <w:t>energy</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An over-globalised food/energy system which ignores local potential</w:t>
            </w:r>
            <w:r>
              <w:rPr>
                <w:rFonts w:cstheme="minorHAnsi"/>
                <w:noProof/>
                <w:sz w:val="20"/>
              </w:rPr>
              <w:t xml:space="preserve"> and means that value is not retained in the local area.</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The absence of succession plans and questionable viability of many small farms.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Inadequate advisory services.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Skill shortage in regenerative/ organic agriculture.</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Low levels of involvement of rural communities in renewable energy production.</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Weak recognition of the role of land use in carbon capture in rural land use (dealt with in the chapter on climate change).  </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A failure to embrace models for transformational change and sustainability transitions in basic industries, (farming, coal mining and coal-using communities) including addressing red tape/regulation. </w:t>
            </w:r>
          </w:p>
          <w:p w:rsidR="00843EC3" w:rsidRDefault="00843EC3">
            <w:pPr>
              <w:spacing w:after="0" w:line="240" w:lineRule="auto"/>
              <w:ind w:left="174" w:firstLine="0"/>
              <w:jc w:val="left"/>
              <w:rPr>
                <w:rFonts w:asciiTheme="minorHAnsi" w:eastAsiaTheme="minorHAnsi" w:hAnsiTheme="minorHAnsi" w:cstheme="minorHAnsi"/>
                <w:noProof/>
                <w:color w:val="auto"/>
                <w:sz w:val="20"/>
              </w:rPr>
            </w:pP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Growing movement around the</w:t>
            </w:r>
            <w:r>
              <w:rPr>
                <w:rFonts w:asciiTheme="minorHAnsi" w:eastAsiaTheme="minorHAnsi" w:hAnsiTheme="minorHAnsi" w:cstheme="minorHAnsi"/>
                <w:b/>
                <w:noProof/>
                <w:color w:val="auto"/>
                <w:sz w:val="20"/>
              </w:rPr>
              <w:t xml:space="preserve"> relocalisation of shorter food systems </w:t>
            </w:r>
            <w:r>
              <w:rPr>
                <w:rFonts w:asciiTheme="minorHAnsi" w:eastAsiaTheme="minorHAnsi" w:hAnsiTheme="minorHAnsi" w:cstheme="minorHAnsi"/>
                <w:noProof/>
                <w:color w:val="auto"/>
                <w:sz w:val="20"/>
              </w:rPr>
              <w:t>and wood product systems.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Emergence of technological developments that will enhance the </w:t>
            </w:r>
            <w:r>
              <w:rPr>
                <w:rFonts w:asciiTheme="minorHAnsi" w:eastAsiaTheme="minorHAnsi" w:hAnsiTheme="minorHAnsi" w:cstheme="minorHAnsi"/>
                <w:b/>
                <w:bCs/>
                <w:noProof/>
                <w:color w:val="auto"/>
                <w:sz w:val="20"/>
              </w:rPr>
              <w:t>professionalisation of farming</w:t>
            </w:r>
            <w:r>
              <w:rPr>
                <w:rFonts w:asciiTheme="minorHAnsi" w:eastAsiaTheme="minorHAnsi" w:hAnsiTheme="minorHAnsi" w:cstheme="minorHAnsi"/>
                <w:noProof/>
                <w:color w:val="auto"/>
                <w:sz w:val="20"/>
              </w:rPr>
              <w:t xml:space="preserve"> and the connection to the bioeconomy.</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Demand for niche and </w:t>
            </w:r>
            <w:r>
              <w:rPr>
                <w:rFonts w:asciiTheme="minorHAnsi" w:eastAsiaTheme="minorHAnsi" w:hAnsiTheme="minorHAnsi" w:cstheme="minorHAnsi"/>
                <w:b/>
                <w:noProof/>
                <w:color w:val="auto"/>
                <w:sz w:val="20"/>
              </w:rPr>
              <w:t xml:space="preserve">high-quality crops breeds and products </w:t>
            </w:r>
            <w:r>
              <w:rPr>
                <w:rFonts w:asciiTheme="minorHAnsi" w:eastAsiaTheme="minorHAnsi" w:hAnsiTheme="minorHAnsi" w:cstheme="minorHAnsi"/>
                <w:noProof/>
                <w:color w:val="auto"/>
                <w:sz w:val="20"/>
              </w:rPr>
              <w:t xml:space="preserve">based on local biodiversity/identity.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recognition of </w:t>
            </w:r>
            <w:r>
              <w:rPr>
                <w:rFonts w:asciiTheme="minorHAnsi" w:eastAsiaTheme="minorHAnsi" w:hAnsiTheme="minorHAnsi" w:cstheme="minorHAnsi"/>
                <w:b/>
                <w:noProof/>
                <w:color w:val="auto"/>
                <w:sz w:val="20"/>
              </w:rPr>
              <w:t xml:space="preserve">regenerative agriculture </w:t>
            </w:r>
            <w:r>
              <w:rPr>
                <w:rFonts w:asciiTheme="minorHAnsi" w:eastAsiaTheme="minorHAnsi" w:hAnsiTheme="minorHAnsi" w:cstheme="minorHAnsi"/>
                <w:noProof/>
                <w:color w:val="auto"/>
                <w:sz w:val="20"/>
              </w:rPr>
              <w:t xml:space="preserve">as a sustainable farming practice.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interest and awareness of </w:t>
            </w:r>
            <w:r>
              <w:rPr>
                <w:rFonts w:asciiTheme="minorHAnsi" w:eastAsiaTheme="minorHAnsi" w:hAnsiTheme="minorHAnsi" w:cstheme="minorHAnsi"/>
                <w:b/>
                <w:noProof/>
                <w:color w:val="auto"/>
                <w:sz w:val="20"/>
              </w:rPr>
              <w:t>community-based</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renewable energy</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production</w:t>
            </w:r>
            <w:r>
              <w:rPr>
                <w:rFonts w:asciiTheme="minorHAnsi" w:eastAsiaTheme="minorHAnsi" w:hAnsiTheme="minorHAnsi" w:cstheme="minorHAnsi"/>
                <w:noProof/>
                <w:color w:val="auto"/>
                <w:sz w:val="20"/>
              </w:rPr>
              <w:t>.</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Scope to </w:t>
            </w:r>
            <w:r>
              <w:rPr>
                <w:rFonts w:asciiTheme="minorHAnsi" w:eastAsiaTheme="minorHAnsi" w:hAnsiTheme="minorHAnsi" w:cstheme="minorHAnsi"/>
                <w:b/>
                <w:noProof/>
                <w:color w:val="auto"/>
                <w:sz w:val="20"/>
              </w:rPr>
              <w:t>access new markets</w:t>
            </w:r>
            <w:r>
              <w:rPr>
                <w:rFonts w:asciiTheme="minorHAnsi" w:eastAsiaTheme="minorHAnsi" w:hAnsiTheme="minorHAnsi" w:cstheme="minorHAnsi"/>
                <w:noProof/>
                <w:color w:val="auto"/>
                <w:sz w:val="20"/>
              </w:rPr>
              <w:t xml:space="preserve"> via digital tech</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Availability of </w:t>
            </w:r>
            <w:r>
              <w:rPr>
                <w:rFonts w:asciiTheme="minorHAnsi" w:eastAsiaTheme="minorHAnsi" w:hAnsiTheme="minorHAnsi" w:cstheme="minorHAnsi"/>
                <w:b/>
                <w:noProof/>
                <w:color w:val="auto"/>
                <w:sz w:val="20"/>
              </w:rPr>
              <w:t xml:space="preserve">instruments for integrated transformational change </w:t>
            </w:r>
            <w:r>
              <w:rPr>
                <w:rFonts w:asciiTheme="minorHAnsi" w:eastAsiaTheme="minorHAnsi" w:hAnsiTheme="minorHAnsi" w:cstheme="minorHAnsi"/>
                <w:noProof/>
                <w:color w:val="auto"/>
                <w:sz w:val="20"/>
              </w:rPr>
              <w:t>such as Smart Villages, Energy Communities, LEADER, local food policies etc.</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political interest to support </w:t>
            </w:r>
            <w:r>
              <w:rPr>
                <w:rFonts w:asciiTheme="minorHAnsi" w:eastAsiaTheme="minorHAnsi" w:hAnsiTheme="minorHAnsi" w:cstheme="minorHAnsi"/>
                <w:b/>
                <w:noProof/>
                <w:color w:val="auto"/>
                <w:sz w:val="20"/>
              </w:rPr>
              <w:t>‘just and green transition’</w:t>
            </w:r>
            <w:r>
              <w:rPr>
                <w:rFonts w:asciiTheme="minorHAnsi" w:eastAsiaTheme="minorHAnsi" w:hAnsiTheme="minorHAnsi" w:cstheme="minorHAnsi"/>
                <w:noProof/>
                <w:color w:val="auto"/>
                <w:sz w:val="20"/>
              </w:rPr>
              <w:t xml:space="preserve"> in rural communities with stranded hydrocarbon or carbon-based industries.</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Agricultural production</w:t>
            </w:r>
            <w:r>
              <w:rPr>
                <w:rFonts w:asciiTheme="minorHAnsi" w:eastAsiaTheme="minorHAnsi" w:hAnsiTheme="minorHAnsi" w:cstheme="minorHAnsi"/>
                <w:noProof/>
                <w:color w:val="auto"/>
                <w:sz w:val="20"/>
              </w:rPr>
              <w:t xml:space="preserve">. Two alternative approaches emerge: </w:t>
            </w:r>
          </w:p>
          <w:p w:rsidR="00843EC3" w:rsidRDefault="00F1079F">
            <w:pPr>
              <w:numPr>
                <w:ilvl w:val="0"/>
                <w:numId w:val="10"/>
              </w:numPr>
              <w:spacing w:after="0" w:line="240" w:lineRule="auto"/>
              <w:ind w:left="577" w:hanging="184"/>
              <w:contextualSpacing/>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 xml:space="preserve">Relocalise production, shorten supply chains </w:t>
            </w:r>
            <w:r>
              <w:rPr>
                <w:rFonts w:asciiTheme="minorHAnsi" w:eastAsiaTheme="minorHAnsi" w:hAnsiTheme="minorHAnsi" w:cstheme="minorHAnsi"/>
                <w:noProof/>
                <w:color w:val="auto"/>
                <w:sz w:val="20"/>
              </w:rPr>
              <w:t xml:space="preserve">and introduce regenerative and or organic farming practices based on traditional varieties and breeds; and </w:t>
            </w:r>
          </w:p>
          <w:p w:rsidR="00843EC3" w:rsidRDefault="00F1079F">
            <w:pPr>
              <w:numPr>
                <w:ilvl w:val="0"/>
                <w:numId w:val="10"/>
              </w:numPr>
              <w:spacing w:after="0" w:line="240" w:lineRule="auto"/>
              <w:ind w:left="577" w:hanging="184"/>
              <w:contextualSpacing/>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Harness the fruits of</w:t>
            </w:r>
            <w:r>
              <w:rPr>
                <w:rFonts w:asciiTheme="minorHAnsi" w:eastAsiaTheme="minorHAnsi" w:hAnsiTheme="minorHAnsi" w:cstheme="minorHAnsi"/>
                <w:b/>
                <w:noProof/>
                <w:color w:val="auto"/>
                <w:sz w:val="20"/>
              </w:rPr>
              <w:t xml:space="preserve"> technology to reduce costs, environmental impact, raise productivity and produce crops</w:t>
            </w:r>
            <w:r>
              <w:rPr>
                <w:rFonts w:asciiTheme="minorHAnsi" w:eastAsiaTheme="minorHAnsi" w:hAnsiTheme="minorHAnsi" w:cstheme="minorHAnsi"/>
                <w:noProof/>
                <w:color w:val="auto"/>
                <w:sz w:val="20"/>
              </w:rPr>
              <w:t xml:space="preserve"> suitable for the wider bioeconomy.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Reduce r</w:t>
            </w:r>
            <w:r>
              <w:rPr>
                <w:rFonts w:asciiTheme="minorHAnsi" w:eastAsiaTheme="minorHAnsi" w:hAnsiTheme="minorHAnsi" w:cstheme="minorHAnsi"/>
                <w:b/>
                <w:noProof/>
                <w:color w:val="auto"/>
                <w:sz w:val="20"/>
              </w:rPr>
              <w:t xml:space="preserve">ed tape </w:t>
            </w:r>
            <w:r>
              <w:rPr>
                <w:rFonts w:asciiTheme="minorHAnsi" w:eastAsiaTheme="minorHAnsi" w:hAnsiTheme="minorHAnsi" w:cstheme="minorHAnsi"/>
                <w:noProof/>
                <w:color w:val="auto"/>
                <w:sz w:val="20"/>
              </w:rPr>
              <w:t>and enhance</w:t>
            </w:r>
            <w:r>
              <w:rPr>
                <w:rFonts w:asciiTheme="minorHAnsi" w:eastAsiaTheme="minorHAnsi" w:hAnsiTheme="minorHAnsi" w:cstheme="minorHAnsi"/>
                <w:b/>
                <w:noProof/>
                <w:color w:val="auto"/>
                <w:sz w:val="20"/>
              </w:rPr>
              <w:t xml:space="preserve"> processing opportunities </w:t>
            </w:r>
            <w:r>
              <w:rPr>
                <w:rFonts w:asciiTheme="minorHAnsi" w:eastAsiaTheme="minorHAnsi" w:hAnsiTheme="minorHAnsi" w:cstheme="minorHAnsi"/>
                <w:noProof/>
                <w:color w:val="auto"/>
                <w:sz w:val="20"/>
              </w:rPr>
              <w:t>both for local food and for food to be exported out of the region.</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Support the</w:t>
            </w:r>
            <w:r>
              <w:rPr>
                <w:rFonts w:asciiTheme="minorHAnsi" w:eastAsiaTheme="minorHAnsi" w:hAnsiTheme="minorHAnsi" w:cstheme="minorHAnsi"/>
                <w:b/>
                <w:noProof/>
                <w:color w:val="auto"/>
                <w:sz w:val="20"/>
              </w:rPr>
              <w:t xml:space="preserve"> entry of young adults</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into</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the land-based industries</w:t>
            </w:r>
            <w:r>
              <w:rPr>
                <w:rFonts w:asciiTheme="minorHAnsi" w:eastAsiaTheme="minorHAnsi" w:hAnsiTheme="minorHAnsi" w:cstheme="minorHAnsi"/>
                <w:noProof/>
                <w:color w:val="auto"/>
                <w:sz w:val="20"/>
              </w:rPr>
              <w:t>.</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Target</w:t>
            </w:r>
            <w:r>
              <w:rPr>
                <w:rFonts w:asciiTheme="minorHAnsi" w:eastAsiaTheme="minorHAnsi" w:hAnsiTheme="minorHAnsi" w:cstheme="minorHAnsi"/>
                <w:b/>
                <w:noProof/>
                <w:color w:val="auto"/>
                <w:sz w:val="20"/>
              </w:rPr>
              <w:t xml:space="preserve"> investments to induce environmentally friendly practices </w:t>
            </w:r>
            <w:r>
              <w:rPr>
                <w:rFonts w:asciiTheme="minorHAnsi" w:eastAsiaTheme="minorHAnsi" w:hAnsiTheme="minorHAnsi" w:cstheme="minorHAnsi"/>
                <w:noProof/>
                <w:color w:val="auto"/>
                <w:sz w:val="20"/>
              </w:rPr>
              <w:t>at the individual (small-scale, self-consumption) level (e.g. permaculture) and strengthening of other local and organic food initiatives.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Encourage</w:t>
            </w:r>
            <w:r>
              <w:rPr>
                <w:rFonts w:asciiTheme="minorHAnsi" w:eastAsiaTheme="minorHAnsi" w:hAnsiTheme="minorHAnsi" w:cstheme="minorHAnsi"/>
                <w:b/>
                <w:noProof/>
                <w:color w:val="auto"/>
                <w:sz w:val="20"/>
              </w:rPr>
              <w:t xml:space="preserve"> modern technology in the land-based sector</w:t>
            </w:r>
            <w:r>
              <w:rPr>
                <w:rFonts w:asciiTheme="minorHAnsi" w:eastAsiaTheme="minorHAnsi" w:hAnsiTheme="minorHAnsi" w:cstheme="minorHAnsi"/>
                <w:noProof/>
                <w:color w:val="auto"/>
                <w:sz w:val="20"/>
              </w:rPr>
              <w:t xml:space="preserve"> and development of the </w:t>
            </w:r>
            <w:r>
              <w:rPr>
                <w:rFonts w:asciiTheme="minorHAnsi" w:eastAsiaTheme="minorHAnsi" w:hAnsiTheme="minorHAnsi" w:cstheme="minorHAnsi"/>
                <w:b/>
                <w:noProof/>
                <w:color w:val="auto"/>
                <w:sz w:val="20"/>
              </w:rPr>
              <w:t>bioeconomy</w:t>
            </w:r>
            <w:r>
              <w:rPr>
                <w:rFonts w:asciiTheme="minorHAnsi" w:eastAsiaTheme="minorHAnsi" w:hAnsiTheme="minorHAnsi" w:cstheme="minorHAnsi"/>
                <w:noProof/>
                <w:color w:val="auto"/>
                <w:sz w:val="20"/>
              </w:rPr>
              <w:t xml:space="preserve"> (e.g. vertical farming, genome editing methods).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Enhance </w:t>
            </w:r>
            <w:r>
              <w:rPr>
                <w:rFonts w:asciiTheme="minorHAnsi" w:eastAsiaTheme="minorHAnsi" w:hAnsiTheme="minorHAnsi" w:cstheme="minorHAnsi"/>
                <w:b/>
                <w:noProof/>
                <w:color w:val="auto"/>
                <w:sz w:val="20"/>
              </w:rPr>
              <w:t>lifelong learning</w:t>
            </w:r>
            <w:r>
              <w:rPr>
                <w:rFonts w:asciiTheme="minorHAnsi" w:eastAsiaTheme="minorHAnsi" w:hAnsiTheme="minorHAnsi" w:cstheme="minorHAnsi"/>
                <w:noProof/>
                <w:color w:val="auto"/>
                <w:sz w:val="20"/>
              </w:rPr>
              <w:t xml:space="preserve"> in the land-based sector which embraces sustainability and circular economy principles.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Foster</w:t>
            </w:r>
            <w:r>
              <w:rPr>
                <w:rFonts w:asciiTheme="minorHAnsi" w:eastAsiaTheme="minorHAnsi" w:hAnsiTheme="minorHAnsi" w:cstheme="minorHAnsi"/>
                <w:b/>
                <w:noProof/>
                <w:color w:val="auto"/>
                <w:sz w:val="20"/>
              </w:rPr>
              <w:t xml:space="preserve"> wide territorial planning approaches </w:t>
            </w:r>
            <w:r>
              <w:rPr>
                <w:rFonts w:asciiTheme="minorHAnsi" w:eastAsiaTheme="minorHAnsi" w:hAnsiTheme="minorHAnsi" w:cstheme="minorHAnsi"/>
                <w:noProof/>
                <w:color w:val="auto"/>
                <w:sz w:val="20"/>
              </w:rPr>
              <w:t>(which go beyond farming and forestry) that support the transition to a rural economy</w:t>
            </w:r>
            <w:r>
              <w:rPr>
                <w:rFonts w:asciiTheme="minorHAnsi" w:eastAsiaTheme="minorHAnsi" w:hAnsiTheme="minorHAnsi" w:cstheme="minorHAnsi"/>
                <w:b/>
                <w:noProof/>
                <w:color w:val="auto"/>
                <w:sz w:val="20"/>
              </w:rPr>
              <w:t xml:space="preserve"> </w:t>
            </w:r>
            <w:r>
              <w:rPr>
                <w:rFonts w:asciiTheme="minorHAnsi" w:eastAsiaTheme="minorHAnsi" w:hAnsiTheme="minorHAnsi" w:cstheme="minorHAnsi"/>
                <w:noProof/>
                <w:color w:val="auto"/>
                <w:sz w:val="20"/>
              </w:rPr>
              <w:t>based on sustainability and circular economy principles.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Support systems/regulatory framework that encourage </w:t>
            </w:r>
            <w:r>
              <w:rPr>
                <w:rFonts w:asciiTheme="minorHAnsi" w:eastAsiaTheme="minorHAnsi" w:hAnsiTheme="minorHAnsi" w:cstheme="minorHAnsi"/>
                <w:b/>
                <w:noProof/>
                <w:color w:val="auto"/>
                <w:sz w:val="20"/>
              </w:rPr>
              <w:t>regional/community</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renewable energy action</w:t>
            </w:r>
            <w:r>
              <w:rPr>
                <w:rFonts w:asciiTheme="minorHAnsi" w:eastAsiaTheme="minorHAnsi" w:hAnsiTheme="minorHAnsi" w:cstheme="minorHAnsi"/>
                <w:noProof/>
                <w:color w:val="auto"/>
                <w:sz w:val="20"/>
              </w:rPr>
              <w:t xml:space="preserve"> and a post-carbon transition in coal dependent communities.</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Income, work and jobs in the wider economy</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Limited exploitation/retention of regional value added, including through tourism.</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Poor development and value given to local crafts.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Low take up of circular economy principles.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Limited recognition and support to innovative models of enterprise and </w:t>
            </w:r>
          </w:p>
          <w:p w:rsidR="00843EC3" w:rsidRDefault="00F1079F">
            <w:pPr>
              <w:spacing w:after="0" w:line="240" w:lineRule="auto"/>
              <w:ind w:left="174" w:firstLine="0"/>
              <w:jc w:val="left"/>
              <w:rPr>
                <w:rFonts w:asciiTheme="minorHAnsi" w:eastAsiaTheme="minorHAnsi" w:hAnsiTheme="minorHAnsi" w:cstheme="minorHAnsi"/>
                <w:noProof/>
                <w:color w:val="auto"/>
                <w:sz w:val="20"/>
              </w:rPr>
            </w:pPr>
            <w:r>
              <w:rPr>
                <w:rFonts w:cstheme="minorHAnsi"/>
                <w:noProof/>
                <w:sz w:val="20"/>
              </w:rPr>
              <w:t xml:space="preserve">lack of value/recognition of the </w:t>
            </w:r>
            <w:r>
              <w:rPr>
                <w:rFonts w:cstheme="minorHAnsi"/>
                <w:bCs/>
                <w:noProof/>
                <w:sz w:val="20"/>
              </w:rPr>
              <w:t>provision of ecosystem services (ESS).</w:t>
            </w: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bCs/>
                <w:noProof/>
                <w:color w:val="auto"/>
                <w:sz w:val="20"/>
              </w:rPr>
              <w:t xml:space="preserve">Emergence and reinvigoration of traditional and new sectors (e.g. social farming, craft work) and professionals contributing to </w:t>
            </w:r>
            <w:r>
              <w:rPr>
                <w:rFonts w:asciiTheme="minorHAnsi" w:eastAsiaTheme="minorHAnsi" w:hAnsiTheme="minorHAnsi" w:cstheme="minorHAnsi"/>
                <w:b/>
                <w:bCs/>
                <w:noProof/>
                <w:color w:val="auto"/>
                <w:sz w:val="20"/>
              </w:rPr>
              <w:t>rural diversification</w:t>
            </w:r>
            <w:r>
              <w:rPr>
                <w:rFonts w:asciiTheme="minorHAnsi" w:eastAsiaTheme="minorHAnsi" w:hAnsiTheme="minorHAnsi" w:cstheme="minorHAnsi"/>
                <w:noProof/>
                <w:color w:val="auto"/>
                <w:sz w:val="20"/>
              </w:rPr>
              <w:t>.</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Emergence of new models for supporting </w:t>
            </w:r>
            <w:r>
              <w:rPr>
                <w:rFonts w:asciiTheme="minorHAnsi" w:eastAsiaTheme="minorHAnsi" w:hAnsiTheme="minorHAnsi" w:cstheme="minorHAnsi"/>
                <w:b/>
                <w:noProof/>
                <w:color w:val="auto"/>
                <w:sz w:val="20"/>
              </w:rPr>
              <w:t>entrepreneurship and innovation</w:t>
            </w:r>
            <w:r>
              <w:rPr>
                <w:rFonts w:asciiTheme="minorHAnsi" w:eastAsiaTheme="minorHAnsi" w:hAnsiTheme="minorHAnsi" w:cstheme="minorHAnsi"/>
                <w:noProof/>
                <w:color w:val="auto"/>
                <w:sz w:val="20"/>
              </w:rPr>
              <w:t xml:space="preserve"> (e.g. incubators, hubs, networks, etc.).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market recognition of the value of </w:t>
            </w:r>
            <w:r>
              <w:rPr>
                <w:rFonts w:asciiTheme="minorHAnsi" w:eastAsiaTheme="minorHAnsi" w:hAnsiTheme="minorHAnsi" w:cstheme="minorHAnsi"/>
                <w:b/>
                <w:noProof/>
                <w:color w:val="auto"/>
                <w:sz w:val="20"/>
              </w:rPr>
              <w:t>regional identity</w:t>
            </w:r>
            <w:r>
              <w:rPr>
                <w:rFonts w:asciiTheme="minorHAnsi" w:eastAsiaTheme="minorHAnsi" w:hAnsiTheme="minorHAnsi" w:cstheme="minorHAnsi"/>
                <w:noProof/>
                <w:color w:val="auto"/>
                <w:sz w:val="20"/>
              </w:rPr>
              <w:t xml:space="preserve"> and </w:t>
            </w:r>
            <w:r>
              <w:rPr>
                <w:rFonts w:asciiTheme="minorHAnsi" w:eastAsiaTheme="minorHAnsi" w:hAnsiTheme="minorHAnsi" w:cstheme="minorHAnsi"/>
                <w:b/>
                <w:noProof/>
                <w:color w:val="auto"/>
                <w:sz w:val="20"/>
              </w:rPr>
              <w:t>bio-based goods</w:t>
            </w:r>
            <w:r>
              <w:rPr>
                <w:rFonts w:asciiTheme="minorHAnsi" w:eastAsiaTheme="minorHAnsi" w:hAnsiTheme="minorHAnsi" w:cstheme="minorHAnsi"/>
                <w:noProof/>
                <w:color w:val="auto"/>
                <w:sz w:val="20"/>
              </w:rPr>
              <w:t xml:space="preserve"> and </w:t>
            </w:r>
            <w:r>
              <w:rPr>
                <w:rFonts w:asciiTheme="minorHAnsi" w:eastAsiaTheme="minorHAnsi" w:hAnsiTheme="minorHAnsi" w:cstheme="minorHAnsi"/>
                <w:b/>
                <w:noProof/>
                <w:color w:val="auto"/>
                <w:sz w:val="20"/>
              </w:rPr>
              <w:t>services,</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including ESS</w:t>
            </w:r>
            <w:r>
              <w:rPr>
                <w:rFonts w:asciiTheme="minorHAnsi" w:eastAsiaTheme="minorHAnsi" w:hAnsiTheme="minorHAnsi" w:cstheme="minorHAnsi"/>
                <w:noProof/>
                <w:color w:val="auto"/>
                <w:sz w:val="20"/>
              </w:rPr>
              <w:t>, based on principles of sustainability and circularity.</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Value added through </w:t>
            </w:r>
            <w:r>
              <w:rPr>
                <w:rFonts w:asciiTheme="minorHAnsi" w:eastAsiaTheme="minorHAnsi" w:hAnsiTheme="minorHAnsi" w:cstheme="minorHAnsi"/>
                <w:b/>
                <w:noProof/>
                <w:color w:val="auto"/>
                <w:sz w:val="20"/>
              </w:rPr>
              <w:t>processing and marketing centres</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shorter supply chains and gastronomic, social and cultural tourism.</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Provide a good </w:t>
            </w:r>
            <w:r>
              <w:rPr>
                <w:rFonts w:asciiTheme="minorHAnsi" w:eastAsiaTheme="minorHAnsi" w:hAnsiTheme="minorHAnsi" w:cstheme="minorHAnsi"/>
                <w:b/>
                <w:noProof/>
                <w:color w:val="auto"/>
                <w:sz w:val="20"/>
              </w:rPr>
              <w:t>digital infrastructure</w:t>
            </w:r>
            <w:r>
              <w:rPr>
                <w:rFonts w:asciiTheme="minorHAnsi" w:eastAsiaTheme="minorHAnsi" w:hAnsiTheme="minorHAnsi" w:cstheme="minorHAnsi"/>
                <w:noProof/>
                <w:color w:val="auto"/>
                <w:sz w:val="20"/>
              </w:rPr>
              <w:t xml:space="preserve"> as a prerequisite for a diversified modern economy in rural areas.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Create appropriate </w:t>
            </w:r>
            <w:r>
              <w:rPr>
                <w:rFonts w:asciiTheme="minorHAnsi" w:eastAsiaTheme="minorHAnsi" w:hAnsiTheme="minorHAnsi" w:cstheme="minorHAnsi"/>
                <w:b/>
                <w:noProof/>
                <w:color w:val="auto"/>
                <w:sz w:val="20"/>
              </w:rPr>
              <w:t>conditions for local entrepreneurship</w:t>
            </w:r>
            <w:r>
              <w:rPr>
                <w:rFonts w:asciiTheme="minorHAnsi" w:eastAsiaTheme="minorHAnsi" w:hAnsiTheme="minorHAnsi" w:cstheme="minorHAnsi"/>
                <w:noProof/>
                <w:color w:val="auto"/>
                <w:sz w:val="20"/>
              </w:rPr>
              <w:t xml:space="preserve">, to keep people in the countryside and develop creative approaches to </w:t>
            </w:r>
            <w:r>
              <w:rPr>
                <w:rFonts w:asciiTheme="minorHAnsi" w:eastAsiaTheme="minorHAnsi" w:hAnsiTheme="minorHAnsi" w:cstheme="minorHAnsi"/>
                <w:b/>
                <w:noProof/>
                <w:color w:val="auto"/>
                <w:sz w:val="20"/>
              </w:rPr>
              <w:t xml:space="preserve">promoting entrepreneurship </w:t>
            </w:r>
            <w:r>
              <w:rPr>
                <w:rFonts w:asciiTheme="minorHAnsi" w:eastAsiaTheme="minorHAnsi" w:hAnsiTheme="minorHAnsi" w:cstheme="minorHAnsi"/>
                <w:noProof/>
                <w:color w:val="auto"/>
                <w:sz w:val="20"/>
              </w:rPr>
              <w:t>such as</w:t>
            </w:r>
            <w:r>
              <w:rPr>
                <w:rFonts w:asciiTheme="minorHAnsi" w:eastAsiaTheme="minorHAnsi" w:hAnsiTheme="minorHAnsi" w:cstheme="minorHAnsi"/>
                <w:b/>
                <w:noProof/>
                <w:color w:val="auto"/>
                <w:sz w:val="20"/>
              </w:rPr>
              <w:t xml:space="preserve"> </w:t>
            </w:r>
            <w:r>
              <w:rPr>
                <w:rFonts w:asciiTheme="minorHAnsi" w:eastAsiaTheme="minorHAnsi" w:hAnsiTheme="minorHAnsi" w:cstheme="minorHAnsi"/>
                <w:noProof/>
                <w:color w:val="auto"/>
                <w:sz w:val="20"/>
              </w:rPr>
              <w:t>teleworking centres, incubators, minimising red tape etc.</w:t>
            </w:r>
          </w:p>
          <w:p w:rsidR="00843EC3" w:rsidRDefault="00F1079F">
            <w:pPr>
              <w:numPr>
                <w:ilvl w:val="0"/>
                <w:numId w:val="9"/>
              </w:numPr>
              <w:spacing w:after="0" w:line="240" w:lineRule="auto"/>
              <w:ind w:left="181" w:hanging="181"/>
              <w:contextualSpacing/>
              <w:jc w:val="left"/>
              <w:rPr>
                <w:rFonts w:asciiTheme="minorHAnsi" w:eastAsiaTheme="minorHAnsi" w:hAnsiTheme="minorHAnsi" w:cstheme="minorHAnsi"/>
                <w:noProof/>
                <w:color w:val="auto"/>
                <w:sz w:val="20"/>
                <w:szCs w:val="20"/>
              </w:rPr>
            </w:pPr>
            <w:r>
              <w:rPr>
                <w:rFonts w:asciiTheme="minorHAnsi" w:eastAsiaTheme="minorHAnsi" w:hAnsiTheme="minorHAnsi" w:cstheme="minorHAnsi"/>
                <w:noProof/>
                <w:color w:val="auto"/>
                <w:sz w:val="20"/>
                <w:szCs w:val="20"/>
              </w:rPr>
              <w:t>Support new models of collective and community entrepreneurship.</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Support both </w:t>
            </w:r>
            <w:r>
              <w:rPr>
                <w:rFonts w:asciiTheme="minorHAnsi" w:eastAsiaTheme="minorHAnsi" w:hAnsiTheme="minorHAnsi" w:cstheme="minorHAnsi"/>
                <w:b/>
                <w:noProof/>
                <w:color w:val="auto"/>
                <w:sz w:val="20"/>
              </w:rPr>
              <w:t>commercial private sector entrepreneurship and social enterprises</w:t>
            </w:r>
            <w:r>
              <w:rPr>
                <w:rFonts w:asciiTheme="minorHAnsi" w:eastAsiaTheme="minorHAnsi" w:hAnsiTheme="minorHAnsi" w:cstheme="minorHAnsi"/>
                <w:noProof/>
                <w:color w:val="auto"/>
                <w:sz w:val="20"/>
              </w:rPr>
              <w:t xml:space="preserve"> and be open to nurturing </w:t>
            </w:r>
            <w:r>
              <w:rPr>
                <w:rFonts w:asciiTheme="minorHAnsi" w:eastAsiaTheme="minorHAnsi" w:hAnsiTheme="minorHAnsi" w:cstheme="minorHAnsi"/>
                <w:b/>
                <w:bCs/>
                <w:noProof/>
                <w:color w:val="auto"/>
                <w:sz w:val="20"/>
              </w:rPr>
              <w:t>new models of work</w:t>
            </w:r>
            <w:r>
              <w:rPr>
                <w:rFonts w:asciiTheme="minorHAnsi" w:eastAsiaTheme="minorHAnsi" w:hAnsiTheme="minorHAnsi" w:cstheme="minorHAnsi"/>
                <w:noProof/>
                <w:color w:val="auto"/>
                <w:sz w:val="20"/>
              </w:rPr>
              <w:t>.</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Support sustainable </w:t>
            </w:r>
            <w:r>
              <w:rPr>
                <w:rFonts w:asciiTheme="minorHAnsi" w:eastAsiaTheme="minorHAnsi" w:hAnsiTheme="minorHAnsi" w:cstheme="minorHAnsi"/>
                <w:b/>
                <w:noProof/>
                <w:color w:val="auto"/>
                <w:sz w:val="20"/>
              </w:rPr>
              <w:t>tourism</w:t>
            </w:r>
            <w:r>
              <w:rPr>
                <w:rFonts w:asciiTheme="minorHAnsi" w:eastAsiaTheme="minorHAnsi" w:hAnsiTheme="minorHAnsi" w:cstheme="minorHAnsi"/>
                <w:noProof/>
                <w:color w:val="auto"/>
                <w:sz w:val="20"/>
              </w:rPr>
              <w:t xml:space="preserve"> which is better linked to the specific offer of the wider components of rural economies (e.g. linked to speciality foods, crafts and reinvigorating local culture).</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Social inclusion and vitality</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Demographic change especially dramatic population decline in some rural areas.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lastRenderedPageBreak/>
              <w:t>Divergent identities and differing sense of belonging of rural residents.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Gaps in inclusiveness and diversity in some rural areas.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Limited civil society engagement and partnership in some areas, and</w:t>
            </w:r>
            <w:r>
              <w:rPr>
                <w:rFonts w:cstheme="minorHAnsi"/>
                <w:noProof/>
                <w:sz w:val="20"/>
              </w:rPr>
              <w:t xml:space="preserve"> need for support for community &amp; volunteer organisations.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Limited territorial collaboration with third sector agencies.</w:t>
            </w:r>
          </w:p>
          <w:p w:rsidR="00843EC3" w:rsidRDefault="00843EC3">
            <w:pPr>
              <w:spacing w:after="0" w:line="240" w:lineRule="auto"/>
              <w:ind w:left="174" w:firstLine="0"/>
              <w:jc w:val="left"/>
              <w:rPr>
                <w:rFonts w:asciiTheme="minorHAnsi" w:eastAsiaTheme="minorHAnsi" w:hAnsiTheme="minorHAnsi" w:cstheme="minorHAnsi"/>
                <w:noProof/>
                <w:color w:val="auto"/>
                <w:sz w:val="20"/>
              </w:rPr>
            </w:pP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lastRenderedPageBreak/>
              <w:t>Growing interest in</w:t>
            </w:r>
            <w:r>
              <w:rPr>
                <w:rFonts w:asciiTheme="minorHAnsi" w:eastAsiaTheme="minorHAnsi" w:hAnsiTheme="minorHAnsi" w:cstheme="minorHAnsi"/>
                <w:b/>
                <w:noProof/>
                <w:color w:val="auto"/>
                <w:sz w:val="20"/>
              </w:rPr>
              <w:t xml:space="preserve"> moving to rural areas and Working From Home </w:t>
            </w:r>
            <w:r>
              <w:rPr>
                <w:rFonts w:asciiTheme="minorHAnsi" w:eastAsiaTheme="minorHAnsi" w:hAnsiTheme="minorHAnsi" w:cstheme="minorHAnsi"/>
                <w:noProof/>
                <w:color w:val="auto"/>
                <w:sz w:val="20"/>
              </w:rPr>
              <w:t>- all of which have been intensified by the COVID pandemic.</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lastRenderedPageBreak/>
              <w:t xml:space="preserve">Growth of a </w:t>
            </w:r>
            <w:r>
              <w:rPr>
                <w:rFonts w:asciiTheme="minorHAnsi" w:eastAsiaTheme="minorHAnsi" w:hAnsiTheme="minorHAnsi" w:cstheme="minorHAnsi"/>
                <w:b/>
                <w:noProof/>
                <w:color w:val="auto"/>
                <w:sz w:val="20"/>
              </w:rPr>
              <w:t>new shared sense of community</w:t>
            </w:r>
            <w:r>
              <w:rPr>
                <w:rFonts w:asciiTheme="minorHAnsi" w:eastAsiaTheme="minorHAnsi" w:hAnsiTheme="minorHAnsi" w:cstheme="minorHAnsi"/>
                <w:noProof/>
                <w:color w:val="auto"/>
                <w:sz w:val="20"/>
              </w:rPr>
              <w:t xml:space="preserve"> and </w:t>
            </w:r>
            <w:r>
              <w:rPr>
                <w:rFonts w:asciiTheme="minorHAnsi" w:eastAsiaTheme="minorHAnsi" w:hAnsiTheme="minorHAnsi" w:cstheme="minorHAnsi"/>
                <w:b/>
                <w:noProof/>
                <w:color w:val="auto"/>
                <w:sz w:val="20"/>
              </w:rPr>
              <w:t>new rurality</w:t>
            </w:r>
            <w:r>
              <w:rPr>
                <w:rFonts w:asciiTheme="minorHAnsi" w:eastAsiaTheme="minorHAnsi" w:hAnsiTheme="minorHAnsi" w:cstheme="minorHAnsi"/>
                <w:noProof/>
                <w:color w:val="auto"/>
                <w:sz w:val="20"/>
              </w:rPr>
              <w:t xml:space="preserve"> with existing residents, new arrivals and non-permanent residents.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Presence of </w:t>
            </w:r>
            <w:r>
              <w:rPr>
                <w:rFonts w:asciiTheme="minorHAnsi" w:eastAsiaTheme="minorHAnsi" w:hAnsiTheme="minorHAnsi" w:cstheme="minorHAnsi"/>
                <w:b/>
                <w:noProof/>
                <w:color w:val="auto"/>
                <w:sz w:val="20"/>
              </w:rPr>
              <w:t>strong rural identities</w:t>
            </w:r>
            <w:r>
              <w:rPr>
                <w:rFonts w:asciiTheme="minorHAnsi" w:eastAsiaTheme="minorHAnsi" w:hAnsiTheme="minorHAnsi" w:cstheme="minorHAnsi"/>
                <w:noProof/>
                <w:color w:val="auto"/>
                <w:sz w:val="20"/>
              </w:rPr>
              <w:t xml:space="preserve"> which slow down the rural exodus.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Recognition of </w:t>
            </w:r>
            <w:r>
              <w:rPr>
                <w:rFonts w:asciiTheme="minorHAnsi" w:eastAsiaTheme="minorHAnsi" w:hAnsiTheme="minorHAnsi" w:cstheme="minorHAnsi"/>
                <w:b/>
                <w:noProof/>
                <w:color w:val="auto"/>
                <w:sz w:val="20"/>
              </w:rPr>
              <w:t xml:space="preserve">inclusiveness </w:t>
            </w:r>
            <w:r>
              <w:rPr>
                <w:rFonts w:asciiTheme="minorHAnsi" w:eastAsiaTheme="minorHAnsi" w:hAnsiTheme="minorHAnsi" w:cstheme="minorHAnsi"/>
                <w:noProof/>
                <w:color w:val="auto"/>
                <w:sz w:val="20"/>
              </w:rPr>
              <w:t>and</w:t>
            </w:r>
            <w:r>
              <w:rPr>
                <w:rFonts w:asciiTheme="minorHAnsi" w:eastAsiaTheme="minorHAnsi" w:hAnsiTheme="minorHAnsi" w:cstheme="minorHAnsi"/>
                <w:b/>
                <w:noProof/>
                <w:color w:val="auto"/>
                <w:sz w:val="20"/>
              </w:rPr>
              <w:t xml:space="preserve"> diversity</w:t>
            </w:r>
            <w:r>
              <w:rPr>
                <w:rFonts w:asciiTheme="minorHAnsi" w:eastAsiaTheme="minorHAnsi" w:hAnsiTheme="minorHAnsi" w:cstheme="minorHAnsi"/>
                <w:noProof/>
                <w:color w:val="auto"/>
                <w:sz w:val="20"/>
              </w:rPr>
              <w:t xml:space="preserve"> as a value to bring positive change in the countryside integrating refugees and migrants.  </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Increasing demand for</w:t>
            </w:r>
            <w:r>
              <w:rPr>
                <w:rFonts w:asciiTheme="minorHAnsi" w:eastAsiaTheme="minorHAnsi" w:hAnsiTheme="minorHAnsi" w:cstheme="minorHAnsi"/>
                <w:b/>
                <w:noProof/>
                <w:color w:val="auto"/>
                <w:sz w:val="20"/>
              </w:rPr>
              <w:t xml:space="preserve"> community social services for people in unfavourable life situations</w:t>
            </w:r>
            <w:r>
              <w:rPr>
                <w:rFonts w:asciiTheme="minorHAnsi" w:eastAsiaTheme="minorHAnsi" w:hAnsiTheme="minorHAnsi" w:cstheme="minorHAnsi"/>
                <w:noProof/>
                <w:color w:val="auto"/>
                <w:sz w:val="20"/>
              </w:rPr>
              <w:t>.</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lastRenderedPageBreak/>
              <w:t xml:space="preserve">Establish </w:t>
            </w:r>
            <w:r>
              <w:rPr>
                <w:rFonts w:asciiTheme="minorHAnsi" w:eastAsiaTheme="minorHAnsi" w:hAnsiTheme="minorHAnsi" w:cstheme="minorHAnsi"/>
                <w:b/>
                <w:noProof/>
                <w:color w:val="auto"/>
                <w:sz w:val="20"/>
              </w:rPr>
              <w:t>policy of incentives</w:t>
            </w:r>
            <w:r>
              <w:rPr>
                <w:rFonts w:asciiTheme="minorHAnsi" w:eastAsiaTheme="minorHAnsi" w:hAnsiTheme="minorHAnsi" w:cstheme="minorHAnsi"/>
                <w:noProof/>
                <w:color w:val="auto"/>
                <w:sz w:val="20"/>
              </w:rPr>
              <w:t xml:space="preserve"> to encourage young people and professionals to settle in the countryside (e.g. </w:t>
            </w:r>
            <w:r>
              <w:rPr>
                <w:rFonts w:asciiTheme="minorHAnsi" w:eastAsiaTheme="minorHAnsi" w:hAnsiTheme="minorHAnsi" w:cstheme="minorHAnsi"/>
                <w:b/>
                <w:noProof/>
                <w:color w:val="auto"/>
                <w:sz w:val="20"/>
              </w:rPr>
              <w:t xml:space="preserve">tax incentives, </w:t>
            </w:r>
            <w:r>
              <w:rPr>
                <w:rFonts w:asciiTheme="minorHAnsi" w:eastAsiaTheme="minorHAnsi" w:hAnsiTheme="minorHAnsi" w:cstheme="minorHAnsi"/>
                <w:noProof/>
                <w:color w:val="auto"/>
                <w:sz w:val="20"/>
              </w:rPr>
              <w:t xml:space="preserve">adequate services) and </w:t>
            </w:r>
            <w:r>
              <w:rPr>
                <w:rFonts w:asciiTheme="minorHAnsi" w:eastAsiaTheme="minorHAnsi" w:hAnsiTheme="minorHAnsi" w:cstheme="minorHAnsi"/>
                <w:b/>
                <w:noProof/>
                <w:color w:val="auto"/>
                <w:sz w:val="20"/>
              </w:rPr>
              <w:t>support systems</w:t>
            </w:r>
            <w:r>
              <w:rPr>
                <w:rFonts w:asciiTheme="minorHAnsi" w:eastAsiaTheme="minorHAnsi" w:hAnsiTheme="minorHAnsi" w:cstheme="minorHAnsi"/>
                <w:noProof/>
                <w:color w:val="auto"/>
                <w:sz w:val="20"/>
              </w:rPr>
              <w:t xml:space="preserve"> to find</w:t>
            </w:r>
            <w:r>
              <w:rPr>
                <w:rFonts w:asciiTheme="minorHAnsi" w:eastAsiaTheme="minorHAnsi" w:hAnsiTheme="minorHAnsi" w:cstheme="minorHAnsi"/>
                <w:b/>
                <w:noProof/>
                <w:color w:val="auto"/>
                <w:sz w:val="20"/>
              </w:rPr>
              <w:t xml:space="preserve"> </w:t>
            </w:r>
            <w:r>
              <w:rPr>
                <w:rFonts w:asciiTheme="minorHAnsi" w:eastAsiaTheme="minorHAnsi" w:hAnsiTheme="minorHAnsi" w:cstheme="minorHAnsi"/>
                <w:noProof/>
                <w:color w:val="auto"/>
                <w:sz w:val="20"/>
              </w:rPr>
              <w:t>jobs, houses, etc.</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lastRenderedPageBreak/>
              <w:t xml:space="preserve">Implement an </w:t>
            </w:r>
            <w:r>
              <w:rPr>
                <w:rFonts w:asciiTheme="minorHAnsi" w:eastAsiaTheme="minorHAnsi" w:hAnsiTheme="minorHAnsi" w:cstheme="minorHAnsi"/>
                <w:b/>
                <w:noProof/>
                <w:color w:val="auto"/>
                <w:sz w:val="20"/>
              </w:rPr>
              <w:t>activation programme for rural youth</w:t>
            </w:r>
            <w:r>
              <w:rPr>
                <w:rFonts w:asciiTheme="minorHAnsi" w:eastAsiaTheme="minorHAnsi" w:hAnsiTheme="minorHAnsi" w:cstheme="minorHAnsi"/>
                <w:noProof/>
                <w:color w:val="auto"/>
                <w:sz w:val="20"/>
              </w:rPr>
              <w:t xml:space="preserve"> to support them to be professionally active in rural areas.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Support</w:t>
            </w:r>
            <w:r>
              <w:rPr>
                <w:rFonts w:asciiTheme="minorHAnsi" w:eastAsiaTheme="minorHAnsi" w:hAnsiTheme="minorHAnsi" w:cstheme="minorHAnsi"/>
                <w:b/>
                <w:noProof/>
                <w:color w:val="auto"/>
                <w:sz w:val="20"/>
              </w:rPr>
              <w:t xml:space="preserve"> social inclusion actions for Roma and migrants</w:t>
            </w:r>
            <w:r>
              <w:rPr>
                <w:rFonts w:asciiTheme="minorHAnsi" w:eastAsiaTheme="minorHAnsi" w:hAnsiTheme="minorHAnsi" w:cstheme="minorHAnsi"/>
                <w:noProof/>
                <w:color w:val="auto"/>
                <w:sz w:val="20"/>
              </w:rPr>
              <w:t xml:space="preserve"> via the RDP (e.g. training and skills acquisitions for agriculture).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cstheme="minorHAnsi"/>
                <w:b/>
                <w:bCs/>
                <w:noProof/>
                <w:sz w:val="20"/>
              </w:rPr>
              <w:t>Capacity building/support</w:t>
            </w:r>
            <w:r>
              <w:rPr>
                <w:rFonts w:cstheme="minorHAnsi"/>
                <w:noProof/>
                <w:sz w:val="20"/>
              </w:rPr>
              <w:t xml:space="preserve"> for community organisations e.g. </w:t>
            </w:r>
            <w:r>
              <w:rPr>
                <w:rFonts w:asciiTheme="minorHAnsi" w:eastAsiaTheme="minorHAnsi" w:hAnsiTheme="minorHAnsi" w:cstheme="minorHAnsi"/>
                <w:noProof/>
                <w:color w:val="auto"/>
                <w:sz w:val="20"/>
              </w:rPr>
              <w:t xml:space="preserve">investigate </w:t>
            </w:r>
            <w:r>
              <w:rPr>
                <w:rFonts w:asciiTheme="minorHAnsi" w:eastAsiaTheme="minorHAnsi" w:hAnsiTheme="minorHAnsi" w:cstheme="minorHAnsi"/>
                <w:b/>
                <w:noProof/>
                <w:color w:val="auto"/>
                <w:sz w:val="20"/>
              </w:rPr>
              <w:t xml:space="preserve">digital forms of creating a sense of community </w:t>
            </w:r>
            <w:r>
              <w:rPr>
                <w:rFonts w:asciiTheme="minorHAnsi" w:eastAsiaTheme="minorHAnsi" w:hAnsiTheme="minorHAnsi" w:cstheme="minorHAnsi"/>
                <w:noProof/>
                <w:color w:val="auto"/>
                <w:sz w:val="20"/>
              </w:rPr>
              <w:t xml:space="preserve">and participating in local development including </w:t>
            </w:r>
            <w:r>
              <w:rPr>
                <w:rFonts w:asciiTheme="minorHAnsi" w:eastAsiaTheme="minorHAnsi" w:hAnsiTheme="minorHAnsi" w:cstheme="minorHAnsi"/>
                <w:b/>
                <w:noProof/>
                <w:color w:val="auto"/>
                <w:sz w:val="20"/>
              </w:rPr>
              <w:t>‘banks of volunteers’.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Enhance</w:t>
            </w:r>
            <w:r>
              <w:rPr>
                <w:rFonts w:asciiTheme="minorHAnsi" w:eastAsiaTheme="minorHAnsi" w:hAnsiTheme="minorHAnsi" w:cstheme="minorHAnsi"/>
                <w:b/>
                <w:noProof/>
                <w:color w:val="auto"/>
                <w:sz w:val="20"/>
              </w:rPr>
              <w:t xml:space="preserve"> networking</w:t>
            </w:r>
            <w:r>
              <w:rPr>
                <w:rFonts w:asciiTheme="minorHAnsi" w:eastAsiaTheme="minorHAnsi" w:hAnsiTheme="minorHAnsi" w:cstheme="minorHAnsi"/>
                <w:noProof/>
                <w:color w:val="auto"/>
                <w:sz w:val="20"/>
              </w:rPr>
              <w:t xml:space="preserve">, </w:t>
            </w:r>
            <w:r>
              <w:rPr>
                <w:rFonts w:asciiTheme="minorHAnsi" w:eastAsiaTheme="minorHAnsi" w:hAnsiTheme="minorHAnsi" w:cstheme="minorHAnsi"/>
                <w:b/>
                <w:noProof/>
                <w:color w:val="auto"/>
                <w:sz w:val="20"/>
              </w:rPr>
              <w:t>cooperation and partnership building</w:t>
            </w:r>
            <w:r>
              <w:rPr>
                <w:rFonts w:asciiTheme="minorHAnsi" w:eastAsiaTheme="minorHAnsi" w:hAnsiTheme="minorHAnsi" w:cstheme="minorHAnsi"/>
                <w:noProof/>
                <w:color w:val="auto"/>
                <w:sz w:val="20"/>
              </w:rPr>
              <w:t xml:space="preserve"> and ensure rural citizen </w:t>
            </w:r>
            <w:r>
              <w:rPr>
                <w:rFonts w:asciiTheme="minorHAnsi" w:eastAsiaTheme="minorHAnsi" w:hAnsiTheme="minorHAnsi" w:cstheme="minorHAnsi"/>
                <w:b/>
                <w:noProof/>
                <w:color w:val="auto"/>
                <w:sz w:val="20"/>
              </w:rPr>
              <w:t>participation in decision-making</w:t>
            </w:r>
            <w:r>
              <w:rPr>
                <w:rFonts w:asciiTheme="minorHAnsi" w:eastAsiaTheme="minorHAnsi" w:hAnsiTheme="minorHAnsi" w:cstheme="minorHAnsi"/>
                <w:noProof/>
                <w:color w:val="auto"/>
                <w:sz w:val="20"/>
              </w:rPr>
              <w:t xml:space="preserve"> e.g. through LEADER.</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Promote a</w:t>
            </w:r>
            <w:r>
              <w:rPr>
                <w:rFonts w:asciiTheme="minorHAnsi" w:eastAsiaTheme="minorHAnsi" w:hAnsiTheme="minorHAnsi" w:cstheme="minorHAnsi"/>
                <w:b/>
                <w:noProof/>
                <w:color w:val="auto"/>
                <w:sz w:val="20"/>
              </w:rPr>
              <w:t xml:space="preserve"> change in values in society,</w:t>
            </w:r>
            <w:r>
              <w:rPr>
                <w:rFonts w:asciiTheme="minorHAnsi" w:eastAsiaTheme="minorHAnsi" w:hAnsiTheme="minorHAnsi" w:cstheme="minorHAnsi"/>
                <w:noProof/>
                <w:color w:val="auto"/>
                <w:sz w:val="20"/>
              </w:rPr>
              <w:t xml:space="preserve"> valorising rural life.</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after="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lastRenderedPageBreak/>
              <w:t>Environment</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Environmental damage from human sources, including rural production systems impacting biodiversity, water quality and climate change.  </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Deterioration in the condition and loss of cultural landscapes and historic buildings. </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The lack of a culture of caring for the environment among rural people, including land managers.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Excessive waste and an absence of effective waste management.</w:t>
            </w:r>
          </w:p>
          <w:p w:rsidR="00843EC3" w:rsidRDefault="00F1079F">
            <w:pPr>
              <w:numPr>
                <w:ilvl w:val="0"/>
                <w:numId w:val="9"/>
              </w:numPr>
              <w:spacing w:after="0" w:line="240" w:lineRule="auto"/>
              <w:ind w:left="174" w:hanging="174"/>
              <w:jc w:val="left"/>
              <w:rPr>
                <w:rFonts w:cstheme="minorHAnsi"/>
                <w:noProof/>
                <w:sz w:val="20"/>
                <w:lang w:eastAsia="en-GB"/>
              </w:rPr>
            </w:pPr>
            <w:r>
              <w:rPr>
                <w:rFonts w:asciiTheme="minorHAnsi" w:eastAsiaTheme="minorHAnsi" w:hAnsiTheme="minorHAnsi" w:cstheme="minorHAnsi"/>
                <w:noProof/>
                <w:color w:val="auto"/>
                <w:sz w:val="20"/>
              </w:rPr>
              <w:t xml:space="preserve">The lack of a coherent vision or mechanisms to guide change in integrated territorial plans that could guide both productive and environmental functions of rural land, including </w:t>
            </w:r>
            <w:r>
              <w:rPr>
                <w:rFonts w:cstheme="minorHAnsi"/>
                <w:noProof/>
                <w:sz w:val="20"/>
              </w:rPr>
              <w:t>adequate mechanisms to reward provision of ESS.</w:t>
            </w:r>
          </w:p>
          <w:p w:rsidR="00843EC3" w:rsidRDefault="00843EC3">
            <w:pPr>
              <w:spacing w:after="0" w:line="240" w:lineRule="auto"/>
              <w:ind w:left="174" w:firstLine="0"/>
              <w:jc w:val="left"/>
              <w:rPr>
                <w:rFonts w:asciiTheme="minorHAnsi" w:eastAsiaTheme="minorHAnsi" w:hAnsiTheme="minorHAnsi" w:cstheme="minorHAnsi"/>
                <w:noProof/>
                <w:color w:val="auto"/>
                <w:sz w:val="20"/>
              </w:rPr>
            </w:pP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Further</w:t>
            </w:r>
            <w:r>
              <w:rPr>
                <w:rFonts w:asciiTheme="minorHAnsi" w:eastAsiaTheme="minorHAnsi" w:hAnsiTheme="minorHAnsi" w:cstheme="minorHAnsi"/>
                <w:b/>
                <w:noProof/>
                <w:color w:val="auto"/>
                <w:sz w:val="20"/>
              </w:rPr>
              <w:t xml:space="preserve"> scope for action to reduce the adverse impacts of intensive land use systems </w:t>
            </w:r>
            <w:r>
              <w:rPr>
                <w:rFonts w:asciiTheme="minorHAnsi" w:eastAsiaTheme="minorHAnsi" w:hAnsiTheme="minorHAnsi" w:cstheme="minorHAnsi"/>
                <w:noProof/>
                <w:color w:val="auto"/>
                <w:sz w:val="20"/>
              </w:rPr>
              <w:t>on biodiversity and water quality.</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Recognition of the positive effects of </w:t>
            </w:r>
            <w:r>
              <w:rPr>
                <w:rFonts w:asciiTheme="minorHAnsi" w:eastAsiaTheme="minorHAnsi" w:hAnsiTheme="minorHAnsi" w:cstheme="minorHAnsi"/>
                <w:b/>
                <w:noProof/>
                <w:color w:val="auto"/>
                <w:sz w:val="20"/>
              </w:rPr>
              <w:t>targeted and integrated approaches at a landscape scale</w:t>
            </w:r>
            <w:r>
              <w:rPr>
                <w:rFonts w:asciiTheme="minorHAnsi" w:eastAsiaTheme="minorHAnsi" w:hAnsiTheme="minorHAnsi" w:cstheme="minorHAnsi"/>
                <w:noProof/>
                <w:color w:val="auto"/>
                <w:sz w:val="20"/>
              </w:rPr>
              <w:t xml:space="preserve"> through partnerships involving all key stakeholders.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Considerable potential for</w:t>
            </w:r>
            <w:r>
              <w:rPr>
                <w:rFonts w:asciiTheme="minorHAnsi" w:eastAsiaTheme="minorHAnsi" w:hAnsiTheme="minorHAnsi" w:cstheme="minorHAnsi"/>
                <w:b/>
                <w:noProof/>
                <w:color w:val="auto"/>
                <w:sz w:val="20"/>
              </w:rPr>
              <w:t xml:space="preserve"> valorising both cultural landscapes and traditional buildings</w:t>
            </w:r>
            <w:r>
              <w:rPr>
                <w:rFonts w:asciiTheme="minorHAnsi" w:eastAsiaTheme="minorHAnsi" w:hAnsiTheme="minorHAnsi" w:cstheme="minorHAnsi"/>
                <w:noProof/>
                <w:color w:val="auto"/>
                <w:sz w:val="20"/>
              </w:rPr>
              <w:t xml:space="preserve"> in ways that support tourism and other social activities.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Potential to</w:t>
            </w:r>
            <w:r>
              <w:rPr>
                <w:rFonts w:asciiTheme="minorHAnsi" w:eastAsiaTheme="minorHAnsi" w:hAnsiTheme="minorHAnsi" w:cstheme="minorHAnsi"/>
                <w:b/>
                <w:noProof/>
                <w:color w:val="auto"/>
                <w:sz w:val="20"/>
              </w:rPr>
              <w:t xml:space="preserve"> change societal attitudes </w:t>
            </w:r>
            <w:r>
              <w:rPr>
                <w:rFonts w:asciiTheme="minorHAnsi" w:eastAsiaTheme="minorHAnsi" w:hAnsiTheme="minorHAnsi" w:cstheme="minorHAnsi"/>
                <w:noProof/>
                <w:color w:val="auto"/>
                <w:sz w:val="20"/>
              </w:rPr>
              <w:t>in the direction of more sustainable behaviours.</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Availability of tools and instruments to develop </w:t>
            </w:r>
            <w:r>
              <w:rPr>
                <w:rFonts w:asciiTheme="minorHAnsi" w:eastAsiaTheme="minorHAnsi" w:hAnsiTheme="minorHAnsi" w:cstheme="minorHAnsi"/>
                <w:b/>
                <w:noProof/>
                <w:color w:val="auto"/>
                <w:sz w:val="20"/>
              </w:rPr>
              <w:t>wider integrated sustainability strategies</w:t>
            </w:r>
            <w:r>
              <w:rPr>
                <w:rFonts w:asciiTheme="minorHAnsi" w:eastAsiaTheme="minorHAnsi" w:hAnsiTheme="minorHAnsi" w:cstheme="minorHAnsi"/>
                <w:noProof/>
                <w:color w:val="auto"/>
                <w:sz w:val="20"/>
              </w:rPr>
              <w:t>.</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Ensure</w:t>
            </w:r>
            <w:r>
              <w:rPr>
                <w:rFonts w:asciiTheme="minorHAnsi" w:eastAsiaTheme="minorHAnsi" w:hAnsiTheme="minorHAnsi" w:cstheme="minorHAnsi"/>
                <w:b/>
                <w:noProof/>
                <w:color w:val="auto"/>
                <w:sz w:val="20"/>
              </w:rPr>
              <w:t xml:space="preserve"> farm policy and all rural sectors comply with the European Green Deal imperatives</w:t>
            </w:r>
            <w:r>
              <w:rPr>
                <w:rFonts w:asciiTheme="minorHAnsi" w:eastAsiaTheme="minorHAnsi" w:hAnsiTheme="minorHAnsi" w:cstheme="minorHAnsi"/>
                <w:noProof/>
                <w:color w:val="auto"/>
                <w:sz w:val="20"/>
              </w:rPr>
              <w:t xml:space="preserve">.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 xml:space="preserve">Consider rural land use needs </w:t>
            </w:r>
            <w:r>
              <w:rPr>
                <w:rFonts w:asciiTheme="minorHAnsi" w:eastAsiaTheme="minorHAnsi" w:hAnsiTheme="minorHAnsi" w:cstheme="minorHAnsi"/>
                <w:noProof/>
                <w:color w:val="auto"/>
                <w:sz w:val="20"/>
              </w:rPr>
              <w:t xml:space="preserve">much more centrally in the context of much broader </w:t>
            </w:r>
            <w:r>
              <w:rPr>
                <w:rFonts w:asciiTheme="minorHAnsi" w:eastAsiaTheme="minorHAnsi" w:hAnsiTheme="minorHAnsi" w:cstheme="minorHAnsi"/>
                <w:b/>
                <w:noProof/>
                <w:color w:val="auto"/>
                <w:sz w:val="20"/>
              </w:rPr>
              <w:t>land use planning</w:t>
            </w:r>
            <w:r>
              <w:rPr>
                <w:rFonts w:asciiTheme="minorHAnsi" w:eastAsiaTheme="minorHAnsi" w:hAnsiTheme="minorHAnsi" w:cstheme="minorHAnsi"/>
                <w:noProof/>
                <w:color w:val="auto"/>
                <w:sz w:val="20"/>
              </w:rPr>
              <w:t xml:space="preserve"> and not as a separate entity.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Support </w:t>
            </w:r>
            <w:r>
              <w:rPr>
                <w:rFonts w:asciiTheme="minorHAnsi" w:eastAsiaTheme="minorHAnsi" w:hAnsiTheme="minorHAnsi" w:cstheme="minorHAnsi"/>
                <w:b/>
                <w:noProof/>
                <w:color w:val="auto"/>
                <w:sz w:val="20"/>
              </w:rPr>
              <w:t>collaborative management to address environmental damage</w:t>
            </w:r>
            <w:r>
              <w:rPr>
                <w:rFonts w:asciiTheme="minorHAnsi" w:eastAsiaTheme="minorHAnsi" w:hAnsiTheme="minorHAnsi" w:cstheme="minorHAnsi"/>
                <w:noProof/>
                <w:color w:val="auto"/>
                <w:sz w:val="20"/>
              </w:rPr>
              <w:t xml:space="preserve"> at landscape scale in the farm and forest sector.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Bring together the different facets of </w:t>
            </w:r>
            <w:r>
              <w:rPr>
                <w:rFonts w:asciiTheme="minorHAnsi" w:eastAsiaTheme="minorHAnsi" w:hAnsiTheme="minorHAnsi" w:cstheme="minorHAnsi"/>
                <w:b/>
                <w:noProof/>
                <w:color w:val="auto"/>
                <w:sz w:val="20"/>
              </w:rPr>
              <w:t>sustainability planning in territorial plans</w:t>
            </w:r>
            <w:r>
              <w:rPr>
                <w:rFonts w:asciiTheme="minorHAnsi" w:eastAsiaTheme="minorHAnsi" w:hAnsiTheme="minorHAnsi" w:cstheme="minorHAnsi"/>
                <w:noProof/>
                <w:color w:val="auto"/>
                <w:sz w:val="20"/>
              </w:rPr>
              <w:t xml:space="preserve"> that </w:t>
            </w:r>
            <w:r>
              <w:rPr>
                <w:rFonts w:asciiTheme="minorHAnsi" w:eastAsiaTheme="minorHAnsi" w:hAnsiTheme="minorHAnsi" w:cstheme="minorHAnsi"/>
                <w:b/>
                <w:noProof/>
                <w:color w:val="auto"/>
                <w:sz w:val="20"/>
              </w:rPr>
              <w:t>protect heritage land and buildings</w:t>
            </w:r>
            <w:r>
              <w:rPr>
                <w:rFonts w:asciiTheme="minorHAnsi" w:eastAsiaTheme="minorHAnsi" w:hAnsiTheme="minorHAnsi" w:cstheme="minorHAnsi"/>
                <w:noProof/>
                <w:color w:val="auto"/>
                <w:sz w:val="20"/>
              </w:rPr>
              <w:t>, engender restorative ecology, enhance water management and nurture sustainable behaviours.</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Provide environmental education for all citizens</w:t>
            </w:r>
            <w:r>
              <w:rPr>
                <w:rFonts w:asciiTheme="minorHAnsi" w:eastAsiaTheme="minorHAnsi" w:hAnsiTheme="minorHAnsi" w:cstheme="minorHAnsi"/>
                <w:noProof/>
                <w:color w:val="auto"/>
                <w:sz w:val="20"/>
              </w:rPr>
              <w:t xml:space="preserve"> as a public responsibility. Support training to farmers in </w:t>
            </w:r>
            <w:r>
              <w:rPr>
                <w:rFonts w:asciiTheme="minorHAnsi" w:eastAsiaTheme="minorHAnsi" w:hAnsiTheme="minorHAnsi" w:cstheme="minorHAnsi"/>
                <w:b/>
                <w:noProof/>
                <w:color w:val="auto"/>
                <w:sz w:val="20"/>
              </w:rPr>
              <w:t>regenerative agriculture practices</w:t>
            </w:r>
            <w:r>
              <w:rPr>
                <w:rFonts w:asciiTheme="minorHAnsi" w:eastAsiaTheme="minorHAnsi" w:hAnsiTheme="minorHAnsi" w:cstheme="minorHAnsi"/>
                <w:noProof/>
                <w:color w:val="auto"/>
                <w:sz w:val="20"/>
              </w:rPr>
              <w:t xml:space="preserve">.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Establish</w:t>
            </w:r>
            <w:r>
              <w:rPr>
                <w:rFonts w:asciiTheme="minorHAnsi" w:eastAsiaTheme="minorHAnsi" w:hAnsiTheme="minorHAnsi" w:cstheme="minorHAnsi"/>
                <w:b/>
                <w:noProof/>
                <w:color w:val="auto"/>
                <w:sz w:val="20"/>
              </w:rPr>
              <w:t xml:space="preserve"> partnerships </w:t>
            </w:r>
            <w:r>
              <w:rPr>
                <w:rFonts w:asciiTheme="minorHAnsi" w:eastAsiaTheme="minorHAnsi" w:hAnsiTheme="minorHAnsi" w:cstheme="minorHAnsi"/>
                <w:noProof/>
                <w:color w:val="auto"/>
                <w:sz w:val="20"/>
              </w:rPr>
              <w:t xml:space="preserve">between Universities and agricultural education centres with their hinterlands to ensure that </w:t>
            </w:r>
            <w:r>
              <w:rPr>
                <w:rFonts w:asciiTheme="minorHAnsi" w:eastAsiaTheme="minorHAnsi" w:hAnsiTheme="minorHAnsi" w:cstheme="minorHAnsi"/>
                <w:b/>
                <w:noProof/>
                <w:color w:val="auto"/>
                <w:sz w:val="20"/>
              </w:rPr>
              <w:t>place</w:t>
            </w:r>
            <w:r>
              <w:rPr>
                <w:rFonts w:asciiTheme="minorHAnsi" w:eastAsiaTheme="minorHAnsi" w:hAnsiTheme="minorHAnsi" w:cstheme="minorHAnsi"/>
                <w:noProof/>
                <w:color w:val="auto"/>
                <w:sz w:val="20"/>
              </w:rPr>
              <w:t>-</w:t>
            </w:r>
            <w:r>
              <w:rPr>
                <w:rFonts w:asciiTheme="minorHAnsi" w:eastAsiaTheme="minorHAnsi" w:hAnsiTheme="minorHAnsi" w:cstheme="minorHAnsi"/>
                <w:b/>
                <w:noProof/>
                <w:color w:val="auto"/>
                <w:sz w:val="20"/>
              </w:rPr>
              <w:t>sensitive sustainability innovations are developed</w:t>
            </w:r>
            <w:r>
              <w:rPr>
                <w:rFonts w:asciiTheme="minorHAnsi" w:eastAsiaTheme="minorHAnsi" w:hAnsiTheme="minorHAnsi" w:cstheme="minorHAnsi"/>
                <w:noProof/>
                <w:color w:val="auto"/>
                <w:sz w:val="20"/>
              </w:rPr>
              <w:t>.</w:t>
            </w:r>
          </w:p>
          <w:p w:rsidR="00843EC3" w:rsidRDefault="00F1079F">
            <w:pPr>
              <w:numPr>
                <w:ilvl w:val="0"/>
                <w:numId w:val="9"/>
              </w:numPr>
              <w:spacing w:after="0" w:line="240" w:lineRule="auto"/>
              <w:ind w:left="181" w:hanging="181"/>
              <w:contextualSpacing/>
              <w:jc w:val="left"/>
              <w:rPr>
                <w:rFonts w:asciiTheme="minorHAnsi" w:eastAsiaTheme="minorHAnsi" w:hAnsiTheme="minorHAnsi" w:cstheme="minorHAnsi"/>
                <w:noProof/>
                <w:color w:val="auto"/>
                <w:sz w:val="20"/>
                <w:szCs w:val="20"/>
              </w:rPr>
            </w:pPr>
            <w:r>
              <w:rPr>
                <w:rFonts w:asciiTheme="minorHAnsi" w:eastAsiaTheme="minorHAnsi" w:hAnsiTheme="minorHAnsi" w:cstheme="minorHAnsi"/>
                <w:b/>
                <w:bCs/>
                <w:noProof/>
                <w:color w:val="auto"/>
                <w:sz w:val="20"/>
                <w:szCs w:val="20"/>
              </w:rPr>
              <w:t>Support greater citizen involvement</w:t>
            </w:r>
            <w:r>
              <w:rPr>
                <w:rFonts w:asciiTheme="minorHAnsi" w:eastAsiaTheme="minorHAnsi" w:hAnsiTheme="minorHAnsi" w:cstheme="minorHAnsi"/>
                <w:noProof/>
                <w:color w:val="auto"/>
                <w:sz w:val="20"/>
                <w:szCs w:val="20"/>
              </w:rPr>
              <w:t xml:space="preserve"> in shaping and managing greenspace on publicly owned land.  </w:t>
            </w:r>
          </w:p>
          <w:p w:rsidR="00843EC3" w:rsidRDefault="00F1079F">
            <w:pPr>
              <w:numPr>
                <w:ilvl w:val="0"/>
                <w:numId w:val="9"/>
              </w:numPr>
              <w:spacing w:after="0" w:line="240" w:lineRule="auto"/>
              <w:ind w:left="181" w:hanging="181"/>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Ensure that the public goods associated with heritage landscapes</w:t>
            </w:r>
            <w:r>
              <w:rPr>
                <w:rFonts w:asciiTheme="minorHAnsi" w:eastAsiaTheme="minorHAnsi" w:hAnsiTheme="minorHAnsi" w:cstheme="minorHAnsi"/>
                <w:noProof/>
                <w:color w:val="auto"/>
                <w:sz w:val="20"/>
              </w:rPr>
              <w:t xml:space="preserve"> and heritage buildings are maintained through support measures.</w:t>
            </w:r>
          </w:p>
        </w:tc>
      </w:tr>
      <w:tr w:rsidR="00843EC3">
        <w:tc>
          <w:tcPr>
            <w:tcW w:w="1542" w:type="dxa"/>
            <w:tcBorders>
              <w:top w:val="single" w:sz="4" w:space="0" w:color="008183"/>
              <w:left w:val="single" w:sz="4" w:space="0" w:color="008183"/>
              <w:bottom w:val="single" w:sz="4" w:space="0" w:color="008183"/>
              <w:right w:val="single" w:sz="4" w:space="0" w:color="008183"/>
            </w:tcBorders>
            <w:shd w:val="clear" w:color="auto" w:fill="E2EFD9" w:themeFill="accent6" w:themeFillTint="33"/>
            <w:vAlign w:val="center"/>
          </w:tcPr>
          <w:p w:rsidR="00843EC3" w:rsidRDefault="00F1079F">
            <w:pPr>
              <w:spacing w:before="120" w:after="120" w:line="240" w:lineRule="auto"/>
              <w:ind w:left="0" w:firstLine="0"/>
              <w:jc w:val="left"/>
              <w:rPr>
                <w:rFonts w:asciiTheme="minorHAnsi" w:eastAsiaTheme="minorHAnsi" w:hAnsiTheme="minorHAnsi" w:cstheme="minorHAnsi"/>
                <w:b/>
                <w:bCs/>
                <w:noProof/>
                <w:color w:val="auto"/>
                <w:sz w:val="20"/>
              </w:rPr>
            </w:pPr>
            <w:r>
              <w:rPr>
                <w:rFonts w:asciiTheme="minorHAnsi" w:eastAsiaTheme="minorHAnsi" w:hAnsiTheme="minorHAnsi" w:cstheme="minorHAnsi"/>
                <w:b/>
                <w:bCs/>
                <w:noProof/>
                <w:color w:val="auto"/>
                <w:sz w:val="20"/>
              </w:rPr>
              <w:t>Climate change</w:t>
            </w:r>
          </w:p>
        </w:tc>
        <w:tc>
          <w:tcPr>
            <w:tcW w:w="3544"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76" w:hanging="176"/>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Low levels of awareness of climate change impacts.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Low levels of development and community engagement with renewable energy in rural Europe.</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Limited engagement of land managers and others with climate mitigation and developing the bioeconomy, even when solutions are known, due in part to lack of incentives/skills </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Inadequate adaptation to new climate realities.</w:t>
            </w:r>
          </w:p>
          <w:p w:rsidR="00843EC3" w:rsidRDefault="00F1079F">
            <w:pPr>
              <w:numPr>
                <w:ilvl w:val="0"/>
                <w:numId w:val="9"/>
              </w:numPr>
              <w:spacing w:after="0" w:line="240" w:lineRule="auto"/>
              <w:ind w:left="174" w:hanging="17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The need to decarbonise beyond the energy sector.</w:t>
            </w:r>
          </w:p>
          <w:p w:rsidR="00843EC3" w:rsidRDefault="00843EC3">
            <w:pPr>
              <w:spacing w:after="0" w:line="240" w:lineRule="auto"/>
              <w:ind w:left="174" w:firstLine="0"/>
              <w:jc w:val="left"/>
              <w:rPr>
                <w:rFonts w:asciiTheme="minorHAnsi" w:eastAsiaTheme="minorHAnsi" w:hAnsiTheme="minorHAnsi" w:cstheme="minorHAnsi"/>
                <w:noProof/>
                <w:color w:val="auto"/>
                <w:sz w:val="20"/>
              </w:rPr>
            </w:pPr>
          </w:p>
        </w:tc>
        <w:tc>
          <w:tcPr>
            <w:tcW w:w="4129"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2"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Relatively </w:t>
            </w:r>
            <w:r>
              <w:rPr>
                <w:rFonts w:asciiTheme="minorHAnsi" w:eastAsiaTheme="minorHAnsi" w:hAnsiTheme="minorHAnsi" w:cstheme="minorHAnsi"/>
                <w:b/>
                <w:noProof/>
                <w:color w:val="auto"/>
                <w:sz w:val="20"/>
              </w:rPr>
              <w:t>low carbon footprint</w:t>
            </w:r>
            <w:r>
              <w:rPr>
                <w:rFonts w:asciiTheme="minorHAnsi" w:eastAsiaTheme="minorHAnsi" w:hAnsiTheme="minorHAnsi" w:cstheme="minorHAnsi"/>
                <w:noProof/>
                <w:color w:val="auto"/>
                <w:sz w:val="20"/>
              </w:rPr>
              <w:t xml:space="preserve"> in some rural areas, especially some of the least developed.</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Increasing </w:t>
            </w:r>
            <w:r>
              <w:rPr>
                <w:rFonts w:asciiTheme="minorHAnsi" w:eastAsiaTheme="minorHAnsi" w:hAnsiTheme="minorHAnsi" w:cstheme="minorHAnsi"/>
                <w:b/>
                <w:noProof/>
                <w:color w:val="auto"/>
                <w:sz w:val="20"/>
              </w:rPr>
              <w:t>demand for renewable energy</w:t>
            </w:r>
            <w:r>
              <w:rPr>
                <w:rFonts w:asciiTheme="minorHAnsi" w:eastAsiaTheme="minorHAnsi" w:hAnsiTheme="minorHAnsi" w:cstheme="minorHAnsi"/>
                <w:noProof/>
                <w:color w:val="auto"/>
                <w:sz w:val="20"/>
              </w:rPr>
              <w:t xml:space="preserve"> including the creation of </w:t>
            </w:r>
            <w:r>
              <w:rPr>
                <w:rFonts w:asciiTheme="minorHAnsi" w:eastAsiaTheme="minorHAnsi" w:hAnsiTheme="minorHAnsi" w:cstheme="minorHAnsi"/>
                <w:b/>
                <w:noProof/>
                <w:color w:val="auto"/>
                <w:sz w:val="20"/>
              </w:rPr>
              <w:t>renewable energy communities</w:t>
            </w:r>
            <w:r>
              <w:rPr>
                <w:rFonts w:asciiTheme="minorHAnsi" w:eastAsiaTheme="minorHAnsi" w:hAnsiTheme="minorHAnsi" w:cstheme="minorHAnsi"/>
                <w:noProof/>
                <w:color w:val="auto"/>
                <w:sz w:val="20"/>
              </w:rPr>
              <w:t xml:space="preserve"> based on solar, wind or biomass systems and more self-consumption.</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Growing societal interest to </w:t>
            </w:r>
            <w:r>
              <w:rPr>
                <w:rFonts w:asciiTheme="minorHAnsi" w:eastAsiaTheme="minorHAnsi" w:hAnsiTheme="minorHAnsi" w:cstheme="minorHAnsi"/>
                <w:b/>
                <w:noProof/>
                <w:color w:val="auto"/>
                <w:sz w:val="20"/>
              </w:rPr>
              <w:t>transition to climate friendly production methods</w:t>
            </w:r>
            <w:r>
              <w:rPr>
                <w:rFonts w:asciiTheme="minorHAnsi" w:eastAsiaTheme="minorHAnsi" w:hAnsiTheme="minorHAnsi" w:cstheme="minorHAnsi"/>
                <w:noProof/>
                <w:color w:val="auto"/>
                <w:sz w:val="20"/>
              </w:rPr>
              <w:t>, enhanced farm and forest management and the bioeconomy.</w:t>
            </w:r>
          </w:p>
          <w:p w:rsidR="00843EC3" w:rsidRDefault="00F1079F">
            <w:pPr>
              <w:numPr>
                <w:ilvl w:val="0"/>
                <w:numId w:val="9"/>
              </w:numPr>
              <w:spacing w:after="0" w:line="240" w:lineRule="auto"/>
              <w:ind w:left="179" w:hanging="142"/>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Wide scope for action in enhancing the </w:t>
            </w:r>
            <w:r>
              <w:rPr>
                <w:rFonts w:asciiTheme="minorHAnsi" w:eastAsiaTheme="minorHAnsi" w:hAnsiTheme="minorHAnsi" w:cstheme="minorHAnsi"/>
                <w:b/>
                <w:noProof/>
                <w:color w:val="auto"/>
                <w:sz w:val="20"/>
              </w:rPr>
              <w:t>energy efficiency</w:t>
            </w:r>
            <w:r>
              <w:rPr>
                <w:rFonts w:asciiTheme="minorHAnsi" w:eastAsiaTheme="minorHAnsi" w:hAnsiTheme="minorHAnsi" w:cstheme="minorHAnsi"/>
                <w:noProof/>
                <w:color w:val="auto"/>
                <w:sz w:val="20"/>
              </w:rPr>
              <w:t xml:space="preserve"> of buildings, </w:t>
            </w:r>
            <w:r>
              <w:rPr>
                <w:rFonts w:asciiTheme="minorHAnsi" w:eastAsiaTheme="minorHAnsi" w:hAnsiTheme="minorHAnsi" w:cstheme="minorHAnsi"/>
                <w:b/>
                <w:noProof/>
                <w:color w:val="auto"/>
                <w:sz w:val="20"/>
              </w:rPr>
              <w:t>decarbonising transport,</w:t>
            </w:r>
            <w:r>
              <w:rPr>
                <w:rFonts w:asciiTheme="minorHAnsi" w:eastAsiaTheme="minorHAnsi" w:hAnsiTheme="minorHAnsi" w:cstheme="minorHAnsi"/>
                <w:noProof/>
                <w:color w:val="auto"/>
                <w:sz w:val="20"/>
              </w:rPr>
              <w:t xml:space="preserve"> and improving </w:t>
            </w:r>
            <w:r>
              <w:rPr>
                <w:rFonts w:asciiTheme="minorHAnsi" w:eastAsiaTheme="minorHAnsi" w:hAnsiTheme="minorHAnsi" w:cstheme="minorHAnsi"/>
                <w:b/>
                <w:noProof/>
                <w:color w:val="auto"/>
                <w:sz w:val="20"/>
              </w:rPr>
              <w:t>water management</w:t>
            </w:r>
            <w:r>
              <w:rPr>
                <w:rFonts w:asciiTheme="minorHAnsi" w:eastAsiaTheme="minorHAnsi" w:hAnsiTheme="minorHAnsi" w:cstheme="minorHAnsi"/>
                <w:noProof/>
                <w:color w:val="auto"/>
                <w:sz w:val="20"/>
              </w:rPr>
              <w:t xml:space="preserve">. </w:t>
            </w:r>
          </w:p>
        </w:tc>
        <w:tc>
          <w:tcPr>
            <w:tcW w:w="6662" w:type="dxa"/>
            <w:tcBorders>
              <w:top w:val="single" w:sz="4" w:space="0" w:color="008183"/>
              <w:left w:val="single" w:sz="4" w:space="0" w:color="008183"/>
              <w:bottom w:val="single" w:sz="4" w:space="0" w:color="008183"/>
              <w:right w:val="single" w:sz="4" w:space="0" w:color="008183"/>
            </w:tcBorders>
          </w:tcPr>
          <w:p w:rsidR="00843EC3" w:rsidRDefault="00F1079F">
            <w:pPr>
              <w:numPr>
                <w:ilvl w:val="0"/>
                <w:numId w:val="9"/>
              </w:numPr>
              <w:spacing w:before="60" w:after="0" w:line="240" w:lineRule="auto"/>
              <w:ind w:left="181" w:hanging="181"/>
              <w:jc w:val="left"/>
              <w:rPr>
                <w:rFonts w:asciiTheme="minorHAnsi" w:eastAsiaTheme="minorHAnsi" w:hAnsiTheme="minorHAnsi" w:cstheme="minorHAnsi"/>
                <w:noProof/>
                <w:color w:val="auto"/>
                <w:sz w:val="20"/>
              </w:rPr>
            </w:pPr>
            <w:bookmarkStart w:id="5" w:name="_Hlk66608861"/>
            <w:r>
              <w:rPr>
                <w:rFonts w:asciiTheme="minorHAnsi" w:eastAsiaTheme="minorHAnsi" w:hAnsiTheme="minorHAnsi" w:cstheme="minorHAnsi"/>
                <w:noProof/>
                <w:color w:val="auto"/>
                <w:sz w:val="20"/>
              </w:rPr>
              <w:t xml:space="preserve">Move from planning for development to </w:t>
            </w:r>
            <w:r>
              <w:rPr>
                <w:rFonts w:asciiTheme="minorHAnsi" w:eastAsiaTheme="minorHAnsi" w:hAnsiTheme="minorHAnsi" w:cstheme="minorHAnsi"/>
                <w:b/>
                <w:noProof/>
                <w:color w:val="auto"/>
                <w:sz w:val="20"/>
              </w:rPr>
              <w:t>planning for local resilience.</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b/>
                <w:noProof/>
                <w:color w:val="auto"/>
                <w:sz w:val="20"/>
              </w:rPr>
              <w:t>Deepen the responses to climate change</w:t>
            </w:r>
            <w:r>
              <w:rPr>
                <w:rFonts w:asciiTheme="minorHAnsi" w:eastAsiaTheme="minorHAnsi" w:hAnsiTheme="minorHAnsi" w:cstheme="minorHAnsi"/>
                <w:noProof/>
                <w:color w:val="auto"/>
                <w:sz w:val="20"/>
              </w:rPr>
              <w:t xml:space="preserve"> at national level and reassess the legal framework for climate change mitigation and adaptation measures and their implementation in strategies, plans and projects.</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 xml:space="preserve">Promote </w:t>
            </w:r>
            <w:r>
              <w:rPr>
                <w:rFonts w:asciiTheme="minorHAnsi" w:eastAsiaTheme="minorHAnsi" w:hAnsiTheme="minorHAnsi" w:cstheme="minorHAnsi"/>
                <w:b/>
                <w:noProof/>
                <w:color w:val="auto"/>
                <w:sz w:val="20"/>
              </w:rPr>
              <w:t>innovative and smart low carbon planning and programming</w:t>
            </w:r>
            <w:r>
              <w:rPr>
                <w:rFonts w:asciiTheme="minorHAnsi" w:eastAsiaTheme="minorHAnsi" w:hAnsiTheme="minorHAnsi" w:cstheme="minorHAnsi"/>
                <w:noProof/>
                <w:color w:val="auto"/>
                <w:sz w:val="20"/>
              </w:rPr>
              <w:t xml:space="preserve"> strategies and link them with regional and national strategies, programmes and projects.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Support activities targeted at decreasing</w:t>
            </w:r>
            <w:r>
              <w:rPr>
                <w:rFonts w:asciiTheme="minorHAnsi" w:eastAsiaTheme="minorHAnsi" w:hAnsiTheme="minorHAnsi" w:cstheme="minorHAnsi"/>
                <w:b/>
                <w:noProof/>
                <w:color w:val="auto"/>
                <w:sz w:val="20"/>
              </w:rPr>
              <w:t xml:space="preserve"> GHG emissions</w:t>
            </w:r>
            <w:r>
              <w:rPr>
                <w:rFonts w:asciiTheme="minorHAnsi" w:eastAsiaTheme="minorHAnsi" w:hAnsiTheme="minorHAnsi" w:cstheme="minorHAnsi"/>
                <w:noProof/>
                <w:color w:val="auto"/>
                <w:sz w:val="20"/>
              </w:rPr>
              <w:t xml:space="preserve">.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Support measures and activities which</w:t>
            </w:r>
            <w:r>
              <w:rPr>
                <w:rFonts w:asciiTheme="minorHAnsi" w:eastAsiaTheme="minorHAnsi" w:hAnsiTheme="minorHAnsi" w:cstheme="minorHAnsi"/>
                <w:b/>
                <w:noProof/>
                <w:color w:val="auto"/>
                <w:sz w:val="20"/>
              </w:rPr>
              <w:t xml:space="preserve"> retain water in the countryside</w:t>
            </w:r>
            <w:r>
              <w:rPr>
                <w:rFonts w:asciiTheme="minorHAnsi" w:eastAsiaTheme="minorHAnsi" w:hAnsiTheme="minorHAnsi" w:cstheme="minorHAnsi"/>
                <w:noProof/>
                <w:color w:val="auto"/>
                <w:sz w:val="20"/>
              </w:rPr>
              <w:t xml:space="preserve"> (where needed), through e.g. smart water management and management of rainwater, grey water, reconstruction of irrigation systems, green roofs, etc. </w:t>
            </w:r>
          </w:p>
          <w:p w:rsidR="00843EC3" w:rsidRDefault="00F1079F">
            <w:pPr>
              <w:numPr>
                <w:ilvl w:val="0"/>
                <w:numId w:val="9"/>
              </w:numPr>
              <w:spacing w:after="0" w:line="240" w:lineRule="auto"/>
              <w:ind w:left="184" w:hanging="184"/>
              <w:jc w:val="left"/>
              <w:rPr>
                <w:rFonts w:asciiTheme="minorHAnsi" w:eastAsiaTheme="minorHAnsi" w:hAnsiTheme="minorHAnsi" w:cstheme="minorHAnsi"/>
                <w:noProof/>
                <w:color w:val="auto"/>
                <w:sz w:val="20"/>
              </w:rPr>
            </w:pPr>
            <w:r>
              <w:rPr>
                <w:rFonts w:asciiTheme="minorHAnsi" w:eastAsiaTheme="minorHAnsi" w:hAnsiTheme="minorHAnsi" w:cstheme="minorHAnsi"/>
                <w:noProof/>
                <w:color w:val="auto"/>
                <w:sz w:val="20"/>
              </w:rPr>
              <w:t>Build awareness and support</w:t>
            </w:r>
            <w:r>
              <w:rPr>
                <w:rFonts w:asciiTheme="minorHAnsi" w:eastAsiaTheme="minorHAnsi" w:hAnsiTheme="minorHAnsi" w:cstheme="minorHAnsi"/>
                <w:b/>
                <w:noProof/>
                <w:color w:val="auto"/>
                <w:sz w:val="20"/>
              </w:rPr>
              <w:t xml:space="preserve"> education and training </w:t>
            </w:r>
            <w:r>
              <w:rPr>
                <w:rFonts w:asciiTheme="minorHAnsi" w:eastAsiaTheme="minorHAnsi" w:hAnsiTheme="minorHAnsi" w:cstheme="minorHAnsi"/>
                <w:noProof/>
                <w:color w:val="auto"/>
                <w:sz w:val="20"/>
              </w:rPr>
              <w:t xml:space="preserve">of professionals and experts in climate change mitigation and adaptation measures as well as citizens (including youth). </w:t>
            </w:r>
            <w:bookmarkEnd w:id="5"/>
          </w:p>
        </w:tc>
      </w:tr>
    </w:tbl>
    <w:p w:rsidR="00843EC3" w:rsidRDefault="00843EC3">
      <w:pPr>
        <w:spacing w:after="234"/>
        <w:ind w:left="0" w:right="13" w:firstLine="0"/>
        <w:rPr>
          <w:noProof/>
          <w:color w:val="FF0000"/>
        </w:rPr>
      </w:pPr>
    </w:p>
    <w:sectPr w:rsidR="00843EC3">
      <w:headerReference w:type="even" r:id="rId42"/>
      <w:headerReference w:type="default" r:id="rId43"/>
      <w:footerReference w:type="even" r:id="rId44"/>
      <w:footerReference w:type="default" r:id="rId45"/>
      <w:headerReference w:type="first" r:id="rId46"/>
      <w:footerReference w:type="first" r:id="rId47"/>
      <w:pgSz w:w="16832" w:h="11904" w:orient="landscape"/>
      <w:pgMar w:top="1376" w:right="1406" w:bottom="1426" w:left="1420" w:header="720" w:footer="693" w:gutter="0"/>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876175" w16cex:dateUtc="2021-04-09T16:15:21.163Z"/>
  <w16cex:commentExtensible w16cex:durableId="54EF8994" w16cex:dateUtc="2021-04-09T16:18:11Z"/>
  <w16cex:commentExtensible w16cex:durableId="66E69CFC" w16cex:dateUtc="2021-04-09T16:43:33Z"/>
  <w16cex:commentExtensible w16cex:durableId="12AD91E7" w16cex:dateUtc="2021-04-09T16:45:22Z"/>
  <w16cex:commentExtensible w16cex:durableId="704308B5" w16cex:dateUtc="2021-04-09T16:51:13Z"/>
  <w16cex:commentExtensible w16cex:durableId="5F9866BD" w16cex:dateUtc="2021-04-09T17:06:44Z"/>
  <w16cex:commentExtensible w16cex:durableId="5E172D5C" w16cex:dateUtc="2021-04-09T17:17:32Z"/>
  <w16cex:commentExtensible w16cex:durableId="0B1E87D6" w16cex:dateUtc="2021-04-09T17:22:42Z"/>
  <w16cex:commentExtensible w16cex:durableId="5837F394" w16cex:dateUtc="2021-04-09T17:24:14Z"/>
  <w16cex:commentExtensible w16cex:durableId="33C43E84" w16cex:dateUtc="2021-04-10T08:57:53.252Z"/>
  <w16cex:commentExtensible w16cex:durableId="77904DC3" w16cex:dateUtc="2021-04-10T09:01:29.095Z"/>
  <w16cex:commentExtensible w16cex:durableId="36E06425" w16cex:dateUtc="2021-04-10T09:02:53.117Z"/>
  <w16cex:commentExtensible w16cex:durableId="76BF7AFF" w16cex:dateUtc="2021-04-10T09:03:36.053Z"/>
  <w16cex:commentExtensible w16cex:durableId="11F5F5F7" w16cex:dateUtc="2021-04-10T09:06:52.969Z"/>
  <w16cex:commentExtensible w16cex:durableId="228305BD" w16cex:dateUtc="2021-04-10T09:08:20.162Z"/>
  <w16cex:commentExtensible w16cex:durableId="11CE42D1" w16cex:dateUtc="2021-04-10T09:08:56.848Z"/>
  <w16cex:commentExtensible w16cex:durableId="4E2D8535" w16cex:dateUtc="2021-04-10T09:09:33.152Z"/>
  <w16cex:commentExtensible w16cex:durableId="215CDABD" w16cex:dateUtc="2021-04-10T09:12:51.716Z"/>
  <w16cex:commentExtensible w16cex:durableId="510AC43C" w16cex:dateUtc="2021-04-10T09:13:28.184Z"/>
  <w16cex:commentExtensible w16cex:durableId="3A042322" w16cex:dateUtc="2021-04-10T09:16:15.549Z"/>
  <w16cex:commentExtensible w16cex:durableId="20894826" w16cex:dateUtc="2021-04-10T09:18:18.048Z"/>
  <w16cex:commentExtensible w16cex:durableId="294384BB" w16cex:dateUtc="2021-04-10T09:19:55.102Z"/>
  <w16cex:commentExtensible w16cex:durableId="4F60C14B" w16cex:dateUtc="2021-04-10T09:21:26.333Z"/>
  <w16cex:commentExtensible w16cex:durableId="30501588" w16cex:dateUtc="2021-04-10T09:31:21.496Z"/>
  <w16cex:commentExtensible w16cex:durableId="388F7F8B" w16cex:dateUtc="2021-04-13T17:11:17.386Z"/>
  <w16cex:commentExtensible w16cex:durableId="3D32FC0C" w16cex:dateUtc="2021-04-13T17:12:07.84Z"/>
  <w16cex:commentExtensible w16cex:durableId="6B698680" w16cex:dateUtc="2021-04-13T17:12:19.729Z"/>
  <w16cex:commentExtensible w16cex:durableId="56040A8A" w16cex:dateUtc="2021-04-13T17:14:52.455Z"/>
  <w16cex:commentExtensible w16cex:durableId="479066F9" w16cex:dateUtc="2021-04-13T17:18:47.767Z"/>
  <w16cex:commentExtensible w16cex:durableId="2485700C" w16cex:dateUtc="2021-04-13T17:20:15.196Z"/>
  <w16cex:commentExtensible w16cex:durableId="72F83DA0" w16cex:dateUtc="2021-04-13T17:20:23.974Z"/>
  <w16cex:commentExtensible w16cex:durableId="31D33291" w16cex:dateUtc="2021-04-13T17:25:33.947Z"/>
  <w16cex:commentExtensible w16cex:durableId="5C70FAE0" w16cex:dateUtc="2021-04-13T17:27:45.629Z"/>
  <w16cex:commentExtensible w16cex:durableId="43FAEF90" w16cex:dateUtc="2021-04-13T17:28:29.597Z"/>
  <w16cex:commentExtensible w16cex:durableId="38BEE799" w16cex:dateUtc="2021-04-13T17:32:29.36Z"/>
</w16cex:commentsExtensible>
</file>

<file path=word/commentsIds.xml><?xml version="1.0" encoding="utf-8"?>
<w16cid:commentsIds xmlns:mc="http://schemas.openxmlformats.org/markup-compatibility/2006" xmlns:w16cid="http://schemas.microsoft.com/office/word/2016/wordml/cid" mc:Ignorable="w16cid">
  <w16cid:commentId w16cid:paraId="36081583" w16cid:durableId="2D1E2153"/>
  <w16cid:commentId w16cid:paraId="406D652E" w16cid:durableId="20FC4FB6"/>
  <w16cid:commentId w16cid:paraId="41A4CCA6" w16cid:durableId="65825438"/>
  <w16cid:commentId w16cid:paraId="24E71E9F" w16cid:durableId="31E7D9A3"/>
  <w16cid:commentId w16cid:paraId="14AA7A3F" w16cid:durableId="0A79B344"/>
  <w16cid:commentId w16cid:paraId="728A16E7" w16cid:durableId="09876175"/>
  <w16cid:commentId w16cid:paraId="5B6833E1" w16cid:durableId="54EF8994"/>
  <w16cid:commentId w16cid:paraId="785BDE68" w16cid:durableId="66E69CFC"/>
  <w16cid:commentId w16cid:paraId="0AA0CADE" w16cid:durableId="12AD91E7"/>
  <w16cid:commentId w16cid:paraId="2E967C78" w16cid:durableId="704308B5"/>
  <w16cid:commentId w16cid:paraId="19846616" w16cid:durableId="5F9866BD"/>
  <w16cid:commentId w16cid:paraId="219664B2" w16cid:durableId="5E172D5C"/>
  <w16cid:commentId w16cid:paraId="1E8EBB6B" w16cid:durableId="0B1E87D6"/>
  <w16cid:commentId w16cid:paraId="1BE0D632" w16cid:durableId="5837F394"/>
  <w16cid:commentId w16cid:paraId="17A08841" w16cid:durableId="33C43E84"/>
  <w16cid:commentId w16cid:paraId="1F4DD061" w16cid:durableId="77904DC3"/>
  <w16cid:commentId w16cid:paraId="4956FDB6" w16cid:durableId="36E06425"/>
  <w16cid:commentId w16cid:paraId="3F977ABD" w16cid:durableId="76BF7AFF"/>
  <w16cid:commentId w16cid:paraId="46557AAF" w16cid:durableId="11F5F5F7"/>
  <w16cid:commentId w16cid:paraId="3DB6F353" w16cid:durableId="228305BD"/>
  <w16cid:commentId w16cid:paraId="55FF664F" w16cid:durableId="11CE42D1"/>
  <w16cid:commentId w16cid:paraId="7D9AEDD5" w16cid:durableId="4E2D8535"/>
  <w16cid:commentId w16cid:paraId="3B213620" w16cid:durableId="215CDABD"/>
  <w16cid:commentId w16cid:paraId="15215ADB" w16cid:durableId="510AC43C"/>
  <w16cid:commentId w16cid:paraId="4402ED10" w16cid:durableId="3A042322"/>
  <w16cid:commentId w16cid:paraId="3F1DD7CF" w16cid:durableId="20894826"/>
  <w16cid:commentId w16cid:paraId="530E8393" w16cid:durableId="294384BB"/>
  <w16cid:commentId w16cid:paraId="03ED9A6C" w16cid:durableId="4F60C14B"/>
  <w16cid:commentId w16cid:paraId="0A6B4B6C" w16cid:durableId="30501588"/>
  <w16cid:commentId w16cid:paraId="1AFEB164" w16cid:durableId="575B6FFC"/>
  <w16cid:commentId w16cid:paraId="0BE4A9A5" w16cid:durableId="15E3799E"/>
  <w16cid:commentId w16cid:paraId="1D6C8232" w16cid:durableId="142BD44F"/>
  <w16cid:commentId w16cid:paraId="51F47E87" w16cid:durableId="388F7F8B"/>
  <w16cid:commentId w16cid:paraId="76422412" w16cid:durableId="3D32FC0C"/>
  <w16cid:commentId w16cid:paraId="1D2E4730" w16cid:durableId="6B698680"/>
  <w16cid:commentId w16cid:paraId="748A264E" w16cid:durableId="56040A8A"/>
  <w16cid:commentId w16cid:paraId="3E12A92B" w16cid:durableId="479066F9"/>
  <w16cid:commentId w16cid:paraId="0C211CAC" w16cid:durableId="2485700C"/>
  <w16cid:commentId w16cid:paraId="12BB840F" w16cid:durableId="72F83DA0"/>
  <w16cid:commentId w16cid:paraId="0CE7212E" w16cid:durableId="31D33291"/>
  <w16cid:commentId w16cid:paraId="5C707D55" w16cid:durableId="5C70FAE0"/>
  <w16cid:commentId w16cid:paraId="6819BC58" w16cid:durableId="43FAEF90"/>
  <w16cid:commentId w16cid:paraId="040334F5" w16cid:durableId="38BEE7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324" w:rsidRDefault="00623324">
      <w:pPr>
        <w:spacing w:after="0" w:line="240" w:lineRule="auto"/>
      </w:pPr>
      <w:r>
        <w:separator/>
      </w:r>
    </w:p>
  </w:endnote>
  <w:endnote w:type="continuationSeparator" w:id="0">
    <w:p w:rsidR="00623324" w:rsidRDefault="00623324">
      <w:pPr>
        <w:spacing w:after="0" w:line="240" w:lineRule="auto"/>
      </w:pPr>
      <w:r>
        <w:continuationSeparator/>
      </w:r>
    </w:p>
  </w:endnote>
  <w:endnote w:type="continuationNotice" w:id="1">
    <w:p w:rsidR="00623324" w:rsidRDefault="006233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F1079F" w:rsidRPr="00D94637" w:rsidTr="00F1079F">
      <w:trPr>
        <w:jc w:val="center"/>
      </w:trPr>
      <w:tc>
        <w:tcPr>
          <w:tcW w:w="5000" w:type="pct"/>
          <w:gridSpan w:val="7"/>
          <w:shd w:val="clear" w:color="auto" w:fill="auto"/>
          <w:tcMar>
            <w:top w:w="57" w:type="dxa"/>
          </w:tcMar>
        </w:tcPr>
        <w:p w:rsidR="00F1079F" w:rsidRPr="00D94637" w:rsidRDefault="00F1079F" w:rsidP="00D94637">
          <w:pPr>
            <w:pStyle w:val="FooterText"/>
            <w:pBdr>
              <w:top w:val="single" w:sz="4" w:space="1" w:color="auto"/>
            </w:pBdr>
            <w:spacing w:before="200"/>
            <w:rPr>
              <w:sz w:val="2"/>
              <w:szCs w:val="2"/>
            </w:rPr>
          </w:pPr>
          <w:bookmarkStart w:id="3" w:name="FOOTER_STANDARD"/>
        </w:p>
      </w:tc>
    </w:tr>
    <w:tr w:rsidR="00F1079F" w:rsidRPr="00B310DC" w:rsidTr="00F1079F">
      <w:trPr>
        <w:jc w:val="center"/>
      </w:trPr>
      <w:tc>
        <w:tcPr>
          <w:tcW w:w="2500" w:type="pct"/>
          <w:gridSpan w:val="2"/>
          <w:shd w:val="clear" w:color="auto" w:fill="auto"/>
          <w:tcMar>
            <w:top w:w="0" w:type="dxa"/>
          </w:tcMar>
        </w:tcPr>
        <w:p w:rsidR="00F1079F" w:rsidRPr="00AD7BF2" w:rsidRDefault="00F1079F" w:rsidP="004F54B2">
          <w:pPr>
            <w:pStyle w:val="FooterText"/>
          </w:pPr>
          <w:r>
            <w:t>10404/21</w:t>
          </w:r>
          <w:r w:rsidRPr="002511D8">
            <w:t xml:space="preserve"> </w:t>
          </w:r>
          <w:r>
            <w:t>ADD 5</w:t>
          </w:r>
        </w:p>
      </w:tc>
      <w:tc>
        <w:tcPr>
          <w:tcW w:w="625" w:type="pct"/>
          <w:shd w:val="clear" w:color="auto" w:fill="auto"/>
          <w:tcMar>
            <w:top w:w="0" w:type="dxa"/>
          </w:tcMar>
        </w:tcPr>
        <w:p w:rsidR="00F1079F" w:rsidRPr="00AD7BF2" w:rsidRDefault="00F1079F" w:rsidP="00D94637">
          <w:pPr>
            <w:pStyle w:val="FooterText"/>
            <w:jc w:val="center"/>
          </w:pPr>
        </w:p>
      </w:tc>
      <w:tc>
        <w:tcPr>
          <w:tcW w:w="1286" w:type="pct"/>
          <w:gridSpan w:val="3"/>
          <w:shd w:val="clear" w:color="auto" w:fill="auto"/>
          <w:tcMar>
            <w:top w:w="0" w:type="dxa"/>
          </w:tcMar>
        </w:tcPr>
        <w:p w:rsidR="00F1079F" w:rsidRPr="002511D8" w:rsidRDefault="00F1079F" w:rsidP="00D94637">
          <w:pPr>
            <w:pStyle w:val="FooterText"/>
            <w:jc w:val="center"/>
          </w:pPr>
          <w:r>
            <w:t>LP/ik</w:t>
          </w:r>
        </w:p>
      </w:tc>
      <w:tc>
        <w:tcPr>
          <w:tcW w:w="589" w:type="pct"/>
          <w:shd w:val="clear" w:color="auto" w:fill="auto"/>
          <w:tcMar>
            <w:top w:w="0" w:type="dxa"/>
          </w:tcMar>
        </w:tcPr>
        <w:p w:rsidR="00F1079F" w:rsidRPr="00B310DC" w:rsidRDefault="00F1079F" w:rsidP="00F1079F">
          <w:pPr>
            <w:pStyle w:val="FooterText"/>
            <w:jc w:val="right"/>
          </w:pPr>
          <w:r>
            <w:fldChar w:fldCharType="begin"/>
          </w:r>
          <w:r>
            <w:instrText xml:space="preserve"> PAGE  \* MERGEFORMAT </w:instrText>
          </w:r>
          <w:r>
            <w:fldChar w:fldCharType="separate"/>
          </w:r>
          <w:r w:rsidR="00B04B20">
            <w:rPr>
              <w:noProof/>
            </w:rPr>
            <w:t>0</w:t>
          </w:r>
          <w:r>
            <w:fldChar w:fldCharType="end"/>
          </w:r>
        </w:p>
      </w:tc>
    </w:tr>
    <w:tr w:rsidR="00F1079F" w:rsidRPr="00D94637" w:rsidTr="00F1079F">
      <w:trPr>
        <w:jc w:val="center"/>
      </w:trPr>
      <w:tc>
        <w:tcPr>
          <w:tcW w:w="1774" w:type="pct"/>
          <w:shd w:val="clear" w:color="auto" w:fill="auto"/>
        </w:tcPr>
        <w:p w:rsidR="00F1079F" w:rsidRPr="00AD7BF2" w:rsidRDefault="00F1079F" w:rsidP="00D94637">
          <w:pPr>
            <w:pStyle w:val="FooterText"/>
            <w:spacing w:before="40"/>
          </w:pPr>
        </w:p>
      </w:tc>
      <w:tc>
        <w:tcPr>
          <w:tcW w:w="1455" w:type="pct"/>
          <w:gridSpan w:val="3"/>
          <w:shd w:val="clear" w:color="auto" w:fill="auto"/>
        </w:tcPr>
        <w:p w:rsidR="00F1079F" w:rsidRPr="00AD7BF2" w:rsidRDefault="00F1079F" w:rsidP="00D204D6">
          <w:pPr>
            <w:pStyle w:val="FooterText"/>
            <w:spacing w:before="40"/>
            <w:jc w:val="center"/>
          </w:pPr>
          <w:r>
            <w:t>LIFE 1</w:t>
          </w:r>
        </w:p>
      </w:tc>
      <w:tc>
        <w:tcPr>
          <w:tcW w:w="742" w:type="pct"/>
          <w:shd w:val="clear" w:color="auto" w:fill="auto"/>
        </w:tcPr>
        <w:p w:rsidR="00F1079F" w:rsidRPr="00D94637" w:rsidRDefault="00F1079F" w:rsidP="002F0099">
          <w:pPr>
            <w:pStyle w:val="FooterText"/>
            <w:jc w:val="center"/>
            <w:rPr>
              <w:b/>
              <w:position w:val="-4"/>
              <w:sz w:val="36"/>
            </w:rPr>
          </w:pPr>
        </w:p>
      </w:tc>
      <w:tc>
        <w:tcPr>
          <w:tcW w:w="1029" w:type="pct"/>
          <w:gridSpan w:val="2"/>
          <w:shd w:val="clear" w:color="auto" w:fill="auto"/>
        </w:tcPr>
        <w:p w:rsidR="00F1079F" w:rsidRPr="000310C2" w:rsidRDefault="00F1079F" w:rsidP="00D94637">
          <w:pPr>
            <w:pStyle w:val="FooterText"/>
            <w:jc w:val="right"/>
            <w:rPr>
              <w:spacing w:val="-20"/>
              <w:sz w:val="16"/>
            </w:rPr>
          </w:pPr>
          <w:r>
            <w:rPr>
              <w:b/>
              <w:spacing w:val="-20"/>
              <w:position w:val="-4"/>
              <w:sz w:val="36"/>
            </w:rPr>
            <w:t>EN</w:t>
          </w:r>
        </w:p>
      </w:tc>
    </w:tr>
    <w:bookmarkEnd w:id="3"/>
  </w:tbl>
  <w:p w:rsidR="00843EC3" w:rsidRPr="00F1079F" w:rsidRDefault="00843EC3" w:rsidP="00F1079F">
    <w:pPr>
      <w:pStyle w:val="FooterCouncil"/>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F1079F">
    <w:pPr>
      <w:spacing w:after="0" w:line="259" w:lineRule="auto"/>
      <w:ind w:left="0" w:right="16" w:firstLine="0"/>
      <w:jc w:val="center"/>
    </w:pPr>
    <w:r>
      <w:fldChar w:fldCharType="begin"/>
    </w:r>
    <w:r>
      <w:instrText xml:space="preserve"> PAGE   \* MERGEFORMAT </w:instrText>
    </w:r>
    <w:r>
      <w:fldChar w:fldCharType="separate"/>
    </w:r>
    <w:r w:rsidR="00B04B20" w:rsidRPr="00B04B20">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843EC3" w:rsidRDefault="00F1079F">
    <w:pPr>
      <w:spacing w:after="0" w:line="259" w:lineRule="auto"/>
      <w:ind w:left="0"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F1079F">
    <w:pPr>
      <w:spacing w:after="0" w:line="259" w:lineRule="auto"/>
      <w:ind w:left="0" w:right="16" w:firstLine="0"/>
      <w:jc w:val="center"/>
    </w:pPr>
    <w:r>
      <w:fldChar w:fldCharType="begin"/>
    </w:r>
    <w:r>
      <w:instrText xml:space="preserve"> PAGE   \* MERGEFORMAT </w:instrText>
    </w:r>
    <w:r>
      <w:fldChar w:fldCharType="separate"/>
    </w:r>
    <w:r w:rsidR="00B04B20" w:rsidRPr="00B04B20">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843EC3" w:rsidRDefault="00F1079F">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19"/>
      <w:gridCol w:w="1399"/>
      <w:gridCol w:w="1205"/>
      <w:gridCol w:w="200"/>
      <w:gridCol w:w="1430"/>
      <w:gridCol w:w="848"/>
      <w:gridCol w:w="1135"/>
    </w:tblGrid>
    <w:tr w:rsidR="00F1079F" w:rsidRPr="00D94637" w:rsidTr="00F1079F">
      <w:trPr>
        <w:jc w:val="center"/>
      </w:trPr>
      <w:tc>
        <w:tcPr>
          <w:tcW w:w="5000" w:type="pct"/>
          <w:gridSpan w:val="7"/>
          <w:shd w:val="clear" w:color="auto" w:fill="auto"/>
          <w:tcMar>
            <w:top w:w="57" w:type="dxa"/>
          </w:tcMar>
        </w:tcPr>
        <w:p w:rsidR="00F1079F" w:rsidRPr="00D94637" w:rsidRDefault="00F1079F" w:rsidP="00D94637">
          <w:pPr>
            <w:pStyle w:val="FooterText"/>
            <w:pBdr>
              <w:top w:val="single" w:sz="4" w:space="1" w:color="auto"/>
            </w:pBdr>
            <w:spacing w:before="200"/>
            <w:rPr>
              <w:sz w:val="2"/>
              <w:szCs w:val="2"/>
            </w:rPr>
          </w:pPr>
        </w:p>
      </w:tc>
    </w:tr>
    <w:tr w:rsidR="00F1079F" w:rsidRPr="00B310DC" w:rsidTr="00F1079F">
      <w:trPr>
        <w:jc w:val="center"/>
      </w:trPr>
      <w:tc>
        <w:tcPr>
          <w:tcW w:w="2500" w:type="pct"/>
          <w:gridSpan w:val="2"/>
          <w:shd w:val="clear" w:color="auto" w:fill="auto"/>
          <w:tcMar>
            <w:top w:w="0" w:type="dxa"/>
          </w:tcMar>
        </w:tcPr>
        <w:p w:rsidR="00F1079F" w:rsidRPr="00AD7BF2" w:rsidRDefault="00F1079F" w:rsidP="004F54B2">
          <w:pPr>
            <w:pStyle w:val="FooterText"/>
          </w:pPr>
          <w:r>
            <w:t>10404/21</w:t>
          </w:r>
          <w:r w:rsidRPr="002511D8">
            <w:t xml:space="preserve"> </w:t>
          </w:r>
          <w:r>
            <w:t>ADD 5</w:t>
          </w:r>
        </w:p>
      </w:tc>
      <w:tc>
        <w:tcPr>
          <w:tcW w:w="625" w:type="pct"/>
          <w:shd w:val="clear" w:color="auto" w:fill="auto"/>
          <w:tcMar>
            <w:top w:w="0" w:type="dxa"/>
          </w:tcMar>
        </w:tcPr>
        <w:p w:rsidR="00F1079F" w:rsidRPr="00AD7BF2" w:rsidRDefault="00F1079F" w:rsidP="00D94637">
          <w:pPr>
            <w:pStyle w:val="FooterText"/>
            <w:jc w:val="center"/>
          </w:pPr>
        </w:p>
      </w:tc>
      <w:tc>
        <w:tcPr>
          <w:tcW w:w="1286" w:type="pct"/>
          <w:gridSpan w:val="3"/>
          <w:shd w:val="clear" w:color="auto" w:fill="auto"/>
          <w:tcMar>
            <w:top w:w="0" w:type="dxa"/>
          </w:tcMar>
        </w:tcPr>
        <w:p w:rsidR="00F1079F" w:rsidRPr="002511D8" w:rsidRDefault="00F1079F" w:rsidP="00D94637">
          <w:pPr>
            <w:pStyle w:val="FooterText"/>
            <w:jc w:val="center"/>
          </w:pPr>
          <w:r>
            <w:t>LP/ik</w:t>
          </w:r>
        </w:p>
      </w:tc>
      <w:tc>
        <w:tcPr>
          <w:tcW w:w="589" w:type="pct"/>
          <w:shd w:val="clear" w:color="auto" w:fill="auto"/>
          <w:tcMar>
            <w:top w:w="0" w:type="dxa"/>
          </w:tcMar>
        </w:tcPr>
        <w:p w:rsidR="00F1079F" w:rsidRPr="00B310DC" w:rsidRDefault="00F1079F" w:rsidP="00D94637">
          <w:pPr>
            <w:pStyle w:val="FooterText"/>
            <w:jc w:val="right"/>
          </w:pPr>
        </w:p>
      </w:tc>
    </w:tr>
    <w:tr w:rsidR="00F1079F" w:rsidRPr="00D94637" w:rsidTr="00F1079F">
      <w:trPr>
        <w:jc w:val="center"/>
      </w:trPr>
      <w:tc>
        <w:tcPr>
          <w:tcW w:w="1774" w:type="pct"/>
          <w:shd w:val="clear" w:color="auto" w:fill="auto"/>
        </w:tcPr>
        <w:p w:rsidR="00F1079F" w:rsidRPr="00AD7BF2" w:rsidRDefault="00F1079F" w:rsidP="00D94637">
          <w:pPr>
            <w:pStyle w:val="FooterText"/>
            <w:spacing w:before="40"/>
          </w:pPr>
        </w:p>
      </w:tc>
      <w:tc>
        <w:tcPr>
          <w:tcW w:w="1455" w:type="pct"/>
          <w:gridSpan w:val="3"/>
          <w:shd w:val="clear" w:color="auto" w:fill="auto"/>
        </w:tcPr>
        <w:p w:rsidR="00F1079F" w:rsidRPr="00AD7BF2" w:rsidRDefault="00F1079F" w:rsidP="00D204D6">
          <w:pPr>
            <w:pStyle w:val="FooterText"/>
            <w:spacing w:before="40"/>
            <w:jc w:val="center"/>
          </w:pPr>
          <w:r>
            <w:t>LIFE 1</w:t>
          </w:r>
        </w:p>
      </w:tc>
      <w:tc>
        <w:tcPr>
          <w:tcW w:w="742" w:type="pct"/>
          <w:shd w:val="clear" w:color="auto" w:fill="auto"/>
        </w:tcPr>
        <w:p w:rsidR="00F1079F" w:rsidRPr="00D94637" w:rsidRDefault="00F1079F" w:rsidP="002F0099">
          <w:pPr>
            <w:pStyle w:val="FooterText"/>
            <w:jc w:val="center"/>
            <w:rPr>
              <w:b/>
              <w:position w:val="-4"/>
              <w:sz w:val="36"/>
            </w:rPr>
          </w:pPr>
        </w:p>
      </w:tc>
      <w:tc>
        <w:tcPr>
          <w:tcW w:w="1029" w:type="pct"/>
          <w:gridSpan w:val="2"/>
          <w:shd w:val="clear" w:color="auto" w:fill="auto"/>
        </w:tcPr>
        <w:p w:rsidR="00F1079F" w:rsidRPr="000310C2" w:rsidRDefault="00F1079F" w:rsidP="00D94637">
          <w:pPr>
            <w:pStyle w:val="FooterText"/>
            <w:jc w:val="right"/>
            <w:rPr>
              <w:spacing w:val="-20"/>
              <w:sz w:val="16"/>
            </w:rPr>
          </w:pPr>
          <w:r>
            <w:rPr>
              <w:b/>
              <w:spacing w:val="-20"/>
              <w:position w:val="-4"/>
              <w:sz w:val="36"/>
            </w:rPr>
            <w:t>EN</w:t>
          </w:r>
        </w:p>
      </w:tc>
    </w:tr>
  </w:tbl>
  <w:p w:rsidR="00843EC3" w:rsidRPr="00F1079F" w:rsidRDefault="00843EC3" w:rsidP="00F1079F">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FooterCover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F1079F">
    <w:pPr>
      <w:spacing w:after="0" w:line="259" w:lineRule="auto"/>
      <w:ind w:left="0" w:right="32" w:firstLine="0"/>
      <w:jc w:val="center"/>
    </w:pPr>
    <w:r>
      <w:fldChar w:fldCharType="begin"/>
    </w:r>
    <w:r>
      <w:instrText xml:space="preserve"> PAGE   \* MERGEFORMAT </w:instrText>
    </w:r>
    <w:r>
      <w:fldChar w:fldCharType="separate"/>
    </w:r>
    <w:r>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 xml:space="preserve"> </w:t>
    </w:r>
  </w:p>
  <w:p w:rsidR="00843EC3" w:rsidRDefault="00F1079F">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5782649"/>
      <w:docPartObj>
        <w:docPartGallery w:val="Page Numbers (Bottom of Page)"/>
        <w:docPartUnique/>
      </w:docPartObj>
    </w:sdtPr>
    <w:sdtEndPr>
      <w:rPr>
        <w:noProof/>
      </w:rPr>
    </w:sdtEndPr>
    <w:sdtContent>
      <w:p w:rsidR="00843EC3" w:rsidRDefault="00F1079F">
        <w:pPr>
          <w:pStyle w:val="Stopka"/>
          <w:jc w:val="center"/>
        </w:pPr>
        <w:r>
          <w:fldChar w:fldCharType="begin"/>
        </w:r>
        <w:r>
          <w:instrText xml:space="preserve"> PAGE   \* MERGEFORMAT </w:instrText>
        </w:r>
        <w:r>
          <w:fldChar w:fldCharType="separate"/>
        </w:r>
        <w:r w:rsidR="00B04B20" w:rsidRPr="00B04B20">
          <w:rPr>
            <w:rFonts w:ascii="Calibri" w:eastAsia="Calibri" w:hAnsi="Calibri" w:cs="Calibri"/>
            <w:noProof/>
            <w:sz w:val="22"/>
          </w:rPr>
          <w:t>4</w:t>
        </w:r>
        <w:r>
          <w:rPr>
            <w:rFonts w:eastAsia="Calibri"/>
          </w:rPr>
          <w:fldChar w:fldCharType="end"/>
        </w:r>
      </w:p>
    </w:sdtContent>
  </w:sdt>
  <w:p w:rsidR="00843EC3" w:rsidRDefault="00843EC3">
    <w:pPr>
      <w:spacing w:after="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F1079F">
    <w:pPr>
      <w:pStyle w:val="Stopka"/>
      <w:tabs>
        <w:tab w:val="clear" w:pos="4680"/>
        <w:tab w:val="clear" w:pos="9360"/>
      </w:tabs>
      <w:jc w:val="center"/>
      <w:rPr>
        <w:caps/>
        <w:noProof/>
        <w:color w:val="auto"/>
      </w:rPr>
    </w:pPr>
    <w:r>
      <w:rPr>
        <w:caps/>
        <w:color w:val="auto"/>
      </w:rPr>
      <w:fldChar w:fldCharType="begin"/>
    </w:r>
    <w:r>
      <w:rPr>
        <w:caps/>
        <w:color w:val="auto"/>
      </w:rPr>
      <w:instrText xml:space="preserve"> PAGE  \* Arabic  \* MERGEFORMAT </w:instrText>
    </w:r>
    <w:r>
      <w:rPr>
        <w:caps/>
        <w:color w:val="auto"/>
      </w:rPr>
      <w:fldChar w:fldCharType="separate"/>
    </w:r>
    <w:r w:rsidR="00B04B20">
      <w:rPr>
        <w:caps/>
        <w:noProof/>
        <w:color w:val="auto"/>
      </w:rPr>
      <w:t>1</w:t>
    </w:r>
    <w:r>
      <w:rPr>
        <w:caps/>
        <w:color w:val="auto"/>
      </w:rPr>
      <w:fldChar w:fldCharType="end"/>
    </w:r>
  </w:p>
  <w:p w:rsidR="00843EC3" w:rsidRDefault="00843EC3">
    <w:pPr>
      <w:spacing w:after="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F1079F">
    <w:pPr>
      <w:spacing w:after="0" w:line="259" w:lineRule="auto"/>
      <w:ind w:left="0" w:right="32" w:firstLine="0"/>
      <w:jc w:val="center"/>
    </w:pPr>
    <w:r>
      <w:fldChar w:fldCharType="begin"/>
    </w:r>
    <w:r>
      <w:instrText xml:space="preserve"> PAGE   \* MERGEFORMAT </w:instrText>
    </w:r>
    <w:r>
      <w:fldChar w:fldCharType="separate"/>
    </w:r>
    <w:r>
      <w:rPr>
        <w:rFonts w:ascii="Calibri" w:eastAsia="Calibri" w:hAnsi="Calibri" w:cs="Calibri"/>
        <w:noProof/>
        <w:sz w:val="22"/>
      </w:rPr>
      <w:t>18</w:t>
    </w:r>
    <w:r>
      <w:rPr>
        <w:rFonts w:ascii="Calibri" w:eastAsia="Calibri" w:hAnsi="Calibri" w:cs="Calibri"/>
        <w:sz w:val="22"/>
      </w:rPr>
      <w:fldChar w:fldCharType="end"/>
    </w:r>
    <w:r>
      <w:rPr>
        <w:rFonts w:ascii="Calibri" w:eastAsia="Calibri" w:hAnsi="Calibri" w:cs="Calibri"/>
        <w:sz w:val="22"/>
      </w:rPr>
      <w:t xml:space="preserve"> </w:t>
    </w:r>
  </w:p>
  <w:p w:rsidR="00843EC3" w:rsidRDefault="00F1079F">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324" w:rsidRDefault="00623324">
      <w:pPr>
        <w:tabs>
          <w:tab w:val="center" w:pos="3518"/>
        </w:tabs>
        <w:spacing w:after="218" w:line="259" w:lineRule="auto"/>
        <w:ind w:left="0" w:firstLine="0"/>
        <w:jc w:val="left"/>
      </w:pPr>
      <w:r>
        <w:separator/>
      </w:r>
    </w:p>
  </w:footnote>
  <w:footnote w:type="continuationSeparator" w:id="0">
    <w:p w:rsidR="00623324" w:rsidRDefault="00623324">
      <w:pPr>
        <w:tabs>
          <w:tab w:val="center" w:pos="3518"/>
        </w:tabs>
        <w:spacing w:after="218" w:line="259" w:lineRule="auto"/>
        <w:ind w:left="0" w:firstLine="0"/>
        <w:jc w:val="left"/>
      </w:pPr>
      <w:r>
        <w:continuationSeparator/>
      </w:r>
    </w:p>
  </w:footnote>
  <w:footnote w:type="continuationNotice" w:id="1">
    <w:p w:rsidR="00623324" w:rsidRDefault="00623324">
      <w:pPr>
        <w:spacing w:after="0" w:line="240" w:lineRule="auto"/>
      </w:pPr>
    </w:p>
  </w:footnote>
  <w:footnote w:id="2">
    <w:p w:rsidR="00843EC3" w:rsidRDefault="00F1079F">
      <w:pPr>
        <w:pStyle w:val="Tekstprzypisudolnego"/>
        <w:tabs>
          <w:tab w:val="left" w:pos="142"/>
        </w:tabs>
        <w:rPr>
          <w:lang w:val="en-IE"/>
        </w:rPr>
      </w:pPr>
      <w:r>
        <w:rPr>
          <w:rStyle w:val="Odwoanieprzypisudolnego"/>
        </w:rPr>
        <w:footnoteRef/>
      </w:r>
      <w:r>
        <w:t xml:space="preserve"> </w:t>
      </w:r>
      <w:hyperlink r:id="rId1" w:history="1">
        <w:r>
          <w:rPr>
            <w:rStyle w:val="Hipercze"/>
          </w:rPr>
          <w:t>https://ec.europa.eu/commission/commissioners/sites/comm-cwt2019/files/commissioner_mission_letters/mission-letter-dubravka-suica_en.pdf</w:t>
        </w:r>
      </w:hyperlink>
    </w:p>
  </w:footnote>
  <w:footnote w:id="3">
    <w:p w:rsidR="00843EC3" w:rsidRDefault="00F1079F">
      <w:pPr>
        <w:pStyle w:val="Tekstprzypisudolnego"/>
        <w:rPr>
          <w:lang w:val="en-IE"/>
        </w:rPr>
      </w:pPr>
      <w:r>
        <w:rPr>
          <w:rStyle w:val="Odwoanieprzypisudolnego"/>
        </w:rPr>
        <w:footnoteRef/>
      </w:r>
      <w:r>
        <w:t xml:space="preserve"> </w:t>
      </w:r>
      <w:r>
        <w:rPr>
          <w:lang w:val="en-IE"/>
        </w:rPr>
        <w:t xml:space="preserve">See Annex I and the specifics reports for the Online Public Consultation and the Stakeholder package. </w:t>
      </w:r>
    </w:p>
  </w:footnote>
  <w:footnote w:id="4">
    <w:p w:rsidR="00843EC3" w:rsidRDefault="00F1079F">
      <w:pPr>
        <w:pStyle w:val="Tekstprzypisudolnego"/>
      </w:pPr>
      <w:r>
        <w:rPr>
          <w:rStyle w:val="Odwoanieprzypisudolnego"/>
        </w:rPr>
        <w:footnoteRef/>
      </w:r>
      <w:r>
        <w:t xml:space="preserve"> </w:t>
      </w:r>
      <w:hyperlink r:id="rId2" w:history="1">
        <w:r>
          <w:rPr>
            <w:rStyle w:val="Hipercze"/>
          </w:rPr>
          <w:t>https://europa.eu/eurobarometer/surveys/detail/2229</w:t>
        </w:r>
      </w:hyperlink>
    </w:p>
  </w:footnote>
  <w:footnote w:id="5">
    <w:p w:rsidR="00843EC3" w:rsidRDefault="00F1079F">
      <w:pPr>
        <w:pStyle w:val="Tekstprzypisudolnego"/>
      </w:pPr>
      <w:r>
        <w:rPr>
          <w:rStyle w:val="Odwoanieprzypisudolnego"/>
        </w:rPr>
        <w:footnoteRef/>
      </w:r>
      <w:r>
        <w:t xml:space="preserve"> </w:t>
      </w:r>
      <w:hyperlink r:id="rId3" w:history="1">
        <w:r>
          <w:rPr>
            <w:rStyle w:val="Hipercze"/>
          </w:rPr>
          <w:t>https://europa.eu/eurobarometer/surveys/detail/2278</w:t>
        </w:r>
      </w:hyperlink>
      <w:r>
        <w:t xml:space="preserve"> </w:t>
      </w:r>
    </w:p>
  </w:footnote>
  <w:footnote w:id="6">
    <w:p w:rsidR="00843EC3" w:rsidRDefault="00F1079F">
      <w:pPr>
        <w:pStyle w:val="Tekstprzypisudolnego"/>
        <w:rPr>
          <w:lang w:val="en-IE"/>
        </w:rPr>
      </w:pPr>
      <w:r>
        <w:rPr>
          <w:rStyle w:val="Odwoanieprzypisudolnego"/>
        </w:rPr>
        <w:footnoteRef/>
      </w:r>
      <w:r>
        <w:t xml:space="preserve"> Available at: </w:t>
      </w:r>
      <w:hyperlink r:id="rId4" w:history="1">
        <w:r>
          <w:rPr>
            <w:rStyle w:val="Hipercze"/>
          </w:rPr>
          <w:t>https://enrd.ec.europa.eu/news-events/news/long-term-vision-rural-areas-workshop-package-nrns-and-other-rural-stakeholders_en</w:t>
        </w:r>
      </w:hyperlink>
      <w:r>
        <w:rPr>
          <w:rStyle w:val="Hipercze"/>
        </w:rPr>
        <w:t xml:space="preserve"> </w:t>
      </w:r>
    </w:p>
  </w:footnote>
  <w:footnote w:id="7">
    <w:p w:rsidR="00843EC3" w:rsidRDefault="00F1079F">
      <w:pPr>
        <w:pStyle w:val="Tekstprzypisudolnego"/>
      </w:pPr>
      <w:r>
        <w:rPr>
          <w:rStyle w:val="Odwoanieprzypisudolnego"/>
        </w:rPr>
        <w:footnoteRef/>
      </w:r>
      <w:r>
        <w:t xml:space="preserve"> </w:t>
      </w:r>
      <w:hyperlink r:id="rId5" w:history="1">
        <w:r>
          <w:rPr>
            <w:rStyle w:val="Hipercze"/>
            <w:szCs w:val="24"/>
          </w:rPr>
          <w:t>https://enrd.ec.europa.eu/publications/rural-voices_en</w:t>
        </w:r>
      </w:hyperlink>
    </w:p>
  </w:footnote>
  <w:footnote w:id="8">
    <w:p w:rsidR="00843EC3" w:rsidRDefault="00F1079F">
      <w:pPr>
        <w:pStyle w:val="Tekstprzypisudolnego"/>
        <w:rPr>
          <w:lang w:val="en-IE"/>
        </w:rPr>
      </w:pPr>
      <w:r>
        <w:rPr>
          <w:rStyle w:val="Odwoanieprzypisudolnego"/>
        </w:rPr>
        <w:footnoteRef/>
      </w:r>
      <w:r>
        <w:t xml:space="preserve"> </w:t>
      </w:r>
      <w:hyperlink r:id="rId6" w:history="1">
        <w:r>
          <w:rPr>
            <w:rStyle w:val="Hipercze"/>
          </w:rPr>
          <w:t>https://enrd.ec.europa.eu/news-events/events/rural2040-vision-week_en</w:t>
        </w:r>
      </w:hyperlink>
      <w:r>
        <w:t xml:space="preserve"> </w:t>
      </w:r>
    </w:p>
  </w:footnote>
  <w:footnote w:id="9">
    <w:p w:rsidR="00843EC3" w:rsidRDefault="00F1079F">
      <w:pPr>
        <w:pStyle w:val="Tekstprzypisudolnego"/>
      </w:pPr>
      <w:r>
        <w:rPr>
          <w:rStyle w:val="Odwoanieprzypisudolnego"/>
        </w:rPr>
        <w:footnoteRef/>
      </w:r>
      <w:r>
        <w:t xml:space="preserve"> </w:t>
      </w:r>
      <w:hyperlink r:id="rId7" w:history="1">
        <w:r>
          <w:rPr>
            <w:rStyle w:val="Hipercze"/>
          </w:rPr>
          <w:t>https://ec.europa.eu/info/sites/info/files/better-regulation-guidelines.pdf</w:t>
        </w:r>
      </w:hyperlink>
      <w:r>
        <w:t xml:space="preserve"> </w:t>
      </w:r>
    </w:p>
  </w:footnote>
  <w:footnote w:id="10">
    <w:p w:rsidR="00843EC3" w:rsidRDefault="00F1079F">
      <w:pPr>
        <w:pStyle w:val="Tekstprzypisudolnego"/>
        <w:rPr>
          <w:lang w:val="en-IE"/>
        </w:rPr>
      </w:pPr>
      <w:r>
        <w:rPr>
          <w:rStyle w:val="Odwoanieprzypisudolnego"/>
        </w:rPr>
        <w:footnoteRef/>
      </w:r>
      <w:r>
        <w:t xml:space="preserve"> Available at: </w:t>
      </w:r>
      <w:hyperlink r:id="rId8" w:history="1">
        <w:r>
          <w:rPr>
            <w:rStyle w:val="Hipercze"/>
          </w:rPr>
          <w:t>https://ec.europa.eu/info/law/better-regulation/have-your-say/initiatives/12525-Long-term-vision-for-rural-areas/public-consultation</w:t>
        </w:r>
      </w:hyperlink>
      <w:r>
        <w:rPr>
          <w:rStyle w:val="Hipercze"/>
        </w:rPr>
        <w:t xml:space="preserve"> </w:t>
      </w:r>
    </w:p>
  </w:footnote>
  <w:footnote w:id="11">
    <w:p w:rsidR="00843EC3" w:rsidRDefault="00F1079F">
      <w:pPr>
        <w:pStyle w:val="Tekstprzypisudolnego"/>
        <w:rPr>
          <w:lang w:val="en-IE"/>
        </w:rPr>
      </w:pPr>
      <w:r>
        <w:rPr>
          <w:rStyle w:val="Odwoanieprzypisudolnego"/>
        </w:rPr>
        <w:footnoteRef/>
      </w:r>
      <w:r>
        <w:t xml:space="preserve"> Categories for the analysis: (1) a remote rural area, (2) a rural area or village, (3) a small or medium-sized town and (4) a large town/city. </w:t>
      </w:r>
    </w:p>
  </w:footnote>
  <w:footnote w:id="12">
    <w:p w:rsidR="00843EC3" w:rsidRDefault="00F1079F">
      <w:pPr>
        <w:pStyle w:val="Tekstprzypisudolnego"/>
      </w:pPr>
      <w:r>
        <w:rPr>
          <w:rStyle w:val="Odwoanieprzypisudolnego"/>
        </w:rPr>
        <w:footnoteRef/>
      </w:r>
      <w:r>
        <w:t xml:space="preserve"> </w:t>
      </w:r>
      <w:hyperlink r:id="rId9" w:history="1">
        <w:r>
          <w:rPr>
            <w:rStyle w:val="Hipercze"/>
          </w:rPr>
          <w:t>https://enrd.ec.europa.eu/news-events/events/rural2040-vision-week_en</w:t>
        </w:r>
      </w:hyperlink>
      <w:r>
        <w:t xml:space="preserve"> </w:t>
      </w:r>
    </w:p>
  </w:footnote>
  <w:footnote w:id="13">
    <w:p w:rsidR="00843EC3" w:rsidRDefault="00F1079F">
      <w:pPr>
        <w:pStyle w:val="Tekstprzypisudolnego"/>
      </w:pPr>
      <w:r>
        <w:rPr>
          <w:rStyle w:val="Odwoanieprzypisudolnego"/>
        </w:rPr>
        <w:footnoteRef/>
      </w:r>
      <w:r>
        <w:t xml:space="preserve"> </w:t>
      </w:r>
      <w:hyperlink r:id="rId10" w:history="1">
        <w:r>
          <w:rPr>
            <w:rStyle w:val="Hipercze"/>
          </w:rPr>
          <w:t>Question for oral answer  O-000005/2021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Pr="00F1079F" w:rsidRDefault="00F1079F" w:rsidP="00F1079F">
    <w:pPr>
      <w:pStyle w:val="HeaderCouncilLarge"/>
    </w:pPr>
    <w:r>
      <w:t>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Pr="00F1079F" w:rsidRDefault="00F1079F" w:rsidP="00F1079F">
    <w:pPr>
      <w:pStyle w:val="HeaderCouncil"/>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HeaderCoverPag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79F" w:rsidRDefault="00F1079F">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EC3" w:rsidRDefault="00843EC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E28"/>
    <w:multiLevelType w:val="hybridMultilevel"/>
    <w:tmpl w:val="30B63508"/>
    <w:lvl w:ilvl="0" w:tplc="C8DE8BF8">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253C49"/>
    <w:multiLevelType w:val="hybridMultilevel"/>
    <w:tmpl w:val="DF5EA3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433197"/>
    <w:multiLevelType w:val="hybridMultilevel"/>
    <w:tmpl w:val="3BE64270"/>
    <w:lvl w:ilvl="0" w:tplc="259644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F93"/>
    <w:multiLevelType w:val="hybridMultilevel"/>
    <w:tmpl w:val="BE205AF6"/>
    <w:lvl w:ilvl="0" w:tplc="1310CEB8">
      <w:start w:val="1"/>
      <w:numFmt w:val="decimal"/>
      <w:lvlText w:val="%1)"/>
      <w:lvlJc w:val="left"/>
      <w:pPr>
        <w:tabs>
          <w:tab w:val="num" w:pos="720"/>
        </w:tabs>
        <w:ind w:left="720" w:hanging="360"/>
      </w:pPr>
    </w:lvl>
    <w:lvl w:ilvl="1" w:tplc="045EF018" w:tentative="1">
      <w:start w:val="1"/>
      <w:numFmt w:val="decimal"/>
      <w:lvlText w:val="%2)"/>
      <w:lvlJc w:val="left"/>
      <w:pPr>
        <w:tabs>
          <w:tab w:val="num" w:pos="1440"/>
        </w:tabs>
        <w:ind w:left="1440" w:hanging="360"/>
      </w:pPr>
    </w:lvl>
    <w:lvl w:ilvl="2" w:tplc="6B668858" w:tentative="1">
      <w:start w:val="1"/>
      <w:numFmt w:val="decimal"/>
      <w:lvlText w:val="%3)"/>
      <w:lvlJc w:val="left"/>
      <w:pPr>
        <w:tabs>
          <w:tab w:val="num" w:pos="2160"/>
        </w:tabs>
        <w:ind w:left="2160" w:hanging="360"/>
      </w:pPr>
    </w:lvl>
    <w:lvl w:ilvl="3" w:tplc="373A11EE" w:tentative="1">
      <w:start w:val="1"/>
      <w:numFmt w:val="decimal"/>
      <w:lvlText w:val="%4)"/>
      <w:lvlJc w:val="left"/>
      <w:pPr>
        <w:tabs>
          <w:tab w:val="num" w:pos="2880"/>
        </w:tabs>
        <w:ind w:left="2880" w:hanging="360"/>
      </w:pPr>
    </w:lvl>
    <w:lvl w:ilvl="4" w:tplc="5B8A5ABE" w:tentative="1">
      <w:start w:val="1"/>
      <w:numFmt w:val="decimal"/>
      <w:lvlText w:val="%5)"/>
      <w:lvlJc w:val="left"/>
      <w:pPr>
        <w:tabs>
          <w:tab w:val="num" w:pos="3600"/>
        </w:tabs>
        <w:ind w:left="3600" w:hanging="360"/>
      </w:pPr>
    </w:lvl>
    <w:lvl w:ilvl="5" w:tplc="C1068580" w:tentative="1">
      <w:start w:val="1"/>
      <w:numFmt w:val="decimal"/>
      <w:lvlText w:val="%6)"/>
      <w:lvlJc w:val="left"/>
      <w:pPr>
        <w:tabs>
          <w:tab w:val="num" w:pos="4320"/>
        </w:tabs>
        <w:ind w:left="4320" w:hanging="360"/>
      </w:pPr>
    </w:lvl>
    <w:lvl w:ilvl="6" w:tplc="102E257E" w:tentative="1">
      <w:start w:val="1"/>
      <w:numFmt w:val="decimal"/>
      <w:lvlText w:val="%7)"/>
      <w:lvlJc w:val="left"/>
      <w:pPr>
        <w:tabs>
          <w:tab w:val="num" w:pos="5040"/>
        </w:tabs>
        <w:ind w:left="5040" w:hanging="360"/>
      </w:pPr>
    </w:lvl>
    <w:lvl w:ilvl="7" w:tplc="C0BA2E52" w:tentative="1">
      <w:start w:val="1"/>
      <w:numFmt w:val="decimal"/>
      <w:lvlText w:val="%8)"/>
      <w:lvlJc w:val="left"/>
      <w:pPr>
        <w:tabs>
          <w:tab w:val="num" w:pos="5760"/>
        </w:tabs>
        <w:ind w:left="5760" w:hanging="360"/>
      </w:pPr>
    </w:lvl>
    <w:lvl w:ilvl="8" w:tplc="77568F8C" w:tentative="1">
      <w:start w:val="1"/>
      <w:numFmt w:val="decimal"/>
      <w:lvlText w:val="%9)"/>
      <w:lvlJc w:val="left"/>
      <w:pPr>
        <w:tabs>
          <w:tab w:val="num" w:pos="6480"/>
        </w:tabs>
        <w:ind w:left="6480" w:hanging="360"/>
      </w:pPr>
    </w:lvl>
  </w:abstractNum>
  <w:abstractNum w:abstractNumId="4" w15:restartNumberingAfterBreak="0">
    <w:nsid w:val="0EFE55D6"/>
    <w:multiLevelType w:val="hybridMultilevel"/>
    <w:tmpl w:val="5746A084"/>
    <w:lvl w:ilvl="0" w:tplc="5A9C67E6">
      <w:start w:val="1"/>
      <w:numFmt w:val="decimal"/>
      <w:lvlText w:val="%1)"/>
      <w:lvlJc w:val="left"/>
      <w:pPr>
        <w:tabs>
          <w:tab w:val="num" w:pos="720"/>
        </w:tabs>
        <w:ind w:left="720" w:hanging="360"/>
      </w:pPr>
    </w:lvl>
    <w:lvl w:ilvl="1" w:tplc="6CE2919E" w:tentative="1">
      <w:start w:val="1"/>
      <w:numFmt w:val="decimal"/>
      <w:lvlText w:val="%2)"/>
      <w:lvlJc w:val="left"/>
      <w:pPr>
        <w:tabs>
          <w:tab w:val="num" w:pos="1440"/>
        </w:tabs>
        <w:ind w:left="1440" w:hanging="360"/>
      </w:pPr>
    </w:lvl>
    <w:lvl w:ilvl="2" w:tplc="F50C90C8" w:tentative="1">
      <w:start w:val="1"/>
      <w:numFmt w:val="decimal"/>
      <w:lvlText w:val="%3)"/>
      <w:lvlJc w:val="left"/>
      <w:pPr>
        <w:tabs>
          <w:tab w:val="num" w:pos="2160"/>
        </w:tabs>
        <w:ind w:left="2160" w:hanging="360"/>
      </w:pPr>
    </w:lvl>
    <w:lvl w:ilvl="3" w:tplc="B838AF24" w:tentative="1">
      <w:start w:val="1"/>
      <w:numFmt w:val="decimal"/>
      <w:lvlText w:val="%4)"/>
      <w:lvlJc w:val="left"/>
      <w:pPr>
        <w:tabs>
          <w:tab w:val="num" w:pos="2880"/>
        </w:tabs>
        <w:ind w:left="2880" w:hanging="360"/>
      </w:pPr>
    </w:lvl>
    <w:lvl w:ilvl="4" w:tplc="7EE0C07C" w:tentative="1">
      <w:start w:val="1"/>
      <w:numFmt w:val="decimal"/>
      <w:lvlText w:val="%5)"/>
      <w:lvlJc w:val="left"/>
      <w:pPr>
        <w:tabs>
          <w:tab w:val="num" w:pos="3600"/>
        </w:tabs>
        <w:ind w:left="3600" w:hanging="360"/>
      </w:pPr>
    </w:lvl>
    <w:lvl w:ilvl="5" w:tplc="D0F001E8" w:tentative="1">
      <w:start w:val="1"/>
      <w:numFmt w:val="decimal"/>
      <w:lvlText w:val="%6)"/>
      <w:lvlJc w:val="left"/>
      <w:pPr>
        <w:tabs>
          <w:tab w:val="num" w:pos="4320"/>
        </w:tabs>
        <w:ind w:left="4320" w:hanging="360"/>
      </w:pPr>
    </w:lvl>
    <w:lvl w:ilvl="6" w:tplc="912609A0" w:tentative="1">
      <w:start w:val="1"/>
      <w:numFmt w:val="decimal"/>
      <w:lvlText w:val="%7)"/>
      <w:lvlJc w:val="left"/>
      <w:pPr>
        <w:tabs>
          <w:tab w:val="num" w:pos="5040"/>
        </w:tabs>
        <w:ind w:left="5040" w:hanging="360"/>
      </w:pPr>
    </w:lvl>
    <w:lvl w:ilvl="7" w:tplc="AD0E941A" w:tentative="1">
      <w:start w:val="1"/>
      <w:numFmt w:val="decimal"/>
      <w:lvlText w:val="%8)"/>
      <w:lvlJc w:val="left"/>
      <w:pPr>
        <w:tabs>
          <w:tab w:val="num" w:pos="5760"/>
        </w:tabs>
        <w:ind w:left="5760" w:hanging="360"/>
      </w:pPr>
    </w:lvl>
    <w:lvl w:ilvl="8" w:tplc="0D667DD0" w:tentative="1">
      <w:start w:val="1"/>
      <w:numFmt w:val="decimal"/>
      <w:lvlText w:val="%9)"/>
      <w:lvlJc w:val="left"/>
      <w:pPr>
        <w:tabs>
          <w:tab w:val="num" w:pos="6480"/>
        </w:tabs>
        <w:ind w:left="6480" w:hanging="360"/>
      </w:pPr>
    </w:lvl>
  </w:abstractNum>
  <w:abstractNum w:abstractNumId="5" w15:restartNumberingAfterBreak="0">
    <w:nsid w:val="10391C91"/>
    <w:multiLevelType w:val="hybridMultilevel"/>
    <w:tmpl w:val="3EE074CC"/>
    <w:lvl w:ilvl="0" w:tplc="25964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B35E0"/>
    <w:multiLevelType w:val="hybridMultilevel"/>
    <w:tmpl w:val="9948FF7A"/>
    <w:lvl w:ilvl="0" w:tplc="25964426">
      <w:start w:val="1"/>
      <w:numFmt w:val="bullet"/>
      <w:lvlText w:val=""/>
      <w:lvlJc w:val="left"/>
      <w:pPr>
        <w:ind w:left="360" w:hanging="360"/>
      </w:pPr>
      <w:rPr>
        <w:rFonts w:ascii="Symbol" w:hAnsi="Symbol" w:hint="default"/>
      </w:rPr>
    </w:lvl>
    <w:lvl w:ilvl="1" w:tplc="25964426">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0DC76F3"/>
    <w:multiLevelType w:val="hybridMultilevel"/>
    <w:tmpl w:val="3EB292C2"/>
    <w:lvl w:ilvl="0" w:tplc="259644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514FD"/>
    <w:multiLevelType w:val="hybridMultilevel"/>
    <w:tmpl w:val="DFC2BF40"/>
    <w:lvl w:ilvl="0" w:tplc="98CA042C">
      <w:start w:val="1"/>
      <w:numFmt w:val="lowerRoman"/>
      <w:lvlText w:val="(%1)"/>
      <w:lvlJc w:val="left"/>
      <w:pPr>
        <w:ind w:left="1440" w:hanging="720"/>
      </w:pPr>
      <w:rPr>
        <w:rFonts w:hint="default"/>
        <w:i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440C17"/>
    <w:multiLevelType w:val="hybridMultilevel"/>
    <w:tmpl w:val="17126B5E"/>
    <w:lvl w:ilvl="0" w:tplc="87288B22">
      <w:start w:val="1"/>
      <w:numFmt w:val="bullet"/>
      <w:lvlText w:val="-"/>
      <w:lvlJc w:val="left"/>
      <w:pPr>
        <w:tabs>
          <w:tab w:val="num" w:pos="720"/>
        </w:tabs>
        <w:ind w:left="720" w:hanging="360"/>
      </w:pPr>
      <w:rPr>
        <w:rFonts w:ascii="Calibri" w:hAnsi="Calibri" w:hint="default"/>
      </w:rPr>
    </w:lvl>
    <w:lvl w:ilvl="1" w:tplc="F81027CC" w:tentative="1">
      <w:start w:val="1"/>
      <w:numFmt w:val="bullet"/>
      <w:lvlText w:val="-"/>
      <w:lvlJc w:val="left"/>
      <w:pPr>
        <w:tabs>
          <w:tab w:val="num" w:pos="1440"/>
        </w:tabs>
        <w:ind w:left="1440" w:hanging="360"/>
      </w:pPr>
      <w:rPr>
        <w:rFonts w:ascii="Calibri" w:hAnsi="Calibri" w:hint="default"/>
      </w:rPr>
    </w:lvl>
    <w:lvl w:ilvl="2" w:tplc="14020520" w:tentative="1">
      <w:start w:val="1"/>
      <w:numFmt w:val="bullet"/>
      <w:lvlText w:val="-"/>
      <w:lvlJc w:val="left"/>
      <w:pPr>
        <w:tabs>
          <w:tab w:val="num" w:pos="2160"/>
        </w:tabs>
        <w:ind w:left="2160" w:hanging="360"/>
      </w:pPr>
      <w:rPr>
        <w:rFonts w:ascii="Calibri" w:hAnsi="Calibri" w:hint="default"/>
      </w:rPr>
    </w:lvl>
    <w:lvl w:ilvl="3" w:tplc="1E24CA6A" w:tentative="1">
      <w:start w:val="1"/>
      <w:numFmt w:val="bullet"/>
      <w:lvlText w:val="-"/>
      <w:lvlJc w:val="left"/>
      <w:pPr>
        <w:tabs>
          <w:tab w:val="num" w:pos="2880"/>
        </w:tabs>
        <w:ind w:left="2880" w:hanging="360"/>
      </w:pPr>
      <w:rPr>
        <w:rFonts w:ascii="Calibri" w:hAnsi="Calibri" w:hint="default"/>
      </w:rPr>
    </w:lvl>
    <w:lvl w:ilvl="4" w:tplc="D5547EB0" w:tentative="1">
      <w:start w:val="1"/>
      <w:numFmt w:val="bullet"/>
      <w:lvlText w:val="-"/>
      <w:lvlJc w:val="left"/>
      <w:pPr>
        <w:tabs>
          <w:tab w:val="num" w:pos="3600"/>
        </w:tabs>
        <w:ind w:left="3600" w:hanging="360"/>
      </w:pPr>
      <w:rPr>
        <w:rFonts w:ascii="Calibri" w:hAnsi="Calibri" w:hint="default"/>
      </w:rPr>
    </w:lvl>
    <w:lvl w:ilvl="5" w:tplc="B4C2E352" w:tentative="1">
      <w:start w:val="1"/>
      <w:numFmt w:val="bullet"/>
      <w:lvlText w:val="-"/>
      <w:lvlJc w:val="left"/>
      <w:pPr>
        <w:tabs>
          <w:tab w:val="num" w:pos="4320"/>
        </w:tabs>
        <w:ind w:left="4320" w:hanging="360"/>
      </w:pPr>
      <w:rPr>
        <w:rFonts w:ascii="Calibri" w:hAnsi="Calibri" w:hint="default"/>
      </w:rPr>
    </w:lvl>
    <w:lvl w:ilvl="6" w:tplc="5EBA7380" w:tentative="1">
      <w:start w:val="1"/>
      <w:numFmt w:val="bullet"/>
      <w:lvlText w:val="-"/>
      <w:lvlJc w:val="left"/>
      <w:pPr>
        <w:tabs>
          <w:tab w:val="num" w:pos="5040"/>
        </w:tabs>
        <w:ind w:left="5040" w:hanging="360"/>
      </w:pPr>
      <w:rPr>
        <w:rFonts w:ascii="Calibri" w:hAnsi="Calibri" w:hint="default"/>
      </w:rPr>
    </w:lvl>
    <w:lvl w:ilvl="7" w:tplc="8DB28A82" w:tentative="1">
      <w:start w:val="1"/>
      <w:numFmt w:val="bullet"/>
      <w:lvlText w:val="-"/>
      <w:lvlJc w:val="left"/>
      <w:pPr>
        <w:tabs>
          <w:tab w:val="num" w:pos="5760"/>
        </w:tabs>
        <w:ind w:left="5760" w:hanging="360"/>
      </w:pPr>
      <w:rPr>
        <w:rFonts w:ascii="Calibri" w:hAnsi="Calibri" w:hint="default"/>
      </w:rPr>
    </w:lvl>
    <w:lvl w:ilvl="8" w:tplc="2B826E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1DAD1F9D"/>
    <w:multiLevelType w:val="hybridMultilevel"/>
    <w:tmpl w:val="C324E416"/>
    <w:lvl w:ilvl="0" w:tplc="25964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4602D"/>
    <w:multiLevelType w:val="hybridMultilevel"/>
    <w:tmpl w:val="CBECDB0C"/>
    <w:lvl w:ilvl="0" w:tplc="25964426">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1FDA15E6"/>
    <w:multiLevelType w:val="hybridMultilevel"/>
    <w:tmpl w:val="BF3C011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67BB4"/>
    <w:multiLevelType w:val="hybridMultilevel"/>
    <w:tmpl w:val="E2902E7C"/>
    <w:lvl w:ilvl="0" w:tplc="259644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684579B"/>
    <w:multiLevelType w:val="hybridMultilevel"/>
    <w:tmpl w:val="33720974"/>
    <w:lvl w:ilvl="0" w:tplc="11FE84CC">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6A1C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7206C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3CFC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C86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5A1A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7EE74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C98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841B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B06DE0"/>
    <w:multiLevelType w:val="hybridMultilevel"/>
    <w:tmpl w:val="04B623D4"/>
    <w:lvl w:ilvl="0" w:tplc="F56826F4">
      <w:start w:val="1"/>
      <w:numFmt w:val="bullet"/>
      <w:lvlText w:val="•"/>
      <w:lvlJc w:val="left"/>
      <w:pPr>
        <w:tabs>
          <w:tab w:val="num" w:pos="720"/>
        </w:tabs>
        <w:ind w:left="720" w:hanging="360"/>
      </w:pPr>
      <w:rPr>
        <w:rFonts w:ascii="Arial" w:hAnsi="Arial" w:hint="default"/>
      </w:rPr>
    </w:lvl>
    <w:lvl w:ilvl="1" w:tplc="AC0CEEBC">
      <w:start w:val="1"/>
      <w:numFmt w:val="bullet"/>
      <w:lvlText w:val="•"/>
      <w:lvlJc w:val="left"/>
      <w:pPr>
        <w:tabs>
          <w:tab w:val="num" w:pos="1440"/>
        </w:tabs>
        <w:ind w:left="1440" w:hanging="360"/>
      </w:pPr>
      <w:rPr>
        <w:rFonts w:ascii="Arial" w:hAnsi="Arial" w:hint="default"/>
      </w:rPr>
    </w:lvl>
    <w:lvl w:ilvl="2" w:tplc="20C0DBA4" w:tentative="1">
      <w:start w:val="1"/>
      <w:numFmt w:val="bullet"/>
      <w:lvlText w:val="•"/>
      <w:lvlJc w:val="left"/>
      <w:pPr>
        <w:tabs>
          <w:tab w:val="num" w:pos="2160"/>
        </w:tabs>
        <w:ind w:left="2160" w:hanging="360"/>
      </w:pPr>
      <w:rPr>
        <w:rFonts w:ascii="Arial" w:hAnsi="Arial" w:hint="default"/>
      </w:rPr>
    </w:lvl>
    <w:lvl w:ilvl="3" w:tplc="A448DA18" w:tentative="1">
      <w:start w:val="1"/>
      <w:numFmt w:val="bullet"/>
      <w:lvlText w:val="•"/>
      <w:lvlJc w:val="left"/>
      <w:pPr>
        <w:tabs>
          <w:tab w:val="num" w:pos="2880"/>
        </w:tabs>
        <w:ind w:left="2880" w:hanging="360"/>
      </w:pPr>
      <w:rPr>
        <w:rFonts w:ascii="Arial" w:hAnsi="Arial" w:hint="default"/>
      </w:rPr>
    </w:lvl>
    <w:lvl w:ilvl="4" w:tplc="4A7A9C8C" w:tentative="1">
      <w:start w:val="1"/>
      <w:numFmt w:val="bullet"/>
      <w:lvlText w:val="•"/>
      <w:lvlJc w:val="left"/>
      <w:pPr>
        <w:tabs>
          <w:tab w:val="num" w:pos="3600"/>
        </w:tabs>
        <w:ind w:left="3600" w:hanging="360"/>
      </w:pPr>
      <w:rPr>
        <w:rFonts w:ascii="Arial" w:hAnsi="Arial" w:hint="default"/>
      </w:rPr>
    </w:lvl>
    <w:lvl w:ilvl="5" w:tplc="12D2433A" w:tentative="1">
      <w:start w:val="1"/>
      <w:numFmt w:val="bullet"/>
      <w:lvlText w:val="•"/>
      <w:lvlJc w:val="left"/>
      <w:pPr>
        <w:tabs>
          <w:tab w:val="num" w:pos="4320"/>
        </w:tabs>
        <w:ind w:left="4320" w:hanging="360"/>
      </w:pPr>
      <w:rPr>
        <w:rFonts w:ascii="Arial" w:hAnsi="Arial" w:hint="default"/>
      </w:rPr>
    </w:lvl>
    <w:lvl w:ilvl="6" w:tplc="89889322" w:tentative="1">
      <w:start w:val="1"/>
      <w:numFmt w:val="bullet"/>
      <w:lvlText w:val="•"/>
      <w:lvlJc w:val="left"/>
      <w:pPr>
        <w:tabs>
          <w:tab w:val="num" w:pos="5040"/>
        </w:tabs>
        <w:ind w:left="5040" w:hanging="360"/>
      </w:pPr>
      <w:rPr>
        <w:rFonts w:ascii="Arial" w:hAnsi="Arial" w:hint="default"/>
      </w:rPr>
    </w:lvl>
    <w:lvl w:ilvl="7" w:tplc="F3720A1E" w:tentative="1">
      <w:start w:val="1"/>
      <w:numFmt w:val="bullet"/>
      <w:lvlText w:val="•"/>
      <w:lvlJc w:val="left"/>
      <w:pPr>
        <w:tabs>
          <w:tab w:val="num" w:pos="5760"/>
        </w:tabs>
        <w:ind w:left="5760" w:hanging="360"/>
      </w:pPr>
      <w:rPr>
        <w:rFonts w:ascii="Arial" w:hAnsi="Arial" w:hint="default"/>
      </w:rPr>
    </w:lvl>
    <w:lvl w:ilvl="8" w:tplc="6C0EE1A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F023F9"/>
    <w:multiLevelType w:val="hybridMultilevel"/>
    <w:tmpl w:val="7B7A7D26"/>
    <w:lvl w:ilvl="0" w:tplc="97F651C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9356B"/>
    <w:multiLevelType w:val="hybridMultilevel"/>
    <w:tmpl w:val="FD46F96E"/>
    <w:lvl w:ilvl="0" w:tplc="08090001">
      <w:start w:val="1"/>
      <w:numFmt w:val="bullet"/>
      <w:lvlText w:val=""/>
      <w:lvlJc w:val="left"/>
      <w:pPr>
        <w:ind w:left="720" w:hanging="360"/>
      </w:pPr>
      <w:rPr>
        <w:rFonts w:ascii="Symbol" w:hAnsi="Symbol" w:hint="default"/>
      </w:rPr>
    </w:lvl>
    <w:lvl w:ilvl="1" w:tplc="991E79E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E1D1A"/>
    <w:multiLevelType w:val="hybridMultilevel"/>
    <w:tmpl w:val="FC026C10"/>
    <w:lvl w:ilvl="0" w:tplc="6CA4542E">
      <w:start w:val="1"/>
      <w:numFmt w:val="lowerRoman"/>
      <w:lvlText w:val="%1)"/>
      <w:lvlJc w:val="left"/>
      <w:pPr>
        <w:ind w:left="1079" w:hanging="72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9" w15:restartNumberingAfterBreak="0">
    <w:nsid w:val="2FD77A21"/>
    <w:multiLevelType w:val="hybridMultilevel"/>
    <w:tmpl w:val="41E0951C"/>
    <w:lvl w:ilvl="0" w:tplc="25964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C0247"/>
    <w:multiLevelType w:val="hybridMultilevel"/>
    <w:tmpl w:val="298C2A8E"/>
    <w:lvl w:ilvl="0" w:tplc="DEFC14A4">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B66AB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88D43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5042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3CC9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2C15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A81B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D8E0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6495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7730C4"/>
    <w:multiLevelType w:val="multilevel"/>
    <w:tmpl w:val="9EFA7E3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D731F4D"/>
    <w:multiLevelType w:val="hybridMultilevel"/>
    <w:tmpl w:val="EBF60382"/>
    <w:lvl w:ilvl="0" w:tplc="DB084B92">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366B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522F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8C70E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7A54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9CC68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E9C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EDD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D6F9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146531"/>
    <w:multiLevelType w:val="hybridMultilevel"/>
    <w:tmpl w:val="89A64AB4"/>
    <w:lvl w:ilvl="0" w:tplc="2CEE26B2">
      <w:start w:val="1"/>
      <w:numFmt w:val="decimal"/>
      <w:lvlText w:val="%1)"/>
      <w:lvlJc w:val="left"/>
      <w:pPr>
        <w:tabs>
          <w:tab w:val="num" w:pos="720"/>
        </w:tabs>
        <w:ind w:left="720" w:hanging="360"/>
      </w:pPr>
    </w:lvl>
    <w:lvl w:ilvl="1" w:tplc="CD803D40" w:tentative="1">
      <w:start w:val="1"/>
      <w:numFmt w:val="decimal"/>
      <w:lvlText w:val="%2)"/>
      <w:lvlJc w:val="left"/>
      <w:pPr>
        <w:tabs>
          <w:tab w:val="num" w:pos="1440"/>
        </w:tabs>
        <w:ind w:left="1440" w:hanging="360"/>
      </w:pPr>
    </w:lvl>
    <w:lvl w:ilvl="2" w:tplc="4CB049D2" w:tentative="1">
      <w:start w:val="1"/>
      <w:numFmt w:val="decimal"/>
      <w:lvlText w:val="%3)"/>
      <w:lvlJc w:val="left"/>
      <w:pPr>
        <w:tabs>
          <w:tab w:val="num" w:pos="2160"/>
        </w:tabs>
        <w:ind w:left="2160" w:hanging="360"/>
      </w:pPr>
    </w:lvl>
    <w:lvl w:ilvl="3" w:tplc="6B483974" w:tentative="1">
      <w:start w:val="1"/>
      <w:numFmt w:val="decimal"/>
      <w:lvlText w:val="%4)"/>
      <w:lvlJc w:val="left"/>
      <w:pPr>
        <w:tabs>
          <w:tab w:val="num" w:pos="2880"/>
        </w:tabs>
        <w:ind w:left="2880" w:hanging="360"/>
      </w:pPr>
    </w:lvl>
    <w:lvl w:ilvl="4" w:tplc="A866F61A" w:tentative="1">
      <w:start w:val="1"/>
      <w:numFmt w:val="decimal"/>
      <w:lvlText w:val="%5)"/>
      <w:lvlJc w:val="left"/>
      <w:pPr>
        <w:tabs>
          <w:tab w:val="num" w:pos="3600"/>
        </w:tabs>
        <w:ind w:left="3600" w:hanging="360"/>
      </w:pPr>
    </w:lvl>
    <w:lvl w:ilvl="5" w:tplc="DF78B7EA" w:tentative="1">
      <w:start w:val="1"/>
      <w:numFmt w:val="decimal"/>
      <w:lvlText w:val="%6)"/>
      <w:lvlJc w:val="left"/>
      <w:pPr>
        <w:tabs>
          <w:tab w:val="num" w:pos="4320"/>
        </w:tabs>
        <w:ind w:left="4320" w:hanging="360"/>
      </w:pPr>
    </w:lvl>
    <w:lvl w:ilvl="6" w:tplc="1E40EAD0" w:tentative="1">
      <w:start w:val="1"/>
      <w:numFmt w:val="decimal"/>
      <w:lvlText w:val="%7)"/>
      <w:lvlJc w:val="left"/>
      <w:pPr>
        <w:tabs>
          <w:tab w:val="num" w:pos="5040"/>
        </w:tabs>
        <w:ind w:left="5040" w:hanging="360"/>
      </w:pPr>
    </w:lvl>
    <w:lvl w:ilvl="7" w:tplc="D4ECFF56" w:tentative="1">
      <w:start w:val="1"/>
      <w:numFmt w:val="decimal"/>
      <w:lvlText w:val="%8)"/>
      <w:lvlJc w:val="left"/>
      <w:pPr>
        <w:tabs>
          <w:tab w:val="num" w:pos="5760"/>
        </w:tabs>
        <w:ind w:left="5760" w:hanging="360"/>
      </w:pPr>
    </w:lvl>
    <w:lvl w:ilvl="8" w:tplc="44F4920C" w:tentative="1">
      <w:start w:val="1"/>
      <w:numFmt w:val="decimal"/>
      <w:lvlText w:val="%9)"/>
      <w:lvlJc w:val="left"/>
      <w:pPr>
        <w:tabs>
          <w:tab w:val="num" w:pos="6480"/>
        </w:tabs>
        <w:ind w:left="6480" w:hanging="360"/>
      </w:pPr>
    </w:lvl>
  </w:abstractNum>
  <w:abstractNum w:abstractNumId="24" w15:restartNumberingAfterBreak="0">
    <w:nsid w:val="4B8F001E"/>
    <w:multiLevelType w:val="hybridMultilevel"/>
    <w:tmpl w:val="74A8E796"/>
    <w:lvl w:ilvl="0" w:tplc="EB98BAC4">
      <w:start w:val="1"/>
      <w:numFmt w:val="bullet"/>
      <w:lvlText w:val="•"/>
      <w:lvlJc w:val="left"/>
      <w:pPr>
        <w:ind w:left="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608B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D6F2B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A049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8D24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E629C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5C0FA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3A87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D8F9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CA3D0C"/>
    <w:multiLevelType w:val="hybridMultilevel"/>
    <w:tmpl w:val="E7A68FD4"/>
    <w:lvl w:ilvl="0" w:tplc="46745B16">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6" w15:restartNumberingAfterBreak="0">
    <w:nsid w:val="50604253"/>
    <w:multiLevelType w:val="hybridMultilevel"/>
    <w:tmpl w:val="496E62B4"/>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0F933C7"/>
    <w:multiLevelType w:val="hybridMultilevel"/>
    <w:tmpl w:val="1280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E4707D4"/>
    <w:multiLevelType w:val="hybridMultilevel"/>
    <w:tmpl w:val="C2B2CCA2"/>
    <w:lvl w:ilvl="0" w:tplc="A636F954">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9" w15:restartNumberingAfterBreak="0">
    <w:nsid w:val="70FD75E7"/>
    <w:multiLevelType w:val="hybridMultilevel"/>
    <w:tmpl w:val="F100103C"/>
    <w:lvl w:ilvl="0" w:tplc="4CACD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863EDB"/>
    <w:multiLevelType w:val="hybridMultilevel"/>
    <w:tmpl w:val="2A8231A0"/>
    <w:lvl w:ilvl="0" w:tplc="8376ADCC">
      <w:start w:val="1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C043F3"/>
    <w:multiLevelType w:val="hybridMultilevel"/>
    <w:tmpl w:val="69B0101E"/>
    <w:lvl w:ilvl="0" w:tplc="B2F019AE">
      <w:start w:val="1"/>
      <w:numFmt w:val="lowerRoman"/>
      <w:lvlText w:val="(%1)"/>
      <w:lvlJc w:val="left"/>
      <w:pPr>
        <w:ind w:left="1440" w:hanging="72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2"/>
  </w:num>
  <w:num w:numId="3">
    <w:abstractNumId w:val="20"/>
  </w:num>
  <w:num w:numId="4">
    <w:abstractNumId w:val="14"/>
  </w:num>
  <w:num w:numId="5">
    <w:abstractNumId w:val="25"/>
  </w:num>
  <w:num w:numId="6">
    <w:abstractNumId w:val="28"/>
  </w:num>
  <w:num w:numId="7">
    <w:abstractNumId w:val="29"/>
  </w:num>
  <w:num w:numId="8">
    <w:abstractNumId w:val="13"/>
  </w:num>
  <w:num w:numId="9">
    <w:abstractNumId w:val="17"/>
  </w:num>
  <w:num w:numId="10">
    <w:abstractNumId w:val="18"/>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4"/>
  </w:num>
  <w:num w:numId="15">
    <w:abstractNumId w:val="23"/>
  </w:num>
  <w:num w:numId="16">
    <w:abstractNumId w:val="3"/>
  </w:num>
  <w:num w:numId="17">
    <w:abstractNumId w:val="6"/>
  </w:num>
  <w:num w:numId="18">
    <w:abstractNumId w:val="8"/>
  </w:num>
  <w:num w:numId="19">
    <w:abstractNumId w:val="9"/>
  </w:num>
  <w:num w:numId="20">
    <w:abstractNumId w:val="16"/>
  </w:num>
  <w:num w:numId="21">
    <w:abstractNumId w:val="6"/>
  </w:num>
  <w:num w:numId="22">
    <w:abstractNumId w:val="6"/>
  </w:num>
  <w:num w:numId="23">
    <w:abstractNumId w:val="15"/>
  </w:num>
  <w:num w:numId="24">
    <w:abstractNumId w:val="21"/>
  </w:num>
  <w:num w:numId="25">
    <w:abstractNumId w:val="5"/>
  </w:num>
  <w:num w:numId="26">
    <w:abstractNumId w:val="19"/>
  </w:num>
  <w:num w:numId="27">
    <w:abstractNumId w:val="10"/>
  </w:num>
  <w:num w:numId="28">
    <w:abstractNumId w:val="0"/>
  </w:num>
  <w:num w:numId="29">
    <w:abstractNumId w:val="31"/>
  </w:num>
  <w:num w:numId="30">
    <w:abstractNumId w:val="11"/>
  </w:num>
  <w:num w:numId="31">
    <w:abstractNumId w:val="7"/>
  </w:num>
  <w:num w:numId="32">
    <w:abstractNumId w:val="2"/>
  </w:num>
  <w:num w:numId="33">
    <w:abstractNumId w:val="1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es-ES" w:vendorID="64" w:dllVersion="131078" w:nlCheck="1" w:checkStyle="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_tradnl" w:vendorID="64" w:dllVersion="131078" w:nlCheck="1" w:checkStyle="0"/>
  <w:revisionView w:inkAnnotation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5.2&quot; technicalblockguid=&quot;470524962362867718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1&lt;/text&gt;_x000d__x000a_  &lt;/metadata&gt;_x000d__x000a_  &lt;metadata key=&quot;md_Prefix&quot;&gt;_x000d__x000a_    &lt;text&gt;&lt;/text&gt;_x000d__x000a_  &lt;/metadata&gt;_x000d__x000a_  &lt;metadata key=&quot;md_DocumentNumber&quot;&gt;_x000d__x000a_    &lt;text&gt;10404&lt;/text&gt;_x000d__x000a_  &lt;/metadata&gt;_x000d__x000a_  &lt;metadata key=&quot;md_YearDocumentNumber&quot;&gt;_x000d__x000a_    &lt;text&gt;2021&lt;/text&gt;_x000d__x000a_  &lt;/metadata&gt;_x000d__x000a_  &lt;metadata key=&quot;md_Suffixes&quot;&gt;_x000d__x000a_    &lt;text&gt;ADD 5&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AGRI 321&lt;/text&gt;_x000d__x000a_      &lt;text&gt;AGRISTR 51&lt;/text&gt;_x000d__x000a_      &lt;text&gt;COH 3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 /&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21-07-01&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SWD(2021) 167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COMMISSION STAFF WORKING DOCUMENT STAKEHOLDER CONSULTATION - SYNOPSIS REPORT Accompanying the document Communication from the Commission to the European Parliament, the Council, the European Economic and Social Committee and the Committee of the Regions A long-term Vision for the EU's Rural Areas - Towards stronger, connected, resilient and prosperous rural areas by 2040&quot;&gt;&amp;lt;FlowDocument FontFamily=&quot;Segoe UI&quot; FontSize=&quot;12&quot; PagePadding=&quot;2,2,2,2&quot; AllowDrop=&quot;False&quot; xmlns=&quot;http://schemas.microsoft.com/winfx/2006/xaml/presentation&quot;&amp;gt;&amp;lt;Paragraph&amp;gt;COMMISSION STAFF WORKING DOCUMENT STAKEHOLDER CONSULTATION - SYNOPSIS REPORT Accompanying the document Communication from the Commission to the European Parliament, the Council, the European Economic and Social Committee and the Committee of the Regions A long-term Vision for the EU's Rural Areas - Towards stronger, connected, resilient and prosperous rural areas by 2040&amp;lt;/Paragraph&amp;gt;&amp;lt;/FlowDocument&amp;gt;&lt;/xaml&gt;_x000d__x000a_  &lt;/metadata&gt;_x000d__x000a_  &lt;metadata key=&quot;md_SubjectFootnote&quot; /&gt;_x000d__x000a_  &lt;metadata key=&quot;md_DG&quot;&gt;_x000d__x000a_    &lt;text&gt;LIFE 1&lt;/text&gt;_x000d__x000a_  &lt;/metadata&gt;_x000d__x000a_  &lt;metadata key=&quot;md_Initials&quot;&gt;_x000d__x000a_    &lt;text&gt;LP/ik&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COMMISSION STAFF WORKING DOCUMENT_x000d__x000a__x000d__x000a_STAKEHOLDER CONSULTATION - SYNOPSIS REPORT_x000d__x000a_&lt;/text&gt;_x000d__x000a_  &lt;/metadata&gt;_x000d__x000a_  &lt;metadata key=&quot;md_SourceDocTitle&quot;&gt;_x000d__x000a_    &lt;text&gt;Accompanying the document _x000d__x000a_Communication from the Commission to the European Parliament, the Council, the European Economic and Social Committee and the Committee of the Regions _x000d__x000a_A long-term Vision for the EU's Rural Areas - Towards stronger, connected, resilient and prosperous rural areas by 2040_x000d__x000a__x000d__x000a__x000d__x000a__x000d__x000a__x000d__x000a__x000d__x000a__x000d__x000a__x000d__x000a__x000d__x000a__x000d__x000a__x000d__x000a__x000d__x000a__x000d__x000a_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Accompanying the document"/>
    <w:docVar w:name="LW_CORRIGENDUM" w:val="&lt;UNUSED&gt;"/>
    <w:docVar w:name="LW_COVERPAGE_EXISTS" w:val="True"/>
    <w:docVar w:name="LW_COVERPAGE_GUID" w:val="AE29E4AB-4095-422E-A670-898A9A2DD602"/>
    <w:docVar w:name="LW_COVERPAGE_TYPE" w:val="1"/>
    <w:docVar w:name="LW_CROSSREFERENCE" w:val="{COM(2021) 345 final} - {SWD(2021) 166 final}"/>
    <w:docVar w:name="LW_DocType" w:val="NORMAL"/>
    <w:docVar w:name="LW_EMISSION" w:val="30.6.2021"/>
    <w:docVar w:name="LW_EMISSION_ISODATE" w:val="2021-06-30"/>
    <w:docVar w:name="LW_EMISSION_LOCATION" w:val="BRX"/>
    <w:docVar w:name="LW_EMISSION_PREFIX" w:val="Brussels, "/>
    <w:docVar w:name="LW_EMISSION_SUFFIX" w:val=" "/>
    <w:docVar w:name="LW_ID_DOCTYPE_NONLW" w:val="CP-063"/>
    <w:docVar w:name="LW_LANGUE" w:val="EN"/>
    <w:docVar w:name="LW_LEVEL_OF_SENSITIVITY" w:val="Standard treatment"/>
    <w:docVar w:name="LW_NOM.INST" w:val="EUROPEAN COMMISSION"/>
    <w:docVar w:name="LW_NOM.INST_JOINTDOC" w:val="&lt;EMPTY&gt;"/>
    <w:docVar w:name="LW_OBJETACTEPRINCIPAL.CP" w:val="A long-term Vision for the EU's Rural Areas - Towards stronger, connected, resilient and prosperous rural areas by 2040_x000d__x000d__x000d__x000d__x000d__x000d__x000d__x000d__x000d__x000d__x000d__x000d__x000d__x000b_"/>
    <w:docVar w:name="LW_PART_NBR" w:val="1"/>
    <w:docVar w:name="LW_PART_NBR_TOTAL" w:val="1"/>
    <w:docVar w:name="LW_REF.INST.NEW" w:val="SWD"/>
    <w:docVar w:name="LW_REF.INST.NEW_ADOPTED" w:val="final"/>
    <w:docVar w:name="LW_REF.INST.NEW_TEXT" w:val="(2021) 16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
    <w:docVar w:name="LW_TYPE.DOC.CP" w:val="COMMISSION STAFF WORKING DOCUMENT_x000b__x000b_STAKEHOLDER CONSULTATION - SYNOPSIS REPORT_x000b_"/>
    <w:docVar w:name="LW_TYPEACTEPRINCIPAL.CP" w:val="Communication from the Commission to the European Parliament, the Council, the European Economic and Social Committee and the Committee of the Regions"/>
    <w:docVar w:name="LwApiVersions" w:val="LW4CoDe 1.23.0.0; LW 8.0, Build 20210114"/>
  </w:docVars>
  <w:rsids>
    <w:rsidRoot w:val="00843EC3"/>
    <w:rsid w:val="00623324"/>
    <w:rsid w:val="00843EC3"/>
    <w:rsid w:val="00AF2B2C"/>
    <w:rsid w:val="00B04B20"/>
    <w:rsid w:val="00F107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37" w:line="267" w:lineRule="auto"/>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0"/>
      <w:outlineLvl w:val="0"/>
    </w:pPr>
    <w:rPr>
      <w:rFonts w:ascii="Arial" w:eastAsia="Arial" w:hAnsi="Arial" w:cs="Arial"/>
      <w:b/>
      <w:color w:val="000000"/>
      <w:sz w:val="48"/>
    </w:rPr>
  </w:style>
  <w:style w:type="paragraph" w:styleId="Nagwek2">
    <w:name w:val="heading 2"/>
    <w:next w:val="Normalny"/>
    <w:link w:val="Nagwek2Znak"/>
    <w:uiPriority w:val="9"/>
    <w:unhideWhenUsed/>
    <w:qFormat/>
    <w:pPr>
      <w:keepNext/>
      <w:keepLines/>
      <w:spacing w:after="93"/>
      <w:ind w:left="10" w:hanging="10"/>
      <w:outlineLvl w:val="1"/>
    </w:pPr>
    <w:rPr>
      <w:rFonts w:ascii="Times New Roman" w:eastAsia="Times New Roman" w:hAnsi="Times New Roman" w:cs="Times New Roman"/>
      <w:b/>
      <w:color w:val="000000"/>
      <w:sz w:val="19"/>
    </w:rPr>
  </w:style>
  <w:style w:type="paragraph" w:styleId="Nagwek3">
    <w:name w:val="heading 3"/>
    <w:next w:val="Normalny"/>
    <w:link w:val="Nagwek3Znak"/>
    <w:uiPriority w:val="9"/>
    <w:unhideWhenUsed/>
    <w:qFormat/>
    <w:pPr>
      <w:keepNext/>
      <w:keepLines/>
      <w:spacing w:after="146" w:line="261" w:lineRule="auto"/>
      <w:ind w:left="10" w:hanging="10"/>
      <w:outlineLvl w:val="2"/>
    </w:pPr>
    <w:rPr>
      <w:rFonts w:ascii="Times New Roman" w:eastAsia="Times New Roman" w:hAnsi="Times New Roman" w:cs="Times New Roman"/>
      <w:b/>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Pr>
      <w:rFonts w:ascii="Times New Roman" w:eastAsia="Times New Roman" w:hAnsi="Times New Roman" w:cs="Times New Roman"/>
      <w:b/>
      <w:color w:val="000000"/>
      <w:sz w:val="24"/>
      <w:u w:val="single" w:color="000000"/>
    </w:rPr>
  </w:style>
  <w:style w:type="character" w:customStyle="1" w:styleId="Nagwek1Znak">
    <w:name w:val="Nagłówek 1 Znak"/>
    <w:link w:val="Nagwek1"/>
    <w:rPr>
      <w:rFonts w:ascii="Arial" w:eastAsia="Arial" w:hAnsi="Arial" w:cs="Arial"/>
      <w:b/>
      <w:color w:val="000000"/>
      <w:sz w:val="48"/>
    </w:rPr>
  </w:style>
  <w:style w:type="paragraph" w:customStyle="1" w:styleId="footnotedescription">
    <w:name w:val="footnote description"/>
    <w:next w:val="Normalny"/>
    <w:link w:val="footnotedescriptionChar"/>
    <w:hidden/>
    <w:pPr>
      <w:spacing w:after="109" w:line="256" w:lineRule="auto"/>
      <w:ind w:left="176" w:hanging="176"/>
    </w:pPr>
    <w:rPr>
      <w:rFonts w:ascii="Times New Roman" w:eastAsia="Times New Roman" w:hAnsi="Times New Roman" w:cs="Times New Roman"/>
      <w:color w:val="000000"/>
      <w:sz w:val="21"/>
    </w:rPr>
  </w:style>
  <w:style w:type="character" w:customStyle="1" w:styleId="footnotedescriptionChar">
    <w:name w:val="footnote description Char"/>
    <w:link w:val="footnotedescription"/>
    <w:rPr>
      <w:rFonts w:ascii="Times New Roman" w:eastAsia="Times New Roman" w:hAnsi="Times New Roman" w:cs="Times New Roman"/>
      <w:color w:val="000000"/>
      <w:sz w:val="21"/>
    </w:rPr>
  </w:style>
  <w:style w:type="character" w:customStyle="1" w:styleId="Nagwek2Znak">
    <w:name w:val="Nagłówek 2 Znak"/>
    <w:link w:val="Nagwek2"/>
    <w:rPr>
      <w:rFonts w:ascii="Times New Roman" w:eastAsia="Times New Roman" w:hAnsi="Times New Roman" w:cs="Times New Roman"/>
      <w:b/>
      <w:color w:val="000000"/>
      <w:sz w:val="19"/>
    </w:rPr>
  </w:style>
  <w:style w:type="character" w:customStyle="1" w:styleId="footnotemark">
    <w:name w:val="footnote mark"/>
    <w:hidden/>
    <w:rPr>
      <w:rFonts w:ascii="Times New Roman" w:eastAsia="Times New Roman" w:hAnsi="Times New Roman" w:cs="Times New Roman"/>
      <w:color w:val="000000"/>
      <w:sz w:val="21"/>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Pr>
      <w:vertAlign w:val="superscript"/>
    </w:rPr>
  </w:style>
  <w:style w:type="character" w:styleId="Pogrubienie">
    <w:name w:val="Strong"/>
    <w:basedOn w:val="Domylnaczcionkaakapitu"/>
    <w:uiPriority w:val="22"/>
    <w:qFormat/>
    <w:rPr>
      <w:b/>
      <w:bCs/>
    </w:rPr>
  </w:style>
  <w:style w:type="character" w:styleId="Hipercze">
    <w:name w:val="Hyperlink"/>
    <w:basedOn w:val="Domylnaczcionkaakapitu"/>
    <w:uiPriority w:val="99"/>
    <w:unhideWhenUsed/>
    <w:rPr>
      <w:color w:val="0000FF"/>
      <w:u w:val="single"/>
    </w:rPr>
  </w:style>
  <w:style w:type="paragraph" w:styleId="Akapitzlist">
    <w:name w:val="List Paragraph"/>
    <w:basedOn w:val="Normalny"/>
    <w:uiPriority w:val="34"/>
    <w:qFormat/>
    <w:pPr>
      <w:spacing w:after="160" w:line="256" w:lineRule="auto"/>
      <w:ind w:left="720" w:firstLine="0"/>
      <w:contextualSpacing/>
    </w:pPr>
    <w:rPr>
      <w:rFonts w:eastAsiaTheme="minorHAnsi" w:cstheme="minorBidi"/>
      <w:color w:val="auto"/>
      <w:lang w:val="en-IE" w:eastAsia="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Times New Roman" w:hAnsi="Segoe UI" w:cs="Segoe UI"/>
      <w:color w:val="000000"/>
      <w:sz w:val="18"/>
      <w:szCs w:val="18"/>
    </w:rPr>
  </w:style>
  <w:style w:type="paragraph" w:styleId="Nagwek">
    <w:name w:val="header"/>
    <w:basedOn w:val="Normalny"/>
    <w:link w:val="NagwekZnak"/>
    <w:uiPriority w:val="99"/>
    <w:unhideWhenUsed/>
    <w:pPr>
      <w:tabs>
        <w:tab w:val="center" w:pos="4680"/>
        <w:tab w:val="right" w:pos="9360"/>
      </w:tabs>
      <w:spacing w:after="0" w:line="240" w:lineRule="auto"/>
    </w:pPr>
  </w:style>
  <w:style w:type="character" w:customStyle="1" w:styleId="NagwekZnak">
    <w:name w:val="Nagłówek Znak"/>
    <w:basedOn w:val="Domylnaczcionkaakapitu"/>
    <w:link w:val="Nagwek"/>
    <w:uiPriority w:val="99"/>
    <w:rPr>
      <w:rFonts w:ascii="Times New Roman" w:eastAsia="Times New Roman" w:hAnsi="Times New Roman" w:cs="Times New Roman"/>
      <w:color w:val="000000"/>
      <w:sz w:val="24"/>
    </w:rPr>
  </w:style>
  <w:style w:type="paragraph" w:styleId="Stopka">
    <w:name w:val="footer"/>
    <w:basedOn w:val="Normalny"/>
    <w:link w:val="StopkaZnak"/>
    <w:uiPriority w:val="99"/>
    <w:unhideWhenUsed/>
    <w:pPr>
      <w:tabs>
        <w:tab w:val="center" w:pos="4680"/>
        <w:tab w:val="right" w:pos="9360"/>
      </w:tabs>
      <w:spacing w:after="0" w:line="240" w:lineRule="auto"/>
    </w:pPr>
  </w:style>
  <w:style w:type="character" w:customStyle="1" w:styleId="StopkaZnak">
    <w:name w:val="Stopka Znak"/>
    <w:basedOn w:val="Domylnaczcionkaakapitu"/>
    <w:link w:val="Stopka"/>
    <w:uiPriority w:val="99"/>
    <w:rPr>
      <w:rFonts w:ascii="Times New Roman" w:eastAsia="Times New Roman" w:hAnsi="Times New Roman" w:cs="Times New Roman"/>
      <w:color w:val="000000"/>
      <w:sz w:val="24"/>
    </w:rPr>
  </w:style>
  <w:style w:type="paragraph" w:styleId="Legenda">
    <w:name w:val="caption"/>
    <w:basedOn w:val="Normalny"/>
    <w:next w:val="Normalny"/>
    <w:uiPriority w:val="35"/>
    <w:semiHidden/>
    <w:unhideWhenUsed/>
    <w:qFormat/>
    <w:pPr>
      <w:spacing w:before="160" w:after="240" w:line="240" w:lineRule="auto"/>
      <w:ind w:left="0" w:firstLine="0"/>
    </w:pPr>
    <w:rPr>
      <w:i/>
      <w:color w:val="auto"/>
      <w:sz w:val="22"/>
      <w:szCs w:val="20"/>
    </w:rPr>
  </w:style>
  <w:style w:type="character" w:styleId="UyteHipercze">
    <w:name w:val="FollowedHyperlink"/>
    <w:basedOn w:val="Domylnaczcionkaakapitu"/>
    <w:uiPriority w:val="99"/>
    <w:semiHidden/>
    <w:unhideWhenUsed/>
    <w:rPr>
      <w:color w:val="954F72" w:themeColor="followedHyperlink"/>
      <w:u w:val="single"/>
    </w:rPr>
  </w:style>
  <w:style w:type="table" w:styleId="Tabela-Siatka">
    <w:name w:val="Table Grid"/>
    <w:basedOn w:val="Standardowy"/>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
    <w:name w:val="Fuente de párrafo predeter."/>
  </w:style>
  <w:style w:type="paragraph" w:customStyle="1" w:styleId="ListBullet1Level4">
    <w:name w:val="List Bullet 1 (Level 4)"/>
    <w:basedOn w:val="Normalny"/>
    <w:semiHidden/>
    <w:unhideWhenUsed/>
    <w:pPr>
      <w:numPr>
        <w:ilvl w:val="3"/>
        <w:numId w:val="24"/>
      </w:numPr>
      <w:spacing w:after="240" w:line="240" w:lineRule="auto"/>
    </w:pPr>
    <w:rPr>
      <w:color w:val="auto"/>
      <w:szCs w:val="20"/>
      <w:lang w:eastAsia="en-US"/>
    </w:rPr>
  </w:style>
  <w:style w:type="paragraph" w:customStyle="1" w:styleId="ListBullet1Level3">
    <w:name w:val="List Bullet 1 (Level 3)"/>
    <w:basedOn w:val="Normalny"/>
    <w:semiHidden/>
    <w:unhideWhenUsed/>
    <w:pPr>
      <w:numPr>
        <w:ilvl w:val="2"/>
        <w:numId w:val="24"/>
      </w:numPr>
      <w:spacing w:after="240" w:line="240" w:lineRule="auto"/>
    </w:pPr>
    <w:rPr>
      <w:color w:val="auto"/>
      <w:szCs w:val="20"/>
      <w:lang w:eastAsia="en-US"/>
    </w:rPr>
  </w:style>
  <w:style w:type="paragraph" w:customStyle="1" w:styleId="ListBullet1Level2">
    <w:name w:val="List Bullet 1 (Level 2)"/>
    <w:basedOn w:val="Normalny"/>
    <w:pPr>
      <w:numPr>
        <w:ilvl w:val="1"/>
        <w:numId w:val="24"/>
      </w:numPr>
      <w:spacing w:after="240" w:line="240" w:lineRule="auto"/>
    </w:pPr>
    <w:rPr>
      <w:color w:val="auto"/>
      <w:szCs w:val="20"/>
      <w:lang w:eastAsia="en-US"/>
    </w:rPr>
  </w:style>
  <w:style w:type="paragraph" w:customStyle="1" w:styleId="ListBullet1">
    <w:name w:val="List Bullet 1"/>
    <w:basedOn w:val="Normalny"/>
    <w:pPr>
      <w:numPr>
        <w:numId w:val="24"/>
      </w:numPr>
      <w:spacing w:after="240" w:line="240" w:lineRule="auto"/>
    </w:pPr>
    <w:rPr>
      <w:color w:val="auto"/>
      <w:szCs w:val="20"/>
      <w:lang w:eastAsia="en-US"/>
    </w:rPr>
  </w:style>
  <w:style w:type="character" w:customStyle="1" w:styleId="normaltextrun">
    <w:name w:val="normaltextrun"/>
    <w:basedOn w:val="Domylnaczcionkaakapitu"/>
  </w:style>
  <w:style w:type="character" w:customStyle="1" w:styleId="findhit">
    <w:name w:val="findhit"/>
    <w:basedOn w:val="Domylnaczcionkaakapitu"/>
  </w:style>
  <w:style w:type="character" w:customStyle="1" w:styleId="Marker">
    <w:name w:val="Marker"/>
    <w:basedOn w:val="Domylnaczcionkaakapitu"/>
    <w:rsid w:val="00F1079F"/>
    <w:rPr>
      <w:color w:val="0000FF"/>
      <w:shd w:val="clear" w:color="auto" w:fill="auto"/>
    </w:rPr>
  </w:style>
  <w:style w:type="paragraph" w:customStyle="1" w:styleId="Pagedecouverture">
    <w:name w:val="Page de couverture"/>
    <w:basedOn w:val="Normalny"/>
    <w:next w:val="Normalny"/>
    <w:pPr>
      <w:spacing w:after="0" w:line="240" w:lineRule="auto"/>
      <w:ind w:left="0" w:firstLine="0"/>
    </w:pPr>
    <w:rPr>
      <w:rFonts w:eastAsiaTheme="minorHAnsi"/>
      <w:color w:val="auto"/>
      <w:lang w:eastAsia="en-US"/>
    </w:rPr>
  </w:style>
  <w:style w:type="paragraph" w:customStyle="1" w:styleId="FooterCoverPage">
    <w:name w:val="Footer Cover Page"/>
    <w:basedOn w:val="Normalny"/>
    <w:link w:val="FooterCoverPageChar"/>
    <w:pPr>
      <w:tabs>
        <w:tab w:val="center" w:pos="4535"/>
        <w:tab w:val="right" w:pos="9071"/>
        <w:tab w:val="right" w:pos="9921"/>
      </w:tabs>
      <w:spacing w:before="360" w:after="0" w:line="240" w:lineRule="auto"/>
      <w:ind w:left="-850" w:right="-850" w:firstLine="0"/>
      <w:jc w:val="left"/>
    </w:pPr>
  </w:style>
  <w:style w:type="character" w:customStyle="1" w:styleId="FooterCoverPageChar">
    <w:name w:val="Footer Cover Page Char"/>
    <w:basedOn w:val="Domylnaczcionkaakapitu"/>
    <w:link w:val="FooterCoverPage"/>
    <w:rPr>
      <w:rFonts w:ascii="Times New Roman" w:eastAsia="Times New Roman" w:hAnsi="Times New Roman" w:cs="Times New Roman"/>
      <w:color w:val="000000"/>
      <w:sz w:val="24"/>
    </w:rPr>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firstLine="0"/>
      <w:jc w:val="center"/>
    </w:pPr>
    <w:rPr>
      <w:b/>
      <w:sz w:val="32"/>
    </w:rPr>
  </w:style>
  <w:style w:type="character" w:customStyle="1" w:styleId="FooterSensitivityChar">
    <w:name w:val="Footer Sensitivity Char"/>
    <w:basedOn w:val="Domylnaczcionkaakapitu"/>
    <w:link w:val="FooterSensitivity"/>
    <w:rPr>
      <w:rFonts w:ascii="Times New Roman" w:eastAsia="Times New Roman" w:hAnsi="Times New Roman" w:cs="Times New Roman"/>
      <w:b/>
      <w:color w:val="000000"/>
      <w:sz w:val="32"/>
    </w:rPr>
  </w:style>
  <w:style w:type="paragraph" w:customStyle="1" w:styleId="HeaderCoverPage">
    <w:name w:val="Header Cover Page"/>
    <w:basedOn w:val="Normalny"/>
    <w:link w:val="HeaderCoverPageChar"/>
    <w:pPr>
      <w:tabs>
        <w:tab w:val="center" w:pos="4535"/>
        <w:tab w:val="right" w:pos="9071"/>
      </w:tabs>
      <w:spacing w:after="120" w:line="240" w:lineRule="auto"/>
      <w:ind w:left="0" w:firstLine="0"/>
    </w:pPr>
  </w:style>
  <w:style w:type="character" w:customStyle="1" w:styleId="HeaderCoverPageChar">
    <w:name w:val="Header Cover Page Char"/>
    <w:basedOn w:val="Domylnaczcionkaakapitu"/>
    <w:link w:val="HeaderCoverPage"/>
    <w:rPr>
      <w:rFonts w:ascii="Times New Roman" w:eastAsia="Times New Roman" w:hAnsi="Times New Roman" w:cs="Times New Roman"/>
      <w:color w:val="000000"/>
      <w:sz w:val="24"/>
    </w:rPr>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firstLine="0"/>
      <w:jc w:val="center"/>
    </w:pPr>
    <w:rPr>
      <w:b/>
      <w:sz w:val="32"/>
    </w:rPr>
  </w:style>
  <w:style w:type="character" w:customStyle="1" w:styleId="HeaderSensitivityChar">
    <w:name w:val="Header Sensitivity Char"/>
    <w:basedOn w:val="Domylnaczcionkaakapitu"/>
    <w:link w:val="HeaderSensitivity"/>
    <w:rPr>
      <w:rFonts w:ascii="Times New Roman" w:eastAsia="Times New Roman" w:hAnsi="Times New Roman" w:cs="Times New Roman"/>
      <w:b/>
      <w:color w:val="000000"/>
      <w:sz w:val="32"/>
    </w:rPr>
  </w:style>
  <w:style w:type="paragraph" w:customStyle="1" w:styleId="HeaderSensitivityRight">
    <w:name w:val="Header Sensitivity Right"/>
    <w:basedOn w:val="Normalny"/>
    <w:link w:val="HeaderSensitivityRightChar"/>
    <w:pPr>
      <w:spacing w:after="120" w:line="240" w:lineRule="auto"/>
      <w:ind w:left="0" w:firstLine="0"/>
      <w:jc w:val="right"/>
    </w:pPr>
    <w:rPr>
      <w:sz w:val="28"/>
    </w:rPr>
  </w:style>
  <w:style w:type="character" w:customStyle="1" w:styleId="HeaderSensitivityRightChar">
    <w:name w:val="Header Sensitivity Right Char"/>
    <w:basedOn w:val="Domylnaczcionkaakapitu"/>
    <w:link w:val="HeaderSensitivityRight"/>
    <w:rPr>
      <w:rFonts w:ascii="Times New Roman" w:eastAsia="Times New Roman" w:hAnsi="Times New Roman" w:cs="Times New Roman"/>
      <w:color w:val="000000"/>
      <w:sz w:val="28"/>
    </w:rPr>
  </w:style>
  <w:style w:type="paragraph" w:styleId="Poprawka">
    <w:name w:val="Revision"/>
    <w:hidden/>
    <w:uiPriority w:val="99"/>
    <w:semiHidden/>
    <w:pPr>
      <w:spacing w:after="0" w:line="240" w:lineRule="auto"/>
    </w:pPr>
    <w:rPr>
      <w:rFonts w:ascii="Times New Roman" w:eastAsia="Times New Roman" w:hAnsi="Times New Roman" w:cs="Times New Roman"/>
      <w:color w:val="000000"/>
      <w:sz w:val="24"/>
    </w:rPr>
  </w:style>
  <w:style w:type="paragraph" w:customStyle="1" w:styleId="paragraph">
    <w:name w:val="paragraph"/>
    <w:basedOn w:val="Normalny"/>
    <w:pPr>
      <w:spacing w:before="100" w:beforeAutospacing="1" w:after="100" w:afterAutospacing="1" w:line="240" w:lineRule="auto"/>
      <w:ind w:left="0" w:firstLine="0"/>
      <w:jc w:val="left"/>
    </w:pPr>
    <w:rPr>
      <w:color w:val="auto"/>
      <w:szCs w:val="24"/>
    </w:rPr>
  </w:style>
  <w:style w:type="character" w:customStyle="1" w:styleId="eop">
    <w:name w:val="eop"/>
    <w:basedOn w:val="Domylnaczcionkaakapitu"/>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ind w:left="0" w:firstLine="0"/>
    </w:pPr>
    <w:rPr>
      <w:rFonts w:eastAsiaTheme="minorHAnsi"/>
      <w:color w:val="auto"/>
      <w:lang w:eastAsia="en-US"/>
    </w:rPr>
  </w:style>
  <w:style w:type="paragraph" w:customStyle="1" w:styleId="SecurityMarking">
    <w:name w:val="SecurityMarking"/>
    <w:basedOn w:val="Normalny"/>
    <w:pPr>
      <w:spacing w:after="0" w:line="276" w:lineRule="auto"/>
      <w:ind w:left="5103" w:firstLine="0"/>
      <w:jc w:val="left"/>
    </w:pPr>
    <w:rPr>
      <w:rFonts w:eastAsiaTheme="minorHAnsi"/>
      <w:color w:val="auto"/>
      <w:sz w:val="28"/>
      <w:lang w:eastAsia="en-US"/>
    </w:rPr>
  </w:style>
  <w:style w:type="paragraph" w:customStyle="1" w:styleId="DateMarking">
    <w:name w:val="DateMarking"/>
    <w:basedOn w:val="Normalny"/>
    <w:pPr>
      <w:spacing w:after="0" w:line="276" w:lineRule="auto"/>
      <w:ind w:left="5103" w:firstLine="0"/>
      <w:jc w:val="left"/>
    </w:pPr>
    <w:rPr>
      <w:rFonts w:eastAsiaTheme="minorHAnsi"/>
      <w:i/>
      <w:color w:val="auto"/>
      <w:sz w:val="28"/>
      <w:lang w:eastAsia="en-US"/>
    </w:rPr>
  </w:style>
  <w:style w:type="paragraph" w:customStyle="1" w:styleId="ReleasableTo">
    <w:name w:val="ReleasableTo"/>
    <w:basedOn w:val="Normalny"/>
    <w:pPr>
      <w:spacing w:after="0" w:line="276" w:lineRule="auto"/>
      <w:ind w:left="5103" w:firstLine="0"/>
      <w:jc w:val="left"/>
    </w:pPr>
    <w:rPr>
      <w:rFonts w:eastAsiaTheme="minorHAnsi"/>
      <w:i/>
      <w:color w:val="auto"/>
      <w:sz w:val="28"/>
      <w:lang w:eastAsia="en-US"/>
    </w:rPr>
  </w:style>
  <w:style w:type="paragraph" w:customStyle="1" w:styleId="TechnicalBlock">
    <w:name w:val="Technical Block"/>
    <w:basedOn w:val="Normalny"/>
    <w:link w:val="TechnicalBlockChar"/>
    <w:rsid w:val="00F1079F"/>
    <w:pPr>
      <w:spacing w:after="240" w:line="240" w:lineRule="auto"/>
      <w:jc w:val="center"/>
    </w:pPr>
  </w:style>
  <w:style w:type="character" w:customStyle="1" w:styleId="TechnicalBlockChar">
    <w:name w:val="Technical Block Char"/>
    <w:basedOn w:val="Domylnaczcionkaakapitu"/>
    <w:link w:val="TechnicalBlock"/>
    <w:rsid w:val="00F1079F"/>
    <w:rPr>
      <w:rFonts w:ascii="Times New Roman" w:eastAsia="Times New Roman" w:hAnsi="Times New Roman" w:cs="Times New Roman"/>
      <w:color w:val="000000"/>
      <w:sz w:val="24"/>
    </w:rPr>
  </w:style>
  <w:style w:type="paragraph" w:customStyle="1" w:styleId="EntText">
    <w:name w:val="EntText"/>
    <w:basedOn w:val="Normalny"/>
    <w:rsid w:val="00F1079F"/>
    <w:pPr>
      <w:spacing w:before="120" w:after="120" w:line="360" w:lineRule="auto"/>
      <w:ind w:left="0" w:firstLine="0"/>
      <w:jc w:val="left"/>
    </w:pPr>
    <w:rPr>
      <w:rFonts w:eastAsiaTheme="minorHAnsi"/>
      <w:color w:val="auto"/>
      <w:lang w:eastAsia="en-US"/>
    </w:rPr>
  </w:style>
  <w:style w:type="paragraph" w:customStyle="1" w:styleId="Lignefinal">
    <w:name w:val="Ligne final"/>
    <w:basedOn w:val="Normalny"/>
    <w:next w:val="Normalny"/>
    <w:rsid w:val="00F1079F"/>
    <w:pPr>
      <w:pBdr>
        <w:bottom w:val="single" w:sz="4" w:space="0" w:color="000000"/>
      </w:pBdr>
      <w:spacing w:before="360" w:after="120" w:line="360" w:lineRule="auto"/>
      <w:ind w:left="3400" w:right="3400" w:firstLine="0"/>
      <w:jc w:val="center"/>
    </w:pPr>
    <w:rPr>
      <w:rFonts w:eastAsiaTheme="minorHAnsi"/>
      <w:b/>
      <w:color w:val="auto"/>
      <w:lang w:eastAsia="en-US"/>
    </w:rPr>
  </w:style>
  <w:style w:type="paragraph" w:customStyle="1" w:styleId="pj">
    <w:name w:val="p.j."/>
    <w:basedOn w:val="Normalny"/>
    <w:link w:val="pjChar"/>
    <w:rsid w:val="00F1079F"/>
    <w:pPr>
      <w:spacing w:before="1200" w:after="120" w:line="240" w:lineRule="auto"/>
      <w:ind w:left="1440" w:hanging="1440"/>
      <w:jc w:val="left"/>
    </w:pPr>
  </w:style>
  <w:style w:type="character" w:customStyle="1" w:styleId="pjChar">
    <w:name w:val="p.j. Char"/>
    <w:basedOn w:val="TechnicalBlockChar"/>
    <w:link w:val="pj"/>
    <w:rsid w:val="00F1079F"/>
    <w:rPr>
      <w:rFonts w:ascii="Times New Roman" w:eastAsia="Times New Roman" w:hAnsi="Times New Roman" w:cs="Times New Roman"/>
      <w:color w:val="000000"/>
      <w:sz w:val="24"/>
    </w:rPr>
  </w:style>
  <w:style w:type="paragraph" w:customStyle="1" w:styleId="nbbordered">
    <w:name w:val="nb bordered"/>
    <w:basedOn w:val="Normalny"/>
    <w:link w:val="nbborderedChar"/>
    <w:rsid w:val="00F1079F"/>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b/>
    </w:rPr>
  </w:style>
  <w:style w:type="character" w:customStyle="1" w:styleId="nbborderedChar">
    <w:name w:val="nb bordered Char"/>
    <w:basedOn w:val="TechnicalBlockChar"/>
    <w:link w:val="nbbordered"/>
    <w:rsid w:val="00F1079F"/>
    <w:rPr>
      <w:rFonts w:ascii="Times New Roman" w:eastAsia="Times New Roman" w:hAnsi="Times New Roman" w:cs="Times New Roman"/>
      <w:b/>
      <w:color w:val="000000"/>
      <w:sz w:val="24"/>
    </w:rPr>
  </w:style>
  <w:style w:type="paragraph" w:customStyle="1" w:styleId="HeaderCouncil">
    <w:name w:val="Header Council"/>
    <w:basedOn w:val="Normalny"/>
    <w:link w:val="HeaderCouncilChar"/>
    <w:rsid w:val="00F1079F"/>
    <w:pPr>
      <w:spacing w:after="0"/>
    </w:pPr>
    <w:rPr>
      <w:noProof/>
      <w:sz w:val="2"/>
    </w:rPr>
  </w:style>
  <w:style w:type="character" w:customStyle="1" w:styleId="HeaderCouncilChar">
    <w:name w:val="Header Council Char"/>
    <w:basedOn w:val="Domylnaczcionkaakapitu"/>
    <w:link w:val="HeaderCouncil"/>
    <w:rsid w:val="00F1079F"/>
    <w:rPr>
      <w:rFonts w:ascii="Times New Roman" w:eastAsia="Times New Roman" w:hAnsi="Times New Roman" w:cs="Times New Roman"/>
      <w:noProof/>
      <w:color w:val="000000"/>
      <w:sz w:val="2"/>
    </w:rPr>
  </w:style>
  <w:style w:type="paragraph" w:customStyle="1" w:styleId="HeaderCouncilLarge">
    <w:name w:val="Header Council Large"/>
    <w:basedOn w:val="Normalny"/>
    <w:link w:val="HeaderCouncilLargeChar"/>
    <w:rsid w:val="00F1079F"/>
    <w:pPr>
      <w:spacing w:after="440"/>
    </w:pPr>
    <w:rPr>
      <w:noProof/>
      <w:sz w:val="2"/>
    </w:rPr>
  </w:style>
  <w:style w:type="character" w:customStyle="1" w:styleId="HeaderCouncilLargeChar">
    <w:name w:val="Header Council Large Char"/>
    <w:basedOn w:val="Domylnaczcionkaakapitu"/>
    <w:link w:val="HeaderCouncilLarge"/>
    <w:rsid w:val="00F1079F"/>
    <w:rPr>
      <w:rFonts w:ascii="Times New Roman" w:eastAsia="Times New Roman" w:hAnsi="Times New Roman" w:cs="Times New Roman"/>
      <w:noProof/>
      <w:color w:val="000000"/>
      <w:sz w:val="2"/>
    </w:rPr>
  </w:style>
  <w:style w:type="paragraph" w:customStyle="1" w:styleId="FooterCouncil">
    <w:name w:val="Footer Council"/>
    <w:basedOn w:val="Normalny"/>
    <w:link w:val="FooterCouncilChar"/>
    <w:rsid w:val="00F1079F"/>
    <w:pPr>
      <w:spacing w:after="0"/>
    </w:pPr>
    <w:rPr>
      <w:noProof/>
      <w:sz w:val="2"/>
    </w:rPr>
  </w:style>
  <w:style w:type="character" w:customStyle="1" w:styleId="FooterCouncilChar">
    <w:name w:val="Footer Council Char"/>
    <w:basedOn w:val="Domylnaczcionkaakapitu"/>
    <w:link w:val="FooterCouncil"/>
    <w:rsid w:val="00F1079F"/>
    <w:rPr>
      <w:rFonts w:ascii="Times New Roman" w:eastAsia="Times New Roman" w:hAnsi="Times New Roman" w:cs="Times New Roman"/>
      <w:noProof/>
      <w:color w:val="000000"/>
      <w:sz w:val="2"/>
    </w:rPr>
  </w:style>
  <w:style w:type="paragraph" w:customStyle="1" w:styleId="FooterText">
    <w:name w:val="Footer Text"/>
    <w:basedOn w:val="Normalny"/>
    <w:rsid w:val="00F1079F"/>
    <w:pPr>
      <w:spacing w:after="0" w:line="240" w:lineRule="auto"/>
      <w:ind w:left="0" w:firstLine="0"/>
      <w:jc w:val="left"/>
    </w:pPr>
    <w:rPr>
      <w:color w:val="auto"/>
      <w:szCs w:val="24"/>
      <w:lang w:eastAsia="en-US"/>
    </w:rPr>
  </w:style>
  <w:style w:type="character" w:styleId="Tekstzastpczy">
    <w:name w:val="Placeholder Text"/>
    <w:basedOn w:val="Domylnaczcionkaakapitu"/>
    <w:uiPriority w:val="99"/>
    <w:semiHidden/>
    <w:rsid w:val="00F107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1400">
      <w:bodyDiv w:val="1"/>
      <w:marLeft w:val="0"/>
      <w:marRight w:val="0"/>
      <w:marTop w:val="0"/>
      <w:marBottom w:val="0"/>
      <w:divBdr>
        <w:top w:val="none" w:sz="0" w:space="0" w:color="auto"/>
        <w:left w:val="none" w:sz="0" w:space="0" w:color="auto"/>
        <w:bottom w:val="none" w:sz="0" w:space="0" w:color="auto"/>
        <w:right w:val="none" w:sz="0" w:space="0" w:color="auto"/>
      </w:divBdr>
    </w:div>
    <w:div w:id="125858869">
      <w:bodyDiv w:val="1"/>
      <w:marLeft w:val="0"/>
      <w:marRight w:val="0"/>
      <w:marTop w:val="0"/>
      <w:marBottom w:val="0"/>
      <w:divBdr>
        <w:top w:val="none" w:sz="0" w:space="0" w:color="auto"/>
        <w:left w:val="none" w:sz="0" w:space="0" w:color="auto"/>
        <w:bottom w:val="none" w:sz="0" w:space="0" w:color="auto"/>
        <w:right w:val="none" w:sz="0" w:space="0" w:color="auto"/>
      </w:divBdr>
    </w:div>
    <w:div w:id="134420501">
      <w:bodyDiv w:val="1"/>
      <w:marLeft w:val="0"/>
      <w:marRight w:val="0"/>
      <w:marTop w:val="0"/>
      <w:marBottom w:val="0"/>
      <w:divBdr>
        <w:top w:val="none" w:sz="0" w:space="0" w:color="auto"/>
        <w:left w:val="none" w:sz="0" w:space="0" w:color="auto"/>
        <w:bottom w:val="none" w:sz="0" w:space="0" w:color="auto"/>
        <w:right w:val="none" w:sz="0" w:space="0" w:color="auto"/>
      </w:divBdr>
      <w:divsChild>
        <w:div w:id="356541715">
          <w:marLeft w:val="547"/>
          <w:marRight w:val="0"/>
          <w:marTop w:val="120"/>
          <w:marBottom w:val="120"/>
          <w:divBdr>
            <w:top w:val="none" w:sz="0" w:space="0" w:color="auto"/>
            <w:left w:val="none" w:sz="0" w:space="0" w:color="auto"/>
            <w:bottom w:val="none" w:sz="0" w:space="0" w:color="auto"/>
            <w:right w:val="none" w:sz="0" w:space="0" w:color="auto"/>
          </w:divBdr>
        </w:div>
        <w:div w:id="1543326109">
          <w:marLeft w:val="547"/>
          <w:marRight w:val="0"/>
          <w:marTop w:val="120"/>
          <w:marBottom w:val="120"/>
          <w:divBdr>
            <w:top w:val="none" w:sz="0" w:space="0" w:color="auto"/>
            <w:left w:val="none" w:sz="0" w:space="0" w:color="auto"/>
            <w:bottom w:val="none" w:sz="0" w:space="0" w:color="auto"/>
            <w:right w:val="none" w:sz="0" w:space="0" w:color="auto"/>
          </w:divBdr>
        </w:div>
        <w:div w:id="83459057">
          <w:marLeft w:val="547"/>
          <w:marRight w:val="0"/>
          <w:marTop w:val="120"/>
          <w:marBottom w:val="120"/>
          <w:divBdr>
            <w:top w:val="none" w:sz="0" w:space="0" w:color="auto"/>
            <w:left w:val="none" w:sz="0" w:space="0" w:color="auto"/>
            <w:bottom w:val="none" w:sz="0" w:space="0" w:color="auto"/>
            <w:right w:val="none" w:sz="0" w:space="0" w:color="auto"/>
          </w:divBdr>
        </w:div>
      </w:divsChild>
    </w:div>
    <w:div w:id="181017818">
      <w:bodyDiv w:val="1"/>
      <w:marLeft w:val="0"/>
      <w:marRight w:val="0"/>
      <w:marTop w:val="0"/>
      <w:marBottom w:val="0"/>
      <w:divBdr>
        <w:top w:val="none" w:sz="0" w:space="0" w:color="auto"/>
        <w:left w:val="none" w:sz="0" w:space="0" w:color="auto"/>
        <w:bottom w:val="none" w:sz="0" w:space="0" w:color="auto"/>
        <w:right w:val="none" w:sz="0" w:space="0" w:color="auto"/>
      </w:divBdr>
    </w:div>
    <w:div w:id="191383632">
      <w:bodyDiv w:val="1"/>
      <w:marLeft w:val="0"/>
      <w:marRight w:val="0"/>
      <w:marTop w:val="0"/>
      <w:marBottom w:val="0"/>
      <w:divBdr>
        <w:top w:val="none" w:sz="0" w:space="0" w:color="auto"/>
        <w:left w:val="none" w:sz="0" w:space="0" w:color="auto"/>
        <w:bottom w:val="none" w:sz="0" w:space="0" w:color="auto"/>
        <w:right w:val="none" w:sz="0" w:space="0" w:color="auto"/>
      </w:divBdr>
    </w:div>
    <w:div w:id="226578662">
      <w:bodyDiv w:val="1"/>
      <w:marLeft w:val="0"/>
      <w:marRight w:val="0"/>
      <w:marTop w:val="0"/>
      <w:marBottom w:val="0"/>
      <w:divBdr>
        <w:top w:val="none" w:sz="0" w:space="0" w:color="auto"/>
        <w:left w:val="none" w:sz="0" w:space="0" w:color="auto"/>
        <w:bottom w:val="none" w:sz="0" w:space="0" w:color="auto"/>
        <w:right w:val="none" w:sz="0" w:space="0" w:color="auto"/>
      </w:divBdr>
    </w:div>
    <w:div w:id="275865575">
      <w:bodyDiv w:val="1"/>
      <w:marLeft w:val="0"/>
      <w:marRight w:val="0"/>
      <w:marTop w:val="0"/>
      <w:marBottom w:val="0"/>
      <w:divBdr>
        <w:top w:val="none" w:sz="0" w:space="0" w:color="auto"/>
        <w:left w:val="none" w:sz="0" w:space="0" w:color="auto"/>
        <w:bottom w:val="none" w:sz="0" w:space="0" w:color="auto"/>
        <w:right w:val="none" w:sz="0" w:space="0" w:color="auto"/>
      </w:divBdr>
    </w:div>
    <w:div w:id="318391126">
      <w:bodyDiv w:val="1"/>
      <w:marLeft w:val="0"/>
      <w:marRight w:val="0"/>
      <w:marTop w:val="0"/>
      <w:marBottom w:val="0"/>
      <w:divBdr>
        <w:top w:val="none" w:sz="0" w:space="0" w:color="auto"/>
        <w:left w:val="none" w:sz="0" w:space="0" w:color="auto"/>
        <w:bottom w:val="none" w:sz="0" w:space="0" w:color="auto"/>
        <w:right w:val="none" w:sz="0" w:space="0" w:color="auto"/>
      </w:divBdr>
      <w:divsChild>
        <w:div w:id="1738896557">
          <w:marLeft w:val="547"/>
          <w:marRight w:val="0"/>
          <w:marTop w:val="120"/>
          <w:marBottom w:val="120"/>
          <w:divBdr>
            <w:top w:val="none" w:sz="0" w:space="0" w:color="auto"/>
            <w:left w:val="none" w:sz="0" w:space="0" w:color="auto"/>
            <w:bottom w:val="none" w:sz="0" w:space="0" w:color="auto"/>
            <w:right w:val="none" w:sz="0" w:space="0" w:color="auto"/>
          </w:divBdr>
        </w:div>
        <w:div w:id="480583252">
          <w:marLeft w:val="547"/>
          <w:marRight w:val="0"/>
          <w:marTop w:val="120"/>
          <w:marBottom w:val="120"/>
          <w:divBdr>
            <w:top w:val="none" w:sz="0" w:space="0" w:color="auto"/>
            <w:left w:val="none" w:sz="0" w:space="0" w:color="auto"/>
            <w:bottom w:val="none" w:sz="0" w:space="0" w:color="auto"/>
            <w:right w:val="none" w:sz="0" w:space="0" w:color="auto"/>
          </w:divBdr>
        </w:div>
        <w:div w:id="763964072">
          <w:marLeft w:val="547"/>
          <w:marRight w:val="0"/>
          <w:marTop w:val="120"/>
          <w:marBottom w:val="120"/>
          <w:divBdr>
            <w:top w:val="none" w:sz="0" w:space="0" w:color="auto"/>
            <w:left w:val="none" w:sz="0" w:space="0" w:color="auto"/>
            <w:bottom w:val="none" w:sz="0" w:space="0" w:color="auto"/>
            <w:right w:val="none" w:sz="0" w:space="0" w:color="auto"/>
          </w:divBdr>
        </w:div>
      </w:divsChild>
    </w:div>
    <w:div w:id="326518008">
      <w:bodyDiv w:val="1"/>
      <w:marLeft w:val="0"/>
      <w:marRight w:val="0"/>
      <w:marTop w:val="0"/>
      <w:marBottom w:val="0"/>
      <w:divBdr>
        <w:top w:val="none" w:sz="0" w:space="0" w:color="auto"/>
        <w:left w:val="none" w:sz="0" w:space="0" w:color="auto"/>
        <w:bottom w:val="none" w:sz="0" w:space="0" w:color="auto"/>
        <w:right w:val="none" w:sz="0" w:space="0" w:color="auto"/>
      </w:divBdr>
      <w:divsChild>
        <w:div w:id="44724421">
          <w:marLeft w:val="547"/>
          <w:marRight w:val="0"/>
          <w:marTop w:val="0"/>
          <w:marBottom w:val="0"/>
          <w:divBdr>
            <w:top w:val="none" w:sz="0" w:space="0" w:color="auto"/>
            <w:left w:val="none" w:sz="0" w:space="0" w:color="auto"/>
            <w:bottom w:val="none" w:sz="0" w:space="0" w:color="auto"/>
            <w:right w:val="none" w:sz="0" w:space="0" w:color="auto"/>
          </w:divBdr>
        </w:div>
        <w:div w:id="1352296867">
          <w:marLeft w:val="547"/>
          <w:marRight w:val="0"/>
          <w:marTop w:val="0"/>
          <w:marBottom w:val="0"/>
          <w:divBdr>
            <w:top w:val="none" w:sz="0" w:space="0" w:color="auto"/>
            <w:left w:val="none" w:sz="0" w:space="0" w:color="auto"/>
            <w:bottom w:val="none" w:sz="0" w:space="0" w:color="auto"/>
            <w:right w:val="none" w:sz="0" w:space="0" w:color="auto"/>
          </w:divBdr>
        </w:div>
        <w:div w:id="1335568754">
          <w:marLeft w:val="547"/>
          <w:marRight w:val="0"/>
          <w:marTop w:val="0"/>
          <w:marBottom w:val="0"/>
          <w:divBdr>
            <w:top w:val="none" w:sz="0" w:space="0" w:color="auto"/>
            <w:left w:val="none" w:sz="0" w:space="0" w:color="auto"/>
            <w:bottom w:val="none" w:sz="0" w:space="0" w:color="auto"/>
            <w:right w:val="none" w:sz="0" w:space="0" w:color="auto"/>
          </w:divBdr>
        </w:div>
      </w:divsChild>
    </w:div>
    <w:div w:id="457530083">
      <w:bodyDiv w:val="1"/>
      <w:marLeft w:val="0"/>
      <w:marRight w:val="0"/>
      <w:marTop w:val="0"/>
      <w:marBottom w:val="0"/>
      <w:divBdr>
        <w:top w:val="none" w:sz="0" w:space="0" w:color="auto"/>
        <w:left w:val="none" w:sz="0" w:space="0" w:color="auto"/>
        <w:bottom w:val="none" w:sz="0" w:space="0" w:color="auto"/>
        <w:right w:val="none" w:sz="0" w:space="0" w:color="auto"/>
      </w:divBdr>
    </w:div>
    <w:div w:id="464735236">
      <w:bodyDiv w:val="1"/>
      <w:marLeft w:val="0"/>
      <w:marRight w:val="0"/>
      <w:marTop w:val="0"/>
      <w:marBottom w:val="0"/>
      <w:divBdr>
        <w:top w:val="none" w:sz="0" w:space="0" w:color="auto"/>
        <w:left w:val="none" w:sz="0" w:space="0" w:color="auto"/>
        <w:bottom w:val="none" w:sz="0" w:space="0" w:color="auto"/>
        <w:right w:val="none" w:sz="0" w:space="0" w:color="auto"/>
      </w:divBdr>
    </w:div>
    <w:div w:id="497694458">
      <w:bodyDiv w:val="1"/>
      <w:marLeft w:val="0"/>
      <w:marRight w:val="0"/>
      <w:marTop w:val="0"/>
      <w:marBottom w:val="0"/>
      <w:divBdr>
        <w:top w:val="none" w:sz="0" w:space="0" w:color="auto"/>
        <w:left w:val="none" w:sz="0" w:space="0" w:color="auto"/>
        <w:bottom w:val="none" w:sz="0" w:space="0" w:color="auto"/>
        <w:right w:val="none" w:sz="0" w:space="0" w:color="auto"/>
      </w:divBdr>
    </w:div>
    <w:div w:id="514540960">
      <w:bodyDiv w:val="1"/>
      <w:marLeft w:val="0"/>
      <w:marRight w:val="0"/>
      <w:marTop w:val="0"/>
      <w:marBottom w:val="0"/>
      <w:divBdr>
        <w:top w:val="none" w:sz="0" w:space="0" w:color="auto"/>
        <w:left w:val="none" w:sz="0" w:space="0" w:color="auto"/>
        <w:bottom w:val="none" w:sz="0" w:space="0" w:color="auto"/>
        <w:right w:val="none" w:sz="0" w:space="0" w:color="auto"/>
      </w:divBdr>
    </w:div>
    <w:div w:id="529611687">
      <w:bodyDiv w:val="1"/>
      <w:marLeft w:val="0"/>
      <w:marRight w:val="0"/>
      <w:marTop w:val="0"/>
      <w:marBottom w:val="0"/>
      <w:divBdr>
        <w:top w:val="none" w:sz="0" w:space="0" w:color="auto"/>
        <w:left w:val="none" w:sz="0" w:space="0" w:color="auto"/>
        <w:bottom w:val="none" w:sz="0" w:space="0" w:color="auto"/>
        <w:right w:val="none" w:sz="0" w:space="0" w:color="auto"/>
      </w:divBdr>
    </w:div>
    <w:div w:id="532613211">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2">
          <w:marLeft w:val="720"/>
          <w:marRight w:val="0"/>
          <w:marTop w:val="0"/>
          <w:marBottom w:val="0"/>
          <w:divBdr>
            <w:top w:val="none" w:sz="0" w:space="0" w:color="auto"/>
            <w:left w:val="none" w:sz="0" w:space="0" w:color="auto"/>
            <w:bottom w:val="none" w:sz="0" w:space="0" w:color="auto"/>
            <w:right w:val="none" w:sz="0" w:space="0" w:color="auto"/>
          </w:divBdr>
        </w:div>
        <w:div w:id="107938835">
          <w:marLeft w:val="720"/>
          <w:marRight w:val="0"/>
          <w:marTop w:val="0"/>
          <w:marBottom w:val="0"/>
          <w:divBdr>
            <w:top w:val="none" w:sz="0" w:space="0" w:color="auto"/>
            <w:left w:val="none" w:sz="0" w:space="0" w:color="auto"/>
            <w:bottom w:val="none" w:sz="0" w:space="0" w:color="auto"/>
            <w:right w:val="none" w:sz="0" w:space="0" w:color="auto"/>
          </w:divBdr>
        </w:div>
        <w:div w:id="702441437">
          <w:marLeft w:val="720"/>
          <w:marRight w:val="0"/>
          <w:marTop w:val="0"/>
          <w:marBottom w:val="0"/>
          <w:divBdr>
            <w:top w:val="none" w:sz="0" w:space="0" w:color="auto"/>
            <w:left w:val="none" w:sz="0" w:space="0" w:color="auto"/>
            <w:bottom w:val="none" w:sz="0" w:space="0" w:color="auto"/>
            <w:right w:val="none" w:sz="0" w:space="0" w:color="auto"/>
          </w:divBdr>
        </w:div>
      </w:divsChild>
    </w:div>
    <w:div w:id="660424903">
      <w:bodyDiv w:val="1"/>
      <w:marLeft w:val="0"/>
      <w:marRight w:val="0"/>
      <w:marTop w:val="0"/>
      <w:marBottom w:val="0"/>
      <w:divBdr>
        <w:top w:val="none" w:sz="0" w:space="0" w:color="auto"/>
        <w:left w:val="none" w:sz="0" w:space="0" w:color="auto"/>
        <w:bottom w:val="none" w:sz="0" w:space="0" w:color="auto"/>
        <w:right w:val="none" w:sz="0" w:space="0" w:color="auto"/>
      </w:divBdr>
    </w:div>
    <w:div w:id="746538895">
      <w:bodyDiv w:val="1"/>
      <w:marLeft w:val="0"/>
      <w:marRight w:val="0"/>
      <w:marTop w:val="0"/>
      <w:marBottom w:val="0"/>
      <w:divBdr>
        <w:top w:val="none" w:sz="0" w:space="0" w:color="auto"/>
        <w:left w:val="none" w:sz="0" w:space="0" w:color="auto"/>
        <w:bottom w:val="none" w:sz="0" w:space="0" w:color="auto"/>
        <w:right w:val="none" w:sz="0" w:space="0" w:color="auto"/>
      </w:divBdr>
    </w:div>
    <w:div w:id="755051315">
      <w:bodyDiv w:val="1"/>
      <w:marLeft w:val="0"/>
      <w:marRight w:val="0"/>
      <w:marTop w:val="0"/>
      <w:marBottom w:val="0"/>
      <w:divBdr>
        <w:top w:val="none" w:sz="0" w:space="0" w:color="auto"/>
        <w:left w:val="none" w:sz="0" w:space="0" w:color="auto"/>
        <w:bottom w:val="none" w:sz="0" w:space="0" w:color="auto"/>
        <w:right w:val="none" w:sz="0" w:space="0" w:color="auto"/>
      </w:divBdr>
    </w:div>
    <w:div w:id="782922851">
      <w:bodyDiv w:val="1"/>
      <w:marLeft w:val="0"/>
      <w:marRight w:val="0"/>
      <w:marTop w:val="0"/>
      <w:marBottom w:val="0"/>
      <w:divBdr>
        <w:top w:val="none" w:sz="0" w:space="0" w:color="auto"/>
        <w:left w:val="none" w:sz="0" w:space="0" w:color="auto"/>
        <w:bottom w:val="none" w:sz="0" w:space="0" w:color="auto"/>
        <w:right w:val="none" w:sz="0" w:space="0" w:color="auto"/>
      </w:divBdr>
    </w:div>
    <w:div w:id="822308211">
      <w:bodyDiv w:val="1"/>
      <w:marLeft w:val="0"/>
      <w:marRight w:val="0"/>
      <w:marTop w:val="0"/>
      <w:marBottom w:val="0"/>
      <w:divBdr>
        <w:top w:val="none" w:sz="0" w:space="0" w:color="auto"/>
        <w:left w:val="none" w:sz="0" w:space="0" w:color="auto"/>
        <w:bottom w:val="none" w:sz="0" w:space="0" w:color="auto"/>
        <w:right w:val="none" w:sz="0" w:space="0" w:color="auto"/>
      </w:divBdr>
    </w:div>
    <w:div w:id="856500204">
      <w:bodyDiv w:val="1"/>
      <w:marLeft w:val="0"/>
      <w:marRight w:val="0"/>
      <w:marTop w:val="0"/>
      <w:marBottom w:val="0"/>
      <w:divBdr>
        <w:top w:val="none" w:sz="0" w:space="0" w:color="auto"/>
        <w:left w:val="none" w:sz="0" w:space="0" w:color="auto"/>
        <w:bottom w:val="none" w:sz="0" w:space="0" w:color="auto"/>
        <w:right w:val="none" w:sz="0" w:space="0" w:color="auto"/>
      </w:divBdr>
    </w:div>
    <w:div w:id="867840582">
      <w:bodyDiv w:val="1"/>
      <w:marLeft w:val="0"/>
      <w:marRight w:val="0"/>
      <w:marTop w:val="0"/>
      <w:marBottom w:val="0"/>
      <w:divBdr>
        <w:top w:val="none" w:sz="0" w:space="0" w:color="auto"/>
        <w:left w:val="none" w:sz="0" w:space="0" w:color="auto"/>
        <w:bottom w:val="none" w:sz="0" w:space="0" w:color="auto"/>
        <w:right w:val="none" w:sz="0" w:space="0" w:color="auto"/>
      </w:divBdr>
      <w:divsChild>
        <w:div w:id="371349442">
          <w:marLeft w:val="763"/>
          <w:marRight w:val="0"/>
          <w:marTop w:val="200"/>
          <w:marBottom w:val="0"/>
          <w:divBdr>
            <w:top w:val="none" w:sz="0" w:space="0" w:color="auto"/>
            <w:left w:val="none" w:sz="0" w:space="0" w:color="auto"/>
            <w:bottom w:val="none" w:sz="0" w:space="0" w:color="auto"/>
            <w:right w:val="none" w:sz="0" w:space="0" w:color="auto"/>
          </w:divBdr>
        </w:div>
        <w:div w:id="942961304">
          <w:marLeft w:val="763"/>
          <w:marRight w:val="0"/>
          <w:marTop w:val="200"/>
          <w:marBottom w:val="0"/>
          <w:divBdr>
            <w:top w:val="none" w:sz="0" w:space="0" w:color="auto"/>
            <w:left w:val="none" w:sz="0" w:space="0" w:color="auto"/>
            <w:bottom w:val="none" w:sz="0" w:space="0" w:color="auto"/>
            <w:right w:val="none" w:sz="0" w:space="0" w:color="auto"/>
          </w:divBdr>
        </w:div>
        <w:div w:id="1269654233">
          <w:marLeft w:val="763"/>
          <w:marRight w:val="0"/>
          <w:marTop w:val="200"/>
          <w:marBottom w:val="0"/>
          <w:divBdr>
            <w:top w:val="none" w:sz="0" w:space="0" w:color="auto"/>
            <w:left w:val="none" w:sz="0" w:space="0" w:color="auto"/>
            <w:bottom w:val="none" w:sz="0" w:space="0" w:color="auto"/>
            <w:right w:val="none" w:sz="0" w:space="0" w:color="auto"/>
          </w:divBdr>
        </w:div>
      </w:divsChild>
    </w:div>
    <w:div w:id="926158085">
      <w:bodyDiv w:val="1"/>
      <w:marLeft w:val="0"/>
      <w:marRight w:val="0"/>
      <w:marTop w:val="0"/>
      <w:marBottom w:val="0"/>
      <w:divBdr>
        <w:top w:val="none" w:sz="0" w:space="0" w:color="auto"/>
        <w:left w:val="none" w:sz="0" w:space="0" w:color="auto"/>
        <w:bottom w:val="none" w:sz="0" w:space="0" w:color="auto"/>
        <w:right w:val="none" w:sz="0" w:space="0" w:color="auto"/>
      </w:divBdr>
    </w:div>
    <w:div w:id="930159539">
      <w:bodyDiv w:val="1"/>
      <w:marLeft w:val="0"/>
      <w:marRight w:val="0"/>
      <w:marTop w:val="0"/>
      <w:marBottom w:val="0"/>
      <w:divBdr>
        <w:top w:val="none" w:sz="0" w:space="0" w:color="auto"/>
        <w:left w:val="none" w:sz="0" w:space="0" w:color="auto"/>
        <w:bottom w:val="none" w:sz="0" w:space="0" w:color="auto"/>
        <w:right w:val="none" w:sz="0" w:space="0" w:color="auto"/>
      </w:divBdr>
    </w:div>
    <w:div w:id="1000278532">
      <w:bodyDiv w:val="1"/>
      <w:marLeft w:val="0"/>
      <w:marRight w:val="0"/>
      <w:marTop w:val="0"/>
      <w:marBottom w:val="0"/>
      <w:divBdr>
        <w:top w:val="none" w:sz="0" w:space="0" w:color="auto"/>
        <w:left w:val="none" w:sz="0" w:space="0" w:color="auto"/>
        <w:bottom w:val="none" w:sz="0" w:space="0" w:color="auto"/>
        <w:right w:val="none" w:sz="0" w:space="0" w:color="auto"/>
      </w:divBdr>
    </w:div>
    <w:div w:id="1108966866">
      <w:bodyDiv w:val="1"/>
      <w:marLeft w:val="0"/>
      <w:marRight w:val="0"/>
      <w:marTop w:val="0"/>
      <w:marBottom w:val="0"/>
      <w:divBdr>
        <w:top w:val="none" w:sz="0" w:space="0" w:color="auto"/>
        <w:left w:val="none" w:sz="0" w:space="0" w:color="auto"/>
        <w:bottom w:val="none" w:sz="0" w:space="0" w:color="auto"/>
        <w:right w:val="none" w:sz="0" w:space="0" w:color="auto"/>
      </w:divBdr>
    </w:div>
    <w:div w:id="1123697169">
      <w:bodyDiv w:val="1"/>
      <w:marLeft w:val="0"/>
      <w:marRight w:val="0"/>
      <w:marTop w:val="0"/>
      <w:marBottom w:val="0"/>
      <w:divBdr>
        <w:top w:val="none" w:sz="0" w:space="0" w:color="auto"/>
        <w:left w:val="none" w:sz="0" w:space="0" w:color="auto"/>
        <w:bottom w:val="none" w:sz="0" w:space="0" w:color="auto"/>
        <w:right w:val="none" w:sz="0" w:space="0" w:color="auto"/>
      </w:divBdr>
    </w:div>
    <w:div w:id="1145006838">
      <w:bodyDiv w:val="1"/>
      <w:marLeft w:val="0"/>
      <w:marRight w:val="0"/>
      <w:marTop w:val="0"/>
      <w:marBottom w:val="0"/>
      <w:divBdr>
        <w:top w:val="none" w:sz="0" w:space="0" w:color="auto"/>
        <w:left w:val="none" w:sz="0" w:space="0" w:color="auto"/>
        <w:bottom w:val="none" w:sz="0" w:space="0" w:color="auto"/>
        <w:right w:val="none" w:sz="0" w:space="0" w:color="auto"/>
      </w:divBdr>
    </w:div>
    <w:div w:id="1228759636">
      <w:bodyDiv w:val="1"/>
      <w:marLeft w:val="0"/>
      <w:marRight w:val="0"/>
      <w:marTop w:val="0"/>
      <w:marBottom w:val="0"/>
      <w:divBdr>
        <w:top w:val="none" w:sz="0" w:space="0" w:color="auto"/>
        <w:left w:val="none" w:sz="0" w:space="0" w:color="auto"/>
        <w:bottom w:val="none" w:sz="0" w:space="0" w:color="auto"/>
        <w:right w:val="none" w:sz="0" w:space="0" w:color="auto"/>
      </w:divBdr>
    </w:div>
    <w:div w:id="1276719047">
      <w:bodyDiv w:val="1"/>
      <w:marLeft w:val="0"/>
      <w:marRight w:val="0"/>
      <w:marTop w:val="0"/>
      <w:marBottom w:val="0"/>
      <w:divBdr>
        <w:top w:val="none" w:sz="0" w:space="0" w:color="auto"/>
        <w:left w:val="none" w:sz="0" w:space="0" w:color="auto"/>
        <w:bottom w:val="none" w:sz="0" w:space="0" w:color="auto"/>
        <w:right w:val="none" w:sz="0" w:space="0" w:color="auto"/>
      </w:divBdr>
    </w:div>
    <w:div w:id="1277903460">
      <w:bodyDiv w:val="1"/>
      <w:marLeft w:val="0"/>
      <w:marRight w:val="0"/>
      <w:marTop w:val="0"/>
      <w:marBottom w:val="0"/>
      <w:divBdr>
        <w:top w:val="none" w:sz="0" w:space="0" w:color="auto"/>
        <w:left w:val="none" w:sz="0" w:space="0" w:color="auto"/>
        <w:bottom w:val="none" w:sz="0" w:space="0" w:color="auto"/>
        <w:right w:val="none" w:sz="0" w:space="0" w:color="auto"/>
      </w:divBdr>
      <w:divsChild>
        <w:div w:id="1072502111">
          <w:marLeft w:val="547"/>
          <w:marRight w:val="0"/>
          <w:marTop w:val="120"/>
          <w:marBottom w:val="120"/>
          <w:divBdr>
            <w:top w:val="none" w:sz="0" w:space="0" w:color="auto"/>
            <w:left w:val="none" w:sz="0" w:space="0" w:color="auto"/>
            <w:bottom w:val="none" w:sz="0" w:space="0" w:color="auto"/>
            <w:right w:val="none" w:sz="0" w:space="0" w:color="auto"/>
          </w:divBdr>
        </w:div>
        <w:div w:id="1841654600">
          <w:marLeft w:val="547"/>
          <w:marRight w:val="0"/>
          <w:marTop w:val="120"/>
          <w:marBottom w:val="120"/>
          <w:divBdr>
            <w:top w:val="none" w:sz="0" w:space="0" w:color="auto"/>
            <w:left w:val="none" w:sz="0" w:space="0" w:color="auto"/>
            <w:bottom w:val="none" w:sz="0" w:space="0" w:color="auto"/>
            <w:right w:val="none" w:sz="0" w:space="0" w:color="auto"/>
          </w:divBdr>
        </w:div>
        <w:div w:id="706947697">
          <w:marLeft w:val="547"/>
          <w:marRight w:val="0"/>
          <w:marTop w:val="120"/>
          <w:marBottom w:val="120"/>
          <w:divBdr>
            <w:top w:val="none" w:sz="0" w:space="0" w:color="auto"/>
            <w:left w:val="none" w:sz="0" w:space="0" w:color="auto"/>
            <w:bottom w:val="none" w:sz="0" w:space="0" w:color="auto"/>
            <w:right w:val="none" w:sz="0" w:space="0" w:color="auto"/>
          </w:divBdr>
        </w:div>
      </w:divsChild>
    </w:div>
    <w:div w:id="1404335424">
      <w:bodyDiv w:val="1"/>
      <w:marLeft w:val="0"/>
      <w:marRight w:val="0"/>
      <w:marTop w:val="0"/>
      <w:marBottom w:val="0"/>
      <w:divBdr>
        <w:top w:val="none" w:sz="0" w:space="0" w:color="auto"/>
        <w:left w:val="none" w:sz="0" w:space="0" w:color="auto"/>
        <w:bottom w:val="none" w:sz="0" w:space="0" w:color="auto"/>
        <w:right w:val="none" w:sz="0" w:space="0" w:color="auto"/>
      </w:divBdr>
      <w:divsChild>
        <w:div w:id="2126077322">
          <w:marLeft w:val="720"/>
          <w:marRight w:val="0"/>
          <w:marTop w:val="0"/>
          <w:marBottom w:val="0"/>
          <w:divBdr>
            <w:top w:val="none" w:sz="0" w:space="0" w:color="auto"/>
            <w:left w:val="none" w:sz="0" w:space="0" w:color="auto"/>
            <w:bottom w:val="none" w:sz="0" w:space="0" w:color="auto"/>
            <w:right w:val="none" w:sz="0" w:space="0" w:color="auto"/>
          </w:divBdr>
        </w:div>
        <w:div w:id="388724200">
          <w:marLeft w:val="720"/>
          <w:marRight w:val="0"/>
          <w:marTop w:val="0"/>
          <w:marBottom w:val="0"/>
          <w:divBdr>
            <w:top w:val="none" w:sz="0" w:space="0" w:color="auto"/>
            <w:left w:val="none" w:sz="0" w:space="0" w:color="auto"/>
            <w:bottom w:val="none" w:sz="0" w:space="0" w:color="auto"/>
            <w:right w:val="none" w:sz="0" w:space="0" w:color="auto"/>
          </w:divBdr>
        </w:div>
        <w:div w:id="319430013">
          <w:marLeft w:val="720"/>
          <w:marRight w:val="0"/>
          <w:marTop w:val="0"/>
          <w:marBottom w:val="0"/>
          <w:divBdr>
            <w:top w:val="none" w:sz="0" w:space="0" w:color="auto"/>
            <w:left w:val="none" w:sz="0" w:space="0" w:color="auto"/>
            <w:bottom w:val="none" w:sz="0" w:space="0" w:color="auto"/>
            <w:right w:val="none" w:sz="0" w:space="0" w:color="auto"/>
          </w:divBdr>
        </w:div>
      </w:divsChild>
    </w:div>
    <w:div w:id="1414545394">
      <w:bodyDiv w:val="1"/>
      <w:marLeft w:val="0"/>
      <w:marRight w:val="0"/>
      <w:marTop w:val="0"/>
      <w:marBottom w:val="0"/>
      <w:divBdr>
        <w:top w:val="none" w:sz="0" w:space="0" w:color="auto"/>
        <w:left w:val="none" w:sz="0" w:space="0" w:color="auto"/>
        <w:bottom w:val="none" w:sz="0" w:space="0" w:color="auto"/>
        <w:right w:val="none" w:sz="0" w:space="0" w:color="auto"/>
      </w:divBdr>
    </w:div>
    <w:div w:id="1463884860">
      <w:bodyDiv w:val="1"/>
      <w:marLeft w:val="0"/>
      <w:marRight w:val="0"/>
      <w:marTop w:val="0"/>
      <w:marBottom w:val="0"/>
      <w:divBdr>
        <w:top w:val="none" w:sz="0" w:space="0" w:color="auto"/>
        <w:left w:val="none" w:sz="0" w:space="0" w:color="auto"/>
        <w:bottom w:val="none" w:sz="0" w:space="0" w:color="auto"/>
        <w:right w:val="none" w:sz="0" w:space="0" w:color="auto"/>
      </w:divBdr>
    </w:div>
    <w:div w:id="1473789651">
      <w:bodyDiv w:val="1"/>
      <w:marLeft w:val="0"/>
      <w:marRight w:val="0"/>
      <w:marTop w:val="0"/>
      <w:marBottom w:val="0"/>
      <w:divBdr>
        <w:top w:val="none" w:sz="0" w:space="0" w:color="auto"/>
        <w:left w:val="none" w:sz="0" w:space="0" w:color="auto"/>
        <w:bottom w:val="none" w:sz="0" w:space="0" w:color="auto"/>
        <w:right w:val="none" w:sz="0" w:space="0" w:color="auto"/>
      </w:divBdr>
    </w:div>
    <w:div w:id="1488663648">
      <w:bodyDiv w:val="1"/>
      <w:marLeft w:val="0"/>
      <w:marRight w:val="0"/>
      <w:marTop w:val="0"/>
      <w:marBottom w:val="0"/>
      <w:divBdr>
        <w:top w:val="none" w:sz="0" w:space="0" w:color="auto"/>
        <w:left w:val="none" w:sz="0" w:space="0" w:color="auto"/>
        <w:bottom w:val="none" w:sz="0" w:space="0" w:color="auto"/>
        <w:right w:val="none" w:sz="0" w:space="0" w:color="auto"/>
      </w:divBdr>
    </w:div>
    <w:div w:id="1519078922">
      <w:bodyDiv w:val="1"/>
      <w:marLeft w:val="0"/>
      <w:marRight w:val="0"/>
      <w:marTop w:val="0"/>
      <w:marBottom w:val="0"/>
      <w:divBdr>
        <w:top w:val="none" w:sz="0" w:space="0" w:color="auto"/>
        <w:left w:val="none" w:sz="0" w:space="0" w:color="auto"/>
        <w:bottom w:val="none" w:sz="0" w:space="0" w:color="auto"/>
        <w:right w:val="none" w:sz="0" w:space="0" w:color="auto"/>
      </w:divBdr>
    </w:div>
    <w:div w:id="1527600454">
      <w:bodyDiv w:val="1"/>
      <w:marLeft w:val="0"/>
      <w:marRight w:val="0"/>
      <w:marTop w:val="0"/>
      <w:marBottom w:val="0"/>
      <w:divBdr>
        <w:top w:val="none" w:sz="0" w:space="0" w:color="auto"/>
        <w:left w:val="none" w:sz="0" w:space="0" w:color="auto"/>
        <w:bottom w:val="none" w:sz="0" w:space="0" w:color="auto"/>
        <w:right w:val="none" w:sz="0" w:space="0" w:color="auto"/>
      </w:divBdr>
    </w:div>
    <w:div w:id="1587227635">
      <w:bodyDiv w:val="1"/>
      <w:marLeft w:val="0"/>
      <w:marRight w:val="0"/>
      <w:marTop w:val="0"/>
      <w:marBottom w:val="0"/>
      <w:divBdr>
        <w:top w:val="none" w:sz="0" w:space="0" w:color="auto"/>
        <w:left w:val="none" w:sz="0" w:space="0" w:color="auto"/>
        <w:bottom w:val="none" w:sz="0" w:space="0" w:color="auto"/>
        <w:right w:val="none" w:sz="0" w:space="0" w:color="auto"/>
      </w:divBdr>
    </w:div>
    <w:div w:id="1603563961">
      <w:bodyDiv w:val="1"/>
      <w:marLeft w:val="0"/>
      <w:marRight w:val="0"/>
      <w:marTop w:val="0"/>
      <w:marBottom w:val="0"/>
      <w:divBdr>
        <w:top w:val="none" w:sz="0" w:space="0" w:color="auto"/>
        <w:left w:val="none" w:sz="0" w:space="0" w:color="auto"/>
        <w:bottom w:val="none" w:sz="0" w:space="0" w:color="auto"/>
        <w:right w:val="none" w:sz="0" w:space="0" w:color="auto"/>
      </w:divBdr>
    </w:div>
    <w:div w:id="1622344194">
      <w:bodyDiv w:val="1"/>
      <w:marLeft w:val="0"/>
      <w:marRight w:val="0"/>
      <w:marTop w:val="0"/>
      <w:marBottom w:val="0"/>
      <w:divBdr>
        <w:top w:val="none" w:sz="0" w:space="0" w:color="auto"/>
        <w:left w:val="none" w:sz="0" w:space="0" w:color="auto"/>
        <w:bottom w:val="none" w:sz="0" w:space="0" w:color="auto"/>
        <w:right w:val="none" w:sz="0" w:space="0" w:color="auto"/>
      </w:divBdr>
    </w:div>
    <w:div w:id="1634365326">
      <w:bodyDiv w:val="1"/>
      <w:marLeft w:val="0"/>
      <w:marRight w:val="0"/>
      <w:marTop w:val="0"/>
      <w:marBottom w:val="0"/>
      <w:divBdr>
        <w:top w:val="none" w:sz="0" w:space="0" w:color="auto"/>
        <w:left w:val="none" w:sz="0" w:space="0" w:color="auto"/>
        <w:bottom w:val="none" w:sz="0" w:space="0" w:color="auto"/>
        <w:right w:val="none" w:sz="0" w:space="0" w:color="auto"/>
      </w:divBdr>
    </w:div>
    <w:div w:id="1683779901">
      <w:bodyDiv w:val="1"/>
      <w:marLeft w:val="0"/>
      <w:marRight w:val="0"/>
      <w:marTop w:val="0"/>
      <w:marBottom w:val="0"/>
      <w:divBdr>
        <w:top w:val="none" w:sz="0" w:space="0" w:color="auto"/>
        <w:left w:val="none" w:sz="0" w:space="0" w:color="auto"/>
        <w:bottom w:val="none" w:sz="0" w:space="0" w:color="auto"/>
        <w:right w:val="none" w:sz="0" w:space="0" w:color="auto"/>
      </w:divBdr>
    </w:div>
    <w:div w:id="1741172043">
      <w:bodyDiv w:val="1"/>
      <w:marLeft w:val="0"/>
      <w:marRight w:val="0"/>
      <w:marTop w:val="0"/>
      <w:marBottom w:val="0"/>
      <w:divBdr>
        <w:top w:val="none" w:sz="0" w:space="0" w:color="auto"/>
        <w:left w:val="none" w:sz="0" w:space="0" w:color="auto"/>
        <w:bottom w:val="none" w:sz="0" w:space="0" w:color="auto"/>
        <w:right w:val="none" w:sz="0" w:space="0" w:color="auto"/>
      </w:divBdr>
    </w:div>
    <w:div w:id="1875583265">
      <w:bodyDiv w:val="1"/>
      <w:marLeft w:val="0"/>
      <w:marRight w:val="0"/>
      <w:marTop w:val="0"/>
      <w:marBottom w:val="0"/>
      <w:divBdr>
        <w:top w:val="none" w:sz="0" w:space="0" w:color="auto"/>
        <w:left w:val="none" w:sz="0" w:space="0" w:color="auto"/>
        <w:bottom w:val="none" w:sz="0" w:space="0" w:color="auto"/>
        <w:right w:val="none" w:sz="0" w:space="0" w:color="auto"/>
      </w:divBdr>
    </w:div>
    <w:div w:id="1930500517">
      <w:bodyDiv w:val="1"/>
      <w:marLeft w:val="0"/>
      <w:marRight w:val="0"/>
      <w:marTop w:val="0"/>
      <w:marBottom w:val="0"/>
      <w:divBdr>
        <w:top w:val="none" w:sz="0" w:space="0" w:color="auto"/>
        <w:left w:val="none" w:sz="0" w:space="0" w:color="auto"/>
        <w:bottom w:val="none" w:sz="0" w:space="0" w:color="auto"/>
        <w:right w:val="none" w:sz="0" w:space="0" w:color="auto"/>
      </w:divBdr>
    </w:div>
    <w:div w:id="1959332152">
      <w:bodyDiv w:val="1"/>
      <w:marLeft w:val="0"/>
      <w:marRight w:val="0"/>
      <w:marTop w:val="0"/>
      <w:marBottom w:val="0"/>
      <w:divBdr>
        <w:top w:val="none" w:sz="0" w:space="0" w:color="auto"/>
        <w:left w:val="none" w:sz="0" w:space="0" w:color="auto"/>
        <w:bottom w:val="none" w:sz="0" w:space="0" w:color="auto"/>
        <w:right w:val="none" w:sz="0" w:space="0" w:color="auto"/>
      </w:divBdr>
    </w:div>
    <w:div w:id="1981498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eader" Target="header5.xml"/><Relationship Id="rId26" Type="http://schemas.openxmlformats.org/officeDocument/2006/relationships/hyperlink" Target="https://enrd.ec.europa.eu/news-events/events/14th-meeting-rural-networks-steering-group_en"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jpg"/><Relationship Id="rId34" Type="http://schemas.openxmlformats.org/officeDocument/2006/relationships/hyperlink" Target="https://enrd.ec.europa.eu/news-events/events/19th-nrn-meeting_en" TargetMode="External"/><Relationship Id="rId42" Type="http://schemas.openxmlformats.org/officeDocument/2006/relationships/header" Target="header9.xml"/><Relationship Id="rId47"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enrd.ec.europa.eu/news-events/events/1st-meeting-enrd-thematic-group-rural2040-long-term-rural-vision_en" TargetMode="External"/><Relationship Id="rId33" Type="http://schemas.openxmlformats.org/officeDocument/2006/relationships/hyperlink" Target="https://enrd.ec.europa.eu/news-events/events/3rd-meeting-enrd-thematic-group-long-term-rural-vision_en" TargetMode="External"/><Relationship Id="rId38" Type="http://schemas.openxmlformats.org/officeDocument/2006/relationships/footer" Target="footer6.xml"/><Relationship Id="rId46"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nrd.ec.europa.eu/news-events/events/rural2040-vision-week_en" TargetMode="External"/><Relationship Id="rId29" Type="http://schemas.openxmlformats.org/officeDocument/2006/relationships/hyperlink" Target="https://enrd.ec.europa.eu/news-events/events/enrd-workshop-national-rural-networks-valorising-and-communicating-successful_en"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enrd.ec.europa.eu/news-events/events/13th-rural-networks-steering-group-meeting_en" TargetMode="External"/><Relationship Id="rId32" Type="http://schemas.openxmlformats.org/officeDocument/2006/relationships/hyperlink" Target="https://enrd.ec.europa.eu/news-events/events/7th-meeting-eu-rural-networks-assembly_en" TargetMode="Externa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yperlink" Target="https://enrd.ec.europa.eu/news-events/events/18th-nrn-meeting_en" TargetMode="External"/><Relationship Id="rId36" Type="http://schemas.openxmlformats.org/officeDocument/2006/relationships/header" Target="header6.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enrd.ec.europa.eu/news-events/events/1st-meeting-enrd-thematic-group-rural2040-long-term-rural-vision_en"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4.emf"/><Relationship Id="rId27" Type="http://schemas.openxmlformats.org/officeDocument/2006/relationships/hyperlink" Target="https://enrd.ec.europa.eu/news-events/events/enrd-thematic-group-long-term-rural-vision-interim-meeting_en" TargetMode="External"/><Relationship Id="rId30" Type="http://schemas.openxmlformats.org/officeDocument/2006/relationships/hyperlink" Target="https://cor.europa.eu/en/events/Pages/NAT-Commission-Webinar-A-European-rural-agenda-is-urgently-needed-for-rural-areas-after-COVID-crisis--.aspx" TargetMode="External"/><Relationship Id="rId35" Type="http://schemas.openxmlformats.org/officeDocument/2006/relationships/hyperlink" Target="https://enrd.ec.europa.eu/news-events/events/3rd-meeting-enrd-thematic-group-long-term-rural-vision_en" TargetMode="External"/><Relationship Id="rId43" Type="http://schemas.openxmlformats.org/officeDocument/2006/relationships/header" Target="header10.xml"/><Relationship Id="rId48" Type="http://schemas.openxmlformats.org/officeDocument/2006/relationships/fontTable" Target="fontTable.xml"/><Relationship Id="Ra6f8c302abce4c6e" Type="http://schemas.microsoft.com/office/2018/08/relationships/commentsExtensible" Target="commentsExtensible.xml"/><Relationship Id="rId8" Type="http://schemas.openxmlformats.org/officeDocument/2006/relationships/image" Target="media/image1.emf"/><Relationship Id="R141b950993d64789"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525-Long-term-vision-for-rural-areas/public-consultation" TargetMode="External"/><Relationship Id="rId3" Type="http://schemas.openxmlformats.org/officeDocument/2006/relationships/hyperlink" Target="https://europa.eu/eurobarometer/surveys/detail/2278" TargetMode="External"/><Relationship Id="rId7" Type="http://schemas.openxmlformats.org/officeDocument/2006/relationships/hyperlink" Target="https://ec.europa.eu/info/sites/info/files/better-regulation-guidelines.pdf" TargetMode="External"/><Relationship Id="rId2" Type="http://schemas.openxmlformats.org/officeDocument/2006/relationships/hyperlink" Target="https://europa.eu/eurobarometer/surveys/detail/2229" TargetMode="External"/><Relationship Id="rId1" Type="http://schemas.openxmlformats.org/officeDocument/2006/relationships/hyperlink" Target="https://ec.europa.eu/commission/commissioners/sites/comm-cwt2019/files/commissioner_mission_letters/mission-letter-dubravka-suica_en.pdf" TargetMode="External"/><Relationship Id="rId6" Type="http://schemas.openxmlformats.org/officeDocument/2006/relationships/hyperlink" Target="https://enrd.ec.europa.eu/news-events/events/rural2040-vision-week_en" TargetMode="External"/><Relationship Id="rId5" Type="http://schemas.openxmlformats.org/officeDocument/2006/relationships/hyperlink" Target="https://enrd.ec.europa.eu/publications/rural-voices_en" TargetMode="External"/><Relationship Id="rId10" Type="http://schemas.openxmlformats.org/officeDocument/2006/relationships/hyperlink" Target="https://www.europarl.europa.eu/doceo/document/O-9-2021-000005_EN.html" TargetMode="External"/><Relationship Id="rId4" Type="http://schemas.openxmlformats.org/officeDocument/2006/relationships/hyperlink" Target="https://enrd.ec.europa.eu/news-events/news/long-term-vision-rural-areas-workshop-package-nrns-and-other-rural-stakeholders_en" TargetMode="External"/><Relationship Id="rId9" Type="http://schemas.openxmlformats.org/officeDocument/2006/relationships/hyperlink" Target="https://enrd.ec.europa.eu/news-events/events/rural2040-vision-week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C2C596E-7E5C-460F-A416-A6B418D9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8032</Words>
  <Characters>48198</Characters>
  <Application>Microsoft Office Word</Application>
  <DocSecurity>0</DocSecurity>
  <Lines>401</Lines>
  <Paragraphs>112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2021-07-19T11:37:00Z</dcterms:created>
  <dcterms:modified xsi:type="dcterms:W3CDTF">2021-07-19T11:37:00Z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DocuWrite 4.5.2, Build 20210531</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CP-063</vt:lpwstr>
  </property>
  <property fmtid="{D5CDD505-2E9C-101B-9397-08002B2CF9AE}" pid="8" name="Created using">
    <vt:lpwstr>DocuWrite 4.5.2, Build 20210531</vt:lpwstr>
  </property>
</Properties>
</file>