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5D290650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201</w:t>
      </w:r>
      <w:r w:rsidR="00E90ADF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48D075FD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Minister Gospodarki Morskiej i Żeglugi Śródlądowej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5F67BF28" w:rsidR="00A63DFF" w:rsidRPr="0088524C" w:rsidRDefault="00EB2D0A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12A8C63E" w:rsidR="00A63DFF" w:rsidRPr="0088524C" w:rsidRDefault="00EB2D0A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30.11.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F1FAF3" w14:textId="77777777" w:rsidR="00A63DFF" w:rsidRPr="0088524C" w:rsidRDefault="00A63DFF" w:rsidP="00A63DFF">
      <w:pPr>
        <w:spacing w:line="240" w:lineRule="auto"/>
        <w:rPr>
          <w:color w:val="000000" w:themeColor="text1"/>
          <w:sz w:val="20"/>
          <w:szCs w:val="20"/>
        </w:rPr>
      </w:pP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2940D1A7" w:rsidR="00A63DFF" w:rsidRPr="00C01ED6" w:rsidRDefault="00BD38D2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42408EDC" w14:textId="36B7AEB6" w:rsidR="00A63DFF" w:rsidRPr="007031D0" w:rsidRDefault="00BD38D2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9,51</w:t>
            </w:r>
            <w:r w:rsidR="00A63DFF" w:rsidRPr="007031D0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41B56FA1" w14:textId="51CFE0E1" w:rsidR="00A63DFF" w:rsidRPr="00C01ED6" w:rsidRDefault="0098051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F959B9">
              <w:rPr>
                <w:rFonts w:ascii="Arial" w:hAnsi="Arial" w:cs="Arial"/>
                <w:color w:val="000000" w:themeColor="text1"/>
                <w:sz w:val="20"/>
                <w:szCs w:val="20"/>
              </w:rPr>
              <w:t>3,62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  <w:r w:rsidR="00FC6C62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</w:tbl>
    <w:p w14:paraId="5BCE7FB3" w14:textId="77777777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3BDC6F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346" w:type="dxa"/>
          </w:tcPr>
          <w:p w14:paraId="40F479A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DEC8A1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129EA7BD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="00A63DFF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346" w:type="dxa"/>
          </w:tcPr>
          <w:p w14:paraId="42D05CC5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83C662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318C996F" w14:textId="77777777" w:rsidR="00EB2D0A" w:rsidRDefault="00EB2D0A" w:rsidP="00EB2D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79E70FBD" w14:textId="77777777" w:rsidR="00EB2D0A" w:rsidRDefault="00EB2D0A" w:rsidP="00EB2D0A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korekty założeń co do</w:t>
            </w:r>
            <w:r w:rsidRPr="000961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w formacie „zaprojektuj i wybuduj”</w:t>
            </w:r>
          </w:p>
          <w:p w14:paraId="305E8F1F" w14:textId="2D6CF938" w:rsidR="00D422AC" w:rsidRPr="00EB2D0A" w:rsidRDefault="00EB2D0A" w:rsidP="00BC03AD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Opóźnienie w zawarciu umowy na dostawę stacji odbioru danych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satelitarnych (parametry stacji determinują wymagania i opis przedmiotu zamówienia dla wieży)</w:t>
            </w:r>
            <w:r w:rsidR="00F15930" w:rsidRPr="00EB2D0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704FBC77" w:rsidR="00A63DFF" w:rsidRPr="00C01ED6" w:rsidRDefault="00875CF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3DFE10E0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03-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3AE033D5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6313A16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6332791E" w14:textId="1549E6CB" w:rsidR="00F15930" w:rsidRPr="005B0EFC" w:rsidRDefault="00EB2D0A" w:rsidP="00F15930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 konieczność powtórzenia postępowania o zamówienie publiczne w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związku z uchyleniem się przez Wykonawcę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Kongsberg Spacetec AS wyłonionego w pierwszym postępowaniu 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podpisania umowy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04D80CED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B9007D0" w14:textId="445F6E55" w:rsidR="00875CF4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5FF93760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8331897" w14:textId="79FC3CE1" w:rsidR="00A63DFF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5B0EF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D834C5" w14:textId="77777777" w:rsid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2A82B4F" w14:textId="63B67BA2" w:rsidR="000F4B2D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kamienia nie została podjęta z uwagi na trwające analizy wewnętrzne odnośnie możliwości realizacji zadania „zarządzanie bezpieczeństwem informacji i ciągłością działania” w trybie bezprzetargowym, tj. siłami własnymi Beneficjenta i przy wykorzystaniu posiadanych zasobów teleinformatycznych.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toku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przygotowania do testów posiadanego oprogramowania pod kątem wykorzystania na potrzeby projektu.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26853CC7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04-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1831A7E6" w14:textId="77777777" w:rsidR="00A63DFF" w:rsidRPr="000F4B2D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519ACB1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211CD72A" w14:textId="77777777" w:rsidR="00EB2D0A" w:rsidRDefault="00EB2D0A" w:rsidP="00EB2D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</w:t>
            </w:r>
            <w:bookmarkStart w:id="0" w:name="_GoBack"/>
            <w:bookmarkEnd w:id="0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0662EBA9" w14:textId="77777777" w:rsidR="00EB2D0A" w:rsidRDefault="00EB2D0A" w:rsidP="00EB2D0A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korekty założeń co do</w:t>
            </w:r>
            <w:r w:rsidRPr="000961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w formacie „zaprojektuj i wybuduj”</w:t>
            </w:r>
          </w:p>
          <w:p w14:paraId="4402F101" w14:textId="008B986B" w:rsidR="00D422AC" w:rsidRPr="00EB2D0A" w:rsidRDefault="00EB2D0A" w:rsidP="00EB2D0A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2D0A">
              <w:rPr>
                <w:rFonts w:ascii="Arial" w:hAnsi="Arial" w:cs="Arial"/>
                <w:color w:val="000000" w:themeColor="text1"/>
                <w:sz w:val="20"/>
                <w:szCs w:val="20"/>
              </w:rPr>
              <w:t>Trudności w realizacji zamówienia na projekt architektoniczny i uzyskanie pozwolenia na budowę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65EE7E47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09-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A6810BB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556A6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096F5731" w:rsidR="00A63DFF" w:rsidRPr="00D361DB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01-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58A34B9" w14:textId="77777777" w:rsidR="00A63DFF" w:rsidRPr="00D361DB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9ADFFD9" w14:textId="4CF5A518" w:rsidR="00A63DFF" w:rsidRPr="00D361DB" w:rsidRDefault="00CD35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52158D99" w14:textId="753D6202" w:rsidR="00CD35E4" w:rsidRPr="00C01ED6" w:rsidRDefault="004B5495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wynikające z nadania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wyższ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priorytet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pozostałym kluczowym zadaniom, w szczególności zamówieniu na dostawę stacji odbioru danych satelitarnych i pracom budowlanym 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satelitarnych. Wyposażenie centrum powinno nastąpić dopiero po zakończeniu prac budowlanych, stąd analogiczna kolejność działań w zakresie postępowań przetargowych dla obu tych zadań.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Dodatkowo </w:t>
            </w:r>
            <w:r w:rsidR="00B028E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post</w:t>
            </w:r>
            <w:r w:rsidR="008F496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B028E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powania na wyposażenie przed zawarciem umowy na prace budowlane rodziłoby zbyt duże ryzyko </w:t>
            </w:r>
            <w:r w:rsidR="008F496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utraty spójności pomiędzy obydwoma inwestycjami.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0F70ADC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14756E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D141D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657FC2B4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2D8DCF0" w14:textId="05ACEB09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55C17A21" w14:textId="790A87F7" w:rsidR="008F4964" w:rsidRPr="006226EC" w:rsidRDefault="008F496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(Data osiągnięcia kamienia zaktualizowana w oparciu o aneks nr 4 do Umowy o dofinansowanie projektu)</w:t>
            </w:r>
          </w:p>
          <w:p w14:paraId="79FD7DAE" w14:textId="5297F656" w:rsidR="000E0A55" w:rsidRPr="00C01ED6" w:rsidRDefault="000E0A55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1E0646A" w14:textId="78652D0B" w:rsidR="00A63DFF" w:rsidRPr="00C01ED6" w:rsidRDefault="006207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35F3547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444D3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52FD5A23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0D165C10" w14:textId="77777777" w:rsidR="00C42668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wyposażenie na potrzeby stacjonarnego centrum analizowania i opracowywania danych satelitarnych. Przyczyny opóźnienia są te same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co w tamtym postępowaniu. </w:t>
            </w:r>
          </w:p>
          <w:p w14:paraId="02E4FF1D" w14:textId="7CBF090D" w:rsidR="000D009B" w:rsidRPr="00C01ED6" w:rsidRDefault="000D009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Dodatkowo z</w:t>
            </w:r>
            <w:r w:rsidRPr="000D009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auważyć należy, że data osiągnięcia kamienia milowego została pierwotnie zaplanowana ze zdecydowanie nadmiernym wyprzedzeniem względem oczekiwanych dostaw, co w przypadku zamówień </w:t>
            </w:r>
            <w:r w:rsidRPr="000D009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informatycznych warto redukować.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3F80283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43F4B7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5895029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lastRenderedPageBreak/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907E3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907E34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907E3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907E34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907E34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907E34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907E34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907E34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907E34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907E34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907E34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907E34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4248"/>
        <w:gridCol w:w="1417"/>
        <w:gridCol w:w="1418"/>
        <w:gridCol w:w="2551"/>
      </w:tblGrid>
      <w:tr w:rsidR="00A63DFF" w:rsidRPr="002B50C0" w14:paraId="413EF7CF" w14:textId="77777777" w:rsidTr="00907E34">
        <w:trPr>
          <w:tblHeader/>
        </w:trPr>
        <w:tc>
          <w:tcPr>
            <w:tcW w:w="4248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907E34">
        <w:tc>
          <w:tcPr>
            <w:tcW w:w="4248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417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907E34">
        <w:tc>
          <w:tcPr>
            <w:tcW w:w="4248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417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907E34">
        <w:tc>
          <w:tcPr>
            <w:tcW w:w="4248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417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907E34">
        <w:tc>
          <w:tcPr>
            <w:tcW w:w="4248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417" w:type="dxa"/>
          </w:tcPr>
          <w:p w14:paraId="137BB84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18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907E34">
        <w:tc>
          <w:tcPr>
            <w:tcW w:w="4248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417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8" w:type="dxa"/>
          </w:tcPr>
          <w:p w14:paraId="1C1D4C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907E34">
        <w:tc>
          <w:tcPr>
            <w:tcW w:w="4248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417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18" w:type="dxa"/>
          </w:tcPr>
          <w:p w14:paraId="65A28E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907E34">
        <w:tc>
          <w:tcPr>
            <w:tcW w:w="4248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417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8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907E34">
        <w:tc>
          <w:tcPr>
            <w:tcW w:w="4248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417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907E34">
        <w:tc>
          <w:tcPr>
            <w:tcW w:w="4248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417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907E34">
        <w:tc>
          <w:tcPr>
            <w:tcW w:w="4248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417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8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7777777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 Staranne przygotowanie dokumentacji przetargowej, zwłaszcza Opisu Przedmiotu Zamówienia</w:t>
            </w:r>
          </w:p>
          <w:p w14:paraId="0F4FD716" w14:textId="30E6433D" w:rsidR="00D52FF9" w:rsidRPr="00C01ED6" w:rsidRDefault="00D52FF9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7BADE2D9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</w:p>
          <w:p w14:paraId="58E4A5C7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6B8A260" w14:textId="68553D9D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C30753B" w14:textId="77777777" w:rsidTr="00BC03AD">
        <w:tc>
          <w:tcPr>
            <w:tcW w:w="3232" w:type="dxa"/>
            <w:vAlign w:val="center"/>
          </w:tcPr>
          <w:p w14:paraId="3093D5B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w uzyskiwaniu pozwoleń na budowę</w:t>
            </w:r>
          </w:p>
          <w:p w14:paraId="327B394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Konsekwencje materializacji ryzyka:</w:t>
            </w:r>
          </w:p>
          <w:p w14:paraId="3C514A89" w14:textId="77777777" w:rsidR="00A63DFF" w:rsidRPr="00C01ED6" w:rsidRDefault="00A63DFF" w:rsidP="00A63DFF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Opóźnienia w realizacji projektu</w:t>
            </w:r>
          </w:p>
          <w:p w14:paraId="15A53945" w14:textId="77777777" w:rsidR="00A63DFF" w:rsidRPr="00C01ED6" w:rsidRDefault="00A63DFF" w:rsidP="00A63DFF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Zwiększenie kosztów realizacji projektu</w:t>
            </w:r>
          </w:p>
        </w:tc>
        <w:tc>
          <w:tcPr>
            <w:tcW w:w="1559" w:type="dxa"/>
          </w:tcPr>
          <w:p w14:paraId="7E92DB3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</w:tcPr>
          <w:p w14:paraId="62EFB972" w14:textId="2AD21623" w:rsidR="00A63DFF" w:rsidRPr="00C01ED6" w:rsidRDefault="0090720B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21AA31BE" w14:textId="77777777" w:rsidR="00A63DFF" w:rsidRPr="00C01ED6" w:rsidRDefault="00A63DFF" w:rsidP="00BC03AD">
            <w:p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19430C02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Precyzyjne określenie warunków realizacji prac budowlanych przez wykonawcę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63E06A5C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77777777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Akcja promocyjna przygotowana we współpracy z wyspecjalizowaną firmą</w:t>
            </w:r>
          </w:p>
          <w:p w14:paraId="40F96D69" w14:textId="77777777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</w:tc>
      </w:tr>
    </w:tbl>
    <w:p w14:paraId="7A4448CF" w14:textId="40AA04CB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1BE4E928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Pion Organizacyjny – </w:t>
      </w:r>
      <w:r w:rsidR="00D52FF9"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="00D52FF9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546FAB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7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headerReference w:type="default" r:id="rId8"/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5799B" w14:textId="77777777" w:rsidR="00D361DB" w:rsidRDefault="00D361DB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D361DB" w:rsidRDefault="00D361DB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5278D5" w14:textId="77777777" w:rsidR="00D361DB" w:rsidRDefault="00D361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D361DB" w:rsidRDefault="00D36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CC458" w14:textId="77777777" w:rsidR="00D361DB" w:rsidRDefault="00D361DB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D361DB" w:rsidRDefault="00D361DB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D361DB" w:rsidRDefault="00D361DB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D361DB" w:rsidRDefault="00D36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6"/>
  </w:num>
  <w:num w:numId="5">
    <w:abstractNumId w:val="11"/>
  </w:num>
  <w:num w:numId="6">
    <w:abstractNumId w:val="10"/>
  </w:num>
  <w:num w:numId="7">
    <w:abstractNumId w:val="0"/>
  </w:num>
  <w:num w:numId="8">
    <w:abstractNumId w:val="8"/>
  </w:num>
  <w:num w:numId="9">
    <w:abstractNumId w:val="14"/>
  </w:num>
  <w:num w:numId="10">
    <w:abstractNumId w:val="9"/>
  </w:num>
  <w:num w:numId="11">
    <w:abstractNumId w:val="17"/>
  </w:num>
  <w:num w:numId="12">
    <w:abstractNumId w:val="3"/>
  </w:num>
  <w:num w:numId="13">
    <w:abstractNumId w:val="7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FD"/>
    <w:rsid w:val="00003818"/>
    <w:rsid w:val="00065E73"/>
    <w:rsid w:val="000D009B"/>
    <w:rsid w:val="000E0A55"/>
    <w:rsid w:val="000F4B2D"/>
    <w:rsid w:val="0016658C"/>
    <w:rsid w:val="001738BF"/>
    <w:rsid w:val="00212306"/>
    <w:rsid w:val="00214966"/>
    <w:rsid w:val="00227C49"/>
    <w:rsid w:val="00250E6D"/>
    <w:rsid w:val="00271D48"/>
    <w:rsid w:val="002774D3"/>
    <w:rsid w:val="00284038"/>
    <w:rsid w:val="002D7C74"/>
    <w:rsid w:val="002E4919"/>
    <w:rsid w:val="002F4973"/>
    <w:rsid w:val="00303489"/>
    <w:rsid w:val="00325EFD"/>
    <w:rsid w:val="00401B97"/>
    <w:rsid w:val="00490920"/>
    <w:rsid w:val="00497D7A"/>
    <w:rsid w:val="004B5495"/>
    <w:rsid w:val="005213C3"/>
    <w:rsid w:val="005256E3"/>
    <w:rsid w:val="0053702E"/>
    <w:rsid w:val="00584624"/>
    <w:rsid w:val="005A3C2C"/>
    <w:rsid w:val="005B0EFC"/>
    <w:rsid w:val="005D00E5"/>
    <w:rsid w:val="005F0D45"/>
    <w:rsid w:val="005F1ADD"/>
    <w:rsid w:val="005F69FC"/>
    <w:rsid w:val="00614143"/>
    <w:rsid w:val="00620701"/>
    <w:rsid w:val="006226EC"/>
    <w:rsid w:val="00663ECA"/>
    <w:rsid w:val="006A5885"/>
    <w:rsid w:val="007031D0"/>
    <w:rsid w:val="007106BC"/>
    <w:rsid w:val="0073052E"/>
    <w:rsid w:val="007645EB"/>
    <w:rsid w:val="0078025A"/>
    <w:rsid w:val="00785D54"/>
    <w:rsid w:val="007C101F"/>
    <w:rsid w:val="007E038A"/>
    <w:rsid w:val="007F6248"/>
    <w:rsid w:val="008201DB"/>
    <w:rsid w:val="00825537"/>
    <w:rsid w:val="00875CF4"/>
    <w:rsid w:val="008A5D8F"/>
    <w:rsid w:val="008C1091"/>
    <w:rsid w:val="008F4964"/>
    <w:rsid w:val="008F74B6"/>
    <w:rsid w:val="00904459"/>
    <w:rsid w:val="0090720B"/>
    <w:rsid w:val="00907E34"/>
    <w:rsid w:val="00950CA5"/>
    <w:rsid w:val="00980511"/>
    <w:rsid w:val="009B2527"/>
    <w:rsid w:val="00A63DFF"/>
    <w:rsid w:val="00B028EE"/>
    <w:rsid w:val="00B33FF7"/>
    <w:rsid w:val="00B702E9"/>
    <w:rsid w:val="00B70BB7"/>
    <w:rsid w:val="00B7690F"/>
    <w:rsid w:val="00BC03AD"/>
    <w:rsid w:val="00BC03ED"/>
    <w:rsid w:val="00BC207C"/>
    <w:rsid w:val="00BC5BFD"/>
    <w:rsid w:val="00BD369B"/>
    <w:rsid w:val="00BD38D2"/>
    <w:rsid w:val="00C30558"/>
    <w:rsid w:val="00C42668"/>
    <w:rsid w:val="00C457F0"/>
    <w:rsid w:val="00C76F52"/>
    <w:rsid w:val="00C8723C"/>
    <w:rsid w:val="00CC1F97"/>
    <w:rsid w:val="00CD35E4"/>
    <w:rsid w:val="00CF77C4"/>
    <w:rsid w:val="00D341F6"/>
    <w:rsid w:val="00D361DB"/>
    <w:rsid w:val="00D422AC"/>
    <w:rsid w:val="00D52FF9"/>
    <w:rsid w:val="00D940F4"/>
    <w:rsid w:val="00DD1B4E"/>
    <w:rsid w:val="00E760FF"/>
    <w:rsid w:val="00E76595"/>
    <w:rsid w:val="00E90ADF"/>
    <w:rsid w:val="00EB2D0A"/>
    <w:rsid w:val="00F15930"/>
    <w:rsid w:val="00F46300"/>
    <w:rsid w:val="00F959B9"/>
    <w:rsid w:val="00F96AAE"/>
    <w:rsid w:val="00FC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oanna.harasiewicz@img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1656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Joanna Harasiewicz</cp:lastModifiedBy>
  <cp:revision>2</cp:revision>
  <cp:lastPrinted>2018-06-26T09:24:00Z</cp:lastPrinted>
  <dcterms:created xsi:type="dcterms:W3CDTF">2019-09-04T10:11:00Z</dcterms:created>
  <dcterms:modified xsi:type="dcterms:W3CDTF">2019-09-04T10:11:00Z</dcterms:modified>
</cp:coreProperties>
</file>