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bCs/>
        </w:rPr>
        <w:t>Załącznik nr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7737C2F7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Ambasady RP w Abu Zabi (ogłoszenie nr 1/2026),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CFDC59D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>
        <w:rPr>
          <w:rFonts w:ascii="Lato" w:hAnsi="Lato"/>
          <w:b/>
        </w:rPr>
        <w:t>Informacja dotycząca przetwarzania danych osobowych przez Ambasadę RP w Abu Zabi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2370C94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Administratorem, w rozumieniu art. 4 pkt 7 RODO, Pani/ Pana danych osobowych jest Minister Spraw Zagranicznych z siedzibą w Polsce, w Warszawie, Al. J. Ch. Szucha 23, natomiast wykonującym obowiązki administratora jest kierownik placówki – Chargé d’Affaires a.i. Ambasady RP w Abu Zabi, Grzegorz Gawin.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C477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      </w:t>
      </w:r>
      <w:r>
        <w:rPr>
          <w:rFonts w:ascii="Lato" w:eastAsia="Times New Roman" w:hAnsi="Lato" w:cs="Arial"/>
          <w:bCs/>
          <w:lang w:val="es-ES" w:eastAsia="pl-PL"/>
        </w:rPr>
        <w:t xml:space="preserve">adres e-mail: </w:t>
      </w:r>
      <w:hyperlink r:id="rId5" w:history="1">
        <w:r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>
        <w:rPr>
          <w:rFonts w:ascii="Lato" w:eastAsia="Times New Roman" w:hAnsi="Lato" w:cs="Arial"/>
          <w:lang w:eastAsia="pl-PL"/>
        </w:rPr>
        <w:t xml:space="preserve">w związku z § 17 ust. 1 rozporządzenia Rady Ministrów z dnia 21 października 2019 r. w sprawie szczegółowego sposobu gospodarowania składnikami rzeczowymi majątku ruchomego Skarbu Państwa (Dz. U. z 2025 r. poz. 228) </w:t>
      </w:r>
      <w:r>
        <w:rPr>
          <w:rFonts w:ascii="Lato" w:eastAsia="Times New Roman" w:hAnsi="Lato" w:cs="Arial"/>
          <w:bCs/>
          <w:lang w:eastAsia="pl-PL"/>
        </w:rPr>
        <w:t>w celu przeprowadzenia sprzedaży składników majątku ruchomego w drodze przetargu publicznego.</w:t>
      </w:r>
    </w:p>
    <w:p w14:paraId="2A686927" w14:textId="6F3E1D32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Dostęp do danych posiadają wyłącznie uprawnieni pracownicy Ministerstwa Spraw Zagranicznych i Ambasady RP w Abu Zabi.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Dane osobowe zostaną zarchiwizowane zgodnie z przepisami ustawy z dnia </w:t>
      </w:r>
      <w:r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Osobie, której dane dotyczą, przysługują prawa do kontroli przetwarzania danych, określone w art. </w:t>
      </w:r>
      <w:r>
        <w:rPr>
          <w:rFonts w:ascii="Lato" w:eastAsia="Times New Roman" w:hAnsi="Lato" w:cs="Arial"/>
          <w:lang w:eastAsia="pl-PL"/>
        </w:rPr>
        <w:t xml:space="preserve">15-16 RODO, w szczególności prawo dostępu do treści swoich danych i ich sprostowania oraz w art. 18 RODO, tj. prawo do ograniczenia przetwarzania, </w:t>
      </w:r>
      <w:r>
        <w:rPr>
          <w:rFonts w:ascii="Lato" w:hAnsi="Lato"/>
          <w:lang w:eastAsia="pl-PL"/>
        </w:rPr>
        <w:t>o ile będzie miało zastosowanie</w:t>
      </w:r>
      <w:r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Dane osobowe nie będą przetwarzane w sposób zautomatyzowany, </w:t>
      </w:r>
      <w:r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280997"/>
    <w:rsid w:val="003C4771"/>
    <w:rsid w:val="004D7F60"/>
    <w:rsid w:val="00566BE1"/>
    <w:rsid w:val="00797CFF"/>
    <w:rsid w:val="008B1E38"/>
    <w:rsid w:val="00B36BB7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2563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Porębska Urszula</cp:lastModifiedBy>
  <cp:revision>2</cp:revision>
  <dcterms:created xsi:type="dcterms:W3CDTF">2026-10-07T04:30:00Z</dcterms:created>
  <dcterms:modified xsi:type="dcterms:W3CDTF">2026-10-07T04:30:00Z</dcterms:modified>
</cp:coreProperties>
</file>