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EB9A3" w14:textId="77777777" w:rsidR="00D86214" w:rsidRPr="00BB76F6" w:rsidRDefault="00D86214" w:rsidP="00D86214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7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7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STYCZNIA 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Pr="001A28E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2B646B7F" w14:textId="77777777" w:rsidR="00D86214" w:rsidRDefault="00D86214" w:rsidP="00D86214">
      <w:pPr>
        <w:spacing w:after="120" w:line="276" w:lineRule="auto"/>
        <w:jc w:val="both"/>
        <w:rPr>
          <w:rFonts w:ascii="Lato" w:hAnsi="Lato"/>
        </w:rPr>
      </w:pPr>
    </w:p>
    <w:p w14:paraId="467CB357" w14:textId="77777777" w:rsidR="00D86214" w:rsidRPr="00BB76F6" w:rsidRDefault="00D86214" w:rsidP="00D86214">
      <w:pPr>
        <w:spacing w:after="120" w:line="276" w:lineRule="auto"/>
        <w:jc w:val="both"/>
        <w:rPr>
          <w:rFonts w:ascii="Lato" w:hAnsi="Lato"/>
        </w:rPr>
      </w:pPr>
      <w:r w:rsidRPr="00BB76F6">
        <w:rPr>
          <w:rFonts w:ascii="Lato" w:hAnsi="Lato"/>
        </w:rPr>
        <w:t xml:space="preserve">W pierwszym wykazie </w:t>
      </w:r>
      <w:r>
        <w:rPr>
          <w:rFonts w:ascii="Lato" w:hAnsi="Lato"/>
        </w:rPr>
        <w:t>obowiązującym</w:t>
      </w:r>
      <w:r w:rsidRPr="00BB76F6">
        <w:rPr>
          <w:rFonts w:ascii="Lato" w:hAnsi="Lato"/>
        </w:rPr>
        <w:t xml:space="preserve"> w roku 202</w:t>
      </w:r>
      <w:r>
        <w:rPr>
          <w:rFonts w:ascii="Lato" w:hAnsi="Lato"/>
        </w:rPr>
        <w:t>5</w:t>
      </w:r>
      <w:r w:rsidRPr="00BB76F6">
        <w:rPr>
          <w:rFonts w:ascii="Lato" w:hAnsi="Lato"/>
        </w:rPr>
        <w:t xml:space="preserve">, finansowaniem ze środków publicznych zostało objętych </w:t>
      </w:r>
      <w:r>
        <w:rPr>
          <w:rFonts w:ascii="Lato" w:hAnsi="Lato"/>
          <w:b/>
          <w:bCs/>
        </w:rPr>
        <w:t>31</w:t>
      </w:r>
      <w:r w:rsidRPr="00BB76F6">
        <w:rPr>
          <w:rFonts w:ascii="Lato" w:hAnsi="Lato"/>
          <w:b/>
          <w:bCs/>
        </w:rPr>
        <w:t xml:space="preserve"> nowych </w:t>
      </w:r>
      <w:r w:rsidRPr="00BB76F6">
        <w:rPr>
          <w:rFonts w:ascii="Lato" w:hAnsi="Lato"/>
          <w:b/>
          <w:bCs/>
        </w:rPr>
        <w:br/>
        <w:t>cząsteczko – wskazań</w:t>
      </w:r>
      <w:r w:rsidRPr="00BB76F6">
        <w:rPr>
          <w:rFonts w:ascii="Lato" w:hAnsi="Lato"/>
        </w:rPr>
        <w:t>, w tym:</w:t>
      </w:r>
    </w:p>
    <w:p w14:paraId="38F8E008" w14:textId="77777777" w:rsidR="00D86214" w:rsidRPr="00107618" w:rsidRDefault="00D86214" w:rsidP="00D86214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13 cząsteczko – wskazań onkologicznych,</w:t>
      </w:r>
    </w:p>
    <w:p w14:paraId="3EB75B10" w14:textId="77777777" w:rsidR="00D86214" w:rsidRPr="00107618" w:rsidRDefault="00D86214" w:rsidP="00D86214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18 cząsteczko - wskazania nieonkologicznych,</w:t>
      </w:r>
    </w:p>
    <w:p w14:paraId="1B2D4B95" w14:textId="77777777" w:rsidR="00D86214" w:rsidRPr="00107618" w:rsidRDefault="00D86214" w:rsidP="00D86214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107618">
        <w:rPr>
          <w:rFonts w:ascii="Lato" w:hAnsi="Lato"/>
        </w:rPr>
        <w:t>12 cząsteczko - wskazania dedykowanych chorobom rzadkim.</w:t>
      </w:r>
    </w:p>
    <w:p w14:paraId="33B953A5" w14:textId="77777777" w:rsidR="00D86214" w:rsidRPr="00BB76F6" w:rsidRDefault="00D86214" w:rsidP="00D86214">
      <w:pPr>
        <w:spacing w:line="276" w:lineRule="auto"/>
        <w:jc w:val="both"/>
        <w:rPr>
          <w:rFonts w:ascii="Lato" w:hAnsi="Lato"/>
          <w:color w:val="000000" w:themeColor="text1"/>
        </w:rPr>
      </w:pPr>
      <w:r w:rsidRPr="00BB76F6">
        <w:rPr>
          <w:rFonts w:ascii="Lato" w:hAnsi="Lato"/>
          <w:color w:val="000000" w:themeColor="text1"/>
        </w:rPr>
        <w:t>Obwieszczenie refundacyjne obowiązujące od 1 stycznia 202</w:t>
      </w:r>
      <w:r>
        <w:rPr>
          <w:rFonts w:ascii="Lato" w:hAnsi="Lato"/>
          <w:color w:val="000000" w:themeColor="text1"/>
        </w:rPr>
        <w:t>5</w:t>
      </w:r>
      <w:r w:rsidRPr="00BB76F6">
        <w:rPr>
          <w:rFonts w:ascii="Lato" w:hAnsi="Lato"/>
          <w:color w:val="000000" w:themeColor="text1"/>
        </w:rPr>
        <w:t xml:space="preserve"> r. (nr 7</w:t>
      </w:r>
      <w:r>
        <w:rPr>
          <w:rFonts w:ascii="Lato" w:hAnsi="Lato"/>
          <w:color w:val="000000" w:themeColor="text1"/>
        </w:rPr>
        <w:t>7</w:t>
      </w:r>
      <w:r w:rsidRPr="00BB76F6">
        <w:rPr>
          <w:rFonts w:ascii="Lato" w:hAnsi="Lato"/>
          <w:color w:val="000000" w:themeColor="text1"/>
        </w:rPr>
        <w:t>), w porównaniu do obwieszczenia 7</w:t>
      </w:r>
      <w:r>
        <w:rPr>
          <w:rFonts w:ascii="Lato" w:hAnsi="Lato"/>
          <w:color w:val="000000" w:themeColor="text1"/>
        </w:rPr>
        <w:t>6</w:t>
      </w:r>
      <w:r w:rsidRPr="00BB76F6">
        <w:rPr>
          <w:rFonts w:ascii="Lato" w:hAnsi="Lato"/>
          <w:color w:val="000000" w:themeColor="text1"/>
        </w:rPr>
        <w:t xml:space="preserve"> zawiera następujące zmiany:</w:t>
      </w:r>
    </w:p>
    <w:p w14:paraId="67CAA37A" w14:textId="649E76B5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W związku z wydaniem pozytywnych decyzji o objęciu refundacją ogółem do wykazu zostało dodanych </w:t>
      </w:r>
      <w:r w:rsidR="00A16F0D" w:rsidRPr="00020DA9">
        <w:rPr>
          <w:rFonts w:ascii="Lato" w:hAnsi="Lato"/>
        </w:rPr>
        <w:t>191</w:t>
      </w:r>
      <w:r w:rsidRPr="00020DA9">
        <w:rPr>
          <w:rFonts w:ascii="Lato" w:hAnsi="Lato"/>
        </w:rPr>
        <w:t xml:space="preserve"> produktów bądź nowych wskazań.</w:t>
      </w:r>
    </w:p>
    <w:p w14:paraId="63EE648C" w14:textId="5C8914EF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Dla </w:t>
      </w:r>
      <w:r w:rsidR="00A16F0D" w:rsidRPr="00020DA9">
        <w:rPr>
          <w:rFonts w:ascii="Lato" w:hAnsi="Lato"/>
        </w:rPr>
        <w:t>640</w:t>
      </w:r>
      <w:r w:rsidRPr="00020DA9">
        <w:rPr>
          <w:rFonts w:ascii="Lato" w:hAnsi="Lato"/>
        </w:rPr>
        <w:t xml:space="preserve"> produktów wprowadzono obniżki cen zbytu </w:t>
      </w:r>
      <w:r w:rsidR="00A16F0D" w:rsidRPr="00020DA9">
        <w:rPr>
          <w:rFonts w:ascii="Lato" w:hAnsi="Lato"/>
        </w:rPr>
        <w:t xml:space="preserve">netto </w:t>
      </w:r>
      <w:r w:rsidRPr="00020DA9">
        <w:rPr>
          <w:rFonts w:ascii="Lato" w:hAnsi="Lato"/>
        </w:rPr>
        <w:t>(od 0,0</w:t>
      </w:r>
      <w:r w:rsidR="00A16F0D" w:rsidRPr="00020DA9">
        <w:rPr>
          <w:rFonts w:ascii="Lato" w:hAnsi="Lato"/>
        </w:rPr>
        <w:t xml:space="preserve">1 </w:t>
      </w:r>
      <w:r w:rsidRPr="00020DA9">
        <w:rPr>
          <w:rFonts w:ascii="Lato" w:hAnsi="Lato"/>
        </w:rPr>
        <w:t xml:space="preserve">zł do </w:t>
      </w:r>
      <w:r w:rsidR="00A16F0D" w:rsidRPr="00020DA9">
        <w:rPr>
          <w:rFonts w:ascii="Lato" w:hAnsi="Lato"/>
        </w:rPr>
        <w:t>5 191</w:t>
      </w:r>
      <w:r w:rsidRPr="00020DA9">
        <w:rPr>
          <w:rFonts w:ascii="Lato" w:hAnsi="Lato"/>
        </w:rPr>
        <w:t>,</w:t>
      </w:r>
      <w:r w:rsidR="00A16F0D" w:rsidRPr="00020DA9">
        <w:rPr>
          <w:rFonts w:ascii="Lato" w:hAnsi="Lato"/>
        </w:rPr>
        <w:t>8</w:t>
      </w:r>
      <w:r w:rsidRPr="00020DA9">
        <w:rPr>
          <w:rFonts w:ascii="Lato" w:hAnsi="Lato"/>
        </w:rPr>
        <w:t>0 zł).</w:t>
      </w:r>
    </w:p>
    <w:p w14:paraId="4B9437E9" w14:textId="0B5DF935" w:rsidR="00D86214" w:rsidRPr="00020DA9" w:rsidRDefault="00A16F0D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>Nie podwyższono ceny zbytu netto dla żadnego produktu.</w:t>
      </w:r>
    </w:p>
    <w:p w14:paraId="1031B273" w14:textId="1F1CCCA0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Dla </w:t>
      </w:r>
      <w:r w:rsidR="00A16F0D" w:rsidRPr="00020DA9">
        <w:rPr>
          <w:rFonts w:ascii="Lato" w:hAnsi="Lato"/>
        </w:rPr>
        <w:t>1072</w:t>
      </w:r>
      <w:r w:rsidRPr="00020DA9">
        <w:rPr>
          <w:rFonts w:ascii="Lato" w:hAnsi="Lato"/>
        </w:rPr>
        <w:t xml:space="preserve"> pozycji w obwieszczeniu spadnie dopłata pacjenta (od 0,01 zł do </w:t>
      </w:r>
      <w:r w:rsidR="00A16F0D" w:rsidRPr="00020DA9">
        <w:rPr>
          <w:rFonts w:ascii="Lato" w:hAnsi="Lato"/>
        </w:rPr>
        <w:t>198,84</w:t>
      </w:r>
      <w:r w:rsidRPr="00020DA9">
        <w:rPr>
          <w:rFonts w:ascii="Lato" w:hAnsi="Lato"/>
        </w:rPr>
        <w:t xml:space="preserve"> zł).</w:t>
      </w:r>
    </w:p>
    <w:p w14:paraId="5D97A038" w14:textId="4188A383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Dla </w:t>
      </w:r>
      <w:r w:rsidR="00A16F0D" w:rsidRPr="00020DA9">
        <w:rPr>
          <w:rFonts w:ascii="Lato" w:hAnsi="Lato"/>
        </w:rPr>
        <w:t>2406</w:t>
      </w:r>
      <w:r w:rsidRPr="00020DA9">
        <w:rPr>
          <w:rFonts w:ascii="Lato" w:hAnsi="Lato"/>
        </w:rPr>
        <w:t xml:space="preserve"> pozycji w obwieszczeniu wzrośnie dopłata pacjenta (od 0,01 zł do </w:t>
      </w:r>
      <w:r w:rsidR="00A16F0D" w:rsidRPr="00020DA9">
        <w:rPr>
          <w:rFonts w:ascii="Lato" w:hAnsi="Lato"/>
        </w:rPr>
        <w:t>456,55</w:t>
      </w:r>
      <w:r w:rsidRPr="00020DA9">
        <w:rPr>
          <w:rFonts w:ascii="Lato" w:hAnsi="Lato"/>
        </w:rPr>
        <w:t xml:space="preserve"> zł).</w:t>
      </w:r>
    </w:p>
    <w:p w14:paraId="1CEA7843" w14:textId="6E4484A5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Dla </w:t>
      </w:r>
      <w:r w:rsidR="00A16F0D" w:rsidRPr="00020DA9">
        <w:rPr>
          <w:rFonts w:ascii="Lato" w:hAnsi="Lato"/>
        </w:rPr>
        <w:t>816</w:t>
      </w:r>
      <w:r w:rsidRPr="00020DA9">
        <w:rPr>
          <w:rFonts w:ascii="Lato" w:hAnsi="Lato"/>
        </w:rPr>
        <w:t xml:space="preserve"> produktów ulegną obniżeniu ceny detaliczne brutto (od 0,01 zł do </w:t>
      </w:r>
      <w:r w:rsidR="00A16F0D" w:rsidRPr="00020DA9">
        <w:rPr>
          <w:rFonts w:ascii="Lato" w:hAnsi="Lato"/>
        </w:rPr>
        <w:t>157,31</w:t>
      </w:r>
      <w:r w:rsidRPr="00020DA9">
        <w:rPr>
          <w:rFonts w:ascii="Lato" w:hAnsi="Lato"/>
        </w:rPr>
        <w:t xml:space="preserve"> zł).</w:t>
      </w:r>
    </w:p>
    <w:p w14:paraId="6A1455BD" w14:textId="24C568A1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Dla </w:t>
      </w:r>
      <w:r w:rsidR="00A16F0D" w:rsidRPr="00020DA9">
        <w:rPr>
          <w:rFonts w:ascii="Lato" w:hAnsi="Lato"/>
        </w:rPr>
        <w:t>3745</w:t>
      </w:r>
      <w:r w:rsidRPr="00020DA9">
        <w:rPr>
          <w:rFonts w:ascii="Lato" w:hAnsi="Lato"/>
        </w:rPr>
        <w:t xml:space="preserve"> produktów wzrosną ceny detaliczne brutto (od 0,01 zł do </w:t>
      </w:r>
      <w:r w:rsidR="00A16F0D" w:rsidRPr="00020DA9">
        <w:rPr>
          <w:rFonts w:ascii="Lato" w:hAnsi="Lato"/>
        </w:rPr>
        <w:t>5,93</w:t>
      </w:r>
      <w:r w:rsidRPr="00020DA9">
        <w:rPr>
          <w:rFonts w:ascii="Lato" w:hAnsi="Lato"/>
        </w:rPr>
        <w:t xml:space="preserve"> zł).</w:t>
      </w:r>
    </w:p>
    <w:p w14:paraId="292A24BB" w14:textId="488DED3B" w:rsidR="00D86214" w:rsidRPr="00020DA9" w:rsidRDefault="00D86214" w:rsidP="00D86214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20DA9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A16F0D" w:rsidRPr="00020DA9">
        <w:rPr>
          <w:rFonts w:ascii="Lato" w:hAnsi="Lato"/>
        </w:rPr>
        <w:t>234</w:t>
      </w:r>
      <w:r w:rsidRPr="00020DA9">
        <w:rPr>
          <w:rFonts w:ascii="Lato" w:hAnsi="Lato"/>
        </w:rPr>
        <w:t xml:space="preserve"> produktów bądź wskazań figurujących w poprzednim obwieszczeniu.</w:t>
      </w:r>
    </w:p>
    <w:p w14:paraId="48A7AEA0" w14:textId="1987BACA" w:rsidR="00387421" w:rsidRPr="00387421" w:rsidRDefault="00885CAE" w:rsidP="00387421">
      <w:pPr>
        <w:suppressAutoHyphens w:val="0"/>
        <w:autoSpaceDE w:val="0"/>
        <w:spacing w:after="0" w:line="360" w:lineRule="auto"/>
        <w:rPr>
          <w:rFonts w:ascii="Lato" w:hAnsi="Lato"/>
          <w:sz w:val="24"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4C927E81" wp14:editId="0C3C6166">
            <wp:extent cx="4352925" cy="2803492"/>
            <wp:effectExtent l="0" t="0" r="9525" b="16510"/>
            <wp:docPr id="47253626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0D5CA79-D76A-46E2-96FB-49E66CAE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A0BECC9" wp14:editId="75D2621A">
            <wp:extent cx="4232910" cy="2802511"/>
            <wp:effectExtent l="0" t="0" r="15240" b="17145"/>
            <wp:docPr id="14368038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104527A-4B7B-4B3E-B490-148695C59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6A0C" w14:textId="5590EF5E" w:rsidR="004D093B" w:rsidRDefault="00885CAE" w:rsidP="00387421">
      <w:pPr>
        <w:suppressAutoHyphens w:val="0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562A7213" wp14:editId="7177CF9A">
            <wp:extent cx="4333875" cy="2796639"/>
            <wp:effectExtent l="0" t="0" r="9525" b="3810"/>
            <wp:docPr id="190292223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C8C64-7E08-4BD1-B749-283AD55A8E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8742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3BC529" wp14:editId="573C95FF">
            <wp:extent cx="4251366" cy="2795905"/>
            <wp:effectExtent l="0" t="0" r="15875" b="4445"/>
            <wp:docPr id="170436023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9CAC52-56A2-4432-8150-D06BD397D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D093B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701"/>
        <w:gridCol w:w="1701"/>
        <w:gridCol w:w="1983"/>
        <w:gridCol w:w="3262"/>
        <w:gridCol w:w="478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FF7111" w:rsidRPr="004D093B" w14:paraId="57D9CCB7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345" w14:textId="74CACBF9" w:rsidR="004448D7" w:rsidRPr="004D093B" w:rsidRDefault="004448D7" w:rsidP="004448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9CF6" w14:textId="04016958" w:rsidR="00FF7111" w:rsidRDefault="00FF7111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Lonsurf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F79B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+</w:t>
            </w:r>
            <w:proofErr w:type="gram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BF7A4C2" w14:textId="3EDB10A6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</w:t>
            </w:r>
            <w:r w:rsid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óżne produkty handlowe z </w:t>
            </w:r>
            <w:proofErr w:type="spellStart"/>
            <w:r w:rsid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bewacyzumabem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8663" w14:textId="6F471F97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triflurydyna</w:t>
            </w:r>
            <w:proofErr w:type="spellEnd"/>
            <w:r w:rsidR="00FF7111" w:rsidRPr="003D51F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typiracyl</w:t>
            </w:r>
            <w:proofErr w:type="spellEnd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bewacyzumab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4AA0" w14:textId="695BCA54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9A9E" w14:textId="6629C5CF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659C" w14:textId="7A3F7931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finansowanej opcji terapeutycznej o leczenie</w:t>
            </w:r>
            <w:r w:rsidR="002E748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II</w:t>
            </w:r>
            <w:r w:rsidR="002E7482"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kolejnych liniach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</w:t>
            </w:r>
            <w:r w:rsidRPr="003D51F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zaawansowanym rakiem jelita grubego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triflurydyną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typiracylem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="002E748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1B09D19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D7C9" w14:textId="55234F9B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F24A" w14:textId="67F578F4" w:rsidR="00FF7111" w:rsidRP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FF71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EA88" w14:textId="4F2E24A5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CC2A2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emiplimab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4197" w14:textId="016DEDA2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240E" w14:textId="26FAEC98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2400" w14:textId="58B9E6BC" w:rsidR="00FF7111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cemiplimabem</w:t>
            </w:r>
            <w:proofErr w:type="spellEnd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na związkach platyny </w:t>
            </w:r>
            <w:r w:rsidR="00FF711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</w:t>
            </w:r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na niedrobnokomórkowego raka płuca z ekspresją PD-L1 ≥1%, bez mutacji w genie EGFR oraz </w:t>
            </w:r>
            <w:proofErr w:type="spellStart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rearanżacji</w:t>
            </w:r>
            <w:proofErr w:type="spellEnd"/>
            <w:r w:rsidR="00FF7111"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genów ALK i ROS1</w:t>
            </w:r>
            <w:r w:rsidR="00FF7111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55BB30CE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161D" w14:textId="2DA7A92D" w:rsidR="00FF7111" w:rsidRPr="00E64860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BEB3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  <w:proofErr w:type="spellEnd"/>
          </w:p>
          <w:p w14:paraId="28BB06CA" w14:textId="71612FD1" w:rsidR="002E7482" w:rsidRPr="00E64860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>(forma podskórna)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8FAA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  <w:proofErr w:type="spellEnd"/>
          </w:p>
          <w:p w14:paraId="2A004C53" w14:textId="3F8D43D3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s.c.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D6EE" w14:textId="71420FA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4CF1" w14:textId="41D9A20C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8349" w14:textId="0A79A68C" w:rsidR="00FF7111" w:rsidRPr="00E64860" w:rsidRDefault="002E748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atezolizumab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w formie</w:t>
            </w:r>
            <w:r w:rsidR="00FF7111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podań podskórnych we wszystkich refundowanych wskazaniach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tej cząsteczki w aktualnym programie lekowym.</w:t>
            </w:r>
          </w:p>
        </w:tc>
      </w:tr>
      <w:tr w:rsidR="007F79B9" w:rsidRPr="004D093B" w14:paraId="2F304C7B" w14:textId="77777777" w:rsidTr="00D85772">
        <w:trPr>
          <w:cantSplit/>
          <w:trHeight w:val="888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1595AC31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FC19" w14:textId="38DCF496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>Cabometyx</w:t>
            </w:r>
            <w:proofErr w:type="spellEnd"/>
            <w:r w:rsidRPr="00E64860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+</w:t>
            </w:r>
          </w:p>
          <w:p w14:paraId="51270B9C" w14:textId="54262FAB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585" w14:textId="6E67EC80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sz w:val="18"/>
                <w:szCs w:val="18"/>
              </w:rPr>
              <w:t>Kabozantynib</w:t>
            </w:r>
            <w:proofErr w:type="spellEnd"/>
            <w:r w:rsidRPr="00E64860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</w:t>
            </w:r>
          </w:p>
          <w:p w14:paraId="61F52E7F" w14:textId="5B51C646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FAAF8BE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39670D0E" w:rsidR="007F79B9" w:rsidRPr="00E64860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>LECZENIE CHORYCH NA RAKA NERKI (ICD-10 C64)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5220F671" w:rsidR="007F79B9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kabozantynibem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 linii terapii raka nerki w populacji pacjentów z pośrednim lub niekorzystnym rokowaniem wg IMDC. </w:t>
            </w:r>
          </w:p>
        </w:tc>
      </w:tr>
      <w:tr w:rsidR="00FF7111" w:rsidRPr="004D093B" w14:paraId="33D5AA32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3632" w14:textId="19E14F08" w:rsidR="00FF7111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E333" w14:textId="5DE516BB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Brukinsa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D67E" w14:textId="38A5DE9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zanubrutynib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9E1A" w14:textId="4E59652E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2EE0" w14:textId="568B6822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2B3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zanubrutynibem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opornego lub nawrotowego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strefy brzeżnej (MZL), po wcześniejszym zastosowaniu co najmniej 1 linii leczenia systemowego, w tym zawierającej przeciwciało anty-CD20.</w:t>
            </w:r>
          </w:p>
          <w:p w14:paraId="787822A2" w14:textId="10A2486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35D585A5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C3DE" w14:textId="73DF7EC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08C" w14:textId="6498A852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Zynlonta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D69E" w14:textId="4F7E4BB2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lonkastuksymab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tezyryny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483B" w14:textId="3B2AD9CF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1AA" w14:textId="75F2B47C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F487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lonkastuksymabem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tezyryny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</w:t>
            </w:r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opornego lub nawrotowego </w:t>
            </w:r>
            <w:proofErr w:type="spellStart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rozlanego z dużych komórek B (DLBCL) lub </w:t>
            </w:r>
            <w:proofErr w:type="spellStart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2C6E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komórek B o wysokim stopniu złośliwości (HGBCL)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FA7E8B" w14:textId="3B6BC612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4193F70D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570F8CD8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</w:t>
            </w:r>
            <w:r w:rsidR="007F79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6AE0317A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E7482">
              <w:rPr>
                <w:rFonts w:ascii="Lato" w:hAnsi="Lato" w:cstheme="majorHAnsi"/>
                <w:b/>
                <w:bCs/>
                <w:sz w:val="18"/>
                <w:szCs w:val="18"/>
              </w:rPr>
              <w:t>Akeega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35D711E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</w:t>
            </w:r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>iraparyb</w:t>
            </w:r>
            <w:proofErr w:type="spellEnd"/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Pr="00CC2A27">
              <w:rPr>
                <w:rFonts w:ascii="Lato" w:hAnsi="Lato" w:cstheme="majorHAnsi"/>
                <w:i/>
                <w:iCs/>
                <w:sz w:val="18"/>
                <w:szCs w:val="18"/>
              </w:rPr>
              <w:t>birateron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F2C84CB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sz w:val="18"/>
                <w:szCs w:val="18"/>
              </w:rPr>
              <w:t>B.56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66616634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537681D8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w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prednizonem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prednizolonem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 z opornym na kastrację rakiem gruczołu krokowego z przerzutami (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) i mutacjami genów BRCA 1/2 (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germinalną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i/lub somatyczną),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u których nie jest wskazana chemioterapia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F79B9" w:rsidRPr="004D093B" w14:paraId="79F6918C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E0482BA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7F79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24C10BC3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Tibsovo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1CECFC2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iwosydenib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4A93170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B.114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07E62DE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OSTRĄ BIAŁACZKĘ SZPIKOWĄ (ICD-10: C92.0)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99CE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I linii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iwosydenibem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azacytydyn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nowo rozpoznaną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ostrą białaczk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szpikową z mutacją w genie kodującym dehydrogenazę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izocytrynianu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1 (IDH1) R132,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niekwalifikujących się do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standardow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induk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ującej.</w:t>
            </w:r>
          </w:p>
          <w:p w14:paraId="4B78C48F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- Technologia lekowa o wysokim stopniu innowacyjności</w:t>
            </w:r>
            <w:r w:rsidRPr="003C4FD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5F6D2A24" w14:textId="457018F1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59AF2A0C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4A2C3A82" w:rsidR="007F79B9" w:rsidRPr="004D093B" w:rsidRDefault="002A56D5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7F79B9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7879B5E8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Ayvakyt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704475BF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awaprytynib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0D6612F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B.115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1FF1EA24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LECZENIE AGRESYWNEJ MASTOCYTOZY UKŁADOWEJ, MASTOCYTOZY UKŁADOWEJ Z WSPÓŁISTNIEJĄCYM NOWOTWOREM UKŁADU KRWIOTWÓRCZEGO ORAZ BIAŁACZKI MASTOCYTARNEJ (ICD-10: C96.2, C94.3, D47.9)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3634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awaprytynibem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agresywn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zę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(ASM)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mastocytoz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proofErr w:type="spellEnd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układow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współistniejącym nowotworem układu krwiotwórczego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(SM-AHN)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lub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białaczk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7102">
              <w:rPr>
                <w:rFonts w:ascii="Lato" w:hAnsi="Lato" w:cstheme="majorHAnsi"/>
                <w:color w:val="000000"/>
                <w:sz w:val="18"/>
                <w:szCs w:val="18"/>
              </w:rPr>
              <w:t>mastocytarn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(MCL), po wcześniejszym zastosowaniu co najmniej 1 linii leczenia ogólnoustrojowego.</w:t>
            </w:r>
          </w:p>
          <w:p w14:paraId="2749EA53" w14:textId="6352A7F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2EAEEA5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6D7057E7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0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6A194A2E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2E748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Libtayo</w:t>
            </w:r>
            <w:proofErr w:type="spellEnd"/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673FBFA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CC2A2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emiplimab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69EF6E42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B.159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EAA5D35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58C68A8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cemiplimab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pacjentek z nawrotowym lub przerzutowym rakiem szyjki macicy i progresją choroby w trakcie lub po chemioterapii opartej na związkach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F79B9" w:rsidRPr="004D093B" w14:paraId="47236D55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5971" w14:textId="52C5917E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1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0AB" w14:textId="35A2EAF8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77EF" w14:textId="461D0509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0787" w14:textId="6256F50C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C.101.a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C20C" w14:textId="3D03B1D7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4ED6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refundacyjnego w leczeniu dorosłych pacjentów na opornego lub nawrotowego szpiczaka plazmocytowego o leczenie od V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bortezomibem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(schemat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PVd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po wcześniejszym zastosowaniu leczenia zawierającego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  <w:p w14:paraId="292337E1" w14:textId="593F3764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527B1708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6844" w14:textId="3717187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2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C641" w14:textId="693CD463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8561" w14:textId="5DACCABB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A4F2" w14:textId="48EA4FEF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C.101.b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8F0F" w14:textId="60096228" w:rsidR="007F79B9" w:rsidRPr="00CC2A27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8CAB" w14:textId="77777777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skojarzeniu z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(schemat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PCd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ze szpiczakiem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plazmocytowym</w:t>
            </w:r>
            <w:proofErr w:type="spellEnd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stosowano uprzednio co najmniej jedną linię leczenia, w tym zawierającą </w:t>
            </w:r>
            <w:proofErr w:type="spellStart"/>
            <w:r w:rsidRPr="000E5F94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</w:p>
          <w:p w14:paraId="33AC6ACB" w14:textId="77777777" w:rsidR="007F79B9" w:rsidRPr="000E5F94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7FF26AA" w14:textId="7889AC15" w:rsidR="007F79B9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F79B9" w:rsidRPr="004D093B" w14:paraId="189EA4B0" w14:textId="77777777" w:rsidTr="004448D7">
        <w:trPr>
          <w:cantSplit/>
          <w:trHeight w:val="2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91D6931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A56D5">
              <w:rPr>
                <w:rFonts w:ascii="Lato" w:hAnsi="Lato" w:cstheme="majorHAnsi"/>
                <w:sz w:val="18"/>
                <w:szCs w:val="18"/>
              </w:rPr>
              <w:t>3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549BA6A0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C4A7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725431D9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pomalidomid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30936FD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C.101.b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338F43C7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985D" w14:textId="77777777" w:rsidR="007F79B9" w:rsidRPr="00F64053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 od II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(schemat Pd) </w:t>
            </w:r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ze szpiczakiem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plazmocytowym</w:t>
            </w:r>
            <w:proofErr w:type="spellEnd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których stosowano uprzednio co najmniej jedną linię leczenia, w tym zawierającą </w:t>
            </w:r>
            <w:proofErr w:type="spellStart"/>
            <w:r w:rsidRPr="00F64053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</w:p>
          <w:p w14:paraId="465AD33E" w14:textId="77777777" w:rsidR="007F79B9" w:rsidRPr="000E5F94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0B1AA7A9" w14:textId="2566D8DA" w:rsidR="007F79B9" w:rsidRPr="004D093B" w:rsidRDefault="007F79B9" w:rsidP="007F79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F6405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7F9CCF36" w14:textId="51B74B46" w:rsidR="004D093B" w:rsidRDefault="004D093B"/>
    <w:p w14:paraId="7FCF9A29" w14:textId="61C65501" w:rsidR="00E530B9" w:rsidRDefault="00E530B9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387421" w:rsidRPr="004D093B" w14:paraId="7522F87A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C7375EE" w:rsidR="00387421" w:rsidRPr="004D093B" w:rsidRDefault="004448D7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250BE3BF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56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Ilaris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CDF494E" w:rsidR="00387421" w:rsidRPr="004D093B" w:rsidRDefault="00387421" w:rsidP="002A56D5">
            <w:pPr>
              <w:spacing w:after="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4689">
              <w:rPr>
                <w:rFonts w:ascii="Lato" w:hAnsi="Lato"/>
                <w:i/>
                <w:iCs/>
                <w:sz w:val="18"/>
                <w:szCs w:val="18"/>
              </w:rPr>
              <w:t>kanakinumab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76733C5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4689">
              <w:rPr>
                <w:rFonts w:ascii="Lato" w:hAnsi="Lato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1D39C404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4689">
              <w:rPr>
                <w:rFonts w:ascii="Lato" w:hAnsi="Lato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90D0" w14:textId="3638BBB4" w:rsidR="00387421" w:rsidRDefault="0038742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Leczenie</w:t>
            </w:r>
            <w:r w:rsidRPr="004D35D9">
              <w:rPr>
                <w:rFonts w:ascii="Lato" w:hAnsi="Lato"/>
                <w:sz w:val="18"/>
                <w:szCs w:val="18"/>
              </w:rPr>
              <w:t xml:space="preserve"> pacjentów dorosłych z rozpoznaniem choroby </w:t>
            </w:r>
            <w:proofErr w:type="spellStart"/>
            <w:r w:rsidRPr="004D35D9">
              <w:rPr>
                <w:rFonts w:ascii="Lato" w:hAnsi="Lato"/>
                <w:sz w:val="18"/>
                <w:szCs w:val="18"/>
              </w:rPr>
              <w:t>Stilla</w:t>
            </w:r>
            <w:proofErr w:type="spellEnd"/>
            <w:r w:rsidRPr="004D35D9">
              <w:rPr>
                <w:rFonts w:ascii="Lato" w:hAnsi="Lato"/>
                <w:sz w:val="18"/>
                <w:szCs w:val="18"/>
              </w:rPr>
              <w:t xml:space="preserve"> </w:t>
            </w:r>
            <w:r w:rsidR="005C1412">
              <w:rPr>
                <w:rFonts w:ascii="Lato" w:hAnsi="Lato"/>
                <w:sz w:val="18"/>
                <w:szCs w:val="18"/>
              </w:rPr>
              <w:t>(</w:t>
            </w:r>
            <w:r w:rsidRPr="004D35D9">
              <w:rPr>
                <w:rFonts w:ascii="Lato" w:hAnsi="Lato"/>
                <w:sz w:val="18"/>
                <w:szCs w:val="18"/>
              </w:rPr>
              <w:t>AOSD</w:t>
            </w:r>
            <w:r w:rsidR="005C1412">
              <w:rPr>
                <w:rFonts w:ascii="Lato" w:hAnsi="Lato"/>
                <w:sz w:val="18"/>
                <w:szCs w:val="18"/>
              </w:rPr>
              <w:t>)</w:t>
            </w:r>
            <w:r w:rsidRPr="004D35D9">
              <w:rPr>
                <w:rFonts w:ascii="Lato" w:hAnsi="Lato"/>
                <w:sz w:val="18"/>
                <w:szCs w:val="18"/>
              </w:rPr>
              <w:t xml:space="preserve"> z dużą aktywnością choroby lub ze współistniejącym reumatoidalnym zapaleniem stawów oraz w populacji od 2 r.ż. z młodzieńczym idiopatycznym zapaleniem stawów </w:t>
            </w:r>
            <w:r w:rsidR="005C1412">
              <w:rPr>
                <w:rFonts w:ascii="Lato" w:hAnsi="Lato"/>
                <w:sz w:val="18"/>
                <w:szCs w:val="18"/>
              </w:rPr>
              <w:t>(</w:t>
            </w:r>
            <w:r w:rsidRPr="004D35D9">
              <w:rPr>
                <w:rFonts w:ascii="Lato" w:hAnsi="Lato"/>
                <w:sz w:val="18"/>
                <w:szCs w:val="18"/>
              </w:rPr>
              <w:t>MIZS</w:t>
            </w:r>
            <w:r w:rsidR="005C1412">
              <w:rPr>
                <w:rFonts w:ascii="Lato" w:hAnsi="Lato"/>
                <w:sz w:val="18"/>
                <w:szCs w:val="18"/>
              </w:rPr>
              <w:t>)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  <w:p w14:paraId="5797C9BB" w14:textId="72CBA6A2" w:rsidR="00387421" w:rsidRPr="004D093B" w:rsidRDefault="0038742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Nowy l</w:t>
            </w:r>
            <w:r w:rsidRPr="00944689">
              <w:rPr>
                <w:rFonts w:ascii="Lato" w:hAnsi="Lato"/>
                <w:sz w:val="18"/>
                <w:szCs w:val="18"/>
              </w:rPr>
              <w:t>ek biologiczny, inhibitor interleukiny -1 beta (IL-1 beta)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2A56D5" w:rsidRPr="004D093B" w14:paraId="61217492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2EBC" w14:textId="010625C1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818C" w14:textId="6EBC20F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8186" w14:textId="424985BD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i/>
                <w:iCs/>
                <w:sz w:val="18"/>
                <w:szCs w:val="18"/>
              </w:rPr>
              <w:t>toksyna botulinowa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A4DB" w14:textId="199C6D9E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color w:val="000000"/>
                <w:sz w:val="18"/>
                <w:szCs w:val="18"/>
              </w:rPr>
              <w:t>B.30.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41B8" w14:textId="2126049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E58E" w14:textId="77777777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color w:val="000000"/>
                <w:sz w:val="18"/>
                <w:szCs w:val="18"/>
              </w:rPr>
              <w:t>Rozszerzeni zakresu wskazań klinicznych dla toksyny botulinowej o pacjentów pediatrycznych ze spastycznością o etiologii innej niż w wyniku mózgowego porażenia dziecięcego, tj.: po przebytym niedokrwiennym lub krwotocznym udarze mózgu, po przebytym urazie OUN, z rozpoznaniem stwardnienia rozsianego, z rozpoznaniem paraplegii spastycznej.</w:t>
            </w:r>
          </w:p>
          <w:p w14:paraId="738219B7" w14:textId="4D95441D" w:rsidR="002A56D5" w:rsidRP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</w:t>
            </w:r>
            <w:proofErr w:type="spellStart"/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label</w:t>
            </w:r>
            <w:proofErr w:type="spellEnd"/>
            <w:r w:rsidRPr="002A56D5">
              <w:rPr>
                <w:rFonts w:ascii="Lato" w:hAnsi="Lato" w:cstheme="majorHAnsi"/>
                <w:b/>
                <w:bCs/>
                <w:sz w:val="18"/>
                <w:szCs w:val="18"/>
              </w:rPr>
              <w:t>)</w:t>
            </w:r>
          </w:p>
        </w:tc>
      </w:tr>
      <w:tr w:rsidR="00FF7111" w:rsidRPr="004D093B" w14:paraId="3308228E" w14:textId="77777777" w:rsidTr="00E64860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6609" w14:textId="1A02F6E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551E" w14:textId="4945E8EF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Omvoh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1E77" w14:textId="1A05F942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mirikizumab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8867" w14:textId="1D39B416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DB11" w14:textId="6FB1FCBA" w:rsidR="00FF7111" w:rsidRPr="008120BF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27364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2206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</w:t>
            </w:r>
            <w:r w:rsidRPr="00227364">
              <w:rPr>
                <w:rFonts w:ascii="Lato" w:hAnsi="Lato" w:cstheme="majorHAnsi"/>
                <w:color w:val="000000"/>
                <w:sz w:val="18"/>
                <w:szCs w:val="18"/>
              </w:rPr>
              <w:t>w wieku od 18 lat z rozpoznaną ciężką lub umiarkowaną postacią WZJG</w:t>
            </w:r>
            <w:r w:rsidR="005C141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73BFA8F" w14:textId="469D2A2D" w:rsidR="005C1412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dla pacjentów z WZJG.</w:t>
            </w:r>
          </w:p>
        </w:tc>
      </w:tr>
      <w:tr w:rsidR="00FF7111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993850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4DC3939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Vesoxx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8F13BB5" w:rsidR="00FF7111" w:rsidRPr="004D093B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</w:t>
            </w:r>
            <w:r w:rsidRPr="005C1412">
              <w:rPr>
                <w:rFonts w:ascii="Lato" w:hAnsi="Lato" w:cstheme="majorHAnsi"/>
                <w:i/>
                <w:iCs/>
                <w:sz w:val="18"/>
                <w:szCs w:val="18"/>
              </w:rPr>
              <w:t>ksybutyniny</w:t>
            </w:r>
            <w:proofErr w:type="spellEnd"/>
            <w:r w:rsidRPr="005C1412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chlorowodorek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ACB97E8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B.73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F8F68B6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120B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NEUROGENNĄ NADREAKTYWNOŚCIĄ WYPIERACZA (ICD-10: N31)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4DF96C4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neurogennej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nadreaktywności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wypieracza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wynikającej z uszkodzenia rdzenia kręgowego lub z rozszczepienia kręgosłupa, u dzieci i młodzieży w wieku 6-18 lat.</w:t>
            </w:r>
          </w:p>
        </w:tc>
      </w:tr>
      <w:tr w:rsidR="00FF7111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0F58946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4404955A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Takhzyro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7EE27DC0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lanadelumab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1FF29B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44EFE171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75C1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6881" w14:textId="77777777" w:rsidR="005C1412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Poszerzenie populacji pacjentów z dziedzicznym obrzękiem naczynioruchowym leczonych profilaktycznie w programie poprzez zmniejszenie liczny ataków w okresie 6 miesięcy (z 12 na 6) oraz usunięcie lokalizacji ataków branych pod uwagę</w:t>
            </w:r>
            <w:r w:rsidR="005C141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AFE6806" w14:textId="7C8F3334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5C1412" w:rsidRPr="000E5F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6D899FDB" w14:textId="77777777" w:rsidTr="002A56D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441C3AC3" w:rsidR="00FF7111" w:rsidRPr="00E64860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</w:t>
            </w:r>
            <w:r w:rsidR="004448D7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5EDA7EA3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/>
                <w:b/>
                <w:bCs/>
                <w:sz w:val="18"/>
                <w:szCs w:val="18"/>
              </w:rPr>
              <w:t>Dupixent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4D180857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/>
                <w:i/>
                <w:iCs/>
                <w:sz w:val="18"/>
                <w:szCs w:val="18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A3F979B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>B.124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44A7C723" w:rsidR="00FF7111" w:rsidRPr="00E64860" w:rsidRDefault="00FF7111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>LECZENIE CHORYCH Z CIĘŻKĄ POSTACIĄ ATOPOWEGO ZAPALENIA SKÓRY (ICD-10: L20)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057F7B5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 xml:space="preserve">Rozszerzenie </w:t>
            </w:r>
            <w:r w:rsidR="0012601A" w:rsidRPr="00E64860">
              <w:rPr>
                <w:rFonts w:ascii="Lato" w:hAnsi="Lato"/>
                <w:sz w:val="18"/>
                <w:szCs w:val="18"/>
              </w:rPr>
              <w:t>wskazań refundacyjnych</w:t>
            </w:r>
            <w:r w:rsidRPr="00E64860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/>
                <w:sz w:val="18"/>
                <w:szCs w:val="18"/>
              </w:rPr>
              <w:t>dupilumabu</w:t>
            </w:r>
            <w:proofErr w:type="spellEnd"/>
            <w:r w:rsidRPr="00E64860">
              <w:rPr>
                <w:rFonts w:ascii="Lato" w:hAnsi="Lato"/>
                <w:sz w:val="18"/>
                <w:szCs w:val="18"/>
              </w:rPr>
              <w:t xml:space="preserve"> </w:t>
            </w:r>
            <w:r w:rsidR="0012601A" w:rsidRPr="00E64860">
              <w:rPr>
                <w:rFonts w:ascii="Lato" w:hAnsi="Lato"/>
                <w:sz w:val="18"/>
                <w:szCs w:val="18"/>
              </w:rPr>
              <w:t>w programie lekowym dedykowanym pacjentom z ciężkim atopowym zapaleniem skóry poprzez redukcję minimalnego progu wiekowego z 6 lat na 6 miesięcy.</w:t>
            </w:r>
          </w:p>
        </w:tc>
      </w:tr>
      <w:tr w:rsidR="00FF7111" w:rsidRPr="004D093B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4C9E9556" w:rsidR="00FF7111" w:rsidRPr="00E64860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7</w:t>
            </w:r>
            <w:r w:rsidR="004448D7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66517AFA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Fintepla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5EE7ACFF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fenfluramina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1CAC431C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77D61D79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ACF5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zespołem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Lennoxa-Gastauta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z zespołem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Dravet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wieku 2 lat i powyżej, u których napady padaczkowe nie są w pełni kontrolowane pomimo zastosowania co najmniej trzech leków przeciwpadaczkowych.</w:t>
            </w:r>
          </w:p>
          <w:p w14:paraId="62391289" w14:textId="77777777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Kolejna opcja terapeutyczna dla pacjentów z rzadkimi zespołami padaczkowymi.</w:t>
            </w:r>
          </w:p>
          <w:p w14:paraId="64E75D71" w14:textId="42890263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2ACDF664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1D2D6A08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7249751E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17974E55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49682D3B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17FC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dla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seropozytywnych -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rawulizumab</w:t>
            </w:r>
            <w:proofErr w:type="spellEnd"/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wskazany do stosowania jako terapia dodatkowa do standardowego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616BE">
              <w:rPr>
                <w:rFonts w:ascii="Lato" w:hAnsi="Lato" w:cstheme="majorHAnsi"/>
                <w:color w:val="000000"/>
                <w:sz w:val="18"/>
                <w:szCs w:val="18"/>
              </w:rPr>
              <w:t>leczenia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miastenię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gravis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686710F4" w14:textId="4B50F96F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616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1BF7A7C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1AB3" w14:textId="494B32AC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3BB8" w14:textId="62E8BFB5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Voxzogo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AA89" w14:textId="160F6CEE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wosorytyd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EF15" w14:textId="49FDE25E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E64860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E401" w14:textId="749EA461" w:rsidR="00FF7111" w:rsidRPr="007616BE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5534C">
              <w:rPr>
                <w:rFonts w:ascii="Lato" w:hAnsi="Lato" w:cstheme="majorHAnsi"/>
                <w:color w:val="000000"/>
                <w:sz w:val="18"/>
                <w:szCs w:val="18"/>
              </w:rPr>
              <w:t>LECZENIE PACJETÓW Z ACHONDROPLAZJĄ (ICD-10: Q77.4)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16C7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43C5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achondroplazji u pacjentów w wieku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43C52">
              <w:rPr>
                <w:rFonts w:ascii="Lato" w:hAnsi="Lato" w:cstheme="majorHAnsi"/>
                <w:color w:val="000000"/>
                <w:sz w:val="18"/>
                <w:szCs w:val="18"/>
              </w:rPr>
              <w:t>4 miesięcy lub starszych, których nasady kości długiej nie są zamknięte.</w:t>
            </w:r>
          </w:p>
          <w:p w14:paraId="6ECBD001" w14:textId="15177563" w:rsidR="00FF7111" w:rsidRPr="007616BE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52C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F7111" w:rsidRPr="004D093B" w14:paraId="286708CA" w14:textId="77777777" w:rsidTr="007F79B9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E1E8" w14:textId="26242A55" w:rsidR="00FF7111" w:rsidRPr="004D093B" w:rsidRDefault="002A56D5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 w:rsidR="004448D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65C3" w14:textId="63A14FE3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Luxturna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B3A6" w14:textId="256A1C47" w:rsidR="00FF7111" w:rsidRDefault="005C1412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oretygen</w:t>
            </w:r>
            <w:proofErr w:type="spellEnd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F711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neparwowek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978F" w14:textId="44012F32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E64860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21E3" w14:textId="5FA2D2A1" w:rsidR="00FF7111" w:rsidRPr="00D96CA5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WRODZONĄ ŚLEPOTĘ LEBERA (LCA) Z BIALLELICZNĄ MUTACJĄ GENU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RPE65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H35.5)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1A7" w14:textId="77777777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w wieku od 4 do 35 lat chorujących na wrodzoną ślepotę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Lebera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wywołaną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bialleliczną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mutacją genu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RPE65</w:t>
            </w:r>
            <w:r w:rsid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.</w:t>
            </w:r>
          </w:p>
          <w:p w14:paraId="1F0BF29C" w14:textId="60F62E86" w:rsidR="004448D7" w:rsidRPr="004448D7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52C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195"/>
        <w:gridCol w:w="3545"/>
        <w:gridCol w:w="8608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FF7111" w:rsidRPr="004D093B" w14:paraId="7E3371E2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8BB3" w14:textId="449E0277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2FEA" w14:textId="3C6232BC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EE57" w14:textId="2FDB8D06" w:rsidR="00FF7111" w:rsidRPr="00387421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CC2A2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3A46" w14:textId="533684B5" w:rsidR="00FF7111" w:rsidRDefault="00FF7111" w:rsidP="00FF7111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Zmiany w programie lekowym o charakterze porządkującym. W części badania diagnostyczne wykonywane w ramach programu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dokonano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modyfikacji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zapisów 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związanych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częstotliwością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wykonywania badań diagnostycznych w ramach monitorowania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Dodano 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>również wskaźnik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6D2E0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oceny skuteczności 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F7111" w:rsidRPr="004D093B" w14:paraId="50DA02B0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9A73E7B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bookmarkStart w:id="1" w:name="_Hlk184723454"/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1E411FF4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B.30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6574A330" w:rsidR="00FF7111" w:rsidRPr="00387421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387421">
              <w:rPr>
                <w:rFonts w:ascii="Lato" w:hAnsi="Lato"/>
                <w:bCs/>
                <w:sz w:val="18"/>
                <w:szCs w:val="18"/>
              </w:rPr>
              <w:t>LECZENIE PACJENTÓW PEDIATRYCZNYCH ZE SPASTYCZNOŚCIĄ KOŃCZYN Z UŻYCIEM TOKSYNY BOTULINOWEJ TYPU A (ICD–10: I61, I63, I69, G35, G80, G82, G83, T90, T91)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E2D4" w14:textId="69A21933" w:rsidR="004448D7" w:rsidRPr="004448D7" w:rsidRDefault="00FF7111" w:rsidP="004448D7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Odpowi</w:t>
            </w:r>
            <w:r w:rsidR="004448D7">
              <w:rPr>
                <w:rFonts w:ascii="Lato" w:hAnsi="Lato" w:cstheme="majorHAnsi"/>
                <w:sz w:val="18"/>
                <w:szCs w:val="18"/>
              </w:rPr>
              <w:t xml:space="preserve">adając </w:t>
            </w:r>
            <w:r>
              <w:rPr>
                <w:rFonts w:ascii="Lato" w:hAnsi="Lato" w:cstheme="majorHAnsi"/>
                <w:sz w:val="18"/>
                <w:szCs w:val="18"/>
              </w:rPr>
              <w:t>na niezaspokojoną dotychczas potrzebę terapeutyczną</w:t>
            </w:r>
            <w:r w:rsidR="004448D7">
              <w:rPr>
                <w:rFonts w:ascii="Lato" w:hAnsi="Lato" w:cstheme="majorHAnsi"/>
                <w:sz w:val="18"/>
                <w:szCs w:val="18"/>
              </w:rPr>
              <w:t xml:space="preserve">, dokonano kompleksowej 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>zmian</w:t>
            </w:r>
            <w:r w:rsidR="004448D7">
              <w:rPr>
                <w:rFonts w:ascii="Lato" w:hAnsi="Lato" w:cstheme="majorHAnsi"/>
                <w:sz w:val="18"/>
                <w:szCs w:val="18"/>
              </w:rPr>
              <w:t>y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 xml:space="preserve"> programu lekowego, który został wprowadzony </w:t>
            </w:r>
            <w:r w:rsidR="004448D7">
              <w:rPr>
                <w:rFonts w:ascii="Lato" w:hAnsi="Lato" w:cstheme="majorHAnsi"/>
                <w:sz w:val="18"/>
                <w:szCs w:val="18"/>
              </w:rPr>
              <w:t>ponad dekadę temu</w:t>
            </w:r>
            <w:r w:rsidR="004448D7" w:rsidRPr="004448D7">
              <w:rPr>
                <w:rFonts w:ascii="Lato" w:hAnsi="Lato" w:cstheme="majorHAnsi"/>
                <w:sz w:val="18"/>
                <w:szCs w:val="18"/>
              </w:rPr>
              <w:t xml:space="preserve"> wraz z rozszerzeniem wskazań dla pacjentów pediatrycznych ze spastycznością o etiologii innej niż w wyniku mózgowego porażenia dziecięcego, tj.:</w:t>
            </w:r>
          </w:p>
          <w:p w14:paraId="6DBBC524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po przebytym niedokrwiennym lub krwotocznym udarze mózgu,</w:t>
            </w:r>
          </w:p>
          <w:p w14:paraId="5786E605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po przebytym urazie OUN,</w:t>
            </w:r>
          </w:p>
          <w:p w14:paraId="6D33360A" w14:textId="77777777" w:rsidR="004448D7" w:rsidRPr="004448D7" w:rsidRDefault="004448D7" w:rsidP="004448D7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z rozpoznaniem stwardnienia rozsianego,</w:t>
            </w:r>
          </w:p>
          <w:p w14:paraId="4BC7F39F" w14:textId="7EE323E5" w:rsidR="00FF7111" w:rsidRPr="004448D7" w:rsidRDefault="004448D7" w:rsidP="00FF7111">
            <w:pPr>
              <w:numPr>
                <w:ilvl w:val="0"/>
                <w:numId w:val="30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sz w:val="18"/>
                <w:szCs w:val="18"/>
              </w:rPr>
              <w:t>z rozpoznaniem paraplegii spastycznej.</w:t>
            </w:r>
          </w:p>
        </w:tc>
      </w:tr>
      <w:bookmarkEnd w:id="1"/>
      <w:tr w:rsidR="00FF7111" w:rsidRPr="004D093B" w14:paraId="557463F1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E056" w14:textId="63F139A6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0AF4" w14:textId="1247300D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DF9A" w14:textId="500B0FC1" w:rsidR="00FF7111" w:rsidRPr="00387421" w:rsidRDefault="00FF7111" w:rsidP="00FF7111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9E36F4">
              <w:rPr>
                <w:rFonts w:ascii="Lato" w:hAnsi="Lato"/>
                <w:bCs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3F52" w14:textId="77777777" w:rsidR="00FF7111" w:rsidRDefault="00FF7111" w:rsidP="00FF7111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Zmiany techniczne w programie lekowym polegające na:</w:t>
            </w:r>
          </w:p>
          <w:p w14:paraId="61520F51" w14:textId="77777777" w:rsidR="00FF7111" w:rsidRPr="009E36F4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wykreśleniu zapisów dotyczących terapii Pd 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PVd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związku ze z</w:t>
            </w:r>
            <w:r w:rsidRPr="00FF7111">
              <w:rPr>
                <w:rFonts w:ascii="Lato" w:hAnsi="Lato" w:cstheme="majorHAnsi"/>
                <w:sz w:val="18"/>
                <w:szCs w:val="18"/>
              </w:rPr>
              <w:t xml:space="preserve">mianą kategorii dostępności refundacyjnej dla </w:t>
            </w:r>
            <w:proofErr w:type="spellStart"/>
            <w:r w:rsidRPr="00FF7111">
              <w:rPr>
                <w:rFonts w:ascii="Lato" w:hAnsi="Lato" w:cstheme="majorHAnsi"/>
                <w:sz w:val="18"/>
                <w:szCs w:val="18"/>
              </w:rPr>
              <w:t>pomalidomidu</w:t>
            </w:r>
            <w:proofErr w:type="spellEnd"/>
            <w:r w:rsidRPr="00FF7111">
              <w:rPr>
                <w:rFonts w:ascii="Lato" w:hAnsi="Lato" w:cstheme="majorHAnsi"/>
                <w:sz w:val="18"/>
                <w:szCs w:val="18"/>
              </w:rPr>
              <w:t xml:space="preserve"> do katalogu chemioterapii C.101.a,</w:t>
            </w:r>
          </w:p>
          <w:p w14:paraId="17E0AA2C" w14:textId="77777777" w:rsidR="00FF7111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wykreśleniu zapisów dotyczących dawkowania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formie do podania dożylnego w związku z niezłożeniem przez Wnioskodawcę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 wniosk</w:t>
            </w: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 o objęcie refundacją na kolejny okres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dla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Darzalex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) w formie dożylnej (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od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1 </w:t>
            </w:r>
            <w:r w:rsidRPr="00561987">
              <w:rPr>
                <w:rFonts w:ascii="Lato" w:hAnsi="Lato" w:cstheme="majorHAnsi"/>
                <w:sz w:val="18"/>
                <w:szCs w:val="18"/>
              </w:rPr>
              <w:t xml:space="preserve">stycznia 2025 r.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w ramach programu lekowego B.54. refundowany będzie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daratumumab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jedynie w formie do podania podskórnego),</w:t>
            </w:r>
          </w:p>
          <w:p w14:paraId="583DC9D2" w14:textId="4BA1C3C8" w:rsidR="00FF7111" w:rsidRPr="00FF7111" w:rsidRDefault="00FF7111" w:rsidP="00FF7111">
            <w:pPr>
              <w:pStyle w:val="Akapitzlist"/>
              <w:numPr>
                <w:ilvl w:val="0"/>
                <w:numId w:val="28"/>
              </w:num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FF7111">
              <w:rPr>
                <w:rFonts w:ascii="Lato" w:hAnsi="Lato" w:cstheme="majorHAnsi"/>
                <w:sz w:val="18"/>
                <w:szCs w:val="18"/>
              </w:rPr>
              <w:t xml:space="preserve">dodaniu zapisu doprecyzowującego, iż obecne zapisy w programie dotyczące CRS i ICANS dotyczą leczenia </w:t>
            </w:r>
            <w:proofErr w:type="spellStart"/>
            <w:r w:rsidRPr="00FF7111">
              <w:rPr>
                <w:rFonts w:ascii="Lato" w:hAnsi="Lato" w:cstheme="majorHAnsi"/>
                <w:sz w:val="18"/>
                <w:szCs w:val="18"/>
              </w:rPr>
              <w:t>teklistamabem</w:t>
            </w:r>
            <w:proofErr w:type="spellEnd"/>
            <w:r w:rsidRPr="00FF7111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FF7111" w:rsidRPr="004D093B" w14:paraId="571B0832" w14:textId="77777777" w:rsidTr="00B907C0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2D13741C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43739C52" w:rsidR="00FF7111" w:rsidRPr="004448D7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E37215C" w:rsidR="00FF7111" w:rsidRPr="00387421" w:rsidRDefault="00FF7111" w:rsidP="00FF7111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Cs/>
                <w:sz w:val="18"/>
                <w:szCs w:val="18"/>
                <w:lang w:eastAsia="en-US"/>
              </w:rPr>
            </w:pPr>
            <w:r w:rsidRPr="00387421">
              <w:rPr>
                <w:rFonts w:ascii="Lato" w:hAnsi="Lato"/>
                <w:bCs/>
                <w:sz w:val="18"/>
                <w:szCs w:val="18"/>
              </w:rPr>
              <w:t>LECZENIE PACJENTÓW ZE SPASTYCZNOŚCIĄ KOŃCZYN Z UŻYCIEM TOKSYNY BOTULINOWEJ TYPU A (ICD–10: I61, I63, I69, G35, G80, G82, G83, T90, T91)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BA6A" w14:textId="77777777" w:rsidR="00FF7111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Ujednolicenie wskazań dla wszystkich produktów leczniczych zawierających toksynę botulinową typu A.</w:t>
            </w:r>
          </w:p>
          <w:p w14:paraId="37872EE1" w14:textId="77777777" w:rsidR="00FF7111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Usunięcie wymogu przyjęcia pozycji stojącej przy kwalifikacji do leczenia chorych ze spastycznością kończyn dolnych.</w:t>
            </w:r>
          </w:p>
          <w:p w14:paraId="4C89A20F" w14:textId="581E3452" w:rsidR="00FF7111" w:rsidRPr="004D093B" w:rsidRDefault="00FF7111" w:rsidP="00FF7111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Możliwość k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>ontynuacj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 pełnoletnich pacjentów, </w:t>
            </w:r>
            <w:r w:rsidRPr="00DE0AEC">
              <w:rPr>
                <w:rFonts w:ascii="Lato" w:hAnsi="Lato" w:cstheme="majorHAnsi"/>
                <w:color w:val="000000"/>
                <w:sz w:val="18"/>
                <w:szCs w:val="18"/>
              </w:rPr>
              <w:t>którzy byli dotychczas leczeni w ramach programu lekowego B.30.</w:t>
            </w:r>
          </w:p>
        </w:tc>
      </w:tr>
      <w:tr w:rsidR="002A56D5" w:rsidRPr="004D093B" w14:paraId="6C56CD14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EAA5" w14:textId="081AEDA3" w:rsidR="002A56D5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A345" w14:textId="3B9985C5" w:rsidR="002A56D5" w:rsidRPr="004448D7" w:rsidRDefault="002A56D5" w:rsidP="002A56D5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40C" w14:textId="0BADB069" w:rsidR="002A56D5" w:rsidRPr="00E64860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KLASYCZNEGO CHŁONIAKA HODGKINA (ICD-10: C81)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433A" w14:textId="21555775" w:rsidR="002A56D5" w:rsidRPr="00E64860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sz w:val="18"/>
                <w:szCs w:val="18"/>
              </w:rPr>
              <w:t xml:space="preserve">Rozszerzenie możliwości leczenia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nowych schemacie skojarzonym w I linii leczenia, tj.: leczenie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skojarzeniu z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etopozydem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cyklofosfamidem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doksorubicyną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dakarbazyną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i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deksametazonem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(schemat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BrECADD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) w I linii leczenia dorosłych pacjentów w wieku do 60 lat włącznie z uprzednio nieleczonym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chłoniakiem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Hodgkina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w III lub IV stadium zaawansowania. Niniejsza zmiana uwzględnia sposobu podawania odmiennych niż określony w Charakterystyce Produktu Leczniczego leku z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brentuksymabem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vedotin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 xml:space="preserve"> (off-</w:t>
            </w:r>
            <w:proofErr w:type="spellStart"/>
            <w:r w:rsidRPr="00E64860">
              <w:rPr>
                <w:rFonts w:ascii="Lato" w:hAnsi="Lato" w:cstheme="majorHAnsi"/>
                <w:sz w:val="18"/>
                <w:szCs w:val="18"/>
              </w:rPr>
              <w:t>label</w:t>
            </w:r>
            <w:proofErr w:type="spellEnd"/>
            <w:r w:rsidRPr="00E64860">
              <w:rPr>
                <w:rFonts w:ascii="Lato" w:hAnsi="Lato" w:cstheme="majorHAnsi"/>
                <w:sz w:val="18"/>
                <w:szCs w:val="18"/>
              </w:rPr>
              <w:t>).</w:t>
            </w:r>
          </w:p>
        </w:tc>
      </w:tr>
      <w:tr w:rsidR="002A56D5" w:rsidRPr="004D093B" w14:paraId="67293BB2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0964A54A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43994313" w:rsidR="002A56D5" w:rsidRPr="004448D7" w:rsidRDefault="002A56D5" w:rsidP="002A56D5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448D7">
              <w:rPr>
                <w:rFonts w:ascii="Lato" w:hAnsi="Lato" w:cstheme="majorHAnsi"/>
                <w:b/>
                <w:bCs/>
                <w:sz w:val="18"/>
                <w:szCs w:val="18"/>
              </w:rPr>
              <w:t>B.111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0D233776" w:rsidR="002A56D5" w:rsidRPr="004D093B" w:rsidRDefault="002A56D5" w:rsidP="002A56D5">
            <w:pPr>
              <w:spacing w:after="0" w:line="240" w:lineRule="auto"/>
              <w:ind w:right="89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54C47">
              <w:rPr>
                <w:rFonts w:ascii="Lato" w:hAnsi="Lato" w:cstheme="majorHAnsi"/>
                <w:sz w:val="18"/>
                <w:szCs w:val="18"/>
              </w:rPr>
              <w:t>LECZENIE CIĘŻKIEGO NIEDOBORU HORMONU WZROSTU U PACJENTÓW DOROSŁYCH ORAZ U MŁODZIEŻY PO ZAKOŃCZENIU PROCESU WZRASTANIA (ICD-10 E23.0)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9A0A" w14:textId="77777777" w:rsidR="002A56D5" w:rsidRPr="00B8026A" w:rsidRDefault="002A56D5" w:rsidP="002A56D5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B8026A">
              <w:rPr>
                <w:rFonts w:ascii="Lato" w:hAnsi="Lato" w:cstheme="majorHAnsi"/>
                <w:sz w:val="18"/>
                <w:szCs w:val="18"/>
              </w:rPr>
              <w:t xml:space="preserve">Obniżenie wieku kwalifikacji do programu lekowego do 14 r.ż. u dziewczynek oraz 16 r.ż., u chłopców pozwalającą na leczenie </w:t>
            </w:r>
            <w:proofErr w:type="spellStart"/>
            <w:r w:rsidRPr="00B8026A">
              <w:rPr>
                <w:rFonts w:ascii="Lato" w:hAnsi="Lato" w:cstheme="majorHAnsi"/>
                <w:sz w:val="18"/>
                <w:szCs w:val="18"/>
              </w:rPr>
              <w:t>rhGH</w:t>
            </w:r>
            <w:proofErr w:type="spellEnd"/>
            <w:r w:rsidRPr="00B8026A">
              <w:rPr>
                <w:rFonts w:ascii="Lato" w:hAnsi="Lato" w:cstheme="majorHAnsi"/>
                <w:sz w:val="18"/>
                <w:szCs w:val="18"/>
              </w:rPr>
              <w:t xml:space="preserve"> u osób, które nabyły ciężki niedobór hormonu wzrostu po zakończeniu procesu wzrastania lub nabyły je wcześniej. </w:t>
            </w:r>
            <w:r>
              <w:rPr>
                <w:rFonts w:ascii="Lato" w:hAnsi="Lato" w:cstheme="majorHAnsi"/>
                <w:sz w:val="18"/>
                <w:szCs w:val="18"/>
              </w:rPr>
              <w:t>Ponadto zmiany obejmują:</w:t>
            </w:r>
          </w:p>
          <w:p w14:paraId="0F3561CE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4C47">
              <w:rPr>
                <w:rFonts w:ascii="Lato" w:hAnsi="Lato" w:cstheme="majorHAnsi"/>
                <w:sz w:val="18"/>
                <w:szCs w:val="18"/>
              </w:rPr>
              <w:t xml:space="preserve">Zwiększenie schematu dawkowania </w:t>
            </w:r>
            <w:proofErr w:type="spellStart"/>
            <w:r w:rsidRPr="00A54C47">
              <w:rPr>
                <w:rFonts w:ascii="Lato" w:hAnsi="Lato" w:cstheme="majorHAnsi"/>
                <w:sz w:val="18"/>
                <w:szCs w:val="18"/>
              </w:rPr>
              <w:t>somatropiny</w:t>
            </w:r>
            <w:proofErr w:type="spellEnd"/>
            <w:r w:rsidRPr="00A54C47">
              <w:rPr>
                <w:rFonts w:ascii="Lato" w:hAnsi="Lato" w:cstheme="majorHAnsi"/>
                <w:sz w:val="18"/>
                <w:szCs w:val="18"/>
              </w:rPr>
              <w:t xml:space="preserve"> do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A54C47">
              <w:rPr>
                <w:rFonts w:ascii="Lato" w:hAnsi="Lato" w:cstheme="majorHAnsi"/>
                <w:sz w:val="18"/>
                <w:szCs w:val="18"/>
              </w:rPr>
              <w:t>1,0 mg/raz na dobę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0DF5CC2B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1F3840">
              <w:rPr>
                <w:rFonts w:ascii="Lato" w:hAnsi="Lato" w:cstheme="majorHAnsi"/>
                <w:sz w:val="18"/>
                <w:szCs w:val="18"/>
              </w:rPr>
              <w:t>zmiany o charakterze porządkującym w zakresie nazewnictwa programu lekowego,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1F3840">
              <w:rPr>
                <w:rFonts w:ascii="Lato" w:hAnsi="Lato" w:cstheme="majorHAnsi"/>
                <w:sz w:val="18"/>
                <w:szCs w:val="18"/>
              </w:rPr>
              <w:t>Zespołu Koordynacyjnego i badań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diagnostycznych.</w:t>
            </w:r>
          </w:p>
          <w:p w14:paraId="35CCDDA8" w14:textId="77777777" w:rsidR="002A56D5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Zmiany w zakresie badań diagnostycznych wykonywanych w ramach programu.</w:t>
            </w:r>
          </w:p>
          <w:p w14:paraId="4FCF84DF" w14:textId="6CA5F5A0" w:rsidR="002A56D5" w:rsidRPr="00FF7111" w:rsidRDefault="002A56D5" w:rsidP="002A56D5">
            <w:pPr>
              <w:pStyle w:val="Akapitzlist"/>
              <w:numPr>
                <w:ilvl w:val="0"/>
                <w:numId w:val="26"/>
              </w:numPr>
              <w:suppressAutoHyphens w:val="0"/>
              <w:spacing w:before="60" w:after="60" w:line="240" w:lineRule="auto"/>
              <w:jc w:val="both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FF7111">
              <w:rPr>
                <w:rFonts w:ascii="Lato" w:hAnsi="Lato" w:cstheme="majorHAnsi"/>
                <w:sz w:val="18"/>
                <w:szCs w:val="18"/>
              </w:rPr>
              <w:t>Zmiany dotyczące monitorowania leczenia.</w:t>
            </w:r>
          </w:p>
        </w:tc>
      </w:tr>
      <w:tr w:rsidR="002A56D5" w:rsidRPr="004D093B" w14:paraId="66D571B6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449FBDF0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3A5B9FA6" w:rsidR="002A56D5" w:rsidRPr="004448D7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448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B.141.FM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3F4675D5" w:rsidR="002A56D5" w:rsidRPr="002A56D5" w:rsidRDefault="002A56D5" w:rsidP="002A56D5">
            <w:pPr>
              <w:autoSpaceDE w:val="0"/>
              <w:adjustRightInd w:val="0"/>
              <w:spacing w:after="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F3840">
              <w:rPr>
                <w:rFonts w:ascii="Lato" w:hAnsi="Lato" w:cstheme="majorHAnsi"/>
                <w:sz w:val="18"/>
                <w:szCs w:val="18"/>
              </w:rPr>
              <w:t>LECZENIE PACJENTÓW Z RAKIEM UROTELIALNYM (ICD-10: C61, C65, C66, C67, C68)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25CA67BD" w:rsidR="002A56D5" w:rsidRPr="004D093B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Umieszczenie w pkt. 2 kryteriów kwalifikacji do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zapisu, że przeprowadzenie radykalnej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cystekomii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cechą R0 dotyczy jedynie raka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urotelialnego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pęcherza moczowego i moczowodu.</w:t>
            </w:r>
          </w:p>
        </w:tc>
      </w:tr>
      <w:tr w:rsidR="002A56D5" w:rsidRPr="004D093B" w14:paraId="760505AF" w14:textId="77777777" w:rsidTr="002A56D5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7BD52E67" w:rsidR="002A56D5" w:rsidRPr="004D093B" w:rsidRDefault="002A56D5" w:rsidP="002A56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2F211975" w:rsidR="002A56D5" w:rsidRPr="004D093B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766B9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C.100.a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3DA6BF5" w:rsidR="002A56D5" w:rsidRPr="004D093B" w:rsidRDefault="002A56D5" w:rsidP="002A56D5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POMALIDOMID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0D6C504D" w:rsidR="002A56D5" w:rsidRPr="003B46BF" w:rsidRDefault="002A56D5" w:rsidP="002A56D5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pomalidomidu</w:t>
            </w:r>
            <w:proofErr w:type="spellEnd"/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54.</w:t>
            </w: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</w:t>
            </w:r>
            <w:r w:rsidRPr="00766B94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chemioterapii C.100.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387421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33030AD" w:rsidR="00387421" w:rsidRPr="004D093B" w:rsidRDefault="00E22AAD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5BA56F6" w:rsidR="00387421" w:rsidRPr="00387421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Acarizax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8A6E1A7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alergenowy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roztoczy kurzu domowego (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pteronyssinus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farina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85AF" w14:textId="45D538B2" w:rsidR="00387421" w:rsidRDefault="00387421" w:rsidP="0038742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 xml:space="preserve">Leczenie dorosłych chorych (w wieku od 18 do 65 lat), u których rozpoznanie zostało postawione na podstawie wywiadu klinicznego oraz dodatniego testu alergicznego na roztocze kurzu domowego (punktowe testy skórne lub swoiste immunoglobuliny E) oraz co najmniej jednego z poniższych stanów:  </w:t>
            </w:r>
          </w:p>
          <w:p w14:paraId="11B43F07" w14:textId="77777777" w:rsidR="00387421" w:rsidRDefault="00387421" w:rsidP="0038742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 xml:space="preserve">· umiarkowany do ciężkiego alergiczny nieżyt nosa spowodowany kurzem domowym, utrzymujący się pomimo stosowania leków łagodzących objawy;  </w:t>
            </w:r>
          </w:p>
          <w:p w14:paraId="0440D22F" w14:textId="4AE2A8B7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6E42A5">
              <w:rPr>
                <w:rFonts w:ascii="Lato" w:hAnsi="Lato"/>
                <w:sz w:val="18"/>
                <w:szCs w:val="18"/>
              </w:rPr>
              <w:t>· astma oskrzelowa wywołana alergią na kurz domowy, niekontrolowana dobrze za pomocą wziewnych kortykosteroidów z towarzyszącym umiarkowanym do ciężkiego alergicznym nieżytem nosa wywołanym przez kurz domowy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746F3EA8" w:rsidR="00387421" w:rsidRPr="004D093B" w:rsidRDefault="00387421" w:rsidP="003874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</w:t>
            </w:r>
            <w:r w:rsidRPr="00F80B3F">
              <w:rPr>
                <w:rFonts w:ascii="Lato" w:hAnsi="Lato"/>
                <w:sz w:val="18"/>
                <w:szCs w:val="18"/>
              </w:rPr>
              <w:t>ozszerzeni</w:t>
            </w:r>
            <w:r>
              <w:rPr>
                <w:rFonts w:ascii="Lato" w:hAnsi="Lato"/>
                <w:sz w:val="18"/>
                <w:szCs w:val="18"/>
              </w:rPr>
              <w:t>e</w:t>
            </w:r>
            <w:r w:rsidRPr="00F80B3F">
              <w:rPr>
                <w:rFonts w:ascii="Lato" w:hAnsi="Lato"/>
                <w:sz w:val="18"/>
                <w:szCs w:val="18"/>
              </w:rPr>
              <w:t xml:space="preserve"> populacji pacjentów o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F80B3F">
              <w:rPr>
                <w:rFonts w:ascii="Lato" w:hAnsi="Lato"/>
                <w:sz w:val="18"/>
                <w:szCs w:val="18"/>
              </w:rPr>
              <w:t>dorosłych chorych (w wieku od 18 do 65 lat) z alergicznym nieżytem nosa spowodowanym kurzem domowym oraz o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F80B3F">
              <w:rPr>
                <w:rFonts w:ascii="Lato" w:hAnsi="Lato"/>
                <w:sz w:val="18"/>
                <w:szCs w:val="18"/>
              </w:rPr>
              <w:t>dorosłych chorych pacjentów z astmą oskrzelową wywołaną alergią na kurz domowy</w:t>
            </w:r>
            <w:r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FF7111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AC864C6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3F02AF46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Dopegyt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650ADFDA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metyldopa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6D3A9CB6" w:rsidR="00FF7111" w:rsidRPr="00E22AAD" w:rsidRDefault="00FF7111" w:rsidP="00FF7111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Nadciśnienie tętnicze w ciąży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3376" w14:textId="77777777" w:rsidR="00FF7111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10823724" w14:textId="418E879B" w:rsidR="00E22AAD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595527FC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3BD7E093" w:rsidR="00FF7111" w:rsidRPr="004D093B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8423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4CDEEBCA" w:rsidR="00FF7111" w:rsidRPr="004D093B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riwaroksaban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E8CA3ED" w:rsidR="00FF7111" w:rsidRPr="00E22AAD" w:rsidRDefault="00FF711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zastoinowa niewydolność serca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53FE" w14:textId="1D21A6FE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klinicznego w stosunku do dotychczas ujętej na wykazie substancji czynnej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riwaroksabanu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1D464AF" w14:textId="03781F0E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19306AE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C4A6" w14:textId="1DFFA6C6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C1DC" w14:textId="7182036C" w:rsidR="00FF7111" w:rsidRPr="00C8423F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FF8C" w14:textId="54A647FA" w:rsidR="00FF7111" w:rsidRPr="00C8423F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dabigatran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638A" w14:textId="14799038" w:rsidR="00FF7111" w:rsidRPr="00E22AAD" w:rsidRDefault="00FF7111" w:rsidP="002A56D5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niewydolność serca (klasa ≥II wg NYHA)</w:t>
            </w:r>
            <w:r w:rsidRPr="00E22AAD">
              <w:rPr>
                <w:rFonts w:ascii="Lato" w:hAnsi="Lato"/>
                <w:sz w:val="18"/>
                <w:szCs w:val="18"/>
              </w:rPr>
              <w:fldChar w:fldCharType="begin"/>
            </w:r>
            <w:r w:rsidRPr="00E22AAD">
              <w:rPr>
                <w:rFonts w:ascii="Lato" w:hAnsi="Lato"/>
                <w:sz w:val="18"/>
                <w:szCs w:val="18"/>
              </w:rPr>
              <w:fldChar w:fldCharType="separate"/>
            </w:r>
            <w:r w:rsidRPr="00E22AAD">
              <w:rPr>
                <w:rFonts w:ascii="Lato" w:hAnsi="Lato"/>
                <w:sz w:val="18"/>
                <w:szCs w:val="18"/>
              </w:rPr>
              <w:t>«wskazanie/numer_zalacznika»</w:t>
            </w:r>
            <w:r w:rsidRPr="00E22AAD">
              <w:rPr>
                <w:rFonts w:ascii="Lato" w:hAnsi="Lato"/>
                <w:sz w:val="18"/>
                <w:szCs w:val="18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8773" w14:textId="0EC4F25F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nowego wskazania klinicznego w stosunku do dotychczas ujętej na wykazie substancji czynnej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dabigatranu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C52A27D" w14:textId="21EB0D70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61E1988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1382" w14:textId="69217D9B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2EA7" w14:textId="26A5447E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A100" w14:textId="6685F846" w:rsidR="00FF7111" w:rsidRPr="0042352A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torasemid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38CB" w14:textId="685A1B14" w:rsidR="00FF7111" w:rsidRPr="00E22AAD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Niewydolność mięśnia sercowego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BAC9" w14:textId="77777777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316A9BA3" w14:textId="1CE08684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1C3F1FDE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2526" w14:textId="5D51C317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E38B" w14:textId="3CB657F9" w:rsidR="00FF7111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22F1" w14:textId="0E43C851" w:rsidR="00FF7111" w:rsidRPr="0042352A" w:rsidRDefault="004448D7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4448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eplerenon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2A0D" w14:textId="3369E66C" w:rsidR="00FF7111" w:rsidRPr="00E22AAD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22AAD">
              <w:rPr>
                <w:rFonts w:ascii="Lato" w:hAnsi="Lato"/>
                <w:sz w:val="18"/>
                <w:szCs w:val="18"/>
              </w:rPr>
              <w:t>Niewydolność mięśnia sercowego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3318" w14:textId="77777777" w:rsidR="00E22AAD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63C51EE5" w14:textId="32D601F3" w:rsidR="00FF7111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FF7111" w:rsidRPr="004D093B" w14:paraId="2FD5BF7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F5C1" w14:textId="7DF79E39" w:rsidR="00FF7111" w:rsidRPr="004D093B" w:rsidRDefault="00E22AAD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C646" w14:textId="361F4AF1" w:rsidR="00FF7111" w:rsidRPr="00E64860" w:rsidRDefault="00FF7111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Różna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717B" w14:textId="01CBF9D0" w:rsidR="00FF7111" w:rsidRPr="00E64860" w:rsidRDefault="007F79B9" w:rsidP="00FF711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trimetazydyna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2D83" w14:textId="0CC2FA06" w:rsidR="00FF7111" w:rsidRPr="00E64860" w:rsidRDefault="00FF7111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64860">
              <w:rPr>
                <w:rFonts w:ascii="Lato" w:hAnsi="Lato"/>
                <w:sz w:val="18"/>
                <w:szCs w:val="18"/>
              </w:rPr>
              <w:t xml:space="preserve">Leczenie dorosłych pacjentów ze stabilną dławicą piersiową, u których leczenie </w:t>
            </w:r>
            <w:proofErr w:type="spellStart"/>
            <w:r w:rsidRPr="00E64860">
              <w:rPr>
                <w:rFonts w:ascii="Lato" w:hAnsi="Lato"/>
                <w:sz w:val="18"/>
                <w:szCs w:val="18"/>
              </w:rPr>
              <w:t>przeciwdławicowe</w:t>
            </w:r>
            <w:proofErr w:type="spellEnd"/>
            <w:r w:rsidRPr="00E64860">
              <w:rPr>
                <w:rFonts w:ascii="Lato" w:hAnsi="Lato"/>
                <w:sz w:val="18"/>
                <w:szCs w:val="18"/>
              </w:rPr>
              <w:t xml:space="preserve"> pierwszego rzutu jest niewystarczające lub nie jest tolerowane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A636" w14:textId="77777777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3E53CC69" w14:textId="749644C6" w:rsidR="00FF7111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E22AAD" w:rsidRPr="004D093B" w14:paraId="24229EDC" w14:textId="77777777" w:rsidTr="00B907C0">
        <w:trPr>
          <w:cantSplit/>
          <w:trHeight w:val="3104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0E97" w14:textId="3F0B5B52" w:rsidR="00E22AAD" w:rsidRPr="004D093B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750D" w14:textId="3E8FD464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Trulicity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1E0E" w14:textId="79850F72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dulaglut</w:t>
            </w:r>
            <w:r w:rsidR="007F79B9" w:rsidRPr="00E648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7C7C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co najmniej dwoma lekami hipoglikemizującymi, z HbA1c ≥ 7,5%, z otyłością definiowaną jako BMI ≥30 kg/m2 oraz bardzo wysokim ryzykiem sercowo-naczyniowym rozumianym jako: </w:t>
            </w:r>
            <w:proofErr w:type="gram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1)potwierdzona</w:t>
            </w:r>
            <w:proofErr w:type="gram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choroba sercowo-naczyniowa, lub 2)uszkodzenie innych narządów objawiające się poprzez: białkomocz lub przerost lewej komory lub retinopatię, lub 3)obecność 2 lub więcej głównych czynników ryzyka spośród wymienionych poniżej: </w:t>
            </w:r>
          </w:p>
          <w:p w14:paraId="24D636C3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-wiek ≥ 55 lat dla mężczyzn, ≥60 lat dla kobiet, </w:t>
            </w:r>
          </w:p>
          <w:p w14:paraId="132CE044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</w:p>
          <w:p w14:paraId="2A620D28" w14:textId="77777777" w:rsidR="007F79B9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-nadciśnienie tętnicze,</w:t>
            </w:r>
          </w:p>
          <w:p w14:paraId="45E7F0FA" w14:textId="3BA4551D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-palenie tytoniu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8441" w14:textId="501624B0" w:rsidR="00E22AAD" w:rsidRPr="00E64860" w:rsidRDefault="00E22AAD" w:rsidP="00E22AA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Powrót na wykaz </w:t>
            </w:r>
            <w:r w:rsidR="007F79B9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refundacyjny 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leków </w:t>
            </w:r>
            <w:proofErr w:type="spellStart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Trulicity</w:t>
            </w:r>
            <w:proofErr w:type="spellEnd"/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okresie tymczasowego braku</w:t>
            </w:r>
            <w:r w:rsidR="007F79B9"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finansowania ze środków publicznych</w:t>
            </w:r>
            <w:r w:rsidRPr="00E64860">
              <w:rPr>
                <w:rFonts w:ascii="Lato" w:hAnsi="Lato" w:cstheme="majorHAnsi"/>
                <w:color w:val="000000"/>
                <w:sz w:val="18"/>
                <w:szCs w:val="18"/>
              </w:rPr>
              <w:t>, we wskazaniu tożsamym w stosunku do poprzedniego.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14C2ACED" w14:textId="77777777" w:rsidR="00D95653" w:rsidRDefault="00D95653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4B069EBD" w14:textId="194F7AD3" w:rsidR="00D95653" w:rsidRPr="00D95653" w:rsidRDefault="00D95653" w:rsidP="00D95653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D95653">
        <w:rPr>
          <w:rFonts w:ascii="Lato" w:hAnsi="Lato"/>
          <w:b/>
          <w:bCs/>
          <w:color w:val="00B0F0"/>
          <w:sz w:val="28"/>
          <w:szCs w:val="28"/>
        </w:rPr>
        <w:t xml:space="preserve">BRAK </w:t>
      </w:r>
      <w:r>
        <w:rPr>
          <w:rFonts w:ascii="Lato" w:hAnsi="Lato"/>
          <w:b/>
          <w:bCs/>
          <w:color w:val="00B0F0"/>
          <w:sz w:val="28"/>
          <w:szCs w:val="28"/>
        </w:rPr>
        <w:t>KONTYNUACJI REFUNDACJI ZE WZGLĘDU NA BRAK ZŁOŻENIA WNIOSKU</w:t>
      </w:r>
    </w:p>
    <w:p w14:paraId="0DC0F907" w14:textId="77777777" w:rsidR="00D95653" w:rsidRPr="00D95653" w:rsidRDefault="00D95653" w:rsidP="00D95653">
      <w:pPr>
        <w:suppressAutoHyphens w:val="0"/>
        <w:autoSpaceDN/>
        <w:spacing w:after="120" w:line="360" w:lineRule="auto"/>
        <w:textAlignment w:val="auto"/>
        <w:rPr>
          <w:rFonts w:ascii="Lato" w:eastAsia="Aptos" w:hAnsi="Lato"/>
          <w:kern w:val="2"/>
          <w14:ligatures w14:val="standardContextual"/>
        </w:rPr>
      </w:pPr>
      <w:r w:rsidRPr="00D95653">
        <w:rPr>
          <w:rFonts w:ascii="Lato" w:eastAsia="Aptos" w:hAnsi="Lato"/>
          <w:kern w:val="2"/>
          <w14:ligatures w14:val="standardContextual"/>
        </w:rPr>
        <w:t>Zgodnie z art. 25c ust. 1 ustawy o refundacji leków, środków spożywczych specjalnego przeznaczenia żywieniowego oraz wyrobów medycznych (Dz. U. z 2024 r. poz. 930), dla wniosków o objęcie refundacją leku, środka spożywczego specjalnego przeznaczenia żywieniowego (</w:t>
      </w:r>
      <w:proofErr w:type="spellStart"/>
      <w:r w:rsidRPr="00D95653">
        <w:rPr>
          <w:rFonts w:ascii="Lato" w:eastAsia="Aptos" w:hAnsi="Lato"/>
          <w:kern w:val="2"/>
          <w14:ligatures w14:val="standardContextual"/>
        </w:rPr>
        <w:t>śsspż</w:t>
      </w:r>
      <w:proofErr w:type="spellEnd"/>
      <w:r w:rsidRPr="00D95653">
        <w:rPr>
          <w:rFonts w:ascii="Lato" w:eastAsia="Aptos" w:hAnsi="Lato"/>
          <w:kern w:val="2"/>
          <w14:ligatures w14:val="standardContextual"/>
        </w:rPr>
        <w:t xml:space="preserve">) albo wyrobu medycznego znajdującego się na wykazie refundacyjnym, </w:t>
      </w:r>
      <w:r w:rsidRPr="00D95653">
        <w:rPr>
          <w:rFonts w:ascii="Lato" w:eastAsia="Aptos" w:hAnsi="Lato"/>
          <w:b/>
          <w:bCs/>
          <w:kern w:val="2"/>
          <w14:ligatures w14:val="standardContextual"/>
        </w:rPr>
        <w:t>Wnioskodawca ma obowiązek złożyć tzw. wniosek kontynuacyjny najpóźniej na 180 dni przed wygaśnięciem dotychczasowej decyzji o objęciu refundacją</w:t>
      </w:r>
      <w:r w:rsidRPr="00D95653">
        <w:rPr>
          <w:rFonts w:ascii="Lato" w:eastAsia="Aptos" w:hAnsi="Lato"/>
          <w:kern w:val="2"/>
          <w14:ligatures w14:val="standardContextual"/>
        </w:rPr>
        <w:t xml:space="preserve"> tego produktu.</w:t>
      </w:r>
    </w:p>
    <w:p w14:paraId="3F1E4B93" w14:textId="77777777" w:rsidR="00D95653" w:rsidRPr="00D95653" w:rsidRDefault="00D95653" w:rsidP="00D95653">
      <w:pPr>
        <w:suppressAutoHyphens w:val="0"/>
        <w:autoSpaceDN/>
        <w:spacing w:after="120" w:line="360" w:lineRule="auto"/>
        <w:textAlignment w:val="auto"/>
        <w:rPr>
          <w:rFonts w:ascii="Lato" w:eastAsia="Aptos" w:hAnsi="Lato"/>
          <w:kern w:val="2"/>
          <w14:ligatures w14:val="standardContextual"/>
        </w:rPr>
      </w:pPr>
      <w:r w:rsidRPr="00D95653">
        <w:rPr>
          <w:rFonts w:ascii="Lato" w:eastAsia="Aptos" w:hAnsi="Lato"/>
          <w:kern w:val="2"/>
          <w14:ligatures w14:val="standardContextual"/>
        </w:rPr>
        <w:t>Niezłożenie do Ministra Zdrowia odpowiedniego wniosku kontynuacyjnego w zakresie objęcia refundacją produktu na kolejny okres obowiązywania decyzji jest równoznaczne z brakiem kontynuacji refundacji i utratą możliwości finansowania ze środków publicznych w ramach całkowitego budżetu na refundację.</w:t>
      </w:r>
    </w:p>
    <w:p w14:paraId="08460B91" w14:textId="36B1A60B" w:rsidR="00D95653" w:rsidRPr="00D95653" w:rsidRDefault="00D95653" w:rsidP="00D95653">
      <w:pPr>
        <w:suppressAutoHyphens w:val="0"/>
        <w:autoSpaceDN/>
        <w:spacing w:after="120" w:line="360" w:lineRule="auto"/>
        <w:textAlignment w:val="auto"/>
        <w:rPr>
          <w:rFonts w:ascii="Lato" w:eastAsia="Aptos" w:hAnsi="Lato"/>
          <w:kern w:val="2"/>
          <w14:ligatures w14:val="standardContextual"/>
        </w:rPr>
      </w:pPr>
      <w:r w:rsidRPr="00D95653">
        <w:rPr>
          <w:rFonts w:ascii="Lato" w:eastAsia="Aptos" w:hAnsi="Lato"/>
          <w:b/>
          <w:bCs/>
          <w:kern w:val="2"/>
          <w14:ligatures w14:val="standardContextual"/>
        </w:rPr>
        <w:t>Pomimo kilkukrotnej komunikacji</w:t>
      </w:r>
      <w:r w:rsidRPr="00D95653">
        <w:rPr>
          <w:rFonts w:ascii="Lato" w:eastAsia="Aptos" w:hAnsi="Lato"/>
          <w:kern w:val="2"/>
          <w14:ligatures w14:val="standardContextual"/>
        </w:rPr>
        <w:t xml:space="preserve"> odnotowano kilkadziesiąt produktów będących jedynymi refundowanymi w danym wskazaniu klinicznym, a w stosunku co do których nie przedłożono wniosków o objęcie refundacją na kolejny okres</w:t>
      </w:r>
      <w:r w:rsidR="007419DE">
        <w:rPr>
          <w:rFonts w:ascii="Lato" w:eastAsia="Aptos" w:hAnsi="Lato"/>
          <w:kern w:val="2"/>
          <w14:ligatures w14:val="standardContextual"/>
        </w:rPr>
        <w:t xml:space="preserve"> albo złożone wnioski nie spełniały ustawowych wymogów. </w:t>
      </w:r>
      <w:r w:rsidRPr="00D95653">
        <w:rPr>
          <w:rFonts w:ascii="Lato" w:eastAsia="Aptos" w:hAnsi="Lato"/>
          <w:kern w:val="2"/>
          <w14:ligatures w14:val="standardContextual"/>
        </w:rPr>
        <w:t xml:space="preserve">Tym samym część podmiotów odpowiedzialnych </w:t>
      </w:r>
      <w:r w:rsidR="007419DE">
        <w:rPr>
          <w:rFonts w:ascii="Lato" w:eastAsia="Aptos" w:hAnsi="Lato"/>
          <w:kern w:val="2"/>
          <w14:ligatures w14:val="standardContextual"/>
        </w:rPr>
        <w:t xml:space="preserve">świadomie podjęła decyzję </w:t>
      </w:r>
      <w:r w:rsidRPr="00D95653">
        <w:rPr>
          <w:rFonts w:ascii="Lato" w:eastAsia="Aptos" w:hAnsi="Lato"/>
          <w:kern w:val="2"/>
          <w14:ligatures w14:val="standardContextual"/>
        </w:rPr>
        <w:t xml:space="preserve">o wyłączeniu </w:t>
      </w:r>
      <w:r w:rsidR="007419DE">
        <w:rPr>
          <w:rFonts w:ascii="Lato" w:eastAsia="Aptos" w:hAnsi="Lato"/>
          <w:kern w:val="2"/>
          <w14:ligatures w14:val="standardContextual"/>
        </w:rPr>
        <w:t xml:space="preserve">danej </w:t>
      </w:r>
      <w:r w:rsidRPr="00D95653">
        <w:rPr>
          <w:rFonts w:ascii="Lato" w:eastAsia="Aptos" w:hAnsi="Lato"/>
          <w:kern w:val="2"/>
          <w14:ligatures w14:val="standardContextual"/>
        </w:rPr>
        <w:t>terapii z refundacji systemowej.</w:t>
      </w:r>
    </w:p>
    <w:p w14:paraId="511A6282" w14:textId="77777777" w:rsidR="007419DE" w:rsidRDefault="00D95653" w:rsidP="00D95653">
      <w:pPr>
        <w:suppressAutoHyphens w:val="0"/>
        <w:autoSpaceDN/>
        <w:spacing w:after="120" w:line="360" w:lineRule="auto"/>
        <w:textAlignment w:val="auto"/>
        <w:rPr>
          <w:rFonts w:ascii="Lato" w:eastAsia="Aptos" w:hAnsi="Lato"/>
          <w:kern w:val="2"/>
          <w14:ligatures w14:val="standardContextual"/>
        </w:rPr>
      </w:pPr>
      <w:r w:rsidRPr="00D95653">
        <w:rPr>
          <w:rFonts w:ascii="Lato" w:eastAsia="Aptos" w:hAnsi="Lato"/>
          <w:kern w:val="2"/>
          <w14:ligatures w14:val="standardContextual"/>
        </w:rPr>
        <w:lastRenderedPageBreak/>
        <w:t xml:space="preserve">Brak kontynuacji refundacji w aptecznej kategorii dostępności dotyczy 148 leków, </w:t>
      </w:r>
      <w:proofErr w:type="spellStart"/>
      <w:r w:rsidRPr="00D95653">
        <w:rPr>
          <w:rFonts w:ascii="Lato" w:eastAsia="Aptos" w:hAnsi="Lato"/>
          <w:kern w:val="2"/>
          <w14:ligatures w14:val="standardContextual"/>
        </w:rPr>
        <w:t>śsspż</w:t>
      </w:r>
      <w:proofErr w:type="spellEnd"/>
      <w:r w:rsidRPr="00D95653">
        <w:rPr>
          <w:rFonts w:ascii="Lato" w:eastAsia="Aptos" w:hAnsi="Lato"/>
          <w:kern w:val="2"/>
          <w14:ligatures w14:val="standardContextual"/>
        </w:rPr>
        <w:t xml:space="preserve"> lub wyrobów medycznych (liczba dotyczy indywidualnych kodów GTIN)</w:t>
      </w:r>
      <w:r w:rsidR="007419DE">
        <w:rPr>
          <w:rFonts w:ascii="Lato" w:eastAsia="Aptos" w:hAnsi="Lato"/>
          <w:kern w:val="2"/>
          <w14:ligatures w14:val="standardContextual"/>
        </w:rPr>
        <w:t xml:space="preserve">, z czego </w:t>
      </w:r>
      <w:r w:rsidRPr="00D95653">
        <w:rPr>
          <w:rFonts w:ascii="Lato" w:eastAsia="Aptos" w:hAnsi="Lato"/>
          <w:kern w:val="2"/>
          <w14:ligatures w14:val="standardContextual"/>
        </w:rPr>
        <w:t xml:space="preserve">115 </w:t>
      </w:r>
      <w:r w:rsidR="007419DE">
        <w:rPr>
          <w:rFonts w:ascii="Lato" w:eastAsia="Aptos" w:hAnsi="Lato"/>
          <w:kern w:val="2"/>
          <w14:ligatures w14:val="standardContextual"/>
        </w:rPr>
        <w:t>leków</w:t>
      </w:r>
      <w:r w:rsidRPr="00D95653">
        <w:rPr>
          <w:rFonts w:ascii="Lato" w:eastAsia="Aptos" w:hAnsi="Lato"/>
          <w:kern w:val="2"/>
          <w14:ligatures w14:val="standardContextual"/>
        </w:rPr>
        <w:t xml:space="preserve"> usuniętych z wykazu posiada swoje odpowiedniki zawierające te same substancje czynne</w:t>
      </w:r>
      <w:r w:rsidR="007419DE">
        <w:rPr>
          <w:rFonts w:ascii="Lato" w:eastAsia="Aptos" w:hAnsi="Lato"/>
          <w:kern w:val="2"/>
          <w14:ligatures w14:val="standardContextual"/>
        </w:rPr>
        <w:t xml:space="preserve"> zabezpieczające potrzeby zdrowotne pacjentów.</w:t>
      </w:r>
    </w:p>
    <w:p w14:paraId="02365FE5" w14:textId="059C1D3D" w:rsidR="00D95653" w:rsidRPr="00D95653" w:rsidRDefault="00D95653" w:rsidP="00D95653">
      <w:pPr>
        <w:suppressAutoHyphens w:val="0"/>
        <w:autoSpaceDN/>
        <w:spacing w:after="120" w:line="360" w:lineRule="auto"/>
        <w:textAlignment w:val="auto"/>
        <w:rPr>
          <w:rFonts w:ascii="Lato" w:eastAsia="Aptos" w:hAnsi="Lato"/>
          <w:kern w:val="2"/>
          <w14:ligatures w14:val="standardContextual"/>
        </w:rPr>
      </w:pPr>
      <w:r w:rsidRPr="00D95653">
        <w:rPr>
          <w:rFonts w:ascii="Lato" w:eastAsia="Aptos" w:hAnsi="Lato"/>
          <w:kern w:val="2"/>
          <w14:ligatures w14:val="standardContextual"/>
        </w:rPr>
        <w:t xml:space="preserve">Poniżej przedstawiono wykaz substancji, które </w:t>
      </w:r>
      <w:r w:rsidRPr="00D95653">
        <w:rPr>
          <w:rFonts w:ascii="Lato" w:eastAsia="Aptos" w:hAnsi="Lato"/>
          <w:b/>
          <w:bCs/>
          <w:kern w:val="2"/>
          <w14:ligatures w14:val="standardContextual"/>
        </w:rPr>
        <w:t>nie będą podlegały refundacji od 1.01.2025 r. i nie posiadają odpowiedników refundowanych</w:t>
      </w:r>
      <w:r w:rsidRPr="00D95653">
        <w:rPr>
          <w:rFonts w:ascii="Lato" w:eastAsia="Aptos" w:hAnsi="Lato"/>
          <w:kern w:val="2"/>
          <w14:ligatures w14:val="standardContextua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4265"/>
        <w:gridCol w:w="3873"/>
        <w:gridCol w:w="5108"/>
      </w:tblGrid>
      <w:tr w:rsidR="00C645B7" w:rsidRPr="007419DE" w14:paraId="196C25DF" w14:textId="77777777" w:rsidTr="000A3571">
        <w:trPr>
          <w:trHeight w:val="30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10D9F511" w14:textId="77777777" w:rsidR="00C645B7" w:rsidRPr="000A3571" w:rsidRDefault="00C645B7" w:rsidP="006F1E8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0A3571">
              <w:rPr>
                <w:rFonts w:ascii="Lato" w:hAnsi="Lato" w:cstheme="majorHAnsi"/>
                <w:b/>
                <w:bCs/>
                <w:color w:val="FFFFFF"/>
              </w:rPr>
              <w:t>Nr Grupy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149B4633" w14:textId="77777777" w:rsidR="00C645B7" w:rsidRPr="000A3571" w:rsidRDefault="00C645B7" w:rsidP="006F1E8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0A3571">
              <w:rPr>
                <w:rFonts w:ascii="Lato" w:hAnsi="Lato" w:cstheme="majorHAnsi"/>
                <w:b/>
                <w:bCs/>
                <w:color w:val="FFFFFF"/>
              </w:rPr>
              <w:t>Nazwa grupy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23E0CEC6" w14:textId="77777777" w:rsidR="00C645B7" w:rsidRPr="000A3571" w:rsidRDefault="00C645B7" w:rsidP="006F1E8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0A3571">
              <w:rPr>
                <w:rFonts w:ascii="Lato" w:hAnsi="Lato" w:cstheme="majorHAnsi"/>
                <w:b/>
                <w:bCs/>
                <w:color w:val="FFFFFF"/>
              </w:rPr>
              <w:t xml:space="preserve">Nazwa handlowa </w:t>
            </w:r>
            <w:r w:rsidRPr="000A3571">
              <w:rPr>
                <w:rFonts w:ascii="Lato" w:hAnsi="Lato" w:cstheme="majorHAnsi"/>
                <w:b/>
                <w:bCs/>
                <w:color w:val="FFFFFF"/>
              </w:rPr>
              <w:br/>
              <w:t>(substancja czynna)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4C8"/>
            <w:vAlign w:val="center"/>
            <w:hideMark/>
          </w:tcPr>
          <w:p w14:paraId="026936E8" w14:textId="77777777" w:rsidR="00C645B7" w:rsidRPr="000A3571" w:rsidRDefault="00C645B7" w:rsidP="006F1E8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0A3571">
              <w:rPr>
                <w:rFonts w:ascii="Lato" w:hAnsi="Lato" w:cstheme="majorHAnsi"/>
                <w:b/>
                <w:bCs/>
                <w:color w:val="FFFFFF"/>
              </w:rPr>
              <w:t>Wskazanie</w:t>
            </w:r>
          </w:p>
        </w:tc>
      </w:tr>
      <w:tr w:rsidR="00C645B7" w:rsidRPr="007419DE" w14:paraId="14A8F0BE" w14:textId="77777777" w:rsidTr="00EA3852">
        <w:trPr>
          <w:trHeight w:val="596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95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20.0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1B1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Produkty do doustnej suplementacji potasu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0C4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Kalipoz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prolongatum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 xml:space="preserve">(Kalii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chloridum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CD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1F56B1AA" w14:textId="77777777" w:rsidTr="00EA3852">
        <w:trPr>
          <w:trHeight w:val="83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6FAF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32.1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B11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Leki stosowane doraźnie w nagłych przypadkach anafilaksji - leki adrenergiczne i dopaminergiczne - epinefryna - do podawania pozajelitowego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162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Adrenalina WZF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Adrenalinum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E02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Leczenie doraźne w nagłych przypadkach ostrych reakcji alergicznych (anafilaksji), wywołanych przez pokarmy, leki, ukąszenia i użądlenia owadów oraz inne alergeny, jak również w przypadku anafilaksji samoistnej</w:t>
            </w:r>
          </w:p>
        </w:tc>
      </w:tr>
      <w:tr w:rsidR="00C645B7" w:rsidRPr="007419DE" w14:paraId="5E0BF8E1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F8D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34.1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84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Leki rozszerzające naczynia krwionośne - organiczne azotany - dwuazotan i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monoazotan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izosorbidu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do podawania doustnego - stałe postacie farmaceutyczne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03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10,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20,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40,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60 retard,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100 retard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Isosorbidi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mononitras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BD2B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03B959BB" w14:textId="77777777" w:rsidTr="00EA3852">
        <w:trPr>
          <w:trHeight w:val="58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BCE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41.0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0313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Antagoniści wapnia - pochodne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dihydropirydyny</w:t>
            </w:r>
            <w:proofErr w:type="spellEnd"/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ADDE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Plendil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Felodipinum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FFCF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3FC27E7D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10E1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43.0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F8D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Antagoniści wapnia - pochodne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benzotiazepiny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diltiazem</w:t>
            </w:r>
            <w:proofErr w:type="spellEnd"/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8C9" w14:textId="555D7E0C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Dilzem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retard,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Dilzem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120 retard,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Dilzem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 xml:space="preserve"> 180 retard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Diltiazemum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val="en-US"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23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3F3FBE8F" w14:textId="77777777" w:rsidTr="00EA3852">
        <w:trPr>
          <w:trHeight w:val="87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85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44.0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5CF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Inhibitory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konwertazy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angiotensyny - produkty jednoskładnikowe i złożone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063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Lotensin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Benazeprilum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BF2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 xml:space="preserve">Wskazanie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pozarejestracyjne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: leczenie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renoprotekcyjne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u dzieci do 18 roku życia</w:t>
            </w:r>
          </w:p>
        </w:tc>
      </w:tr>
      <w:tr w:rsidR="00C645B7" w:rsidRPr="007419DE" w14:paraId="64CBBC62" w14:textId="77777777" w:rsidTr="00EA3852">
        <w:trPr>
          <w:trHeight w:val="54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3DE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47.0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B7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Leki wpływające na gospodarkę lipidową -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fibraty</w:t>
            </w:r>
            <w:proofErr w:type="spellEnd"/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11A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Lipanor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Ciprofibratum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590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2E69556A" w14:textId="77777777" w:rsidTr="00EA3852">
        <w:trPr>
          <w:trHeight w:val="70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E8D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49.0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03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Mikonazol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w skojarzeniu z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mazipredonem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- do stosowania na skórę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15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Mycosolon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Miconazolum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+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Mazipredonum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B333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573A30E8" w14:textId="77777777" w:rsidTr="00EA3852">
        <w:trPr>
          <w:trHeight w:val="68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B9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72.0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FA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Leki hormonalne do podawania doustnego, zawierające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cyproteron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etynyloestradiol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lewonorgestrel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medroksyprogesteron</w:t>
            </w:r>
            <w:proofErr w:type="spellEnd"/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4A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Provera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Medroxyprogesteronum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64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70F4B49C" w14:textId="77777777" w:rsidTr="00EA3852">
        <w:trPr>
          <w:trHeight w:val="72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0B92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lastRenderedPageBreak/>
              <w:t>82.6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D15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Kortykosteroidy do stosowania ogólnego - glikokortykoidy do podawania doustnego -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triamcynolon</w:t>
            </w:r>
            <w:proofErr w:type="spellEnd"/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75ED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Polcortolon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Triamcinolonum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351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44865F2A" w14:textId="77777777" w:rsidTr="00EA3852">
        <w:trPr>
          <w:trHeight w:val="87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A8A0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105.0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7F3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Chinolonowe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leki przeciwbakteryjne -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fluorochinolony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do stosowania doustnego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FC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Tarivid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200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Ofloxacinum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AB42" w14:textId="64C3A765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decyzji;</w:t>
            </w:r>
          </w:p>
          <w:p w14:paraId="48C0E9B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</w:p>
          <w:p w14:paraId="2BD2795B" w14:textId="40F9C61A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Gruźlica, w tym również gruźlica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wielolekooporna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i inne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mykobakteriozy</w:t>
            </w:r>
            <w:proofErr w:type="spellEnd"/>
          </w:p>
        </w:tc>
      </w:tr>
      <w:tr w:rsidR="00C645B7" w:rsidRPr="007419DE" w14:paraId="14356238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B68E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141.1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FCC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Niesteroidowe leki przeciwzapalne do stosowania doustnego - produkty jednoskładnikowe i skojarzone z inhibitorami pompy protonowej - stałe postacie farmaceutyczne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D27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Aulin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Nimesulidum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631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2A03CCCD" w14:textId="77777777" w:rsidTr="00EA3852">
        <w:trPr>
          <w:trHeight w:val="1004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B15E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141.2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57BC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Niesteroidowe leki przeciwzapalne do stosowania doodbytniczego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96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Profenid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Ketoprofenum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, czopki)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38F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 xml:space="preserve">Wskazanie pozarejestracyjne: ból w przebiegu chorób nowotworowych - w przypadkach innych niż określone w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ChPL</w:t>
            </w:r>
            <w:proofErr w:type="spellEnd"/>
          </w:p>
        </w:tc>
      </w:tr>
      <w:tr w:rsidR="00C645B7" w:rsidRPr="007419DE" w14:paraId="46C02FE8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A505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208.0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94C5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Antybiotyki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aminoglikozydowe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do stosowania do oczu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F66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Gentamicin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WZF 0,3%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Gentamicinum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9D5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  <w:tr w:rsidR="00C645B7" w:rsidRPr="007419DE" w14:paraId="5CE5AF86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71D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211.0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99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Leki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przeciwjaskrowe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parasympatykomimetyki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- pilokarpina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87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Pilocarpinum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WZF 2%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Pilocarpinum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F96D" w14:textId="4931A950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Jaskra</w:t>
            </w:r>
          </w:p>
        </w:tc>
      </w:tr>
      <w:tr w:rsidR="00C645B7" w:rsidRPr="007419DE" w14:paraId="003F689C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B37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213.0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0A0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Leki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przeciwjaskrowe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- beta-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adrenolityki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do stosowania do oczu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FDF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Cusimolol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0,5%,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Oftensin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Timololum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0B0" w14:textId="1139420C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Jaskra</w:t>
            </w:r>
          </w:p>
        </w:tc>
      </w:tr>
      <w:tr w:rsidR="00C645B7" w:rsidRPr="007419DE" w14:paraId="491039A3" w14:textId="77777777" w:rsidTr="00EA3852">
        <w:trPr>
          <w:trHeight w:val="76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E82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216.6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5AC9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Diety eliminacyjne w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fenyloketonurii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porcjowane, w postaci tabletek powlekanych – przeznaczone dla pacjentów powyżej 15 r.ż.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19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Milupa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PKU 3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(Dieta eliminacyjna w Fenyloketonurii)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00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Fenyloketonuria</w:t>
            </w:r>
          </w:p>
        </w:tc>
      </w:tr>
      <w:tr w:rsidR="00C645B7" w:rsidRPr="007419DE" w14:paraId="04C4A0B1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E0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217.1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7B8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Diety eliminacyjne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mlekozastępcze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początkowe przeznaczone dla niemowląt od urodzenia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F9F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Humana SL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 xml:space="preserve">(Dieta eliminacyjna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mlekozastępcza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88A" w14:textId="5CA793FC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Zespoły wrodzonych defektów metabolicznych, alergie pokarmowe i biegunki przewlekłe</w:t>
            </w:r>
          </w:p>
        </w:tc>
      </w:tr>
      <w:tr w:rsidR="00C645B7" w:rsidRPr="007419DE" w14:paraId="5B6E699C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4F8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219.1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2AB0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Paski diagnostyczne do oznaczania glukozy i ciał ketonowych w moczu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4A1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Keto-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Diastix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(Paski do oznaczania glukozy i ciał ketonowych w moczu)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8B5" w14:textId="23E50B48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Cukrzyca</w:t>
            </w:r>
          </w:p>
        </w:tc>
      </w:tr>
      <w:tr w:rsidR="00C645B7" w:rsidRPr="007419DE" w14:paraId="4248C595" w14:textId="77777777" w:rsidTr="00EA3852">
        <w:trPr>
          <w:trHeight w:val="6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80E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lastRenderedPageBreak/>
              <w:t>226.0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A78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Leki antycholinergiczne do stosowania do oczu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944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Atropinum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sulfuricum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WZF 1%</w:t>
            </w: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Atropini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sulfas</w:t>
            </w:r>
            <w:proofErr w:type="spellEnd"/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85A" w14:textId="77777777" w:rsidR="00C645B7" w:rsidRPr="006F1E88" w:rsidRDefault="00C645B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sz w:val="18"/>
                <w:szCs w:val="18"/>
                <w:lang w:eastAsia="pl-PL"/>
              </w:rPr>
              <w:t>We wszystkich zarejestrowanych wskazaniach na dzień wydania decyzji</w:t>
            </w:r>
          </w:p>
        </w:tc>
      </w:tr>
    </w:tbl>
    <w:p w14:paraId="453DEA19" w14:textId="77777777" w:rsidR="00D95653" w:rsidRDefault="00D95653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78C5AE3" w14:textId="77777777" w:rsidR="00392C57" w:rsidRPr="004D093B" w:rsidRDefault="00392C57" w:rsidP="00392C57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ZMIANY W WYSOKOŚCI MARŻY DETALICZNEJ</w:t>
      </w:r>
    </w:p>
    <w:p w14:paraId="0E87B1BA" w14:textId="0CF6EC64" w:rsidR="00392C57" w:rsidRPr="00721C23" w:rsidRDefault="00392C57" w:rsidP="00392C5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</w:t>
      </w:r>
      <w:r w:rsidRPr="00A45A61">
        <w:rPr>
          <w:rFonts w:ascii="Lato" w:hAnsi="Lato"/>
        </w:rPr>
        <w:t xml:space="preserve">związku z </w:t>
      </w:r>
      <w:r w:rsidR="00A45A61" w:rsidRPr="00A45A61">
        <w:rPr>
          <w:rFonts w:ascii="Lato" w:hAnsi="Lato"/>
        </w:rPr>
        <w:t>dużą</w:t>
      </w:r>
      <w:r w:rsidRPr="00A45A61">
        <w:rPr>
          <w:rFonts w:ascii="Lato" w:hAnsi="Lato"/>
        </w:rPr>
        <w:t xml:space="preserve"> nowelizacj</w:t>
      </w:r>
      <w:r w:rsidR="00A45A61" w:rsidRPr="00A45A61">
        <w:rPr>
          <w:rFonts w:ascii="Lato" w:hAnsi="Lato"/>
        </w:rPr>
        <w:t>ą</w:t>
      </w:r>
      <w:r w:rsidRPr="00A45A61">
        <w:rPr>
          <w:rFonts w:ascii="Lato" w:hAnsi="Lato"/>
        </w:rPr>
        <w:t xml:space="preserve"> ustawy o refundacji leków, środków spożywczych specjalnego przeznaczenia żywieniowego oraz wyrobów medycznych,</w:t>
      </w:r>
      <w:r w:rsidR="000F28DF" w:rsidRPr="00A45A61">
        <w:rPr>
          <w:rFonts w:ascii="Lato" w:hAnsi="Lato"/>
        </w:rPr>
        <w:t xml:space="preserve"> która weszła w życie 1 listopada 2023 r.,</w:t>
      </w:r>
      <w:r w:rsidRPr="00A45A61">
        <w:rPr>
          <w:rFonts w:ascii="Lato" w:hAnsi="Lato"/>
        </w:rPr>
        <w:t xml:space="preserve"> </w:t>
      </w:r>
      <w:r w:rsidR="000F28DF" w:rsidRPr="00A45A61">
        <w:rPr>
          <w:rFonts w:ascii="Lato" w:hAnsi="Lato"/>
        </w:rPr>
        <w:t xml:space="preserve">implementowana jest </w:t>
      </w:r>
      <w:r w:rsidR="00A45A61" w:rsidRPr="00A45A61">
        <w:rPr>
          <w:rFonts w:ascii="Lato" w:hAnsi="Lato"/>
        </w:rPr>
        <w:t xml:space="preserve">kolejna zmiana </w:t>
      </w:r>
      <w:r w:rsidR="000F28DF" w:rsidRPr="00A45A61">
        <w:rPr>
          <w:rFonts w:ascii="Lato" w:hAnsi="Lato"/>
        </w:rPr>
        <w:t>odroczona w czasie</w:t>
      </w:r>
      <w:r w:rsidR="00A45A61" w:rsidRPr="00A45A61">
        <w:rPr>
          <w:rFonts w:ascii="Lato" w:hAnsi="Lato"/>
        </w:rPr>
        <w:t xml:space="preserve">. W rezultacie </w:t>
      </w:r>
      <w:r w:rsidR="000F28DF" w:rsidRPr="00A45A61">
        <w:rPr>
          <w:rFonts w:ascii="Lato" w:hAnsi="Lato"/>
        </w:rPr>
        <w:t xml:space="preserve">od 1 stycznia 2025 r., </w:t>
      </w:r>
      <w:r w:rsidRPr="00A45A61">
        <w:rPr>
          <w:rFonts w:ascii="Lato" w:hAnsi="Lato"/>
        </w:rPr>
        <w:t>obowiązuje nowa tabela wysokości marży detalicznej</w:t>
      </w:r>
      <w:r w:rsidR="00A45A61">
        <w:rPr>
          <w:rFonts w:ascii="Lato" w:hAnsi="Lato"/>
        </w:rPr>
        <w:t xml:space="preserve"> ustalona niniejszą nowelizacją</w:t>
      </w:r>
      <w:r w:rsidRPr="00A45A61">
        <w:rPr>
          <w:rFonts w:ascii="Lato" w:hAnsi="Lato"/>
        </w:rPr>
        <w:t>. Zgodnie z treścią art. 7 ust. 4 ustawy o refundacji, marża detaliczna obowiązująca od niniejszego obwieszczenia jest wyliczona na podstawie poniższej tabeli: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2"/>
        <w:gridCol w:w="3424"/>
        <w:gridCol w:w="7142"/>
      </w:tblGrid>
      <w:tr w:rsidR="00392C57" w:rsidRPr="00721C23" w14:paraId="22ACEB5B" w14:textId="77777777" w:rsidTr="000A3571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14:paraId="06B9D855" w14:textId="77777777" w:rsidR="00392C57" w:rsidRPr="000A3571" w:rsidRDefault="00392C57" w:rsidP="00F85B0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0A3571">
              <w:rPr>
                <w:rFonts w:ascii="Lato" w:hAnsi="Lato" w:cstheme="majorHAnsi"/>
                <w:b/>
                <w:bCs/>
                <w:color w:val="FFFFFF"/>
              </w:rPr>
              <w:t>Wysokość urzędowej marży detalicznej naliczanej od ceny hurtowej produktu stanowiącego podstawę limitu w danej grupie limitowej</w:t>
            </w:r>
          </w:p>
        </w:tc>
      </w:tr>
      <w:tr w:rsidR="00392C57" w:rsidRPr="00721C23" w14:paraId="4AFC44C0" w14:textId="77777777" w:rsidTr="000A3571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CDB78E" w14:textId="77777777" w:rsidR="00392C57" w:rsidRPr="000A3571" w:rsidRDefault="00392C57" w:rsidP="00F85B0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A3571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507B6F4" w14:textId="77777777" w:rsidR="00392C57" w:rsidRPr="000A3571" w:rsidRDefault="00392C57" w:rsidP="00F85B0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A3571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02657C" w14:textId="77777777" w:rsidR="00392C57" w:rsidRPr="000A3571" w:rsidRDefault="00392C57" w:rsidP="00F85B0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0A3571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zasada marży</w:t>
            </w:r>
          </w:p>
        </w:tc>
      </w:tr>
      <w:tr w:rsidR="00392C57" w:rsidRPr="00721C23" w14:paraId="3BFC9592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E65982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-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04AF5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5,00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C656CC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40%</w:t>
            </w:r>
          </w:p>
        </w:tc>
      </w:tr>
      <w:tr w:rsidR="00392C57" w:rsidRPr="00721C23" w14:paraId="31B73B3C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02DB1E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5,01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C9CFDB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DBD497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2 zł + 30% × (x - 5,00 zł)</w:t>
            </w:r>
          </w:p>
        </w:tc>
      </w:tr>
      <w:tr w:rsidR="00392C57" w:rsidRPr="00721C23" w14:paraId="136026F7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6835B3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E10A1E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20,00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4DDE9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3,50 zł + 20% × (x -10,00 zł)</w:t>
            </w:r>
          </w:p>
        </w:tc>
      </w:tr>
      <w:tr w:rsidR="00392C57" w:rsidRPr="00721C23" w14:paraId="4E77CB68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C3846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20,01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BA7559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40,00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34B7B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5,50 zł + 15% × (x - 20,00 zł)</w:t>
            </w:r>
          </w:p>
        </w:tc>
      </w:tr>
      <w:tr w:rsidR="00392C57" w:rsidRPr="00721C23" w14:paraId="4FE90799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C320E8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40,01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D2531A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80,00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CAD8BA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8,50 zł + 10% × (x - 40,00 zł)</w:t>
            </w:r>
          </w:p>
        </w:tc>
      </w:tr>
      <w:tr w:rsidR="00392C57" w:rsidRPr="00721C23" w14:paraId="77A17485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9D562FB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80,01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430E53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160,00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9896983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12,50 zł + 5% × (x - 80,00 zł)</w:t>
            </w:r>
          </w:p>
        </w:tc>
      </w:tr>
      <w:tr w:rsidR="00392C57" w:rsidRPr="00721C23" w14:paraId="3B678C46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FFF96C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160,01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105551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320,00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7A5B6ED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16,50 zł + 2,5% × (x - 160,00 zł)</w:t>
            </w:r>
          </w:p>
        </w:tc>
      </w:tr>
      <w:tr w:rsidR="00392C57" w:rsidRPr="00721C23" w14:paraId="5229A266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E7D32AC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lastRenderedPageBreak/>
              <w:t>320,01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40DB0C5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640,00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436FED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20,50 zł + 2,5% × (x - 320,00 zł)</w:t>
            </w:r>
          </w:p>
        </w:tc>
      </w:tr>
      <w:tr w:rsidR="00392C57" w:rsidRPr="00721C23" w14:paraId="0AAB1D0E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24811F3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640,01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E56A86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1280,00 zł</w:t>
            </w: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3468F4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28,50 zł + 2,5% × (x - 640,00 zł)</w:t>
            </w:r>
          </w:p>
        </w:tc>
      </w:tr>
      <w:tr w:rsidR="00392C57" w:rsidRPr="00721C23" w14:paraId="649766BB" w14:textId="77777777" w:rsidTr="00392C57">
        <w:trPr>
          <w:jc w:val="center"/>
        </w:trPr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1864F57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1280,01 zł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9EB1B7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14B602" w14:textId="77777777" w:rsidR="00392C57" w:rsidRPr="006F1E88" w:rsidRDefault="00392C57" w:rsidP="00F85B00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6F1E88">
              <w:rPr>
                <w:rFonts w:ascii="Lato" w:hAnsi="Lato"/>
                <w:sz w:val="18"/>
                <w:szCs w:val="18"/>
              </w:rPr>
              <w:t>44,50 zł + 1,25% × (x - 1280,00 zł)</w:t>
            </w:r>
          </w:p>
        </w:tc>
      </w:tr>
    </w:tbl>
    <w:p w14:paraId="1F4D0574" w14:textId="77777777" w:rsidR="00392C57" w:rsidRPr="00392C57" w:rsidRDefault="00392C57" w:rsidP="00392C57">
      <w:pPr>
        <w:spacing w:before="240" w:after="120" w:line="360" w:lineRule="auto"/>
        <w:jc w:val="both"/>
        <w:rPr>
          <w:rFonts w:ascii="Lato" w:hAnsi="Lato"/>
          <w:i/>
          <w:iCs/>
        </w:rPr>
      </w:pPr>
      <w:r w:rsidRPr="00392C57">
        <w:rPr>
          <w:rFonts w:ascii="Lato" w:hAnsi="Lato"/>
          <w:i/>
          <w:iCs/>
        </w:rPr>
        <w:t>- gdzie x oznacza cenę hurtową leku, środka spożywczego specjalnego przeznaczenia żywieniowego albo wyrobu medycznego stanowiącego podstawę limitu, uwzględniającą liczbę DDD leku, jednostek środka spożywczego specjalnego przeznaczenia żywieniowego w opakowaniu albo liczbę jednostkowych wyrobów medycznych, albo liczbę jednostek wyrobu medycznego.</w:t>
      </w:r>
    </w:p>
    <w:p w14:paraId="68D6EDBB" w14:textId="47BE04D7" w:rsidR="00392C57" w:rsidRDefault="00392C57" w:rsidP="00392C5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związku z powyższą zmianą, zmianie ulega większość cen detalicznych produktów dostępnych w </w:t>
      </w:r>
      <w:r w:rsidRPr="00020DA9">
        <w:rPr>
          <w:rFonts w:ascii="Lato" w:hAnsi="Lato"/>
        </w:rPr>
        <w:t xml:space="preserve">ramach refundacji aptecznej. Należy jednak podkreślić, że zdecydowana </w:t>
      </w:r>
      <w:r w:rsidRPr="00020DA9">
        <w:rPr>
          <w:rFonts w:ascii="Lato" w:hAnsi="Lato"/>
          <w:b/>
          <w:bCs/>
        </w:rPr>
        <w:t>większość podwyżek to zmiany w minimalnym zakresie</w:t>
      </w:r>
      <w:r w:rsidRPr="00020DA9">
        <w:rPr>
          <w:rFonts w:ascii="Lato" w:hAnsi="Lato"/>
        </w:rPr>
        <w:t>, ponad 9</w:t>
      </w:r>
      <w:r w:rsidR="00C31A22" w:rsidRPr="00020DA9">
        <w:rPr>
          <w:rFonts w:ascii="Lato" w:hAnsi="Lato"/>
        </w:rPr>
        <w:t>8</w:t>
      </w:r>
      <w:r w:rsidRPr="00020DA9">
        <w:rPr>
          <w:rFonts w:ascii="Lato" w:hAnsi="Lato"/>
        </w:rPr>
        <w:t>% podwyżek</w:t>
      </w:r>
      <w:r w:rsidRPr="006F3508">
        <w:rPr>
          <w:rFonts w:ascii="Lato" w:hAnsi="Lato"/>
        </w:rPr>
        <w:t xml:space="preserve"> ceny detalicznej wynosi mniej niż 1 zł</w:t>
      </w:r>
      <w:r>
        <w:rPr>
          <w:rFonts w:ascii="Lato" w:hAnsi="Lato"/>
        </w:rPr>
        <w:t>:</w:t>
      </w:r>
    </w:p>
    <w:p w14:paraId="186B20C9" w14:textId="2E9F2D92" w:rsidR="00392C57" w:rsidRPr="00392C57" w:rsidRDefault="00392C57" w:rsidP="00392C57">
      <w:pPr>
        <w:pStyle w:val="Akapitzlist"/>
        <w:numPr>
          <w:ilvl w:val="0"/>
          <w:numId w:val="33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ceny detalicznej mniejsza lub równa 0,10 zł – 36</w:t>
      </w:r>
      <w:r w:rsidR="00A16F0D">
        <w:rPr>
          <w:rFonts w:ascii="Lato" w:hAnsi="Lato"/>
        </w:rPr>
        <w:t>70</w:t>
      </w:r>
      <w:r w:rsidRPr="00392C57">
        <w:rPr>
          <w:rFonts w:ascii="Lato" w:hAnsi="Lato"/>
        </w:rPr>
        <w:t xml:space="preserve"> produktów,</w:t>
      </w:r>
    </w:p>
    <w:p w14:paraId="60D5908A" w14:textId="77777777" w:rsidR="00392C57" w:rsidRPr="00392C57" w:rsidRDefault="00392C57" w:rsidP="00392C57">
      <w:pPr>
        <w:pStyle w:val="Akapitzlist"/>
        <w:numPr>
          <w:ilvl w:val="0"/>
          <w:numId w:val="33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ceny detalicznej między 0,11 zł, a 1,00 zł – 63 produkty,</w:t>
      </w:r>
    </w:p>
    <w:p w14:paraId="7C16EFF2" w14:textId="77777777" w:rsidR="00392C57" w:rsidRPr="00392C57" w:rsidRDefault="00392C57" w:rsidP="00392C57">
      <w:pPr>
        <w:pStyle w:val="Akapitzlist"/>
        <w:numPr>
          <w:ilvl w:val="0"/>
          <w:numId w:val="33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ceny detalicznej między 1,01 zł, a 3,00 zł – 11 produktów,</w:t>
      </w:r>
    </w:p>
    <w:p w14:paraId="170013BF" w14:textId="77777777" w:rsidR="00392C57" w:rsidRPr="00392C57" w:rsidRDefault="00392C57" w:rsidP="00392C57">
      <w:pPr>
        <w:pStyle w:val="Akapitzlist"/>
        <w:numPr>
          <w:ilvl w:val="0"/>
          <w:numId w:val="33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 xml:space="preserve">podwyżka ceny detalicznej między 3,01 zł, a 6,00 zł – 1 produkt. </w:t>
      </w:r>
    </w:p>
    <w:p w14:paraId="79025189" w14:textId="4936E05A" w:rsidR="00392C57" w:rsidRDefault="00392C57" w:rsidP="00392C5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Podobnie sytuacja wygląda w przypadku podwyżek wysokości dopłaty pacjenta</w:t>
      </w:r>
      <w:r w:rsidR="00EA3852" w:rsidRPr="00020DA9">
        <w:rPr>
          <w:rFonts w:ascii="Lato" w:hAnsi="Lato"/>
        </w:rPr>
        <w:t>, gdzie prawie 93%</w:t>
      </w:r>
      <w:r w:rsidR="001F40F8" w:rsidRPr="00020DA9">
        <w:rPr>
          <w:rFonts w:ascii="Lato" w:hAnsi="Lato"/>
        </w:rPr>
        <w:t xml:space="preserve"> podwyżek dopłaty</w:t>
      </w:r>
      <w:r w:rsidR="001F40F8">
        <w:rPr>
          <w:rFonts w:ascii="Lato" w:hAnsi="Lato"/>
        </w:rPr>
        <w:t xml:space="preserve"> pacjenta wynosi mniej niż 1 zł</w:t>
      </w:r>
      <w:r>
        <w:rPr>
          <w:rFonts w:ascii="Lato" w:hAnsi="Lato"/>
        </w:rPr>
        <w:t xml:space="preserve">: </w:t>
      </w:r>
    </w:p>
    <w:p w14:paraId="68FEFC16" w14:textId="3F6800DE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mniejsza lub równa 0,10 zł – 20</w:t>
      </w:r>
      <w:r w:rsidR="00C31A22">
        <w:rPr>
          <w:rFonts w:ascii="Lato" w:hAnsi="Lato"/>
        </w:rPr>
        <w:t>01</w:t>
      </w:r>
      <w:r w:rsidRPr="00392C57">
        <w:rPr>
          <w:rFonts w:ascii="Lato" w:hAnsi="Lato"/>
        </w:rPr>
        <w:t xml:space="preserve"> produktów,</w:t>
      </w:r>
    </w:p>
    <w:p w14:paraId="1919D9FF" w14:textId="6272A4CC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między 0,11 zł, a 1,00 zł – 20</w:t>
      </w:r>
      <w:r w:rsidR="00C31A22">
        <w:rPr>
          <w:rFonts w:ascii="Lato" w:hAnsi="Lato"/>
        </w:rPr>
        <w:t>6</w:t>
      </w:r>
      <w:r w:rsidRPr="00392C57">
        <w:rPr>
          <w:rFonts w:ascii="Lato" w:hAnsi="Lato"/>
        </w:rPr>
        <w:t xml:space="preserve"> produktów,</w:t>
      </w:r>
    </w:p>
    <w:p w14:paraId="0FCCC4BC" w14:textId="77777777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między 1,01 zł, a 3,00 zł – 101 produktów,</w:t>
      </w:r>
    </w:p>
    <w:p w14:paraId="3DA42382" w14:textId="5949C37F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między 3,01 zł, a 10,00 zł – 40 produktów</w:t>
      </w:r>
      <w:r w:rsidR="001F40F8">
        <w:rPr>
          <w:rFonts w:ascii="Lato" w:hAnsi="Lato"/>
        </w:rPr>
        <w:t>,</w:t>
      </w:r>
    </w:p>
    <w:p w14:paraId="5CF30971" w14:textId="7DDDC111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między 10,01 zł, a 50,00 zł – 27 produktów</w:t>
      </w:r>
      <w:r w:rsidR="001F40F8">
        <w:rPr>
          <w:rFonts w:ascii="Lato" w:hAnsi="Lato"/>
        </w:rPr>
        <w:t>,</w:t>
      </w:r>
    </w:p>
    <w:p w14:paraId="72BE1E5F" w14:textId="77777777" w:rsidR="00392C57" w:rsidRPr="00392C57" w:rsidRDefault="00392C57" w:rsidP="00392C57">
      <w:pPr>
        <w:pStyle w:val="Akapitzlist"/>
        <w:numPr>
          <w:ilvl w:val="0"/>
          <w:numId w:val="34"/>
        </w:numPr>
        <w:spacing w:before="240" w:after="120" w:line="360" w:lineRule="auto"/>
        <w:jc w:val="both"/>
        <w:rPr>
          <w:rFonts w:ascii="Lato" w:hAnsi="Lato"/>
        </w:rPr>
      </w:pPr>
      <w:r w:rsidRPr="00392C57">
        <w:rPr>
          <w:rFonts w:ascii="Lato" w:hAnsi="Lato"/>
        </w:rPr>
        <w:t>podwyżka dopłaty pacjenta powyżej 50,01 zł – 4 produkty.</w:t>
      </w:r>
    </w:p>
    <w:p w14:paraId="6C763259" w14:textId="195933E6" w:rsidR="00FF3453" w:rsidRDefault="00392C57" w:rsidP="008E7029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Aż 85% produktów, u których zwiększa się dopłata pacjenta, znajdują się na wykazach darmowych leków 18- i 65+, więc w </w:t>
      </w:r>
      <w:r w:rsidR="00624B95">
        <w:rPr>
          <w:rFonts w:ascii="Lato" w:hAnsi="Lato"/>
        </w:rPr>
        <w:t>wielu przypadkach powyższe zmiany w zakresie ceny detalicznej/wielkości dopłaty pacjentów</w:t>
      </w:r>
      <w:r>
        <w:rPr>
          <w:rFonts w:ascii="Lato" w:hAnsi="Lato"/>
        </w:rPr>
        <w:t xml:space="preserve"> </w:t>
      </w:r>
      <w:r w:rsidR="00624B95">
        <w:rPr>
          <w:rFonts w:ascii="Lato" w:hAnsi="Lato"/>
        </w:rPr>
        <w:t>pozostaną neutralne wobec kosztów leczenia z perspektywy pacjentów.</w:t>
      </w:r>
    </w:p>
    <w:p w14:paraId="24CF778F" w14:textId="77777777" w:rsidR="00FF3453" w:rsidRDefault="00FF3453" w:rsidP="00FF345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FF3453">
        <w:rPr>
          <w:rFonts w:ascii="Lato" w:hAnsi="Lato"/>
          <w:b/>
          <w:bCs/>
          <w:color w:val="00B0F0"/>
          <w:sz w:val="28"/>
          <w:szCs w:val="28"/>
        </w:rPr>
        <w:t>KARDIOLOGICZNE LEKI O UGRUNTOWANEJ SKUTECZNOŚCI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 </w:t>
      </w:r>
    </w:p>
    <w:p w14:paraId="653C2FD5" w14:textId="77777777" w:rsidR="00FF3453" w:rsidRDefault="00FF3453" w:rsidP="00FF345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 xml:space="preserve">ORAZ </w:t>
      </w:r>
    </w:p>
    <w:p w14:paraId="5D6B1ADA" w14:textId="462A70F5" w:rsidR="00FF3453" w:rsidRPr="00FF3453" w:rsidRDefault="00FF3453" w:rsidP="00FF3453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KWESTIA PRESKRYPCJI PRODUKTÓW Z RYWAROKSABANEM I DABIGATRANEM W LECZENIU PROFILAKTYCZNYM PACJENTÓW Z MIGOTANIEM PRZEDSIONKÓW OD 1 STYCZNIA 2025 R.</w:t>
      </w:r>
    </w:p>
    <w:p w14:paraId="1991376A" w14:textId="77777777" w:rsidR="00FF3453" w:rsidRDefault="00FF3453" w:rsidP="00FF3453">
      <w:pPr>
        <w:spacing w:line="360" w:lineRule="auto"/>
        <w:rPr>
          <w:rFonts w:ascii="Lato" w:hAnsi="Lato"/>
        </w:rPr>
      </w:pPr>
      <w:r>
        <w:rPr>
          <w:rFonts w:ascii="Lato" w:hAnsi="Lato"/>
        </w:rPr>
        <w:t xml:space="preserve">Znowelizowana ustawy </w:t>
      </w:r>
      <w:r w:rsidRPr="00097962">
        <w:rPr>
          <w:rFonts w:ascii="Lato" w:hAnsi="Lato"/>
        </w:rPr>
        <w:t>o refundacji wprowadziła</w:t>
      </w:r>
      <w:r>
        <w:rPr>
          <w:rFonts w:ascii="Lato" w:hAnsi="Lato"/>
        </w:rPr>
        <w:t xml:space="preserve"> </w:t>
      </w:r>
      <w:r w:rsidRPr="00097962">
        <w:rPr>
          <w:rFonts w:ascii="Lato" w:hAnsi="Lato"/>
        </w:rPr>
        <w:t>nową ścieżkę procedowania</w:t>
      </w:r>
      <w:r>
        <w:rPr>
          <w:rFonts w:ascii="Lato" w:hAnsi="Lato"/>
        </w:rPr>
        <w:t xml:space="preserve"> wniosków refundacyjnych</w:t>
      </w:r>
      <w:r w:rsidRPr="00097962">
        <w:rPr>
          <w:rFonts w:ascii="Lato" w:hAnsi="Lato"/>
        </w:rPr>
        <w:t xml:space="preserve"> w ramach art. 30a</w:t>
      </w:r>
      <w:r>
        <w:rPr>
          <w:rFonts w:ascii="Lato" w:hAnsi="Lato"/>
        </w:rPr>
        <w:t xml:space="preserve">. Przepisy określone w art. 30a ustawy o refundacji dotyczą leków wymagających stosowania dłużej niż 30 dni w określonym stanie klinicznym, rekomendowanych w wytycznych postępowania klinicznego, dla których wnioskodawca nie złożył dotychczas wniosku o objęcie refundacją i upłynął okres wyłączności rynkowej. Na podstawia art. 30a ustawy o refundacji Agencja Oceny Technologii Medycznych i Taryfikacji, </w:t>
      </w:r>
      <w:r w:rsidRPr="009A28A0">
        <w:rPr>
          <w:rFonts w:ascii="Lato" w:hAnsi="Lato"/>
        </w:rPr>
        <w:t xml:space="preserve">po zasięgnięciu opinii Rady Przejrzystości, Konsultantów </w:t>
      </w:r>
      <w:proofErr w:type="gramStart"/>
      <w:r w:rsidRPr="009A28A0">
        <w:rPr>
          <w:rFonts w:ascii="Lato" w:hAnsi="Lato"/>
        </w:rPr>
        <w:t>Krajowych  oraz</w:t>
      </w:r>
      <w:proofErr w:type="gramEnd"/>
      <w:r w:rsidRPr="009A28A0">
        <w:rPr>
          <w:rFonts w:ascii="Lato" w:hAnsi="Lato"/>
        </w:rPr>
        <w:t xml:space="preserve"> Rzecznika Praw Pacjenta</w:t>
      </w:r>
      <w:r>
        <w:rPr>
          <w:rFonts w:ascii="Lato" w:hAnsi="Lato"/>
        </w:rPr>
        <w:t xml:space="preserve">, przygotowała pierwszy wykaz leków o ugruntowanej skuteczności, dotyczący leków we wskazaniach kardiologicznych. </w:t>
      </w:r>
    </w:p>
    <w:p w14:paraId="3CFF5776" w14:textId="1065A01F" w:rsidR="00FF3453" w:rsidRPr="009658E1" w:rsidRDefault="00FF3453" w:rsidP="00FF3453">
      <w:pPr>
        <w:spacing w:line="360" w:lineRule="auto"/>
        <w:rPr>
          <w:rFonts w:ascii="Lato" w:hAnsi="Lato"/>
        </w:rPr>
      </w:pPr>
      <w:r>
        <w:rPr>
          <w:rFonts w:ascii="Lato" w:hAnsi="Lato"/>
        </w:rPr>
        <w:t xml:space="preserve">Na podstawie ww. wykazu 11 października 2024 r. Minister Zdrowia opublikował </w:t>
      </w:r>
      <w:r w:rsidRPr="0039373D">
        <w:rPr>
          <w:rFonts w:ascii="Lato" w:hAnsi="Lato"/>
          <w:b/>
          <w:bCs/>
        </w:rPr>
        <w:t xml:space="preserve">listę kardiologicznych </w:t>
      </w:r>
      <w:proofErr w:type="gramStart"/>
      <w:r w:rsidRPr="0039373D">
        <w:rPr>
          <w:rFonts w:ascii="Lato" w:hAnsi="Lato"/>
          <w:b/>
          <w:bCs/>
        </w:rPr>
        <w:t>leków  o</w:t>
      </w:r>
      <w:proofErr w:type="gramEnd"/>
      <w:r w:rsidRPr="0039373D">
        <w:rPr>
          <w:rFonts w:ascii="Lato" w:hAnsi="Lato"/>
          <w:b/>
          <w:bCs/>
        </w:rPr>
        <w:t xml:space="preserve"> ugruntowanej skuteczności</w:t>
      </w:r>
      <w:r>
        <w:rPr>
          <w:rFonts w:ascii="Lato" w:hAnsi="Lato"/>
        </w:rPr>
        <w:t xml:space="preserve">, na której znalazło się </w:t>
      </w:r>
      <w:r w:rsidRPr="003D1859">
        <w:rPr>
          <w:rFonts w:ascii="Lato" w:hAnsi="Lato"/>
          <w:b/>
          <w:bCs/>
        </w:rPr>
        <w:t>14 cząsteczko-wskazań</w:t>
      </w:r>
      <w:r>
        <w:rPr>
          <w:rFonts w:ascii="Lato" w:hAnsi="Lato"/>
        </w:rPr>
        <w:t xml:space="preserve"> informując tym samym podmioty odpowiedzialne, których technologie znalazły się na ww. liście o możliwości składania wniosków refundacyjnych. W związku ze złożonymi wnioskami o objęcie refundacją leków w ramach ww. listy kardiologicznych </w:t>
      </w:r>
      <w:proofErr w:type="gramStart"/>
      <w:r>
        <w:rPr>
          <w:rFonts w:ascii="Lato" w:hAnsi="Lato"/>
        </w:rPr>
        <w:t>leków  o</w:t>
      </w:r>
      <w:proofErr w:type="gramEnd"/>
      <w:r>
        <w:rPr>
          <w:rFonts w:ascii="Lato" w:hAnsi="Lato"/>
        </w:rPr>
        <w:t xml:space="preserve"> ugruntowanej skuteczności od 1 stycznia 2025 r. refundacją zostało </w:t>
      </w:r>
      <w:r w:rsidRPr="002E4934">
        <w:rPr>
          <w:rFonts w:ascii="Lato" w:hAnsi="Lato"/>
        </w:rPr>
        <w:t xml:space="preserve">objętych 6 </w:t>
      </w:r>
      <w:r>
        <w:rPr>
          <w:rFonts w:ascii="Lato" w:hAnsi="Lato"/>
        </w:rPr>
        <w:t xml:space="preserve">nowych </w:t>
      </w:r>
      <w:r w:rsidRPr="002E4934">
        <w:rPr>
          <w:rFonts w:ascii="Lato" w:hAnsi="Lato"/>
        </w:rPr>
        <w:t>cząsteczko – wskazań</w:t>
      </w:r>
      <w:r>
        <w:rPr>
          <w:rFonts w:ascii="Lato" w:hAnsi="Lato"/>
        </w:rPr>
        <w:t xml:space="preserve"> dedykowanych kardiologicznym jednostkom chorobowym, co wiązało się z wydaniem dodatkowych </w:t>
      </w:r>
      <w:r w:rsidRPr="003D1859">
        <w:rPr>
          <w:rFonts w:ascii="Lato" w:hAnsi="Lato"/>
          <w:b/>
          <w:bCs/>
        </w:rPr>
        <w:t>6</w:t>
      </w:r>
      <w:r>
        <w:rPr>
          <w:rFonts w:ascii="Lato" w:hAnsi="Lato"/>
          <w:b/>
          <w:bCs/>
        </w:rPr>
        <w:t>7</w:t>
      </w:r>
      <w:r w:rsidRPr="003D1859">
        <w:rPr>
          <w:rFonts w:ascii="Lato" w:hAnsi="Lato"/>
          <w:b/>
          <w:bCs/>
        </w:rPr>
        <w:t xml:space="preserve"> decyzji refundacyjnych</w:t>
      </w:r>
      <w:r w:rsidR="00367C47">
        <w:rPr>
          <w:rFonts w:ascii="Lato" w:hAnsi="Lato"/>
          <w:b/>
          <w:bCs/>
        </w:rPr>
        <w:t>: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8255"/>
      </w:tblGrid>
      <w:tr w:rsidR="00367C47" w:rsidRPr="00367C47" w14:paraId="6402F555" w14:textId="77777777" w:rsidTr="002A4B11">
        <w:trPr>
          <w:trHeight w:val="453"/>
        </w:trPr>
        <w:tc>
          <w:tcPr>
            <w:tcW w:w="2972" w:type="dxa"/>
            <w:shd w:val="clear" w:color="auto" w:fill="0094C8"/>
            <w:vAlign w:val="center"/>
            <w:hideMark/>
          </w:tcPr>
          <w:p w14:paraId="066C0881" w14:textId="77777777" w:rsidR="00367C47" w:rsidRPr="000A3571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Substancja czynna</w:t>
            </w:r>
          </w:p>
        </w:tc>
        <w:tc>
          <w:tcPr>
            <w:tcW w:w="2693" w:type="dxa"/>
            <w:shd w:val="clear" w:color="auto" w:fill="0094C8"/>
            <w:vAlign w:val="center"/>
            <w:hideMark/>
          </w:tcPr>
          <w:p w14:paraId="798EF522" w14:textId="77777777" w:rsidR="00367C47" w:rsidRPr="000A3571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Nazwy handlowe</w:t>
            </w:r>
          </w:p>
        </w:tc>
        <w:tc>
          <w:tcPr>
            <w:tcW w:w="8255" w:type="dxa"/>
            <w:shd w:val="clear" w:color="auto" w:fill="0094C8"/>
            <w:vAlign w:val="center"/>
            <w:hideMark/>
          </w:tcPr>
          <w:p w14:paraId="7C5F02FF" w14:textId="77777777" w:rsidR="00367C47" w:rsidRPr="000A3571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</w:pPr>
            <w:r w:rsidRPr="000A3571">
              <w:rPr>
                <w:rFonts w:ascii="Lato" w:eastAsia="Times New Roman" w:hAnsi="Lato" w:cs="Calibri"/>
                <w:b/>
                <w:bCs/>
                <w:color w:val="FFFFFF"/>
                <w:lang w:eastAsia="pl-PL"/>
              </w:rPr>
              <w:t>Wskazanie</w:t>
            </w:r>
          </w:p>
        </w:tc>
      </w:tr>
      <w:tr w:rsidR="00367C47" w:rsidRPr="00367C47" w14:paraId="35003992" w14:textId="77777777" w:rsidTr="002A4B11">
        <w:trPr>
          <w:trHeight w:val="1020"/>
        </w:trPr>
        <w:tc>
          <w:tcPr>
            <w:tcW w:w="2972" w:type="dxa"/>
            <w:shd w:val="clear" w:color="auto" w:fill="auto"/>
            <w:vAlign w:val="center"/>
            <w:hideMark/>
          </w:tcPr>
          <w:p w14:paraId="608AB217" w14:textId="09C72D62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d</w:t>
            </w:r>
            <w:r w:rsidR="00367C47"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abigatran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DF11FE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Daxanlo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Telexer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  <w:t xml:space="preserve">Dabigatran </w:t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Eteksylan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Stada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5FC21DDB" w14:textId="43083871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Profilaktyka udarów i zatorowości obwodowej u dorosłych pacjentów z migotaniem przedsionków niezwiązanym z wadą zastawkową, z jednym lub kilkoma czynnikami ryzyka, takimi jak wcześniejszy udar lub przemijający napad niedokrwienny, wiek ≥75 lat, nadciśnienie tętnicze, cukrzyca, niewydolność serca (klasa ≥II wg NYHA)</w:t>
            </w:r>
          </w:p>
        </w:tc>
      </w:tr>
      <w:tr w:rsidR="00367C47" w:rsidRPr="00367C47" w14:paraId="13AE2C6F" w14:textId="77777777" w:rsidTr="002A4B11">
        <w:trPr>
          <w:trHeight w:val="510"/>
        </w:trPr>
        <w:tc>
          <w:tcPr>
            <w:tcW w:w="2972" w:type="dxa"/>
            <w:shd w:val="clear" w:color="auto" w:fill="auto"/>
            <w:vAlign w:val="center"/>
            <w:hideMark/>
          </w:tcPr>
          <w:p w14:paraId="64AD55CD" w14:textId="71C95076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eplerenon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8C1896A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Espiro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Nonpres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63C18F95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Niewydolność mięśnia sercowego</w:t>
            </w:r>
          </w:p>
        </w:tc>
      </w:tr>
      <w:tr w:rsidR="00367C47" w:rsidRPr="00367C47" w14:paraId="11E1B8A0" w14:textId="77777777" w:rsidTr="002A4B11">
        <w:trPr>
          <w:trHeight w:val="300"/>
        </w:trPr>
        <w:tc>
          <w:tcPr>
            <w:tcW w:w="2972" w:type="dxa"/>
            <w:shd w:val="clear" w:color="auto" w:fill="auto"/>
            <w:vAlign w:val="center"/>
            <w:hideMark/>
          </w:tcPr>
          <w:p w14:paraId="1BEB67FB" w14:textId="4DA3E7AB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metyldopa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0D0DE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Dopegyt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07598F79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Nadciśnienie tętnicze w ciąży</w:t>
            </w:r>
          </w:p>
        </w:tc>
      </w:tr>
      <w:tr w:rsidR="00367C47" w:rsidRPr="00367C47" w14:paraId="481C1776" w14:textId="77777777" w:rsidTr="002A4B11">
        <w:trPr>
          <w:trHeight w:val="2550"/>
        </w:trPr>
        <w:tc>
          <w:tcPr>
            <w:tcW w:w="2972" w:type="dxa"/>
            <w:shd w:val="clear" w:color="auto" w:fill="auto"/>
            <w:vAlign w:val="center"/>
            <w:hideMark/>
          </w:tcPr>
          <w:p w14:paraId="1B749749" w14:textId="1224AE68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riwaroxaban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2DC9818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Xanirva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Xiltess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Kardatuxan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Mibrex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Rixacam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Vixargio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Thinban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Bevimlar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Runaplax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Zarixa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43C3C2FC" w14:textId="2D6A2B15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Profilaktyka udaru i zatorowości obwodowej u dorosłych pacjentów z migotaniem przedsionków niezwiązanym z wadą zastawkową, z jednym lub kilkoma czynnikami ryzyka, takimi </w:t>
            </w:r>
            <w:proofErr w:type="gram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jak  wcześniejszy</w:t>
            </w:r>
            <w:proofErr w:type="gram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udar lub przemijający napad niedokrwienny, wiek ≥75 lat, nadciśnienie tętnicze, cukrzyca, zastoinowa niewydolność serca</w:t>
            </w:r>
          </w:p>
        </w:tc>
      </w:tr>
      <w:tr w:rsidR="00367C47" w:rsidRPr="00367C47" w14:paraId="3932D2A2" w14:textId="77777777" w:rsidTr="002A4B11">
        <w:trPr>
          <w:trHeight w:val="1275"/>
        </w:trPr>
        <w:tc>
          <w:tcPr>
            <w:tcW w:w="2972" w:type="dxa"/>
            <w:shd w:val="clear" w:color="auto" w:fill="auto"/>
            <w:vAlign w:val="center"/>
            <w:hideMark/>
          </w:tcPr>
          <w:p w14:paraId="78BCE281" w14:textId="1BF37940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torasemid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4A6A80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Ebozan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Toramide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Diuver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Toradiur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Diured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1EE458E4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Niewydolność mięśnia sercowego</w:t>
            </w:r>
          </w:p>
        </w:tc>
      </w:tr>
      <w:tr w:rsidR="00367C47" w:rsidRPr="00367C47" w14:paraId="346AB95E" w14:textId="77777777" w:rsidTr="002A4B11">
        <w:trPr>
          <w:trHeight w:val="510"/>
        </w:trPr>
        <w:tc>
          <w:tcPr>
            <w:tcW w:w="2972" w:type="dxa"/>
            <w:shd w:val="clear" w:color="auto" w:fill="auto"/>
            <w:vAlign w:val="center"/>
            <w:hideMark/>
          </w:tcPr>
          <w:p w14:paraId="6DC771D8" w14:textId="384A72F2" w:rsidR="00367C47" w:rsidRPr="00437B05" w:rsidRDefault="006F1E88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437B05">
              <w:rPr>
                <w:rFonts w:ascii="Lato" w:eastAsia="Times New Roman" w:hAnsi="Lato" w:cs="Calibri"/>
                <w:i/>
                <w:iCs/>
                <w:color w:val="000000"/>
                <w:sz w:val="18"/>
                <w:szCs w:val="18"/>
                <w:lang w:eastAsia="pl-PL"/>
              </w:rPr>
              <w:t>trimetazydyna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04643C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Preductal MR</w:t>
            </w: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br/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Protevasc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 xml:space="preserve"> SR</w:t>
            </w:r>
          </w:p>
          <w:p w14:paraId="17675DAA" w14:textId="387EE4A0" w:rsidR="00072A7E" w:rsidRPr="006F1E88" w:rsidRDefault="00072A7E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val="en-US" w:eastAsia="pl-PL"/>
              </w:rPr>
              <w:t>Metazydyna</w:t>
            </w:r>
            <w:proofErr w:type="spellEnd"/>
          </w:p>
        </w:tc>
        <w:tc>
          <w:tcPr>
            <w:tcW w:w="8255" w:type="dxa"/>
            <w:shd w:val="clear" w:color="auto" w:fill="auto"/>
            <w:vAlign w:val="center"/>
            <w:hideMark/>
          </w:tcPr>
          <w:p w14:paraId="7380EF56" w14:textId="77777777" w:rsidR="00367C47" w:rsidRPr="006F1E88" w:rsidRDefault="00367C47" w:rsidP="006F1E8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Leczenie dorosłych pacjentów ze stabilną dławicą piersiową, u których leczenie </w:t>
            </w:r>
            <w:proofErr w:type="spellStart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przeciwdławicowe</w:t>
            </w:r>
            <w:proofErr w:type="spellEnd"/>
            <w:r w:rsidRPr="006F1E8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pierwszego rzutu jest niewystarczające lub nie jest tolerowane</w:t>
            </w:r>
          </w:p>
        </w:tc>
      </w:tr>
    </w:tbl>
    <w:p w14:paraId="477785F8" w14:textId="77777777" w:rsidR="00FF3453" w:rsidRDefault="00FF3453" w:rsidP="00FF3453">
      <w:pPr>
        <w:spacing w:line="360" w:lineRule="auto"/>
        <w:rPr>
          <w:rFonts w:ascii="Lato" w:hAnsi="Lato"/>
        </w:rPr>
      </w:pPr>
    </w:p>
    <w:p w14:paraId="4F5B4B6B" w14:textId="1FBB5599" w:rsidR="00FF3453" w:rsidRDefault="006678F1" w:rsidP="00FF3453">
      <w:pPr>
        <w:spacing w:line="360" w:lineRule="auto"/>
        <w:rPr>
          <w:rFonts w:ascii="Lato" w:hAnsi="Lato"/>
        </w:rPr>
      </w:pPr>
      <w:r>
        <w:rPr>
          <w:rFonts w:ascii="Lato" w:hAnsi="Lato"/>
        </w:rPr>
        <w:t>P</w:t>
      </w:r>
      <w:r w:rsidR="00FF3453" w:rsidRPr="00FC3C68">
        <w:rPr>
          <w:rFonts w:ascii="Lato" w:hAnsi="Lato"/>
        </w:rPr>
        <w:t xml:space="preserve">rodukty lecznicze z </w:t>
      </w:r>
      <w:proofErr w:type="spellStart"/>
      <w:r w:rsidR="00FF3453" w:rsidRPr="00FC3C68">
        <w:rPr>
          <w:rFonts w:ascii="Lato" w:hAnsi="Lato"/>
        </w:rPr>
        <w:t>rywaroksabanem</w:t>
      </w:r>
      <w:proofErr w:type="spellEnd"/>
      <w:r w:rsidR="00FF3453" w:rsidRPr="00FC3C68">
        <w:rPr>
          <w:rFonts w:ascii="Lato" w:hAnsi="Lato"/>
        </w:rPr>
        <w:t xml:space="preserve"> i </w:t>
      </w:r>
      <w:proofErr w:type="spellStart"/>
      <w:r w:rsidR="00FF3453" w:rsidRPr="00FC3C68">
        <w:rPr>
          <w:rFonts w:ascii="Lato" w:hAnsi="Lato"/>
        </w:rPr>
        <w:t>dabigatranem</w:t>
      </w:r>
      <w:proofErr w:type="spellEnd"/>
      <w:r w:rsidR="00FF3453" w:rsidRPr="00FC3C68">
        <w:rPr>
          <w:rFonts w:ascii="Lato" w:hAnsi="Lato"/>
        </w:rPr>
        <w:t xml:space="preserve"> będą dostępne w wyżej wymienionych wskazaniach klinicznych</w:t>
      </w:r>
      <w:r>
        <w:rPr>
          <w:rFonts w:ascii="Lato" w:hAnsi="Lato"/>
        </w:rPr>
        <w:t xml:space="preserve"> wyłącznie</w:t>
      </w:r>
      <w:r w:rsidR="00FF3453" w:rsidRPr="00FC3C68">
        <w:rPr>
          <w:rFonts w:ascii="Lato" w:hAnsi="Lato"/>
        </w:rPr>
        <w:t xml:space="preserve"> za odpłatnością 30%</w:t>
      </w:r>
      <w:r>
        <w:rPr>
          <w:rFonts w:ascii="Lato" w:hAnsi="Lato"/>
        </w:rPr>
        <w:t xml:space="preserve"> - </w:t>
      </w:r>
      <w:r w:rsidR="00FF3453" w:rsidRPr="008E7029">
        <w:rPr>
          <w:rFonts w:ascii="Lato" w:hAnsi="Lato"/>
          <w:b/>
          <w:bCs/>
        </w:rPr>
        <w:t>nowe wskazanie nie zostało uwzględnione na wykazie bezpłatnych leków dla pacjentów po ukończeniu 65. roku życia</w:t>
      </w:r>
      <w:r w:rsidR="002F3959" w:rsidRPr="008E7029">
        <w:rPr>
          <w:rFonts w:ascii="Lato" w:hAnsi="Lato"/>
          <w:b/>
          <w:bCs/>
        </w:rPr>
        <w:t>.</w:t>
      </w:r>
      <w:r w:rsidR="002F3959">
        <w:rPr>
          <w:rFonts w:ascii="Lato" w:hAnsi="Lato"/>
        </w:rPr>
        <w:t xml:space="preserve"> Tym samym Ministerstwo Zdrowia zwraca szczególną uwagę na prawidłowy proces preskrypcji oraz ewentualnej substytucji na poziomie aptecznym tej grupy produktów. Szczegółowe wyjaśnienia zostały zawarte w niedawno opublikowanym komunikacie Ministra Zdrowia, dostępnym pod adresem:</w:t>
      </w:r>
    </w:p>
    <w:p w14:paraId="7C6916EB" w14:textId="77777777" w:rsidR="00FF3453" w:rsidRDefault="00FF3453" w:rsidP="00FF3453">
      <w:pPr>
        <w:spacing w:line="360" w:lineRule="auto"/>
        <w:rPr>
          <w:rFonts w:ascii="Lato" w:hAnsi="Lato"/>
        </w:rPr>
      </w:pPr>
      <w:hyperlink r:id="rId11" w:history="1">
        <w:r w:rsidRPr="000F5AA6">
          <w:rPr>
            <w:rStyle w:val="Hipercze"/>
            <w:rFonts w:ascii="Lato" w:hAnsi="Lato"/>
          </w:rPr>
          <w:t>https://www.gov.pl/web/zdrowie/komunikat-ministra-zdrowia-w-sprawie-refundacji-lekow-z-rywaroksabanem-i-dabigatranem-w-leczeniu-pacjentow-z-migotaniem-przedsionkow</w:t>
        </w:r>
      </w:hyperlink>
    </w:p>
    <w:p w14:paraId="66A12769" w14:textId="30F05AFF" w:rsidR="00FF3453" w:rsidRDefault="00FF3453" w:rsidP="00FF3453">
      <w:pPr>
        <w:spacing w:line="360" w:lineRule="auto"/>
        <w:rPr>
          <w:rFonts w:ascii="Lato" w:hAnsi="Lato"/>
        </w:rPr>
      </w:pPr>
      <w:r>
        <w:rPr>
          <w:rFonts w:ascii="Lato" w:hAnsi="Lato"/>
        </w:rPr>
        <w:lastRenderedPageBreak/>
        <w:t>Ministerstwa Zdrowia</w:t>
      </w:r>
      <w:r w:rsidR="002F3959">
        <w:rPr>
          <w:rFonts w:ascii="Lato" w:hAnsi="Lato"/>
        </w:rPr>
        <w:t xml:space="preserve"> informuje, iż </w:t>
      </w:r>
      <w:r>
        <w:rPr>
          <w:rFonts w:ascii="Lato" w:hAnsi="Lato"/>
        </w:rPr>
        <w:t xml:space="preserve">nadal </w:t>
      </w:r>
      <w:r w:rsidR="002F3959">
        <w:rPr>
          <w:rFonts w:ascii="Lato" w:hAnsi="Lato"/>
        </w:rPr>
        <w:t>przedkładane</w:t>
      </w:r>
      <w:r>
        <w:rPr>
          <w:rFonts w:ascii="Lato" w:hAnsi="Lato"/>
        </w:rPr>
        <w:t xml:space="preserve"> </w:t>
      </w:r>
      <w:r w:rsidR="002F3959">
        <w:rPr>
          <w:rFonts w:ascii="Lato" w:hAnsi="Lato"/>
        </w:rPr>
        <w:t>oraz</w:t>
      </w:r>
      <w:r>
        <w:rPr>
          <w:rFonts w:ascii="Lato" w:hAnsi="Lato"/>
        </w:rPr>
        <w:t xml:space="preserve"> procedowane</w:t>
      </w:r>
      <w:r w:rsidR="002F3959">
        <w:rPr>
          <w:rFonts w:ascii="Lato" w:hAnsi="Lato"/>
        </w:rPr>
        <w:t xml:space="preserve"> są kolejne</w:t>
      </w:r>
      <w:r>
        <w:rPr>
          <w:rFonts w:ascii="Lato" w:hAnsi="Lato"/>
        </w:rPr>
        <w:t xml:space="preserve"> wnioski o objęcie refundacją </w:t>
      </w:r>
      <w:r w:rsidR="002F3959">
        <w:rPr>
          <w:rFonts w:ascii="Lato" w:hAnsi="Lato"/>
        </w:rPr>
        <w:t xml:space="preserve">i ustalenie ceny zbytu netto </w:t>
      </w:r>
      <w:r>
        <w:rPr>
          <w:rFonts w:ascii="Lato" w:hAnsi="Lato"/>
        </w:rPr>
        <w:t>kolejnych leków</w:t>
      </w:r>
      <w:r w:rsidR="002F3959">
        <w:rPr>
          <w:rFonts w:ascii="Lato" w:hAnsi="Lato"/>
        </w:rPr>
        <w:t xml:space="preserve">, </w:t>
      </w:r>
      <w:r>
        <w:rPr>
          <w:rFonts w:ascii="Lato" w:hAnsi="Lato"/>
        </w:rPr>
        <w:t xml:space="preserve">które znalazły się liście kardiologicznych </w:t>
      </w:r>
      <w:proofErr w:type="gramStart"/>
      <w:r>
        <w:rPr>
          <w:rFonts w:ascii="Lato" w:hAnsi="Lato"/>
        </w:rPr>
        <w:t>leków  o</w:t>
      </w:r>
      <w:proofErr w:type="gramEnd"/>
      <w:r>
        <w:rPr>
          <w:rFonts w:ascii="Lato" w:hAnsi="Lato"/>
        </w:rPr>
        <w:t xml:space="preserve"> ugruntowanej skuteczności.</w:t>
      </w:r>
    </w:p>
    <w:p w14:paraId="4F71D2AA" w14:textId="77777777" w:rsidR="00FF3453" w:rsidRDefault="00FF3453" w:rsidP="00FF3453">
      <w:pPr>
        <w:spacing w:line="360" w:lineRule="auto"/>
        <w:rPr>
          <w:rFonts w:ascii="Lato" w:hAnsi="Lato"/>
        </w:rPr>
      </w:pPr>
      <w:r>
        <w:rPr>
          <w:rFonts w:ascii="Lato" w:hAnsi="Lato"/>
        </w:rPr>
        <w:t>Należy jednocześnie zaznaczyć, że lista leków o ugruntowanej skuteczności dotycząca leków we wskazaniach kardiologicznych nie będzie jedyną listą leków o ugruntowanej skuteczności - planowane jest opublikowanie kilku list, w podziale na poszczególne dziedziny medycyny</w:t>
      </w:r>
      <w:r w:rsidRPr="002A5D82">
        <w:rPr>
          <w:rFonts w:ascii="Lato" w:hAnsi="Lato"/>
        </w:rPr>
        <w:t>.</w:t>
      </w:r>
      <w:r>
        <w:rPr>
          <w:rFonts w:ascii="Lato" w:hAnsi="Lato"/>
        </w:rPr>
        <w:t xml:space="preserve"> Aktualnie trwają prace nad przygotowaniem listy leków o ugruntowanej skuteczności we wskazaniach onkologicznych.</w:t>
      </w:r>
    </w:p>
    <w:p w14:paraId="1225CA64" w14:textId="77777777" w:rsidR="00D95653" w:rsidRDefault="00D95653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D95653" w:rsidSect="005058F2"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775A6" w14:textId="77777777" w:rsidR="004F2138" w:rsidRDefault="004F2138">
      <w:pPr>
        <w:spacing w:after="0" w:line="240" w:lineRule="auto"/>
      </w:pPr>
      <w:r>
        <w:separator/>
      </w:r>
    </w:p>
  </w:endnote>
  <w:endnote w:type="continuationSeparator" w:id="0">
    <w:p w14:paraId="1BD0E2FD" w14:textId="77777777" w:rsidR="004F2138" w:rsidRDefault="004F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519C7" w14:textId="77777777" w:rsidR="004F2138" w:rsidRDefault="004F21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52ED0C" w14:textId="77777777" w:rsidR="004F2138" w:rsidRDefault="004F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31EC"/>
    <w:multiLevelType w:val="hybridMultilevel"/>
    <w:tmpl w:val="C46C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3" w15:restartNumberingAfterBreak="0">
    <w:nsid w:val="10A07FCB"/>
    <w:multiLevelType w:val="hybridMultilevel"/>
    <w:tmpl w:val="0BA65214"/>
    <w:lvl w:ilvl="0" w:tplc="39D87CB8">
      <w:numFmt w:val="bullet"/>
      <w:lvlText w:val="•"/>
      <w:lvlJc w:val="left"/>
      <w:pPr>
        <w:ind w:left="1065" w:hanging="705"/>
      </w:pPr>
      <w:rPr>
        <w:rFonts w:ascii="Lato" w:eastAsia="Calibri" w:hAnsi="Lato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DCF"/>
    <w:multiLevelType w:val="hybridMultilevel"/>
    <w:tmpl w:val="63C4AF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078A"/>
    <w:multiLevelType w:val="hybridMultilevel"/>
    <w:tmpl w:val="ACEE9582"/>
    <w:lvl w:ilvl="0" w:tplc="0E8C5E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8D70D2E"/>
    <w:multiLevelType w:val="hybridMultilevel"/>
    <w:tmpl w:val="C33A189C"/>
    <w:lvl w:ilvl="0" w:tplc="255A6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F1C7E"/>
    <w:multiLevelType w:val="hybridMultilevel"/>
    <w:tmpl w:val="82E65A46"/>
    <w:lvl w:ilvl="0" w:tplc="255A6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5B2"/>
    <w:multiLevelType w:val="hybridMultilevel"/>
    <w:tmpl w:val="683C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C1AA0"/>
    <w:multiLevelType w:val="hybridMultilevel"/>
    <w:tmpl w:val="5D0AAF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4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E73"/>
    <w:multiLevelType w:val="hybridMultilevel"/>
    <w:tmpl w:val="B47C761A"/>
    <w:lvl w:ilvl="0" w:tplc="0CEC0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9"/>
  </w:num>
  <w:num w:numId="2" w16cid:durableId="983047750">
    <w:abstractNumId w:val="6"/>
  </w:num>
  <w:num w:numId="3" w16cid:durableId="912206815">
    <w:abstractNumId w:val="10"/>
  </w:num>
  <w:num w:numId="4" w16cid:durableId="1919241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9"/>
  </w:num>
  <w:num w:numId="6" w16cid:durableId="1164782895">
    <w:abstractNumId w:val="8"/>
  </w:num>
  <w:num w:numId="7" w16cid:durableId="1764568987">
    <w:abstractNumId w:val="13"/>
  </w:num>
  <w:num w:numId="8" w16cid:durableId="1605840971">
    <w:abstractNumId w:val="16"/>
  </w:num>
  <w:num w:numId="9" w16cid:durableId="969629549">
    <w:abstractNumId w:val="27"/>
  </w:num>
  <w:num w:numId="10" w16cid:durableId="1576276737">
    <w:abstractNumId w:val="2"/>
  </w:num>
  <w:num w:numId="11" w16cid:durableId="409036424">
    <w:abstractNumId w:val="31"/>
  </w:num>
  <w:num w:numId="12" w16cid:durableId="1526747669">
    <w:abstractNumId w:val="4"/>
  </w:num>
  <w:num w:numId="13" w16cid:durableId="1746950255">
    <w:abstractNumId w:val="17"/>
  </w:num>
  <w:num w:numId="14" w16cid:durableId="329715522">
    <w:abstractNumId w:val="20"/>
  </w:num>
  <w:num w:numId="15" w16cid:durableId="1837842867">
    <w:abstractNumId w:val="18"/>
  </w:num>
  <w:num w:numId="16" w16cid:durableId="1970238000">
    <w:abstractNumId w:val="28"/>
  </w:num>
  <w:num w:numId="17" w16cid:durableId="485172914">
    <w:abstractNumId w:val="23"/>
  </w:num>
  <w:num w:numId="18" w16cid:durableId="338780148">
    <w:abstractNumId w:val="11"/>
  </w:num>
  <w:num w:numId="19" w16cid:durableId="1977641737">
    <w:abstractNumId w:val="2"/>
  </w:num>
  <w:num w:numId="20" w16cid:durableId="1099830501">
    <w:abstractNumId w:val="1"/>
  </w:num>
  <w:num w:numId="21" w16cid:durableId="1796680411">
    <w:abstractNumId w:val="25"/>
  </w:num>
  <w:num w:numId="22" w16cid:durableId="1157845039">
    <w:abstractNumId w:val="24"/>
  </w:num>
  <w:num w:numId="23" w16cid:durableId="1318220489">
    <w:abstractNumId w:val="21"/>
  </w:num>
  <w:num w:numId="24" w16cid:durableId="791442922">
    <w:abstractNumId w:val="26"/>
  </w:num>
  <w:num w:numId="25" w16cid:durableId="65421285">
    <w:abstractNumId w:val="22"/>
  </w:num>
  <w:num w:numId="26" w16cid:durableId="1606185368">
    <w:abstractNumId w:val="15"/>
  </w:num>
  <w:num w:numId="27" w16cid:durableId="831680936">
    <w:abstractNumId w:val="0"/>
  </w:num>
  <w:num w:numId="28" w16cid:durableId="1240824240">
    <w:abstractNumId w:val="3"/>
  </w:num>
  <w:num w:numId="29" w16cid:durableId="815341669">
    <w:abstractNumId w:val="30"/>
  </w:num>
  <w:num w:numId="30" w16cid:durableId="1505048803">
    <w:abstractNumId w:val="3"/>
  </w:num>
  <w:num w:numId="31" w16cid:durableId="1318269992">
    <w:abstractNumId w:val="12"/>
  </w:num>
  <w:num w:numId="32" w16cid:durableId="2061516888">
    <w:abstractNumId w:val="14"/>
  </w:num>
  <w:num w:numId="33" w16cid:durableId="682518685">
    <w:abstractNumId w:val="5"/>
  </w:num>
  <w:num w:numId="34" w16cid:durableId="1970359061">
    <w:abstractNumId w:val="19"/>
  </w:num>
  <w:num w:numId="35" w16cid:durableId="78598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20DA9"/>
    <w:rsid w:val="00031E9F"/>
    <w:rsid w:val="00033ED5"/>
    <w:rsid w:val="0004009C"/>
    <w:rsid w:val="0005011B"/>
    <w:rsid w:val="00052E44"/>
    <w:rsid w:val="000702E4"/>
    <w:rsid w:val="00070A13"/>
    <w:rsid w:val="00070A89"/>
    <w:rsid w:val="00072A7E"/>
    <w:rsid w:val="0008118E"/>
    <w:rsid w:val="00086074"/>
    <w:rsid w:val="0009112E"/>
    <w:rsid w:val="00097B17"/>
    <w:rsid w:val="000A0C6C"/>
    <w:rsid w:val="000A3571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28DF"/>
    <w:rsid w:val="000F3ED2"/>
    <w:rsid w:val="000F5E24"/>
    <w:rsid w:val="001030B2"/>
    <w:rsid w:val="00107618"/>
    <w:rsid w:val="001204EA"/>
    <w:rsid w:val="0012601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C55FC"/>
    <w:rsid w:val="001D6485"/>
    <w:rsid w:val="001E2320"/>
    <w:rsid w:val="001E610A"/>
    <w:rsid w:val="001E721F"/>
    <w:rsid w:val="001F40F8"/>
    <w:rsid w:val="00205C55"/>
    <w:rsid w:val="00206C0B"/>
    <w:rsid w:val="00221A2A"/>
    <w:rsid w:val="002270E2"/>
    <w:rsid w:val="00230BB7"/>
    <w:rsid w:val="002359B4"/>
    <w:rsid w:val="0024697E"/>
    <w:rsid w:val="00255E53"/>
    <w:rsid w:val="002726DD"/>
    <w:rsid w:val="00275115"/>
    <w:rsid w:val="00280311"/>
    <w:rsid w:val="00281BE7"/>
    <w:rsid w:val="00286651"/>
    <w:rsid w:val="00287196"/>
    <w:rsid w:val="0029287B"/>
    <w:rsid w:val="0029403F"/>
    <w:rsid w:val="002A4B11"/>
    <w:rsid w:val="002A56D5"/>
    <w:rsid w:val="002C0340"/>
    <w:rsid w:val="002C19DE"/>
    <w:rsid w:val="002C497F"/>
    <w:rsid w:val="002D4969"/>
    <w:rsid w:val="002D55B8"/>
    <w:rsid w:val="002D6ED9"/>
    <w:rsid w:val="002E46AC"/>
    <w:rsid w:val="002E7482"/>
    <w:rsid w:val="002F0FB2"/>
    <w:rsid w:val="002F3959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67C47"/>
    <w:rsid w:val="00374DBE"/>
    <w:rsid w:val="0037704D"/>
    <w:rsid w:val="0037714E"/>
    <w:rsid w:val="00381C2D"/>
    <w:rsid w:val="003841AB"/>
    <w:rsid w:val="00387421"/>
    <w:rsid w:val="00392C57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6F70"/>
    <w:rsid w:val="0041703B"/>
    <w:rsid w:val="00437B05"/>
    <w:rsid w:val="004403B4"/>
    <w:rsid w:val="004448D7"/>
    <w:rsid w:val="00446466"/>
    <w:rsid w:val="00447CE9"/>
    <w:rsid w:val="00451A39"/>
    <w:rsid w:val="00453B55"/>
    <w:rsid w:val="00454FD1"/>
    <w:rsid w:val="00457779"/>
    <w:rsid w:val="00466FE8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4723"/>
    <w:rsid w:val="004F2138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598A"/>
    <w:rsid w:val="005C1412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24B95"/>
    <w:rsid w:val="00633806"/>
    <w:rsid w:val="00633883"/>
    <w:rsid w:val="00634434"/>
    <w:rsid w:val="0064109C"/>
    <w:rsid w:val="0064487F"/>
    <w:rsid w:val="006648F3"/>
    <w:rsid w:val="006678F1"/>
    <w:rsid w:val="00670C14"/>
    <w:rsid w:val="00676F9D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F1E88"/>
    <w:rsid w:val="006F498A"/>
    <w:rsid w:val="006F5BEB"/>
    <w:rsid w:val="00710891"/>
    <w:rsid w:val="007135A8"/>
    <w:rsid w:val="007156F6"/>
    <w:rsid w:val="00715B91"/>
    <w:rsid w:val="007321D8"/>
    <w:rsid w:val="00733AF9"/>
    <w:rsid w:val="00734732"/>
    <w:rsid w:val="00740ABA"/>
    <w:rsid w:val="007419DE"/>
    <w:rsid w:val="0074295D"/>
    <w:rsid w:val="00755E27"/>
    <w:rsid w:val="00767841"/>
    <w:rsid w:val="0078723A"/>
    <w:rsid w:val="007A4FB5"/>
    <w:rsid w:val="007B043E"/>
    <w:rsid w:val="007B66D4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7F79B9"/>
    <w:rsid w:val="008008F6"/>
    <w:rsid w:val="008017A7"/>
    <w:rsid w:val="00823875"/>
    <w:rsid w:val="00827817"/>
    <w:rsid w:val="00827986"/>
    <w:rsid w:val="008279BD"/>
    <w:rsid w:val="00831243"/>
    <w:rsid w:val="0084154E"/>
    <w:rsid w:val="00843352"/>
    <w:rsid w:val="00844624"/>
    <w:rsid w:val="008462C0"/>
    <w:rsid w:val="0087118E"/>
    <w:rsid w:val="008771C8"/>
    <w:rsid w:val="00882DCA"/>
    <w:rsid w:val="00885CAE"/>
    <w:rsid w:val="0088727A"/>
    <w:rsid w:val="00896D35"/>
    <w:rsid w:val="008B00C4"/>
    <w:rsid w:val="008B43B0"/>
    <w:rsid w:val="008B465D"/>
    <w:rsid w:val="008C0493"/>
    <w:rsid w:val="008C0E92"/>
    <w:rsid w:val="008D45C3"/>
    <w:rsid w:val="008E18D7"/>
    <w:rsid w:val="008E33C7"/>
    <w:rsid w:val="008E6FD5"/>
    <w:rsid w:val="008E7029"/>
    <w:rsid w:val="008F1D35"/>
    <w:rsid w:val="009066C7"/>
    <w:rsid w:val="0092216D"/>
    <w:rsid w:val="00933339"/>
    <w:rsid w:val="00953B84"/>
    <w:rsid w:val="00973357"/>
    <w:rsid w:val="0097445D"/>
    <w:rsid w:val="00982754"/>
    <w:rsid w:val="009943F4"/>
    <w:rsid w:val="00995FDD"/>
    <w:rsid w:val="00996389"/>
    <w:rsid w:val="009A2234"/>
    <w:rsid w:val="009A405B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16F0D"/>
    <w:rsid w:val="00A22494"/>
    <w:rsid w:val="00A22A7B"/>
    <w:rsid w:val="00A242D8"/>
    <w:rsid w:val="00A434EB"/>
    <w:rsid w:val="00A45A61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21F"/>
    <w:rsid w:val="00AE069A"/>
    <w:rsid w:val="00AF1EBC"/>
    <w:rsid w:val="00B1467F"/>
    <w:rsid w:val="00B31928"/>
    <w:rsid w:val="00B326A9"/>
    <w:rsid w:val="00B45ED3"/>
    <w:rsid w:val="00B543E9"/>
    <w:rsid w:val="00B57127"/>
    <w:rsid w:val="00B76B2B"/>
    <w:rsid w:val="00B8251D"/>
    <w:rsid w:val="00B907C0"/>
    <w:rsid w:val="00B94288"/>
    <w:rsid w:val="00B9538B"/>
    <w:rsid w:val="00BA15A9"/>
    <w:rsid w:val="00BB30C0"/>
    <w:rsid w:val="00BC376D"/>
    <w:rsid w:val="00BD18E8"/>
    <w:rsid w:val="00BD20BC"/>
    <w:rsid w:val="00C02DC6"/>
    <w:rsid w:val="00C15673"/>
    <w:rsid w:val="00C15E6F"/>
    <w:rsid w:val="00C210A9"/>
    <w:rsid w:val="00C22821"/>
    <w:rsid w:val="00C243BF"/>
    <w:rsid w:val="00C25F63"/>
    <w:rsid w:val="00C276AE"/>
    <w:rsid w:val="00C31A22"/>
    <w:rsid w:val="00C34F0F"/>
    <w:rsid w:val="00C4237C"/>
    <w:rsid w:val="00C55C85"/>
    <w:rsid w:val="00C60868"/>
    <w:rsid w:val="00C6097A"/>
    <w:rsid w:val="00C645B7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B42C4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A5D"/>
    <w:rsid w:val="00D510E8"/>
    <w:rsid w:val="00D554A2"/>
    <w:rsid w:val="00D5628B"/>
    <w:rsid w:val="00D63F4F"/>
    <w:rsid w:val="00D6426A"/>
    <w:rsid w:val="00D66456"/>
    <w:rsid w:val="00D77CD0"/>
    <w:rsid w:val="00D81CE2"/>
    <w:rsid w:val="00D86214"/>
    <w:rsid w:val="00D9306F"/>
    <w:rsid w:val="00D95653"/>
    <w:rsid w:val="00DB0B88"/>
    <w:rsid w:val="00DD18C6"/>
    <w:rsid w:val="00DD6D00"/>
    <w:rsid w:val="00DE00F0"/>
    <w:rsid w:val="00DE1894"/>
    <w:rsid w:val="00DE5079"/>
    <w:rsid w:val="00DF6B3A"/>
    <w:rsid w:val="00DF737A"/>
    <w:rsid w:val="00E10271"/>
    <w:rsid w:val="00E22AAD"/>
    <w:rsid w:val="00E34DF7"/>
    <w:rsid w:val="00E35DF6"/>
    <w:rsid w:val="00E428D4"/>
    <w:rsid w:val="00E50D44"/>
    <w:rsid w:val="00E52765"/>
    <w:rsid w:val="00E530B9"/>
    <w:rsid w:val="00E64133"/>
    <w:rsid w:val="00E64860"/>
    <w:rsid w:val="00E66456"/>
    <w:rsid w:val="00E738D5"/>
    <w:rsid w:val="00E8288D"/>
    <w:rsid w:val="00E8348C"/>
    <w:rsid w:val="00E900DE"/>
    <w:rsid w:val="00E917CC"/>
    <w:rsid w:val="00E91E64"/>
    <w:rsid w:val="00EA326D"/>
    <w:rsid w:val="00EA3852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964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D59F5"/>
    <w:rsid w:val="00FE1242"/>
    <w:rsid w:val="00FE6EDA"/>
    <w:rsid w:val="00FF3453"/>
    <w:rsid w:val="00FF68D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character" w:styleId="Hipercze">
    <w:name w:val="Hyperlink"/>
    <w:basedOn w:val="Domylnaczcionkaakapitu"/>
    <w:uiPriority w:val="99"/>
    <w:unhideWhenUsed/>
    <w:rsid w:val="00FF3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zdrowie/komunikat-ministra-zdrowia-w-sprawie-refundacji-lekow-z-rywaroksabanem-i-dabigatranem-w-leczeniu-pacjentow-z-migotaniem-przedsionkow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stycze&#324;%202025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2025'!$B$3:$E$3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6-4775-8120-B5147DB02683}"/>
            </c:ext>
          </c:extLst>
        </c:ser>
        <c:ser>
          <c:idx val="1"/>
          <c:order val="1"/>
          <c:tx>
            <c:strRef>
              <c:f>'miesiące 2025'!$A$4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2025'!$B$4:$E$4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6-4775-8120-B5147DB026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2025'!$B$18:$E$18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62-4E4A-AB96-25F4DD22BAE9}"/>
            </c:ext>
          </c:extLst>
        </c:ser>
        <c:ser>
          <c:idx val="1"/>
          <c:order val="1"/>
          <c:tx>
            <c:strRef>
              <c:f>'miesiące 2025'!$A$19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2025'!$B$19:$E$19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62-4E4A-AB96-25F4DD22BA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2025 r. (stan na styczeń) </a:t>
            </a:r>
          </a:p>
        </c:rich>
      </c:tx>
      <c:layout>
        <c:manualLayout>
          <c:xMode val="edge"/>
          <c:yMode val="edge"/>
          <c:x val="0.16798361743243634"/>
          <c:y val="8.61493130797342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6091026768792864E-2"/>
          <c:w val="0.84009663854336591"/>
          <c:h val="0.83115063614323414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2025'!$B$2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2025'!$A$3:$A$12</c:f>
              <c:strCache>
                <c:ptCount val="6"/>
                <c:pt idx="0">
                  <c:v>Nowotwory układu 
urologicznego</c:v>
                </c:pt>
                <c:pt idx="1">
                  <c:v>Nowotwory układu 
pokarmowego</c:v>
                </c:pt>
                <c:pt idx="2">
                  <c:v>Nowotwory układu 
oddechowego</c:v>
                </c:pt>
                <c:pt idx="3">
                  <c:v>Nowotwory nerki</c:v>
                </c:pt>
                <c:pt idx="4">
                  <c:v>Nowotwory 
ginekologiczne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'miesiące 2025'!$B$3:$B$12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024-4343-B18E-5126B4C23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2025 r. (stan na styczeń)  </a:t>
            </a:r>
          </a:p>
        </c:rich>
      </c:tx>
      <c:layout>
        <c:manualLayout>
          <c:xMode val="edge"/>
          <c:yMode val="edge"/>
          <c:x val="0.17106071689831748"/>
          <c:y val="1.3627072450601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1035246190410618"/>
          <c:w val="0.76644349190079053"/>
          <c:h val="0.798208093622637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2025'!$B$19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2025'!$A$20:$A$38</c:f>
              <c:strCache>
                <c:ptCount val="12"/>
                <c:pt idx="0">
                  <c:v>Urologia</c:v>
                </c:pt>
                <c:pt idx="1">
                  <c:v>Reumatologia</c:v>
                </c:pt>
                <c:pt idx="2">
                  <c:v>Okulistyka</c:v>
                </c:pt>
                <c:pt idx="3">
                  <c:v>Neurologia</c:v>
                </c:pt>
                <c:pt idx="4">
                  <c:v>Kardiologia</c:v>
                </c:pt>
                <c:pt idx="5">
                  <c:v>Hematologia</c:v>
                </c:pt>
                <c:pt idx="6">
                  <c:v>Gastroenterologia</c:v>
                </c:pt>
                <c:pt idx="7">
                  <c:v>Endokrynologia</c:v>
                </c:pt>
                <c:pt idx="8">
                  <c:v>Diabetologia</c:v>
                </c:pt>
                <c:pt idx="9">
                  <c:v>Dermatologia</c:v>
                </c:pt>
                <c:pt idx="10">
                  <c:v>Angiologia</c:v>
                </c:pt>
                <c:pt idx="11">
                  <c:v>Alergologia</c:v>
                </c:pt>
              </c:strCache>
              <c:extLst/>
            </c:strRef>
          </c:cat>
          <c:val>
            <c:numRef>
              <c:f>'miesiące 2025'!$B$20:$B$38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C9A-4A93-9DD8-8CAA117D9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4527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6</cp:revision>
  <dcterms:created xsi:type="dcterms:W3CDTF">2024-12-18T07:50:00Z</dcterms:created>
  <dcterms:modified xsi:type="dcterms:W3CDTF">2024-12-18T08:15:00Z</dcterms:modified>
</cp:coreProperties>
</file>