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764E" w14:textId="2E280DE2" w:rsidR="006E237B" w:rsidRPr="004210C8" w:rsidRDefault="006E237B" w:rsidP="004210C8">
      <w:pPr>
        <w:pStyle w:val="Nagwek1"/>
        <w:spacing w:before="360" w:after="720" w:line="288" w:lineRule="auto"/>
        <w:jc w:val="center"/>
        <w:rPr>
          <w:rFonts w:ascii="Open Sans" w:hAnsi="Open Sans" w:cs="Open Sans"/>
          <w:b/>
          <w:bCs/>
          <w:color w:val="000000" w:themeColor="text1"/>
        </w:rPr>
      </w:pPr>
      <w:r w:rsidRPr="004210C8">
        <w:rPr>
          <w:rFonts w:ascii="Open Sans" w:hAnsi="Open Sans" w:cs="Open Sans"/>
          <w:b/>
          <w:bCs/>
          <w:color w:val="000000" w:themeColor="text1"/>
          <w:sz w:val="22"/>
          <w:szCs w:val="22"/>
        </w:rPr>
        <w:t xml:space="preserve">Załącznik nr </w:t>
      </w:r>
      <w:r w:rsidR="00BD10B8" w:rsidRPr="004210C8">
        <w:rPr>
          <w:rFonts w:ascii="Open Sans" w:hAnsi="Open Sans" w:cs="Open Sans"/>
          <w:b/>
          <w:bCs/>
          <w:color w:val="000000" w:themeColor="text1"/>
          <w:sz w:val="22"/>
          <w:szCs w:val="22"/>
        </w:rPr>
        <w:t>5</w:t>
      </w:r>
      <w:r w:rsidR="00751BC7" w:rsidRPr="004210C8">
        <w:rPr>
          <w:rFonts w:ascii="Open Sans" w:hAnsi="Open Sans" w:cs="Open Sans"/>
          <w:b/>
          <w:bCs/>
          <w:color w:val="000000" w:themeColor="text1"/>
          <w:sz w:val="22"/>
          <w:szCs w:val="22"/>
        </w:rPr>
        <w:t xml:space="preserve"> </w:t>
      </w:r>
      <w:r w:rsidRPr="004210C8">
        <w:rPr>
          <w:rFonts w:ascii="Open Sans" w:hAnsi="Open Sans" w:cs="Open Sans"/>
          <w:b/>
          <w:bCs/>
          <w:color w:val="000000" w:themeColor="text1"/>
          <w:sz w:val="22"/>
          <w:szCs w:val="22"/>
        </w:rPr>
        <w:t xml:space="preserve">do Regulaminu </w:t>
      </w:r>
      <w:r w:rsidR="001C5DCC" w:rsidRPr="004210C8">
        <w:rPr>
          <w:rFonts w:ascii="Open Sans" w:hAnsi="Open Sans" w:cs="Open Sans"/>
          <w:b/>
          <w:bCs/>
          <w:color w:val="000000" w:themeColor="text1"/>
          <w:sz w:val="22"/>
          <w:szCs w:val="22"/>
        </w:rPr>
        <w:t>wyboru projektów</w:t>
      </w:r>
    </w:p>
    <w:p w14:paraId="173CEEB3" w14:textId="601C1422" w:rsidR="00654DFD" w:rsidRPr="00C41F83" w:rsidRDefault="00654DFD" w:rsidP="00EF5D91">
      <w:pPr>
        <w:spacing w:line="288" w:lineRule="auto"/>
        <w:jc w:val="center"/>
        <w:rPr>
          <w:rFonts w:ascii="Open Sans" w:hAnsi="Open Sans" w:cs="Open Sans"/>
          <w:b/>
          <w:sz w:val="26"/>
          <w:szCs w:val="26"/>
        </w:rPr>
      </w:pPr>
      <w:bookmarkStart w:id="0" w:name="_Hlk193220361"/>
      <w:r w:rsidRPr="00C41F83">
        <w:rPr>
          <w:rFonts w:ascii="Open Sans" w:hAnsi="Open Sans" w:cs="Open Sans"/>
          <w:b/>
          <w:sz w:val="26"/>
          <w:szCs w:val="26"/>
        </w:rPr>
        <w:t>WYTYCZNE DO REALIZACJI PROJEKTÓW W FORMULE ESCO/EPC</w:t>
      </w:r>
    </w:p>
    <w:p w14:paraId="3A236724" w14:textId="42540A2F" w:rsidR="00654DFD" w:rsidRPr="00C41F83" w:rsidRDefault="00654DFD" w:rsidP="00EF5D91">
      <w:pPr>
        <w:spacing w:after="1320" w:line="288" w:lineRule="auto"/>
        <w:jc w:val="center"/>
        <w:rPr>
          <w:rFonts w:ascii="Open Sans" w:hAnsi="Open Sans" w:cs="Open Sans"/>
          <w:b/>
          <w:sz w:val="26"/>
          <w:szCs w:val="26"/>
        </w:rPr>
      </w:pPr>
      <w:r w:rsidRPr="00C41F83">
        <w:rPr>
          <w:rFonts w:ascii="Open Sans" w:hAnsi="Open Sans" w:cs="Open Sans"/>
          <w:b/>
          <w:sz w:val="26"/>
          <w:szCs w:val="26"/>
        </w:rPr>
        <w:t>WRAZ Z ZAKRESEM PRAC MOŻLIWYCH DO OBJĘCIA FINANSOWANIE</w:t>
      </w:r>
      <w:bookmarkEnd w:id="0"/>
      <w:r w:rsidR="00285277" w:rsidRPr="00C41F83">
        <w:rPr>
          <w:rFonts w:ascii="Open Sans" w:hAnsi="Open Sans" w:cs="Open Sans"/>
          <w:b/>
          <w:sz w:val="26"/>
          <w:szCs w:val="26"/>
        </w:rPr>
        <w:t>M</w:t>
      </w:r>
    </w:p>
    <w:p w14:paraId="64C0CDB5" w14:textId="08762759" w:rsidR="006E237B" w:rsidRPr="00C41F83" w:rsidRDefault="00C41F83" w:rsidP="00EF5D91">
      <w:pPr>
        <w:spacing w:line="288" w:lineRule="auto"/>
        <w:jc w:val="center"/>
        <w:rPr>
          <w:rFonts w:ascii="Open Sans" w:hAnsi="Open Sans" w:cs="Open Sans"/>
          <w:b/>
        </w:rPr>
      </w:pPr>
      <w:r w:rsidRPr="00C41F83">
        <w:rPr>
          <w:rFonts w:ascii="Open Sans" w:hAnsi="Open Sans" w:cs="Open Sans"/>
          <w:b/>
        </w:rPr>
        <w:t>Program priorytetowy</w:t>
      </w:r>
    </w:p>
    <w:p w14:paraId="4A33331C" w14:textId="0471544B" w:rsidR="00C41F83" w:rsidRDefault="00C41F83" w:rsidP="00EF5D91">
      <w:pPr>
        <w:spacing w:line="288" w:lineRule="auto"/>
        <w:jc w:val="center"/>
        <w:rPr>
          <w:rFonts w:ascii="Open Sans" w:hAnsi="Open Sans" w:cs="Open Sans"/>
          <w:b/>
        </w:rPr>
      </w:pPr>
      <w:r w:rsidRPr="00C41F83">
        <w:rPr>
          <w:rFonts w:ascii="Open Sans" w:hAnsi="Open Sans" w:cs="Open Sans"/>
          <w:b/>
        </w:rPr>
        <w:t>Poprawa efektywności energetycznej w budynkach użyteczności publicznej (wraz z</w:t>
      </w:r>
      <w:r>
        <w:rPr>
          <w:rFonts w:ascii="Open Sans" w:hAnsi="Open Sans" w:cs="Open Sans"/>
          <w:b/>
        </w:rPr>
        <w:t> </w:t>
      </w:r>
      <w:r w:rsidRPr="00C41F83">
        <w:rPr>
          <w:rFonts w:ascii="Open Sans" w:hAnsi="Open Sans" w:cs="Open Sans"/>
          <w:b/>
        </w:rPr>
        <w:t>instalacją OZE). Pilotaż w obszarze poprawy efektywności energetycznej budynków użyteczności publicznej realizowanych w formule EPC/ESCO</w:t>
      </w:r>
    </w:p>
    <w:p w14:paraId="7A2D71D3" w14:textId="4EC48779" w:rsidR="00C41F83" w:rsidRPr="00C41F83" w:rsidRDefault="00C41F83" w:rsidP="00EF5D91">
      <w:pPr>
        <w:spacing w:line="288" w:lineRule="auto"/>
        <w:jc w:val="center"/>
        <w:rPr>
          <w:rFonts w:ascii="Open Sans" w:hAnsi="Open Sans" w:cs="Open Sans"/>
          <w:b/>
          <w:sz w:val="20"/>
          <w:szCs w:val="20"/>
        </w:rPr>
      </w:pPr>
      <w:r w:rsidRPr="00C41F83">
        <w:rPr>
          <w:rFonts w:ascii="Open Sans" w:hAnsi="Open Sans" w:cs="Open Sans"/>
          <w:b/>
          <w:sz w:val="20"/>
          <w:szCs w:val="20"/>
        </w:rPr>
        <w:t>Realizujący:</w:t>
      </w:r>
    </w:p>
    <w:p w14:paraId="0E8C43DD" w14:textId="77777777" w:rsidR="005351FF" w:rsidRPr="00C41F83" w:rsidRDefault="00906463" w:rsidP="00EF5D91">
      <w:pPr>
        <w:spacing w:line="288" w:lineRule="auto"/>
        <w:jc w:val="center"/>
        <w:rPr>
          <w:rFonts w:ascii="Open Sans" w:hAnsi="Open Sans" w:cs="Open Sans"/>
          <w:b/>
          <w:color w:val="000000" w:themeColor="text1"/>
          <w:sz w:val="20"/>
          <w:szCs w:val="20"/>
        </w:rPr>
      </w:pPr>
      <w:r w:rsidRPr="00C41F83">
        <w:rPr>
          <w:rFonts w:ascii="Open Sans" w:hAnsi="Open Sans" w:cs="Open Sans"/>
          <w:b/>
          <w:color w:val="000000" w:themeColor="text1"/>
          <w:sz w:val="20"/>
          <w:szCs w:val="20"/>
        </w:rPr>
        <w:t xml:space="preserve">Priorytet FENX.01 Wsparcie sektorów energetyka i środowisko z Funduszu Spójności, Działanie FENX.01.01 Efektywność energetyczna, </w:t>
      </w:r>
    </w:p>
    <w:p w14:paraId="3972599D" w14:textId="79320239" w:rsidR="00906463" w:rsidRPr="00C41F83" w:rsidRDefault="00906463" w:rsidP="00EF5D91">
      <w:pPr>
        <w:spacing w:line="288" w:lineRule="auto"/>
        <w:jc w:val="center"/>
        <w:rPr>
          <w:rFonts w:ascii="Open Sans" w:hAnsi="Open Sans" w:cs="Open Sans"/>
          <w:b/>
          <w:color w:val="000000" w:themeColor="text1"/>
          <w:sz w:val="20"/>
          <w:szCs w:val="20"/>
        </w:rPr>
      </w:pPr>
      <w:r w:rsidRPr="00C41F83">
        <w:rPr>
          <w:rFonts w:ascii="Open Sans" w:hAnsi="Open Sans" w:cs="Open Sans"/>
          <w:b/>
          <w:color w:val="000000" w:themeColor="text1"/>
          <w:sz w:val="20"/>
          <w:szCs w:val="20"/>
        </w:rPr>
        <w:t>Typ projektu: Poprawa efektywności energetycznej w budynkach użyteczności publicznej (wraz z instalacją OZE)</w:t>
      </w:r>
    </w:p>
    <w:p w14:paraId="0118D19C" w14:textId="72E4B499" w:rsidR="00DC0990" w:rsidRPr="00C41F83" w:rsidRDefault="00906463" w:rsidP="00EF5D91">
      <w:pPr>
        <w:spacing w:after="1200" w:line="288" w:lineRule="auto"/>
        <w:jc w:val="center"/>
        <w:rPr>
          <w:rFonts w:ascii="Open Sans" w:hAnsi="Open Sans" w:cs="Open Sans"/>
          <w:b/>
          <w:color w:val="000000" w:themeColor="text1"/>
          <w:sz w:val="20"/>
          <w:szCs w:val="20"/>
        </w:rPr>
      </w:pPr>
      <w:r w:rsidRPr="00C41F83">
        <w:rPr>
          <w:rFonts w:ascii="Open Sans" w:hAnsi="Open Sans" w:cs="Open Sans"/>
          <w:b/>
          <w:color w:val="000000" w:themeColor="text1"/>
          <w:sz w:val="20"/>
          <w:szCs w:val="20"/>
        </w:rPr>
        <w:t>Pilotaż w obszarze poprawy efektywności energetycznej budynków użyteczności publicznej realizowanych w formule EPC/ESCO (z udziałem firm ESCO w oparciu o umowę o poprawę efektywności energetycznej)</w:t>
      </w:r>
    </w:p>
    <w:p w14:paraId="6F53A775" w14:textId="69DABC30" w:rsidR="00DC0990" w:rsidRPr="004752BD" w:rsidRDefault="00751BC7" w:rsidP="00EF5D91">
      <w:pPr>
        <w:spacing w:line="288" w:lineRule="auto"/>
        <w:jc w:val="center"/>
        <w:rPr>
          <w:rFonts w:ascii="Open Sans" w:hAnsi="Open Sans" w:cs="Open Sans"/>
          <w:b/>
          <w:sz w:val="24"/>
          <w:szCs w:val="24"/>
        </w:rPr>
      </w:pPr>
      <w:r w:rsidRPr="004752BD">
        <w:rPr>
          <w:rFonts w:ascii="Open Sans" w:hAnsi="Open Sans" w:cs="Open Sans"/>
          <w:b/>
          <w:sz w:val="24"/>
          <w:szCs w:val="24"/>
        </w:rPr>
        <w:t>Warszawa,</w:t>
      </w:r>
      <w:r w:rsidR="00BD10B8">
        <w:rPr>
          <w:rFonts w:ascii="Open Sans" w:hAnsi="Open Sans" w:cs="Open Sans"/>
          <w:b/>
          <w:sz w:val="24"/>
          <w:szCs w:val="24"/>
        </w:rPr>
        <w:t xml:space="preserve"> kwiecień</w:t>
      </w:r>
      <w:r w:rsidR="0024455C">
        <w:rPr>
          <w:rFonts w:ascii="Open Sans" w:hAnsi="Open Sans" w:cs="Open Sans"/>
          <w:b/>
          <w:sz w:val="24"/>
          <w:szCs w:val="24"/>
        </w:rPr>
        <w:t xml:space="preserve"> </w:t>
      </w:r>
      <w:r w:rsidR="00DC0990" w:rsidRPr="004752BD">
        <w:rPr>
          <w:rFonts w:ascii="Open Sans" w:hAnsi="Open Sans" w:cs="Open Sans"/>
          <w:b/>
          <w:sz w:val="24"/>
          <w:szCs w:val="24"/>
        </w:rPr>
        <w:t>202</w:t>
      </w:r>
      <w:r w:rsidR="0024455C">
        <w:rPr>
          <w:rFonts w:ascii="Open Sans" w:hAnsi="Open Sans" w:cs="Open Sans"/>
          <w:b/>
          <w:sz w:val="24"/>
          <w:szCs w:val="24"/>
        </w:rPr>
        <w:t>5</w:t>
      </w:r>
      <w:r w:rsidR="00DC0990" w:rsidRPr="004752BD">
        <w:rPr>
          <w:rFonts w:ascii="Open Sans" w:hAnsi="Open Sans" w:cs="Open Sans"/>
          <w:b/>
          <w:sz w:val="24"/>
          <w:szCs w:val="24"/>
        </w:rPr>
        <w:t xml:space="preserve"> r.</w:t>
      </w:r>
    </w:p>
    <w:p w14:paraId="74740151" w14:textId="55107607" w:rsidR="00DD1953" w:rsidRPr="004752BD" w:rsidRDefault="00367F51" w:rsidP="00EF5D91">
      <w:pPr>
        <w:tabs>
          <w:tab w:val="left" w:pos="7170"/>
          <w:tab w:val="left" w:pos="7650"/>
        </w:tabs>
        <w:spacing w:line="288" w:lineRule="auto"/>
        <w:rPr>
          <w:rFonts w:ascii="Open Sans" w:hAnsi="Open Sans" w:cs="Open Sans"/>
          <w:b/>
          <w:bCs/>
        </w:rPr>
      </w:pPr>
      <w:r w:rsidRPr="00B7277F">
        <w:rPr>
          <w:rFonts w:ascii="Open Sans" w:hAnsi="Open Sans" w:cs="Open Sans"/>
        </w:rPr>
        <w:br w:type="page"/>
      </w:r>
      <w:r w:rsidR="00B7277F">
        <w:rPr>
          <w:rFonts w:ascii="Open Sans" w:hAnsi="Open Sans" w:cs="Open Sans"/>
          <w:b/>
          <w:bCs/>
        </w:rPr>
        <w:lastRenderedPageBreak/>
        <w:tab/>
      </w:r>
    </w:p>
    <w:p w14:paraId="17FE22D0" w14:textId="3AF2EB13" w:rsidR="006E237B" w:rsidRPr="004D1C2F" w:rsidRDefault="006E237B" w:rsidP="00EF5D91">
      <w:pPr>
        <w:pBdr>
          <w:top w:val="single" w:sz="4" w:space="1" w:color="auto"/>
          <w:left w:val="single" w:sz="4" w:space="4" w:color="auto"/>
          <w:bottom w:val="single" w:sz="4" w:space="1" w:color="auto"/>
          <w:right w:val="single" w:sz="4" w:space="4" w:color="auto"/>
        </w:pBdr>
        <w:spacing w:line="288" w:lineRule="auto"/>
        <w:rPr>
          <w:rFonts w:ascii="Open Sans" w:hAnsi="Open Sans" w:cs="Open Sans"/>
          <w:b/>
          <w:bCs/>
        </w:rPr>
      </w:pPr>
      <w:r w:rsidRPr="004D1C2F">
        <w:rPr>
          <w:rFonts w:ascii="Open Sans" w:hAnsi="Open Sans" w:cs="Open Sans"/>
          <w:b/>
          <w:bCs/>
        </w:rPr>
        <w:t>Podstawowe definicje i pojęcia</w:t>
      </w:r>
      <w:r w:rsidR="00DD1953" w:rsidRPr="004D1C2F">
        <w:rPr>
          <w:rFonts w:ascii="Open Sans" w:hAnsi="Open Sans" w:cs="Open Sans"/>
          <w:b/>
          <w:bCs/>
        </w:rPr>
        <w:t>.</w:t>
      </w:r>
    </w:p>
    <w:p w14:paraId="16882030" w14:textId="385C4D4F" w:rsidR="00C41F83" w:rsidRPr="00C41F83" w:rsidRDefault="00C41F83" w:rsidP="00EF5D91">
      <w:pPr>
        <w:spacing w:line="288" w:lineRule="auto"/>
        <w:rPr>
          <w:rFonts w:ascii="Open Sans" w:hAnsi="Open Sans" w:cs="Open Sans"/>
          <w:color w:val="000000" w:themeColor="text1"/>
        </w:rPr>
      </w:pPr>
      <w:r w:rsidRPr="286F001F">
        <w:rPr>
          <w:rFonts w:ascii="Open Sans" w:hAnsi="Open Sans" w:cs="Open Sans"/>
          <w:b/>
          <w:bCs/>
          <w:color w:val="000000" w:themeColor="text1"/>
        </w:rPr>
        <w:t xml:space="preserve">Audyt energetyczny, w formule ESCO/EPC. </w:t>
      </w:r>
      <w:r w:rsidRPr="286F001F">
        <w:rPr>
          <w:rFonts w:ascii="Open Sans" w:hAnsi="Open Sans" w:cs="Open Sans"/>
          <w:color w:val="000000" w:themeColor="text1"/>
        </w:rPr>
        <w:t xml:space="preserve">Należy uznać, iż na potrzeby przygotowania inwestycji oraz aplikowania o środki, za audyt energetyczny, rozumie się audyt energetyczny przygotowany dla podmiotu publicznego w celu przeprowadzenia wyboru najkorzystniejszej oferty firmy ESCO w trybie zgodnym z Prawem zamówień publicznych (o ile firma ESCO nie została wybrana przed złożeniem dokumentów aplikacyjnych). Natomiast na etapie realizacji przedsięwzięcia i realizacji celów programu priorytetowego, audyt energetyczny powinien zostać potwierdzony przez firmę ESCO, z dopuszczeniem jego modyfikacji zgodnie z usprawnieniami zaproponowanymi przez firmę ESCO, z zastrzeżeniem spełnienia warunków Programu i dokumentów </w:t>
      </w:r>
      <w:proofErr w:type="spellStart"/>
      <w:r w:rsidRPr="286F001F">
        <w:rPr>
          <w:rFonts w:ascii="Open Sans" w:hAnsi="Open Sans" w:cs="Open Sans"/>
          <w:color w:val="000000" w:themeColor="text1"/>
        </w:rPr>
        <w:t>naborowych</w:t>
      </w:r>
      <w:proofErr w:type="spellEnd"/>
      <w:r w:rsidRPr="286F001F">
        <w:rPr>
          <w:rFonts w:ascii="Open Sans" w:hAnsi="Open Sans" w:cs="Open Sans"/>
          <w:color w:val="000000" w:themeColor="text1"/>
        </w:rPr>
        <w:t xml:space="preserve">, w szczególności niniejszych Wytycznych. Zakłada się bowiem, że zarówno w odniesieniu do bilansów energii, docelowego modelu usprawnień budynków, jak i wyceny kosztów tych usprawnień, firma ESCO, biorąc na siebie część </w:t>
      </w:r>
      <w:proofErr w:type="spellStart"/>
      <w:r w:rsidRPr="286F001F">
        <w:rPr>
          <w:rFonts w:ascii="Open Sans" w:hAnsi="Open Sans" w:cs="Open Sans"/>
          <w:color w:val="000000" w:themeColor="text1"/>
        </w:rPr>
        <w:t>ryzyk</w:t>
      </w:r>
      <w:proofErr w:type="spellEnd"/>
      <w:r w:rsidRPr="286F001F">
        <w:rPr>
          <w:rFonts w:ascii="Open Sans" w:hAnsi="Open Sans" w:cs="Open Sans"/>
          <w:color w:val="000000" w:themeColor="text1"/>
        </w:rPr>
        <w:t>, powinna mieć wpływ na ostateczny kształt audytu energetycznego, w tym docelowego zestawu usprawnień w ramach poprawy efektywności energetycznej budynku użyteczności publicznej realizowanej zgodnie z Umową EPC. Po przedstawieniu audytu potwierdzonego przez firmę ESCO, przedsięwzięcie zostanie ponownie ocenione pod kątem spełnieni</w:t>
      </w:r>
      <w:r w:rsidR="7704605C" w:rsidRPr="286F001F">
        <w:rPr>
          <w:rFonts w:ascii="Open Sans" w:hAnsi="Open Sans" w:cs="Open Sans"/>
          <w:color w:val="000000" w:themeColor="text1"/>
        </w:rPr>
        <w:t>a</w:t>
      </w:r>
      <w:r w:rsidRPr="286F001F">
        <w:rPr>
          <w:rFonts w:ascii="Open Sans" w:hAnsi="Open Sans" w:cs="Open Sans"/>
          <w:color w:val="000000" w:themeColor="text1"/>
        </w:rPr>
        <w:t xml:space="preserve"> kryteriów i warunków programu, a umowa o dofinansowanie w tym zakresie (łącznie z kosztami realizacji i warunkami dofinansowania) ewentualnie zmieniona.</w:t>
      </w:r>
    </w:p>
    <w:p w14:paraId="7F479F49" w14:textId="41A4663B" w:rsidR="00C41F83" w:rsidRPr="00C41F83" w:rsidRDefault="00C41F83" w:rsidP="00EF5D91">
      <w:pPr>
        <w:spacing w:line="288" w:lineRule="auto"/>
        <w:rPr>
          <w:rFonts w:ascii="Open Sans" w:hAnsi="Open Sans" w:cs="Open Sans"/>
          <w:bCs/>
          <w:color w:val="000000" w:themeColor="text1"/>
        </w:rPr>
      </w:pPr>
      <w:r w:rsidRPr="00C41F83">
        <w:rPr>
          <w:rFonts w:ascii="Open Sans" w:hAnsi="Open Sans" w:cs="Open Sans"/>
          <w:bCs/>
          <w:color w:val="000000" w:themeColor="text1"/>
        </w:rPr>
        <w:t>Co do zasady, porównywana powinna być charakterystyka energetyczna budynku przed i</w:t>
      </w:r>
      <w:r>
        <w:rPr>
          <w:rFonts w:ascii="Open Sans" w:hAnsi="Open Sans" w:cs="Open Sans"/>
          <w:bCs/>
          <w:color w:val="000000" w:themeColor="text1"/>
        </w:rPr>
        <w:t> </w:t>
      </w:r>
      <w:r w:rsidRPr="00C41F83">
        <w:rPr>
          <w:rFonts w:ascii="Open Sans" w:hAnsi="Open Sans" w:cs="Open Sans"/>
          <w:bCs/>
          <w:color w:val="000000" w:themeColor="text1"/>
        </w:rPr>
        <w:t>po modernizacji z uwzględnieniem pełnego bilansu energii (na ogrzewanie, wentylację, ciepłą wodę użytkową, chłodzenie (jeśli dotyczy), oświetlenie wbudowane, energię elektryczną pomocniczą wraz z analizą OZE) wybranego przez audytora docelowego scenariusza usprawnień na podstawie audytu energetycznego wykonanego zgodnie z</w:t>
      </w:r>
      <w:r>
        <w:rPr>
          <w:rFonts w:ascii="Open Sans" w:hAnsi="Open Sans" w:cs="Open Sans"/>
          <w:bCs/>
          <w:color w:val="000000" w:themeColor="text1"/>
        </w:rPr>
        <w:t> </w:t>
      </w:r>
      <w:r w:rsidRPr="00C41F83">
        <w:rPr>
          <w:rFonts w:ascii="Open Sans" w:hAnsi="Open Sans" w:cs="Open Sans"/>
          <w:bCs/>
          <w:color w:val="000000" w:themeColor="text1"/>
        </w:rPr>
        <w:t>Rozporządzeniem Ministra Infrastruktury z dnia 17 marca 2009 r., przy użyciu tej samej metodologii i zasad pracy/obciążenia budynku przed i po modernizacji (liczba użytkowników budynku, ta sama funkcja, ten sam czas pracy oświetlenia wbudowanego, te same wymagania wymian strumieni powietrza itp.).</w:t>
      </w:r>
    </w:p>
    <w:p w14:paraId="4C29CD5A" w14:textId="480E8E90" w:rsidR="00C41F83" w:rsidRPr="00C41F83" w:rsidRDefault="00C41F83" w:rsidP="00EF5D91">
      <w:pPr>
        <w:spacing w:line="288" w:lineRule="auto"/>
        <w:rPr>
          <w:rFonts w:ascii="Open Sans" w:hAnsi="Open Sans" w:cs="Open Sans"/>
          <w:color w:val="000000" w:themeColor="text1"/>
        </w:rPr>
      </w:pPr>
      <w:r w:rsidRPr="286F001F">
        <w:rPr>
          <w:rFonts w:ascii="Open Sans" w:hAnsi="Open Sans" w:cs="Open Sans"/>
          <w:color w:val="000000" w:themeColor="text1"/>
        </w:rPr>
        <w:t xml:space="preserve">Wyliczone oszczędności energii w audycie energetycznym nie należy traktować jednoznacznie z gwarantowanymi oszczędnościami energii (GOE) – prezentowanymi w Umowie EPC i gwarantowanymi rokrocznie przez firmę ESCO – przez okres zarządzania energią. Co do zasady Umowa EPC, (a więc i wyliczenia GOE) może dotyczyć szerszego </w:t>
      </w:r>
      <w:r w:rsidRPr="286F001F">
        <w:rPr>
          <w:rFonts w:ascii="Open Sans" w:hAnsi="Open Sans" w:cs="Open Sans"/>
          <w:color w:val="000000" w:themeColor="text1"/>
        </w:rPr>
        <w:lastRenderedPageBreak/>
        <w:t>działania audytowego, dotyczącego pełnej analizy zużycia energii w danym budynku lub zespole budynków, z uwzględnieniem usług prywatnych lub publicznych (w tym umów na dostarczenie energii czy te</w:t>
      </w:r>
      <w:r w:rsidR="299EA2BD" w:rsidRPr="286F001F">
        <w:rPr>
          <w:rFonts w:ascii="Open Sans" w:hAnsi="Open Sans" w:cs="Open Sans"/>
          <w:color w:val="000000" w:themeColor="text1"/>
        </w:rPr>
        <w:t>ż</w:t>
      </w:r>
      <w:r w:rsidRPr="286F001F">
        <w:rPr>
          <w:rFonts w:ascii="Open Sans" w:hAnsi="Open Sans" w:cs="Open Sans"/>
          <w:color w:val="000000" w:themeColor="text1"/>
        </w:rPr>
        <w:t xml:space="preserve"> paliw), które określi możliwości realizacji inwestycji prowadzących do uzyskania opłacalnych ekonomicznie oszczędności energetycznych.</w:t>
      </w:r>
    </w:p>
    <w:p w14:paraId="46A866AC" w14:textId="2C5985C3" w:rsidR="00DD6030" w:rsidRPr="00FF3704" w:rsidRDefault="006E237B" w:rsidP="00EF5D91">
      <w:pPr>
        <w:spacing w:line="288" w:lineRule="auto"/>
        <w:rPr>
          <w:color w:val="000000" w:themeColor="text1"/>
        </w:rPr>
      </w:pPr>
      <w:r w:rsidRPr="00FF3704">
        <w:rPr>
          <w:rFonts w:ascii="Open Sans" w:hAnsi="Open Sans" w:cs="Open Sans"/>
          <w:b/>
          <w:bCs/>
          <w:color w:val="000000" w:themeColor="text1"/>
        </w:rPr>
        <w:t>Audyt energetyczny ex-</w:t>
      </w:r>
      <w:proofErr w:type="spellStart"/>
      <w:r w:rsidRPr="00FF3704">
        <w:rPr>
          <w:rFonts w:ascii="Open Sans" w:hAnsi="Open Sans" w:cs="Open Sans"/>
          <w:b/>
          <w:bCs/>
          <w:color w:val="000000" w:themeColor="text1"/>
        </w:rPr>
        <w:t>ante</w:t>
      </w:r>
      <w:proofErr w:type="spellEnd"/>
      <w:r w:rsidR="00B2432E" w:rsidRPr="00FF3704">
        <w:rPr>
          <w:rFonts w:ascii="Open Sans" w:hAnsi="Open Sans" w:cs="Open Sans"/>
          <w:b/>
          <w:bCs/>
          <w:color w:val="000000" w:themeColor="text1"/>
        </w:rPr>
        <w:t xml:space="preserve"> </w:t>
      </w:r>
      <w:r w:rsidR="00B2432E" w:rsidRPr="00FF3704">
        <w:rPr>
          <w:rFonts w:ascii="Open Sans" w:hAnsi="Open Sans" w:cs="Open Sans"/>
          <w:b/>
          <w:color w:val="000000" w:themeColor="text1"/>
        </w:rPr>
        <w:t>w formule ESCO/EPC</w:t>
      </w:r>
      <w:r w:rsidRPr="00FF3704">
        <w:rPr>
          <w:rFonts w:ascii="Open Sans" w:hAnsi="Open Sans" w:cs="Open Sans"/>
          <w:color w:val="000000" w:themeColor="text1"/>
        </w:rPr>
        <w:t xml:space="preserve">, </w:t>
      </w:r>
      <w:r w:rsidR="00B44851" w:rsidRPr="00FF3704">
        <w:rPr>
          <w:rFonts w:ascii="Open Sans" w:hAnsi="Open Sans" w:cs="Open Sans"/>
          <w:color w:val="000000" w:themeColor="text1"/>
        </w:rPr>
        <w:t xml:space="preserve">jest </w:t>
      </w:r>
      <w:r w:rsidRPr="00FF3704">
        <w:rPr>
          <w:rFonts w:ascii="Open Sans" w:hAnsi="Open Sans" w:cs="Open Sans"/>
          <w:color w:val="000000" w:themeColor="text1"/>
        </w:rPr>
        <w:t xml:space="preserve">to audyt wykonany </w:t>
      </w:r>
      <w:r w:rsidR="00B44851" w:rsidRPr="00FF3704">
        <w:rPr>
          <w:rFonts w:ascii="Open Sans" w:hAnsi="Open Sans" w:cs="Open Sans"/>
          <w:color w:val="000000" w:themeColor="text1"/>
        </w:rPr>
        <w:t>zgodnie z</w:t>
      </w:r>
      <w:r w:rsidR="00C41F83">
        <w:rPr>
          <w:rFonts w:ascii="Open Sans" w:hAnsi="Open Sans" w:cs="Open Sans"/>
          <w:color w:val="000000" w:themeColor="text1"/>
        </w:rPr>
        <w:t> </w:t>
      </w:r>
      <w:r w:rsidR="00B44851" w:rsidRPr="00FF3704">
        <w:rPr>
          <w:rFonts w:ascii="Open Sans" w:hAnsi="Open Sans" w:cs="Open Sans"/>
          <w:color w:val="000000" w:themeColor="text1"/>
        </w:rPr>
        <w:t>przyjętą</w:t>
      </w:r>
      <w:r w:rsidRPr="00FF3704">
        <w:rPr>
          <w:rFonts w:ascii="Open Sans" w:hAnsi="Open Sans" w:cs="Open Sans"/>
          <w:color w:val="000000" w:themeColor="text1"/>
        </w:rPr>
        <w:t xml:space="preserve"> Metodyk</w:t>
      </w:r>
      <w:r w:rsidR="00B44851" w:rsidRPr="00FF3704">
        <w:rPr>
          <w:rFonts w:ascii="Open Sans" w:hAnsi="Open Sans" w:cs="Open Sans"/>
          <w:color w:val="000000" w:themeColor="text1"/>
        </w:rPr>
        <w:t>ą</w:t>
      </w:r>
      <w:r w:rsidRPr="00FF3704">
        <w:rPr>
          <w:rFonts w:ascii="Open Sans" w:hAnsi="Open Sans" w:cs="Open Sans"/>
          <w:color w:val="000000" w:themeColor="text1"/>
        </w:rPr>
        <w:t xml:space="preserve"> sporządzania audytów energetycznych w zakresie głębokiej kompleksowej modernizacji energetycznej budynków finansowanych w ramach Programu Fundusze Europejskie na Infrastrukturę, Klimat, Środowisko 2021-2027, Priorytet FENX.01 Wsparcie sektorów energetyka i środowisko z Funduszu Spójności Działanie FENX.01.01 Efektywność energetyczna, stanowiący załącznik do Regulaminu naboru.</w:t>
      </w:r>
      <w:r w:rsidR="000E302C" w:rsidRPr="00FF3704">
        <w:rPr>
          <w:rFonts w:ascii="Open Sans" w:hAnsi="Open Sans" w:cs="Open Sans"/>
          <w:color w:val="000000" w:themeColor="text1"/>
        </w:rPr>
        <w:t xml:space="preserve"> </w:t>
      </w:r>
    </w:p>
    <w:p w14:paraId="4F8D1AA5" w14:textId="353FD066" w:rsidR="006E237B" w:rsidRPr="00FF3704" w:rsidRDefault="006E237B" w:rsidP="00EF5D91">
      <w:pPr>
        <w:spacing w:line="288" w:lineRule="auto"/>
        <w:rPr>
          <w:rFonts w:ascii="Open Sans" w:hAnsi="Open Sans" w:cs="Open Sans"/>
          <w:color w:val="000000" w:themeColor="text1"/>
        </w:rPr>
      </w:pPr>
      <w:r w:rsidRPr="00FF3704">
        <w:rPr>
          <w:rFonts w:ascii="Open Sans" w:hAnsi="Open Sans" w:cs="Open Sans"/>
          <w:b/>
          <w:bCs/>
          <w:color w:val="000000" w:themeColor="text1"/>
        </w:rPr>
        <w:t>Audyt energetyczny ex-post</w:t>
      </w:r>
      <w:r w:rsidR="001618A7" w:rsidRPr="00FF3704">
        <w:rPr>
          <w:rFonts w:ascii="Open Sans" w:hAnsi="Open Sans" w:cs="Open Sans"/>
          <w:b/>
          <w:bCs/>
          <w:color w:val="000000" w:themeColor="text1"/>
        </w:rPr>
        <w:t xml:space="preserve"> w formule ESCO/EPC</w:t>
      </w:r>
      <w:r w:rsidRPr="00FF3704">
        <w:rPr>
          <w:rFonts w:ascii="Open Sans" w:hAnsi="Open Sans" w:cs="Open Sans"/>
          <w:color w:val="000000" w:themeColor="text1"/>
        </w:rPr>
        <w:t>,</w:t>
      </w:r>
      <w:r w:rsidR="000E302C" w:rsidRPr="00FF3704">
        <w:rPr>
          <w:rFonts w:ascii="Open Sans" w:hAnsi="Open Sans" w:cs="Open Sans"/>
          <w:color w:val="000000" w:themeColor="text1"/>
        </w:rPr>
        <w:t xml:space="preserve"> jest</w:t>
      </w:r>
      <w:r w:rsidRPr="00FF3704">
        <w:rPr>
          <w:rFonts w:ascii="Open Sans" w:hAnsi="Open Sans" w:cs="Open Sans"/>
          <w:color w:val="000000" w:themeColor="text1"/>
        </w:rPr>
        <w:t xml:space="preserve"> to audyt</w:t>
      </w:r>
      <w:r w:rsidR="00DD1953" w:rsidRPr="00FF3704">
        <w:rPr>
          <w:rFonts w:ascii="Open Sans" w:hAnsi="Open Sans" w:cs="Open Sans"/>
          <w:color w:val="000000" w:themeColor="text1"/>
        </w:rPr>
        <w:t xml:space="preserve"> powykonawczy,</w:t>
      </w:r>
      <w:r w:rsidRPr="00FF3704">
        <w:rPr>
          <w:rFonts w:ascii="Open Sans" w:hAnsi="Open Sans" w:cs="Open Sans"/>
          <w:color w:val="000000" w:themeColor="text1"/>
        </w:rPr>
        <w:t xml:space="preserve"> wykonany </w:t>
      </w:r>
      <w:r w:rsidR="00DD1953" w:rsidRPr="00FF3704">
        <w:rPr>
          <w:rFonts w:ascii="Open Sans" w:hAnsi="Open Sans" w:cs="Open Sans"/>
          <w:color w:val="000000" w:themeColor="text1"/>
        </w:rPr>
        <w:t>po zakończeniu realizacji przedsięwzięcia</w:t>
      </w:r>
      <w:r w:rsidR="001618A7" w:rsidRPr="00FF3704">
        <w:rPr>
          <w:rFonts w:ascii="Open Sans" w:hAnsi="Open Sans" w:cs="Open Sans"/>
          <w:color w:val="000000" w:themeColor="text1"/>
        </w:rPr>
        <w:t xml:space="preserve"> przez </w:t>
      </w:r>
      <w:r w:rsidR="00E42B30" w:rsidRPr="00FF3704">
        <w:rPr>
          <w:rFonts w:ascii="Open Sans" w:hAnsi="Open Sans" w:cs="Open Sans"/>
          <w:color w:val="000000" w:themeColor="text1"/>
        </w:rPr>
        <w:t>audytora/</w:t>
      </w:r>
      <w:r w:rsidR="001618A7" w:rsidRPr="00FF3704">
        <w:rPr>
          <w:rFonts w:ascii="Open Sans" w:hAnsi="Open Sans" w:cs="Open Sans"/>
          <w:color w:val="000000" w:themeColor="text1"/>
        </w:rPr>
        <w:t>wybraną firmę ESCO</w:t>
      </w:r>
      <w:r w:rsidR="00DD1953" w:rsidRPr="00FF3704">
        <w:rPr>
          <w:rFonts w:ascii="Open Sans" w:hAnsi="Open Sans" w:cs="Open Sans"/>
          <w:color w:val="000000" w:themeColor="text1"/>
        </w:rPr>
        <w:t xml:space="preserve">, </w:t>
      </w:r>
      <w:r w:rsidRPr="00FF3704">
        <w:rPr>
          <w:rFonts w:ascii="Open Sans" w:hAnsi="Open Sans" w:cs="Open Sans"/>
          <w:color w:val="000000" w:themeColor="text1"/>
        </w:rPr>
        <w:t xml:space="preserve">zgodnie z </w:t>
      </w:r>
      <w:r w:rsidR="00DD1953" w:rsidRPr="00FF3704">
        <w:rPr>
          <w:rFonts w:ascii="Open Sans" w:hAnsi="Open Sans" w:cs="Open Sans"/>
          <w:color w:val="000000" w:themeColor="text1"/>
        </w:rPr>
        <w:t>m</w:t>
      </w:r>
      <w:r w:rsidRPr="00FF3704">
        <w:rPr>
          <w:rFonts w:ascii="Open Sans" w:hAnsi="Open Sans" w:cs="Open Sans"/>
          <w:color w:val="000000" w:themeColor="text1"/>
        </w:rPr>
        <w:t>etod</w:t>
      </w:r>
      <w:r w:rsidR="00DD1953" w:rsidRPr="00FF3704">
        <w:rPr>
          <w:rFonts w:ascii="Open Sans" w:hAnsi="Open Sans" w:cs="Open Sans"/>
          <w:color w:val="000000" w:themeColor="text1"/>
        </w:rPr>
        <w:t>ologią</w:t>
      </w:r>
      <w:r w:rsidRPr="00FF3704">
        <w:rPr>
          <w:rFonts w:ascii="Open Sans" w:hAnsi="Open Sans" w:cs="Open Sans"/>
          <w:color w:val="000000" w:themeColor="text1"/>
        </w:rPr>
        <w:t xml:space="preserve"> przyjętą na etapie audytu ex-</w:t>
      </w:r>
      <w:proofErr w:type="spellStart"/>
      <w:r w:rsidRPr="00FF3704">
        <w:rPr>
          <w:rFonts w:ascii="Open Sans" w:hAnsi="Open Sans" w:cs="Open Sans"/>
          <w:color w:val="000000" w:themeColor="text1"/>
        </w:rPr>
        <w:t>ante</w:t>
      </w:r>
      <w:proofErr w:type="spellEnd"/>
      <w:r w:rsidRPr="00FF3704">
        <w:rPr>
          <w:rFonts w:ascii="Open Sans" w:hAnsi="Open Sans" w:cs="Open Sans"/>
          <w:color w:val="000000" w:themeColor="text1"/>
        </w:rPr>
        <w:t xml:space="preserve"> </w:t>
      </w:r>
      <w:r w:rsidR="000E302C" w:rsidRPr="00FF3704">
        <w:rPr>
          <w:rFonts w:ascii="Open Sans" w:hAnsi="Open Sans" w:cs="Open Sans"/>
          <w:color w:val="000000" w:themeColor="text1"/>
        </w:rPr>
        <w:t>–</w:t>
      </w:r>
      <w:r w:rsidR="00DE3134" w:rsidRPr="00FF3704">
        <w:rPr>
          <w:rFonts w:ascii="Open Sans" w:hAnsi="Open Sans" w:cs="Open Sans"/>
          <w:color w:val="000000" w:themeColor="text1"/>
        </w:rPr>
        <w:t xml:space="preserve"> </w:t>
      </w:r>
      <w:r w:rsidRPr="00FF3704">
        <w:rPr>
          <w:rFonts w:ascii="Open Sans" w:hAnsi="Open Sans" w:cs="Open Sans"/>
          <w:color w:val="000000" w:themeColor="text1"/>
        </w:rPr>
        <w:t>wykonan</w:t>
      </w:r>
      <w:r w:rsidR="000E302C" w:rsidRPr="00FF3704">
        <w:rPr>
          <w:rFonts w:ascii="Open Sans" w:hAnsi="Open Sans" w:cs="Open Sans"/>
          <w:color w:val="000000" w:themeColor="text1"/>
        </w:rPr>
        <w:t xml:space="preserve">ego </w:t>
      </w:r>
      <w:r w:rsidRPr="00FF3704">
        <w:rPr>
          <w:rFonts w:ascii="Open Sans" w:hAnsi="Open Sans" w:cs="Open Sans"/>
          <w:color w:val="000000" w:themeColor="text1"/>
        </w:rPr>
        <w:t xml:space="preserve">dla faktycznie zrealizowanych usprawnień na podstawie </w:t>
      </w:r>
      <w:r w:rsidR="000E302C" w:rsidRPr="00FF3704">
        <w:rPr>
          <w:rFonts w:ascii="Open Sans" w:hAnsi="Open Sans" w:cs="Open Sans"/>
          <w:color w:val="000000" w:themeColor="text1"/>
        </w:rPr>
        <w:t xml:space="preserve">odebranej </w:t>
      </w:r>
      <w:r w:rsidRPr="00FF3704">
        <w:rPr>
          <w:rFonts w:ascii="Open Sans" w:hAnsi="Open Sans" w:cs="Open Sans"/>
          <w:color w:val="000000" w:themeColor="text1"/>
        </w:rPr>
        <w:t>dokumentacji powykonawczej.</w:t>
      </w:r>
    </w:p>
    <w:p w14:paraId="01CFC3F7" w14:textId="37F32981" w:rsidR="00C93205" w:rsidRDefault="00C93205" w:rsidP="00EF5D91">
      <w:pPr>
        <w:spacing w:line="288" w:lineRule="auto"/>
        <w:rPr>
          <w:rFonts w:ascii="Open Sans" w:hAnsi="Open Sans" w:cs="Open Sans"/>
        </w:rPr>
      </w:pPr>
      <w:r>
        <w:rPr>
          <w:rFonts w:ascii="Open Sans" w:hAnsi="Open Sans" w:cs="Open Sans"/>
          <w:b/>
        </w:rPr>
        <w:t>Doradca techniczny (</w:t>
      </w:r>
      <w:proofErr w:type="spellStart"/>
      <w:r>
        <w:rPr>
          <w:rFonts w:ascii="Open Sans" w:hAnsi="Open Sans" w:cs="Open Sans"/>
          <w:b/>
        </w:rPr>
        <w:t>f</w:t>
      </w:r>
      <w:r w:rsidR="00E42B30" w:rsidRPr="00DD6030">
        <w:rPr>
          <w:rFonts w:ascii="Open Sans" w:hAnsi="Open Sans" w:cs="Open Sans"/>
          <w:b/>
        </w:rPr>
        <w:t>acylitator</w:t>
      </w:r>
      <w:proofErr w:type="spellEnd"/>
      <w:r w:rsidR="00E42B30" w:rsidRPr="00DD6030">
        <w:rPr>
          <w:rFonts w:ascii="Open Sans" w:hAnsi="Open Sans" w:cs="Open Sans"/>
          <w:b/>
        </w:rPr>
        <w:t xml:space="preserve"> EPC</w:t>
      </w:r>
      <w:r>
        <w:rPr>
          <w:rFonts w:ascii="Open Sans" w:hAnsi="Open Sans" w:cs="Open Sans"/>
          <w:b/>
        </w:rPr>
        <w:t>)</w:t>
      </w:r>
      <w:r w:rsidR="00E42B30">
        <w:rPr>
          <w:rFonts w:ascii="Open Sans" w:hAnsi="Open Sans" w:cs="Open Sans"/>
          <w:b/>
        </w:rPr>
        <w:t xml:space="preserve"> </w:t>
      </w:r>
      <w:r w:rsidR="00E42B30" w:rsidRPr="00DD6030">
        <w:rPr>
          <w:rFonts w:ascii="Open Sans" w:hAnsi="Open Sans" w:cs="Open Sans"/>
        </w:rPr>
        <w:t>- to kompleksowy doradca dla podmiotów publicznych w zakresie przygotowywania, zawierania i monitoringu umów o poprawę efektywności energetycznej (EPC) z firmami wykonawczymi, działającymi w modelu ESCO.</w:t>
      </w:r>
      <w:r w:rsidRPr="00C93205">
        <w:t xml:space="preserve"> </w:t>
      </w:r>
      <w:r w:rsidRPr="00C93205">
        <w:rPr>
          <w:rFonts w:ascii="Open Sans" w:hAnsi="Open Sans" w:cs="Open Sans"/>
        </w:rPr>
        <w:t>Doradc</w:t>
      </w:r>
      <w:r w:rsidR="00D261BC">
        <w:rPr>
          <w:rFonts w:ascii="Open Sans" w:hAnsi="Open Sans" w:cs="Open Sans"/>
        </w:rPr>
        <w:t>a</w:t>
      </w:r>
      <w:r w:rsidRPr="00C93205">
        <w:rPr>
          <w:rFonts w:ascii="Open Sans" w:hAnsi="Open Sans" w:cs="Open Sans"/>
        </w:rPr>
        <w:t xml:space="preserve"> </w:t>
      </w:r>
      <w:r>
        <w:rPr>
          <w:rFonts w:ascii="Open Sans" w:hAnsi="Open Sans" w:cs="Open Sans"/>
        </w:rPr>
        <w:t>techniczny (</w:t>
      </w:r>
      <w:proofErr w:type="spellStart"/>
      <w:r>
        <w:rPr>
          <w:rFonts w:ascii="Open Sans" w:hAnsi="Open Sans" w:cs="Open Sans"/>
        </w:rPr>
        <w:t>facylitator</w:t>
      </w:r>
      <w:proofErr w:type="spellEnd"/>
      <w:r>
        <w:rPr>
          <w:rFonts w:ascii="Open Sans" w:hAnsi="Open Sans" w:cs="Open Sans"/>
        </w:rPr>
        <w:t xml:space="preserve"> EPC)</w:t>
      </w:r>
      <w:r w:rsidRPr="00C93205">
        <w:rPr>
          <w:rFonts w:ascii="Open Sans" w:hAnsi="Open Sans" w:cs="Open Sans"/>
        </w:rPr>
        <w:t xml:space="preserve"> posiada</w:t>
      </w:r>
      <w:r>
        <w:rPr>
          <w:rFonts w:ascii="Open Sans" w:hAnsi="Open Sans" w:cs="Open Sans"/>
        </w:rPr>
        <w:t>ć powinien</w:t>
      </w:r>
      <w:r w:rsidRPr="00C93205">
        <w:rPr>
          <w:rFonts w:ascii="Open Sans" w:hAnsi="Open Sans" w:cs="Open Sans"/>
        </w:rPr>
        <w:t xml:space="preserve"> właściwe uprawnienia</w:t>
      </w:r>
      <w:r>
        <w:rPr>
          <w:rFonts w:ascii="Open Sans" w:hAnsi="Open Sans" w:cs="Open Sans"/>
        </w:rPr>
        <w:t xml:space="preserve"> budowlane</w:t>
      </w:r>
      <w:r w:rsidRPr="00C93205">
        <w:rPr>
          <w:rFonts w:ascii="Open Sans" w:hAnsi="Open Sans" w:cs="Open Sans"/>
        </w:rPr>
        <w:t xml:space="preserve">, doświadczenie i znajomość Prawa budowlanego czy też Prawa Zamówień publicznych w zależności: </w:t>
      </w:r>
    </w:p>
    <w:p w14:paraId="0CD8F54D" w14:textId="3C5E1EC8" w:rsidR="00C93205" w:rsidRPr="00C93205" w:rsidRDefault="00C93205" w:rsidP="00EF5D91">
      <w:pPr>
        <w:spacing w:line="288" w:lineRule="auto"/>
        <w:rPr>
          <w:rFonts w:ascii="Open Sans" w:hAnsi="Open Sans" w:cs="Open Sans"/>
        </w:rPr>
      </w:pPr>
      <w:r w:rsidRPr="00C93205">
        <w:rPr>
          <w:rFonts w:ascii="Open Sans" w:hAnsi="Open Sans" w:cs="Open Sans"/>
        </w:rPr>
        <w:t>- od spodziewanego zakresu prac modernizacyjnych,</w:t>
      </w:r>
    </w:p>
    <w:p w14:paraId="672AAB2A" w14:textId="4937F8B9" w:rsidR="00E42B30" w:rsidRPr="004752BD" w:rsidRDefault="00C93205" w:rsidP="00EF5D91">
      <w:pPr>
        <w:spacing w:line="288" w:lineRule="auto"/>
        <w:rPr>
          <w:rFonts w:ascii="Open Sans" w:hAnsi="Open Sans" w:cs="Open Sans"/>
        </w:rPr>
      </w:pPr>
      <w:r w:rsidRPr="00C93205">
        <w:rPr>
          <w:rFonts w:ascii="Open Sans" w:hAnsi="Open Sans" w:cs="Open Sans"/>
        </w:rPr>
        <w:t>- od poszukiwanego obszaru wsparcia w procesie wyboru i współpracy z firmą ESCO</w:t>
      </w:r>
      <w:r w:rsidR="00376137">
        <w:rPr>
          <w:rFonts w:ascii="Open Sans" w:hAnsi="Open Sans" w:cs="Open Sans"/>
        </w:rPr>
        <w:t>.</w:t>
      </w:r>
    </w:p>
    <w:p w14:paraId="73440FAB" w14:textId="5D0316F8" w:rsidR="006E237B" w:rsidRPr="004752BD" w:rsidRDefault="006E237B" w:rsidP="00EF5D91">
      <w:pPr>
        <w:spacing w:line="288" w:lineRule="auto"/>
        <w:rPr>
          <w:rFonts w:ascii="Open Sans" w:hAnsi="Open Sans" w:cs="Open Sans"/>
        </w:rPr>
      </w:pPr>
      <w:r w:rsidRPr="004752BD">
        <w:rPr>
          <w:rFonts w:ascii="Open Sans" w:hAnsi="Open Sans" w:cs="Open Sans"/>
          <w:b/>
          <w:bCs/>
        </w:rPr>
        <w:t>Firma ESCO</w:t>
      </w:r>
      <w:r w:rsidRPr="004752BD">
        <w:rPr>
          <w:rFonts w:ascii="Open Sans" w:hAnsi="Open Sans" w:cs="Open Sans"/>
        </w:rPr>
        <w:t>, to podmiot, o którym mowa w przepisie art. 7 ust. 4 Ustawy o Efektywności Energetycznej (Obwieszczenie Marszałka Sejmu RP z dnia 14 października 2021 r.</w:t>
      </w:r>
      <w:r w:rsidR="004752BD">
        <w:rPr>
          <w:rFonts w:ascii="Open Sans" w:hAnsi="Open Sans" w:cs="Open Sans"/>
        </w:rPr>
        <w:br/>
      </w:r>
      <w:r w:rsidRPr="004752BD">
        <w:rPr>
          <w:rFonts w:ascii="Open Sans" w:hAnsi="Open Sans" w:cs="Open Sans"/>
        </w:rPr>
        <w:t>w sprawie ogłoszenia jednolitego tekstu ustawy o efektywności energetycznej, który realizuje Projekt EPC.</w:t>
      </w:r>
      <w:r w:rsidR="00D2512A" w:rsidRPr="004752BD">
        <w:rPr>
          <w:rFonts w:ascii="Open Sans" w:hAnsi="Open Sans" w:cs="Open Sans"/>
        </w:rPr>
        <w:t xml:space="preserve"> Przedsiębiorstwo oszczędzania energii typu ESCO (skrót od Energy Service Company) to firma świadcząca usługi energetyczne lub dostarczająca innych środków poprawy efektywności energetycznej dla użytkownika/odbiorcy energii, biorąc przy tym na siebie pewną część ryzyka finansowego. Zapłata za wykonane usługi jest oparta (w całości lub w części) na osiągnięciu poprawy efektywności energetycznej oraz spełnieniu innych uzgodnionych kryteriów efektywności. </w:t>
      </w:r>
    </w:p>
    <w:p w14:paraId="151A0A43" w14:textId="3A6AE8A8" w:rsidR="006E237B" w:rsidRPr="004752BD" w:rsidRDefault="006E237B" w:rsidP="00EF5D91">
      <w:pPr>
        <w:spacing w:line="288" w:lineRule="auto"/>
        <w:rPr>
          <w:rFonts w:ascii="Open Sans" w:hAnsi="Open Sans" w:cs="Open Sans"/>
        </w:rPr>
      </w:pPr>
      <w:r w:rsidRPr="004752BD">
        <w:rPr>
          <w:rFonts w:ascii="Open Sans" w:hAnsi="Open Sans" w:cs="Open Sans"/>
          <w:b/>
          <w:bCs/>
        </w:rPr>
        <w:lastRenderedPageBreak/>
        <w:t>Umowa EPC</w:t>
      </w:r>
      <w:r w:rsidRPr="004752BD">
        <w:rPr>
          <w:rFonts w:ascii="Open Sans" w:hAnsi="Open Sans" w:cs="Open Sans"/>
        </w:rPr>
        <w:t>, to umowa o poprawę efektywności energetycznej w rozumieniu przepisu art. 7 ust. 2 Ustawy o Efektywności Energetycznej.</w:t>
      </w:r>
      <w:r w:rsidR="00D2512A" w:rsidRPr="004752BD">
        <w:rPr>
          <w:rFonts w:ascii="Open Sans" w:hAnsi="Open Sans" w:cs="Open Sans"/>
        </w:rPr>
        <w:t xml:space="preserve"> Umowy z gwarancją oszczędności tzw. umowy EPC (ang. </w:t>
      </w:r>
      <w:r w:rsidR="00D2512A" w:rsidRPr="004C2C7E">
        <w:rPr>
          <w:rFonts w:ascii="Open Sans" w:hAnsi="Open Sans" w:cs="Open Sans"/>
        </w:rPr>
        <w:t xml:space="preserve">Energy Performance </w:t>
      </w:r>
      <w:proofErr w:type="spellStart"/>
      <w:r w:rsidR="00D2512A" w:rsidRPr="004C2C7E">
        <w:rPr>
          <w:rFonts w:ascii="Open Sans" w:hAnsi="Open Sans" w:cs="Open Sans"/>
        </w:rPr>
        <w:t>Contracting</w:t>
      </w:r>
      <w:proofErr w:type="spellEnd"/>
      <w:r w:rsidR="00D2512A" w:rsidRPr="004C2C7E">
        <w:rPr>
          <w:rFonts w:ascii="Open Sans" w:hAnsi="Open Sans" w:cs="Open Sans"/>
        </w:rPr>
        <w:t xml:space="preserve">) opierają się o zasadę zwrotu kosztów inwestycji bezpośrednio </w:t>
      </w:r>
      <w:r w:rsidR="004C2C7E" w:rsidRPr="004C2C7E">
        <w:rPr>
          <w:rFonts w:ascii="Open Sans" w:hAnsi="Open Sans" w:cs="Open Sans"/>
        </w:rPr>
        <w:t>z powstałych oszczędności wynikających z realizacji usprawnień</w:t>
      </w:r>
      <w:r w:rsidR="00D2512A" w:rsidRPr="004C2C7E">
        <w:rPr>
          <w:rFonts w:ascii="Open Sans" w:hAnsi="Open Sans" w:cs="Open Sans"/>
        </w:rPr>
        <w:t>.</w:t>
      </w:r>
    </w:p>
    <w:p w14:paraId="7679726C" w14:textId="7180135C" w:rsidR="00DE3134" w:rsidRPr="00BE0C5E" w:rsidRDefault="00DE3134" w:rsidP="00EF5D91">
      <w:pPr>
        <w:spacing w:line="288" w:lineRule="auto"/>
        <w:rPr>
          <w:rFonts w:ascii="Open Sans" w:hAnsi="Open Sans" w:cs="Open Sans"/>
        </w:rPr>
      </w:pPr>
      <w:r w:rsidRPr="2A1A69AD">
        <w:rPr>
          <w:rFonts w:ascii="Open Sans" w:hAnsi="Open Sans" w:cs="Open Sans"/>
          <w:b/>
          <w:bCs/>
        </w:rPr>
        <w:t>GOE</w:t>
      </w:r>
      <w:r w:rsidRPr="2A1A69AD">
        <w:rPr>
          <w:rFonts w:ascii="Open Sans" w:hAnsi="Open Sans" w:cs="Open Sans"/>
        </w:rPr>
        <w:t xml:space="preserve"> - Gwarantowana Oszczędność Energii </w:t>
      </w:r>
      <w:r w:rsidR="00C93205" w:rsidRPr="2A1A69AD">
        <w:rPr>
          <w:rFonts w:ascii="Open Sans" w:hAnsi="Open Sans" w:cs="Open Sans"/>
        </w:rPr>
        <w:t>– wyrażona w języku technicznym</w:t>
      </w:r>
      <w:r w:rsidR="005351FF" w:rsidRPr="2A1A69AD">
        <w:rPr>
          <w:rFonts w:ascii="Open Sans" w:hAnsi="Open Sans" w:cs="Open Sans"/>
        </w:rPr>
        <w:t xml:space="preserve"> wartość</w:t>
      </w:r>
      <w:r w:rsidR="00262A0B" w:rsidRPr="2A1A69AD">
        <w:rPr>
          <w:rFonts w:ascii="Open Sans" w:hAnsi="Open Sans" w:cs="Open Sans"/>
        </w:rPr>
        <w:t xml:space="preserve"> gwarantowana</w:t>
      </w:r>
      <w:r w:rsidR="005351FF" w:rsidRPr="2A1A69AD">
        <w:rPr>
          <w:rFonts w:ascii="Open Sans" w:hAnsi="Open Sans" w:cs="Open Sans"/>
        </w:rPr>
        <w:t xml:space="preserve"> oszczędności energii</w:t>
      </w:r>
      <w:r w:rsidR="00EC1D10" w:rsidRPr="2A1A69AD">
        <w:rPr>
          <w:rFonts w:ascii="Open Sans" w:hAnsi="Open Sans" w:cs="Open Sans"/>
        </w:rPr>
        <w:t xml:space="preserve"> określona w Umowie EPC</w:t>
      </w:r>
      <w:r w:rsidR="005351FF" w:rsidRPr="2A1A69AD">
        <w:rPr>
          <w:rFonts w:ascii="Open Sans" w:hAnsi="Open Sans" w:cs="Open Sans"/>
        </w:rPr>
        <w:t>,</w:t>
      </w:r>
      <w:r w:rsidR="00262A0B" w:rsidRPr="2A1A69AD">
        <w:rPr>
          <w:rFonts w:ascii="Open Sans" w:hAnsi="Open Sans" w:cs="Open Sans"/>
        </w:rPr>
        <w:t xml:space="preserve"> </w:t>
      </w:r>
      <w:r w:rsidR="00C93205" w:rsidRPr="2A1A69AD">
        <w:rPr>
          <w:rFonts w:ascii="Open Sans" w:hAnsi="Open Sans" w:cs="Open Sans"/>
        </w:rPr>
        <w:t xml:space="preserve">zapewniana corocznie, aż do zakończenia minimalnego okresu zarządzania energią </w:t>
      </w:r>
      <w:r w:rsidRPr="2A1A69AD">
        <w:rPr>
          <w:rFonts w:ascii="Open Sans" w:hAnsi="Open Sans" w:cs="Open Sans"/>
        </w:rPr>
        <w:t>przez firmę ESCO.</w:t>
      </w:r>
      <w:r w:rsidR="00262A0B">
        <w:t xml:space="preserve"> </w:t>
      </w:r>
      <w:r w:rsidR="00262A0B" w:rsidRPr="2A1A69AD">
        <w:rPr>
          <w:rFonts w:ascii="Open Sans" w:hAnsi="Open Sans" w:cs="Open Sans"/>
        </w:rPr>
        <w:t>Osiągnięcie gwarantowanej oszczędności energii przedsiębiorstwo ESCO rozlicza przed Beneficjentem po pierwszym i kolejnym roku zarządzania energią z zachowaniem zasad określonych i ustalonych w umowie pomiędzy Beneficjentem a przedsiębiorstwem ESCO na podstawie raportu</w:t>
      </w:r>
      <w:r w:rsidR="00BE0C5E" w:rsidRPr="2A1A69AD">
        <w:rPr>
          <w:rFonts w:ascii="Open Sans" w:hAnsi="Open Sans" w:cs="Open Sans"/>
        </w:rPr>
        <w:t>,</w:t>
      </w:r>
      <w:r w:rsidR="004D4337" w:rsidRPr="2A1A69AD">
        <w:rPr>
          <w:rFonts w:ascii="Open Sans" w:hAnsi="Open Sans" w:cs="Open Sans"/>
        </w:rPr>
        <w:t xml:space="preserve"> przez cały okres zarządzania energią wynikający z Umowy EPC</w:t>
      </w:r>
    </w:p>
    <w:p w14:paraId="2F941879" w14:textId="5973A396" w:rsidR="006E237B" w:rsidRPr="00845E42" w:rsidRDefault="006E237B" w:rsidP="00EF5D91">
      <w:pPr>
        <w:spacing w:after="0" w:line="288" w:lineRule="auto"/>
        <w:rPr>
          <w:rFonts w:ascii="Open Sans" w:hAnsi="Open Sans" w:cs="Open Sans"/>
        </w:rPr>
      </w:pPr>
      <w:r w:rsidRPr="2A1A69AD">
        <w:rPr>
          <w:rFonts w:ascii="Open Sans" w:hAnsi="Open Sans" w:cs="Open Sans"/>
          <w:b/>
          <w:bCs/>
        </w:rPr>
        <w:t>Zasada DNSH</w:t>
      </w:r>
      <w:r w:rsidRPr="2A1A69AD">
        <w:rPr>
          <w:rFonts w:ascii="Open Sans" w:hAnsi="Open Sans" w:cs="Open Sans"/>
        </w:rPr>
        <w:t xml:space="preserve"> (ang. Do No </w:t>
      </w:r>
      <w:proofErr w:type="spellStart"/>
      <w:r w:rsidRPr="2A1A69AD">
        <w:rPr>
          <w:rFonts w:ascii="Open Sans" w:hAnsi="Open Sans" w:cs="Open Sans"/>
        </w:rPr>
        <w:t>Significant</w:t>
      </w:r>
      <w:proofErr w:type="spellEnd"/>
      <w:r w:rsidRPr="2A1A69AD">
        <w:rPr>
          <w:rFonts w:ascii="Open Sans" w:hAnsi="Open Sans" w:cs="Open Sans"/>
        </w:rPr>
        <w:t xml:space="preserve"> </w:t>
      </w:r>
      <w:proofErr w:type="spellStart"/>
      <w:r w:rsidRPr="2A1A69AD">
        <w:rPr>
          <w:rFonts w:ascii="Open Sans" w:hAnsi="Open Sans" w:cs="Open Sans"/>
        </w:rPr>
        <w:t>Harm</w:t>
      </w:r>
      <w:proofErr w:type="spellEnd"/>
      <w:r w:rsidRPr="2A1A69AD">
        <w:rPr>
          <w:rFonts w:ascii="Open Sans" w:hAnsi="Open Sans" w:cs="Open Sans"/>
        </w:rPr>
        <w:t xml:space="preserve">), to zasada „nie czyń poważnych szkód” </w:t>
      </w:r>
      <w:r>
        <w:br/>
      </w:r>
      <w:r w:rsidRPr="2A1A69AD">
        <w:rPr>
          <w:rFonts w:ascii="Open Sans" w:hAnsi="Open Sans" w:cs="Open Sans"/>
        </w:rPr>
        <w:t>i oznacza niewspieranie ani nieprowadzenie działalności gospodarczej, która czyni znaczące szkody dla któregokolwiek z celów środowiskowych, w stosownych przypadkach, w rozumieniu art. 17 rozporządzenia Parlamentu Europejskiego i Rady (UE) 2020/852 z dnia 18 czerwca 2020 r. w sprawie ustanowienia ram ułatwiających zrównoważone inwestycje, zmieniające rozporządzenie (UE) 2019/2088).</w:t>
      </w:r>
      <w:r w:rsidR="00845E42" w:rsidRPr="2A1A69AD">
        <w:rPr>
          <w:rFonts w:ascii="Open Sans" w:hAnsi="Open Sans" w:cs="Open Sans"/>
        </w:rPr>
        <w:t xml:space="preserve"> Szczegółowe propozycje potwierdzenia realizacji inwestycji termomodernizacyjnych zgodnie z zasadą DNSH znajdują się w Rozdziale III. Realizacja projektu zgodnie z zasadą DNSH.</w:t>
      </w:r>
    </w:p>
    <w:p w14:paraId="7C5CEDF7" w14:textId="235A71B3" w:rsidR="00F97A89" w:rsidRPr="004752BD" w:rsidRDefault="00544F49" w:rsidP="00EF5D91">
      <w:pPr>
        <w:pBdr>
          <w:top w:val="single" w:sz="4" w:space="1" w:color="auto"/>
          <w:left w:val="single" w:sz="4" w:space="4" w:color="auto"/>
          <w:bottom w:val="single" w:sz="4" w:space="1" w:color="auto"/>
          <w:right w:val="single" w:sz="4" w:space="4" w:color="auto"/>
        </w:pBdr>
        <w:spacing w:line="288" w:lineRule="auto"/>
        <w:rPr>
          <w:rFonts w:ascii="Open Sans" w:hAnsi="Open Sans" w:cs="Open Sans"/>
          <w:b/>
          <w:bCs/>
        </w:rPr>
      </w:pPr>
      <w:r>
        <w:rPr>
          <w:rFonts w:ascii="Open Sans" w:hAnsi="Open Sans" w:cs="Open Sans"/>
        </w:rPr>
        <w:br w:type="page"/>
      </w:r>
      <w:r w:rsidR="00906463" w:rsidRPr="00906463">
        <w:rPr>
          <w:rFonts w:ascii="Open Sans" w:hAnsi="Open Sans" w:cs="Open Sans"/>
          <w:b/>
          <w:bCs/>
        </w:rPr>
        <w:lastRenderedPageBreak/>
        <w:t>I.</w:t>
      </w:r>
      <w:r w:rsidR="00906463">
        <w:rPr>
          <w:rFonts w:ascii="Open Sans" w:hAnsi="Open Sans" w:cs="Open Sans"/>
        </w:rPr>
        <w:t xml:space="preserve"> </w:t>
      </w:r>
      <w:r w:rsidRPr="004752BD">
        <w:rPr>
          <w:rFonts w:ascii="Open Sans" w:hAnsi="Open Sans" w:cs="Open Sans"/>
          <w:b/>
          <w:bCs/>
        </w:rPr>
        <w:t>Realizacja termomodernizacji budynku w formule ESCO/EPC.</w:t>
      </w:r>
      <w:r w:rsidR="00906463">
        <w:rPr>
          <w:rFonts w:ascii="Open Sans" w:hAnsi="Open Sans" w:cs="Open Sans"/>
          <w:b/>
          <w:bCs/>
        </w:rPr>
        <w:t xml:space="preserve"> </w:t>
      </w:r>
      <w:r w:rsidR="00F97A89">
        <w:rPr>
          <w:rFonts w:ascii="Open Sans" w:hAnsi="Open Sans" w:cs="Open Sans"/>
          <w:b/>
          <w:bCs/>
        </w:rPr>
        <w:t>Ogólne zasady i pojęcia</w:t>
      </w:r>
      <w:r w:rsidR="00906463">
        <w:rPr>
          <w:rFonts w:ascii="Open Sans" w:hAnsi="Open Sans" w:cs="Open Sans"/>
          <w:b/>
          <w:bCs/>
        </w:rPr>
        <w:t>.</w:t>
      </w:r>
    </w:p>
    <w:p w14:paraId="58C2B8CD" w14:textId="20EE112C" w:rsidR="00376137" w:rsidRPr="00376137" w:rsidRDefault="00544F49" w:rsidP="00EF5D91">
      <w:pPr>
        <w:spacing w:line="288" w:lineRule="auto"/>
        <w:rPr>
          <w:rFonts w:ascii="Open Sans" w:hAnsi="Open Sans" w:cs="Open Sans"/>
          <w:b/>
          <w:color w:val="000000" w:themeColor="text1"/>
        </w:rPr>
      </w:pPr>
      <w:r w:rsidRPr="00376137">
        <w:rPr>
          <w:rFonts w:ascii="Open Sans" w:hAnsi="Open Sans" w:cs="Open Sans"/>
          <w:color w:val="000000" w:themeColor="text1"/>
        </w:rPr>
        <w:t xml:space="preserve">Projekty termomodernizacyjne realizowane w formule ESCO/EPC są objęte </w:t>
      </w:r>
      <w:r w:rsidR="00906463" w:rsidRPr="00376137">
        <w:rPr>
          <w:rFonts w:ascii="Open Sans" w:hAnsi="Open Sans" w:cs="Open Sans"/>
          <w:color w:val="000000" w:themeColor="text1"/>
        </w:rPr>
        <w:t xml:space="preserve">również </w:t>
      </w:r>
      <w:r w:rsidRPr="00376137">
        <w:rPr>
          <w:rFonts w:ascii="Open Sans" w:hAnsi="Open Sans" w:cs="Open Sans"/>
          <w:color w:val="000000" w:themeColor="text1"/>
        </w:rPr>
        <w:t>wsparciem w ramach funduszy europejskich</w:t>
      </w:r>
      <w:r w:rsidR="00376137" w:rsidRPr="00376137">
        <w:rPr>
          <w:rFonts w:ascii="Open Sans" w:hAnsi="Open Sans" w:cs="Open Sans"/>
          <w:color w:val="000000" w:themeColor="text1"/>
        </w:rPr>
        <w:t xml:space="preserve"> i upatruje się w nich, w przyszłości, zwiększenie intensywności realizacji projektów termomodernizacyjnych z użyciem środków również prywatnych – co pozwoli osiągnąć w większej skali niezwykle ambitne cele środowiskowe wdrażane przez polityki krajowe i UE związane z efektywnością energetyczną w budownictwie. </w:t>
      </w:r>
    </w:p>
    <w:p w14:paraId="77FA363F" w14:textId="17D4324C" w:rsidR="00376137" w:rsidRPr="00FF3704" w:rsidRDefault="00376137" w:rsidP="00EF5D91">
      <w:pPr>
        <w:spacing w:line="288" w:lineRule="auto"/>
        <w:rPr>
          <w:rFonts w:ascii="Open Sans" w:hAnsi="Open Sans" w:cs="Open Sans"/>
          <w:color w:val="000000" w:themeColor="text1"/>
        </w:rPr>
      </w:pPr>
      <w:r w:rsidRPr="00376137">
        <w:rPr>
          <w:rFonts w:ascii="Open Sans" w:hAnsi="Open Sans" w:cs="Open Sans"/>
          <w:color w:val="000000" w:themeColor="text1"/>
        </w:rPr>
        <w:t>Ww. dokument</w:t>
      </w:r>
      <w:r w:rsidR="006B46D4" w:rsidRPr="00376137">
        <w:rPr>
          <w:rFonts w:ascii="Open Sans" w:hAnsi="Open Sans" w:cs="Open Sans"/>
          <w:color w:val="000000" w:themeColor="text1"/>
        </w:rPr>
        <w:t xml:space="preserve"> został </w:t>
      </w:r>
      <w:r w:rsidR="003278B7" w:rsidRPr="00376137">
        <w:rPr>
          <w:rFonts w:ascii="Open Sans" w:hAnsi="Open Sans" w:cs="Open Sans"/>
          <w:color w:val="000000" w:themeColor="text1"/>
        </w:rPr>
        <w:t>opracowan</w:t>
      </w:r>
      <w:r w:rsidRPr="00376137">
        <w:rPr>
          <w:rFonts w:ascii="Open Sans" w:hAnsi="Open Sans" w:cs="Open Sans"/>
          <w:color w:val="000000" w:themeColor="text1"/>
        </w:rPr>
        <w:t>y</w:t>
      </w:r>
      <w:r w:rsidR="003278B7" w:rsidRPr="00376137">
        <w:rPr>
          <w:rFonts w:ascii="Open Sans" w:hAnsi="Open Sans" w:cs="Open Sans"/>
          <w:color w:val="000000" w:themeColor="text1"/>
        </w:rPr>
        <w:t xml:space="preserve"> na potrzeby p</w:t>
      </w:r>
      <w:r w:rsidR="00544F49" w:rsidRPr="00376137">
        <w:rPr>
          <w:rFonts w:ascii="Open Sans" w:hAnsi="Open Sans" w:cs="Open Sans"/>
          <w:color w:val="000000" w:themeColor="text1"/>
        </w:rPr>
        <w:t>ilotaż</w:t>
      </w:r>
      <w:r w:rsidR="003278B7" w:rsidRPr="00376137">
        <w:rPr>
          <w:rFonts w:ascii="Open Sans" w:hAnsi="Open Sans" w:cs="Open Sans"/>
          <w:color w:val="000000" w:themeColor="text1"/>
        </w:rPr>
        <w:t>u</w:t>
      </w:r>
      <w:r w:rsidR="00544F49" w:rsidRPr="00376137">
        <w:rPr>
          <w:rFonts w:ascii="Open Sans" w:hAnsi="Open Sans" w:cs="Open Sans"/>
          <w:color w:val="000000" w:themeColor="text1"/>
        </w:rPr>
        <w:t xml:space="preserve"> w obszarze poprawy efektywności energetycznej budynków użyteczności publicznej realizowanych w formule EPC/ESCO (z</w:t>
      </w:r>
      <w:r w:rsidR="00C41F83">
        <w:rPr>
          <w:rFonts w:ascii="Open Sans" w:hAnsi="Open Sans" w:cs="Open Sans"/>
          <w:color w:val="000000" w:themeColor="text1"/>
        </w:rPr>
        <w:t> </w:t>
      </w:r>
      <w:r w:rsidR="00544F49" w:rsidRPr="00376137">
        <w:rPr>
          <w:rFonts w:ascii="Open Sans" w:hAnsi="Open Sans" w:cs="Open Sans"/>
          <w:color w:val="000000" w:themeColor="text1"/>
        </w:rPr>
        <w:t>udziałem firm ESCO w oparciu o umowę o poprawę efektywności energetycznej)</w:t>
      </w:r>
      <w:r w:rsidR="00C41F83">
        <w:rPr>
          <w:rFonts w:ascii="Open Sans" w:hAnsi="Open Sans" w:cs="Open Sans"/>
          <w:color w:val="000000" w:themeColor="text1"/>
        </w:rPr>
        <w:t xml:space="preserve"> dla projektów </w:t>
      </w:r>
      <w:r w:rsidR="00BC26DC">
        <w:rPr>
          <w:rFonts w:ascii="Open Sans" w:hAnsi="Open Sans" w:cs="Open Sans"/>
          <w:color w:val="000000" w:themeColor="text1"/>
        </w:rPr>
        <w:t>współ</w:t>
      </w:r>
      <w:r w:rsidR="00C41F83">
        <w:rPr>
          <w:rFonts w:ascii="Open Sans" w:hAnsi="Open Sans" w:cs="Open Sans"/>
          <w:color w:val="000000" w:themeColor="text1"/>
        </w:rPr>
        <w:t xml:space="preserve">finansowanych </w:t>
      </w:r>
      <w:r w:rsidR="00BC26DC">
        <w:rPr>
          <w:rFonts w:ascii="Open Sans" w:hAnsi="Open Sans" w:cs="Open Sans"/>
          <w:color w:val="000000" w:themeColor="text1"/>
        </w:rPr>
        <w:t xml:space="preserve">ze środków Funduszu Spójności </w:t>
      </w:r>
      <w:r w:rsidR="00E67E1F">
        <w:rPr>
          <w:rFonts w:ascii="Open Sans" w:hAnsi="Open Sans" w:cs="Open Sans"/>
          <w:color w:val="000000" w:themeColor="text1"/>
        </w:rPr>
        <w:t xml:space="preserve">(FS) </w:t>
      </w:r>
      <w:r w:rsidR="00BC26DC">
        <w:rPr>
          <w:rFonts w:ascii="Open Sans" w:hAnsi="Open Sans" w:cs="Open Sans"/>
          <w:color w:val="000000" w:themeColor="text1"/>
        </w:rPr>
        <w:t xml:space="preserve">w ramach </w:t>
      </w:r>
      <w:r w:rsidR="00BC26DC" w:rsidRPr="00BC26DC">
        <w:rPr>
          <w:rFonts w:ascii="Open Sans" w:hAnsi="Open Sans" w:cs="Open Sans"/>
          <w:color w:val="000000" w:themeColor="text1"/>
        </w:rPr>
        <w:t>Priorytetu FENX.01 Wsparcie sektorów energetyka i środowisko z Funduszu Spójności, Działanie FENX.01.01 Efektywność energetyczna.</w:t>
      </w:r>
    </w:p>
    <w:p w14:paraId="71045992" w14:textId="5451C185" w:rsidR="00544F49" w:rsidRDefault="00544F49" w:rsidP="00EF5D91">
      <w:pPr>
        <w:spacing w:line="288" w:lineRule="auto"/>
        <w:rPr>
          <w:rFonts w:ascii="Open Sans" w:hAnsi="Open Sans" w:cs="Open Sans"/>
          <w:b/>
          <w:bCs/>
        </w:rPr>
      </w:pPr>
      <w:r w:rsidRPr="00093832">
        <w:rPr>
          <w:rFonts w:ascii="Open Sans" w:hAnsi="Open Sans" w:cs="Open Sans"/>
          <w:b/>
          <w:bCs/>
        </w:rPr>
        <w:t xml:space="preserve">Podstawowe zasady i wymagania określające realizację </w:t>
      </w:r>
      <w:r>
        <w:rPr>
          <w:rFonts w:ascii="Open Sans" w:hAnsi="Open Sans" w:cs="Open Sans"/>
          <w:b/>
          <w:bCs/>
        </w:rPr>
        <w:t>termo</w:t>
      </w:r>
      <w:r w:rsidRPr="00093832">
        <w:rPr>
          <w:rFonts w:ascii="Open Sans" w:hAnsi="Open Sans" w:cs="Open Sans"/>
          <w:b/>
          <w:bCs/>
        </w:rPr>
        <w:t>modernizacji w</w:t>
      </w:r>
      <w:r w:rsidR="00BC26DC">
        <w:rPr>
          <w:rFonts w:ascii="Open Sans" w:hAnsi="Open Sans" w:cs="Open Sans"/>
          <w:b/>
          <w:bCs/>
        </w:rPr>
        <w:t> </w:t>
      </w:r>
      <w:r w:rsidRPr="00093832">
        <w:rPr>
          <w:rFonts w:ascii="Open Sans" w:hAnsi="Open Sans" w:cs="Open Sans"/>
          <w:b/>
          <w:bCs/>
        </w:rPr>
        <w:t>formule ESCO/EPC.</w:t>
      </w:r>
    </w:p>
    <w:p w14:paraId="09C16F62" w14:textId="5ED0713B" w:rsidR="00544F49" w:rsidRDefault="00544F49" w:rsidP="00EF5D91">
      <w:pPr>
        <w:spacing w:after="720" w:line="288" w:lineRule="auto"/>
        <w:rPr>
          <w:rFonts w:ascii="Open Sans" w:hAnsi="Open Sans" w:cs="Open Sans"/>
        </w:rPr>
      </w:pPr>
      <w:r w:rsidRPr="00EE03B9">
        <w:rPr>
          <w:rFonts w:ascii="Open Sans" w:hAnsi="Open Sans" w:cs="Open Sans"/>
        </w:rPr>
        <w:t xml:space="preserve">Nowością w termomodernizacji w formule ESCO/EPC w stosunku do klasycznych termomodernizacji jest wprowadzenie zarządzania energią przez firmy ESCO, w celu potwierdzania rocznych Gwarantowanych Oszczędności Energii (GOE), wykazywanych na podstawie faktycznego zużycia. W klasycznych termomodernizacjach realizowanych przez podmioty publiczne zazwyczaj nie </w:t>
      </w:r>
      <w:r>
        <w:rPr>
          <w:rFonts w:ascii="Open Sans" w:hAnsi="Open Sans" w:cs="Open Sans"/>
        </w:rPr>
        <w:t>jest</w:t>
      </w:r>
      <w:r w:rsidRPr="00EE03B9">
        <w:rPr>
          <w:rFonts w:ascii="Open Sans" w:hAnsi="Open Sans" w:cs="Open Sans"/>
        </w:rPr>
        <w:t xml:space="preserve"> wymagane zarządzanie energią, dzięki czemu planowane oszczędności energii mogły zostać wskazane jako możliwe do uzyskania tylko na poziomie deklaracji wynikającej z dokumentacji projektowej. Co do zasady GOE nie musi być tożsamą oszczędnością energii wynikającą z obliczeń audytowych, ale jest to oszczędność energii gwarantowana przez firmę ESCO w Umowie EPC do utrzymania w</w:t>
      </w:r>
      <w:r w:rsidR="00BC26DC">
        <w:rPr>
          <w:rFonts w:ascii="Open Sans" w:hAnsi="Open Sans" w:cs="Open Sans"/>
        </w:rPr>
        <w:t> </w:t>
      </w:r>
      <w:r w:rsidRPr="00EE03B9">
        <w:rPr>
          <w:rFonts w:ascii="Open Sans" w:hAnsi="Open Sans" w:cs="Open Sans"/>
        </w:rPr>
        <w:t>cyklu rocznym. Zasady rozliczania dodatkowych oszczędności powstałych przy skutecznym zarzadzaniu energią i/lub kar za nieutrzymanie GOE w cyklu rocznym, co do zasady, reguluje Umowa EPC.</w:t>
      </w:r>
      <w:r w:rsidR="00FB510B">
        <w:rPr>
          <w:rFonts w:ascii="Open Sans" w:hAnsi="Open Sans" w:cs="Open Sans"/>
        </w:rPr>
        <w:t xml:space="preserve"> </w:t>
      </w:r>
      <w:r w:rsidR="00E42B30">
        <w:rPr>
          <w:rFonts w:ascii="Open Sans" w:hAnsi="Open Sans" w:cs="Open Sans"/>
        </w:rPr>
        <w:t>Ponieważ a</w:t>
      </w:r>
      <w:r w:rsidRPr="00EE03B9">
        <w:rPr>
          <w:rFonts w:ascii="Open Sans" w:hAnsi="Open Sans" w:cs="Open Sans"/>
        </w:rPr>
        <w:t>udyty energetyczne ex-</w:t>
      </w:r>
      <w:proofErr w:type="spellStart"/>
      <w:r w:rsidRPr="00EE03B9">
        <w:rPr>
          <w:rFonts w:ascii="Open Sans" w:hAnsi="Open Sans" w:cs="Open Sans"/>
        </w:rPr>
        <w:t>ante</w:t>
      </w:r>
      <w:proofErr w:type="spellEnd"/>
      <w:r w:rsidRPr="00EE03B9">
        <w:rPr>
          <w:rFonts w:ascii="Open Sans" w:hAnsi="Open Sans" w:cs="Open Sans"/>
        </w:rPr>
        <w:t xml:space="preserve"> </w:t>
      </w:r>
      <w:r>
        <w:rPr>
          <w:rFonts w:ascii="Open Sans" w:hAnsi="Open Sans" w:cs="Open Sans"/>
        </w:rPr>
        <w:t>powinny stanowić</w:t>
      </w:r>
      <w:r w:rsidRPr="00EE03B9">
        <w:rPr>
          <w:rFonts w:ascii="Open Sans" w:hAnsi="Open Sans" w:cs="Open Sans"/>
        </w:rPr>
        <w:t xml:space="preserve"> istotny element wybranej oferty firmy ESCO, zarówno w odniesieniu do docelowego modelu usprawnień budynków, jak i wyceny kosztów tych usprawnień oraz będą potwierdzać spełnienie warunków technicznych planowanego naboru dla określonego poziomu ws</w:t>
      </w:r>
      <w:r w:rsidR="00E42B30">
        <w:rPr>
          <w:rFonts w:ascii="Open Sans" w:hAnsi="Open Sans" w:cs="Open Sans"/>
        </w:rPr>
        <w:t>parcia,</w:t>
      </w:r>
      <w:r w:rsidRPr="00EE03B9">
        <w:rPr>
          <w:rFonts w:ascii="Open Sans" w:hAnsi="Open Sans" w:cs="Open Sans"/>
        </w:rPr>
        <w:t xml:space="preserve"> </w:t>
      </w:r>
      <w:r w:rsidR="00E42B30">
        <w:rPr>
          <w:rFonts w:ascii="Open Sans" w:hAnsi="Open Sans" w:cs="Open Sans"/>
        </w:rPr>
        <w:t>z</w:t>
      </w:r>
      <w:r w:rsidRPr="00EE03B9">
        <w:rPr>
          <w:rFonts w:ascii="Open Sans" w:hAnsi="Open Sans" w:cs="Open Sans"/>
        </w:rPr>
        <w:t xml:space="preserve">akłada się, że firma ESCO, biorąc na siebie większość </w:t>
      </w:r>
      <w:proofErr w:type="spellStart"/>
      <w:r w:rsidRPr="00EE03B9">
        <w:rPr>
          <w:rFonts w:ascii="Open Sans" w:hAnsi="Open Sans" w:cs="Open Sans"/>
        </w:rPr>
        <w:t>ryzyk</w:t>
      </w:r>
      <w:proofErr w:type="spellEnd"/>
      <w:r w:rsidRPr="00EE03B9">
        <w:rPr>
          <w:rFonts w:ascii="Open Sans" w:hAnsi="Open Sans" w:cs="Open Sans"/>
        </w:rPr>
        <w:t xml:space="preserve">, powinna mieć wpływ na ostateczny kształt audytu energetycznego czyli </w:t>
      </w:r>
      <w:r w:rsidRPr="00EE03B9">
        <w:rPr>
          <w:rFonts w:ascii="Open Sans" w:hAnsi="Open Sans" w:cs="Open Sans"/>
        </w:rPr>
        <w:lastRenderedPageBreak/>
        <w:t>docelowego zestawu usprawnień w ramach poprawy efektywności energetycznej b</w:t>
      </w:r>
      <w:r w:rsidR="00E42B30">
        <w:rPr>
          <w:rFonts w:ascii="Open Sans" w:hAnsi="Open Sans" w:cs="Open Sans"/>
        </w:rPr>
        <w:t>udynku użyteczności publicznej.</w:t>
      </w:r>
    </w:p>
    <w:p w14:paraId="361A8A3A" w14:textId="7246A9D9" w:rsidR="00FF3704" w:rsidRDefault="00544F49" w:rsidP="00EF5D91">
      <w:pPr>
        <w:spacing w:line="288" w:lineRule="auto"/>
        <w:rPr>
          <w:rFonts w:ascii="Open Sans" w:hAnsi="Open Sans" w:cs="Open Sans"/>
          <w:b/>
        </w:rPr>
      </w:pPr>
      <w:r w:rsidRPr="00326ADE">
        <w:rPr>
          <w:rFonts w:ascii="Open Sans" w:hAnsi="Open Sans" w:cs="Open Sans"/>
          <w:b/>
        </w:rPr>
        <w:t>Ob</w:t>
      </w:r>
      <w:r>
        <w:rPr>
          <w:rFonts w:ascii="Open Sans" w:hAnsi="Open Sans" w:cs="Open Sans"/>
          <w:b/>
        </w:rPr>
        <w:t>ligatoryjny</w:t>
      </w:r>
      <w:r w:rsidRPr="00326ADE">
        <w:rPr>
          <w:rFonts w:ascii="Open Sans" w:hAnsi="Open Sans" w:cs="Open Sans"/>
          <w:b/>
        </w:rPr>
        <w:t xml:space="preserve"> system zarządzania energią BMS.</w:t>
      </w:r>
    </w:p>
    <w:p w14:paraId="4F98D724" w14:textId="44579260" w:rsidR="00544F49" w:rsidRPr="002766CA" w:rsidRDefault="00544F49" w:rsidP="00EF5D91">
      <w:pPr>
        <w:spacing w:line="288" w:lineRule="auto"/>
        <w:rPr>
          <w:rFonts w:ascii="Open Sans" w:hAnsi="Open Sans" w:cs="Open Sans"/>
          <w:b/>
          <w:bCs/>
        </w:rPr>
      </w:pPr>
      <w:r w:rsidRPr="05C92EFF">
        <w:rPr>
          <w:rFonts w:ascii="Open Sans" w:hAnsi="Open Sans" w:cs="Open Sans"/>
        </w:rPr>
        <w:t>W ramach przedsięwzięcia realizowanego w formule ESCO/EPC wymaga się obligatoryjnie realizację systemu BMS (</w:t>
      </w:r>
      <w:proofErr w:type="spellStart"/>
      <w:r w:rsidRPr="05C92EFF">
        <w:rPr>
          <w:rFonts w:ascii="Open Sans" w:hAnsi="Open Sans" w:cs="Open Sans"/>
        </w:rPr>
        <w:t>Building</w:t>
      </w:r>
      <w:proofErr w:type="spellEnd"/>
      <w:r w:rsidRPr="05C92EFF">
        <w:rPr>
          <w:rFonts w:ascii="Open Sans" w:hAnsi="Open Sans" w:cs="Open Sans"/>
        </w:rPr>
        <w:t xml:space="preserve"> Management System), bez którego nie byłoby możliwe skuteczne zarządzanie energią w zmodernizowanych budynkach i rozliczani</w:t>
      </w:r>
      <w:r w:rsidR="6117B092" w:rsidRPr="05C92EFF">
        <w:rPr>
          <w:rFonts w:ascii="Open Sans" w:hAnsi="Open Sans" w:cs="Open Sans"/>
        </w:rPr>
        <w:t>e</w:t>
      </w:r>
      <w:r w:rsidRPr="05C92EFF">
        <w:rPr>
          <w:rFonts w:ascii="Open Sans" w:hAnsi="Open Sans" w:cs="Open Sans"/>
        </w:rPr>
        <w:t xml:space="preserve"> GOE z</w:t>
      </w:r>
      <w:r w:rsidR="00BC26DC" w:rsidRPr="05C92EFF">
        <w:rPr>
          <w:rFonts w:ascii="Open Sans" w:hAnsi="Open Sans" w:cs="Open Sans"/>
        </w:rPr>
        <w:t> </w:t>
      </w:r>
      <w:r w:rsidRPr="05C92EFF">
        <w:rPr>
          <w:rFonts w:ascii="Open Sans" w:hAnsi="Open Sans" w:cs="Open Sans"/>
        </w:rPr>
        <w:t>poziomu Umowy EPC.</w:t>
      </w:r>
      <w:r w:rsidR="002766CA" w:rsidRPr="05C92EFF">
        <w:rPr>
          <w:rFonts w:ascii="Open Sans" w:hAnsi="Open Sans" w:cs="Open Sans"/>
        </w:rPr>
        <w:t xml:space="preserve"> System automatyki budynkowej każdorazowo powinien być zaprojektowany i przygotowany przez firmę ESCO dla konkretnej inwestycji z uwzględnieniem jej specyfiki, w celu skutecznego zarządzania energią i corocznego rozliczania gwarantowanych oszczędności energii (GOE), pozwalając efektywnie i w sposób oszczędny zarządzać całym obiektem z jednego miejsca. System BMS powinien kontrolować parametry pracy poszczególnych urządzeń, informować o problemach i awariach. System powinien w czytelny sposób pozwalać na podgląd parametrów pracy instalacji oraz zmianę wartości nastawionych. </w:t>
      </w:r>
    </w:p>
    <w:p w14:paraId="66080F4C" w14:textId="423111E3" w:rsidR="00544F49" w:rsidRDefault="00544F49" w:rsidP="00EF5D91">
      <w:pPr>
        <w:spacing w:line="288" w:lineRule="auto"/>
        <w:rPr>
          <w:rFonts w:ascii="Open Sans" w:hAnsi="Open Sans" w:cs="Open Sans"/>
          <w:b/>
          <w:bCs/>
        </w:rPr>
      </w:pPr>
      <w:r>
        <w:rPr>
          <w:rFonts w:ascii="Open Sans" w:hAnsi="Open Sans" w:cs="Open Sans"/>
          <w:b/>
          <w:bCs/>
        </w:rPr>
        <w:t>Doradztwo techniczne</w:t>
      </w:r>
      <w:r w:rsidR="00DD6030">
        <w:rPr>
          <w:rFonts w:ascii="Open Sans" w:hAnsi="Open Sans" w:cs="Open Sans"/>
          <w:b/>
          <w:bCs/>
        </w:rPr>
        <w:t xml:space="preserve"> (</w:t>
      </w:r>
      <w:proofErr w:type="spellStart"/>
      <w:r w:rsidR="00DD6030">
        <w:rPr>
          <w:rFonts w:ascii="Open Sans" w:hAnsi="Open Sans" w:cs="Open Sans"/>
          <w:b/>
          <w:bCs/>
        </w:rPr>
        <w:t>facylitator</w:t>
      </w:r>
      <w:proofErr w:type="spellEnd"/>
      <w:r w:rsidR="00DD6030">
        <w:rPr>
          <w:rFonts w:ascii="Open Sans" w:hAnsi="Open Sans" w:cs="Open Sans"/>
          <w:b/>
          <w:bCs/>
        </w:rPr>
        <w:t xml:space="preserve"> EPC)</w:t>
      </w:r>
      <w:r>
        <w:rPr>
          <w:rFonts w:ascii="Open Sans" w:hAnsi="Open Sans" w:cs="Open Sans"/>
          <w:b/>
          <w:bCs/>
        </w:rPr>
        <w:t>.</w:t>
      </w:r>
    </w:p>
    <w:p w14:paraId="5E3FCCEB" w14:textId="75FDD7F1" w:rsidR="00544F49" w:rsidRPr="00EE03B9" w:rsidRDefault="00544F49" w:rsidP="00EF5D91">
      <w:pPr>
        <w:spacing w:line="288" w:lineRule="auto"/>
        <w:rPr>
          <w:rFonts w:ascii="Open Sans" w:hAnsi="Open Sans" w:cs="Open Sans"/>
        </w:rPr>
      </w:pPr>
      <w:r w:rsidRPr="00EE03B9">
        <w:rPr>
          <w:rFonts w:ascii="Open Sans" w:hAnsi="Open Sans" w:cs="Open Sans"/>
        </w:rPr>
        <w:t xml:space="preserve">Ponadto, przewiduje się, że w ramach kosztów kwalifikowanych projektu beneficjent będzie mógł powołać tzw. </w:t>
      </w:r>
      <w:proofErr w:type="spellStart"/>
      <w:r w:rsidRPr="00EE03B9">
        <w:rPr>
          <w:rFonts w:ascii="Open Sans" w:hAnsi="Open Sans" w:cs="Open Sans"/>
        </w:rPr>
        <w:t>facylitatora</w:t>
      </w:r>
      <w:proofErr w:type="spellEnd"/>
      <w:r w:rsidRPr="00EE03B9">
        <w:rPr>
          <w:rFonts w:ascii="Open Sans" w:hAnsi="Open Sans" w:cs="Open Sans"/>
        </w:rPr>
        <w:t xml:space="preserve"> </w:t>
      </w:r>
      <w:r w:rsidR="00DD6030">
        <w:rPr>
          <w:rFonts w:ascii="Open Sans" w:hAnsi="Open Sans" w:cs="Open Sans"/>
        </w:rPr>
        <w:t xml:space="preserve">EPC </w:t>
      </w:r>
      <w:r w:rsidRPr="00EE03B9">
        <w:rPr>
          <w:rFonts w:ascii="Open Sans" w:hAnsi="Open Sans" w:cs="Open Sans"/>
        </w:rPr>
        <w:t>(niezbędna pomoc techniczna do prowadzenia technicznego dialogu z firmą ESCO na każdym z etapów: od wyboru firmy ESCO, rozliczenie inwestycji, rozliczenie dofinansowania, aż do rozliczania GOE), czyli dowolnego eksperta/grupy ekspertów wybieranego w trybie konkurencyjnym (zgodnie z PZP), z</w:t>
      </w:r>
      <w:r w:rsidR="00BC26DC">
        <w:rPr>
          <w:rFonts w:ascii="Open Sans" w:hAnsi="Open Sans" w:cs="Open Sans"/>
        </w:rPr>
        <w:t> </w:t>
      </w:r>
      <w:r w:rsidRPr="00EE03B9">
        <w:rPr>
          <w:rFonts w:ascii="Open Sans" w:hAnsi="Open Sans" w:cs="Open Sans"/>
        </w:rPr>
        <w:t>uwzględnieniem jego lokalnej specyfiki, planowanego zakresu, lokalizacji oraz zidentyfikowanych potrzeb.</w:t>
      </w:r>
    </w:p>
    <w:p w14:paraId="50A54C4E" w14:textId="77777777" w:rsidR="00544F49" w:rsidRPr="00EE03B9" w:rsidRDefault="00544F49" w:rsidP="00EF5D91">
      <w:pPr>
        <w:spacing w:line="288" w:lineRule="auto"/>
        <w:rPr>
          <w:rFonts w:ascii="Open Sans" w:hAnsi="Open Sans" w:cs="Open Sans"/>
        </w:rPr>
      </w:pPr>
      <w:r>
        <w:rPr>
          <w:rFonts w:ascii="Open Sans" w:hAnsi="Open Sans" w:cs="Open Sans"/>
        </w:rPr>
        <w:t xml:space="preserve">Dopuszcza się </w:t>
      </w:r>
      <w:r w:rsidRPr="00EE03B9">
        <w:rPr>
          <w:rFonts w:ascii="Open Sans" w:hAnsi="Open Sans" w:cs="Open Sans"/>
        </w:rPr>
        <w:t xml:space="preserve">możliwość składania wniosków o dofinansowanie w tej formule, gdy beneficjent nie ma jeszcze zawartej umowy EPC i wybranej firmy ESCO. Pojawia się wtedy możliwość uzyskania realnego wsparcia technicznego (ww. </w:t>
      </w:r>
      <w:proofErr w:type="spellStart"/>
      <w:r w:rsidRPr="00EE03B9">
        <w:rPr>
          <w:rFonts w:ascii="Open Sans" w:hAnsi="Open Sans" w:cs="Open Sans"/>
        </w:rPr>
        <w:t>facylitatora</w:t>
      </w:r>
      <w:proofErr w:type="spellEnd"/>
      <w:r w:rsidRPr="00EE03B9">
        <w:rPr>
          <w:rFonts w:ascii="Open Sans" w:hAnsi="Open Sans" w:cs="Open Sans"/>
        </w:rPr>
        <w:t>), w ramach projektu, na etap przygotowania wyboru firmy ESCO z uwzględnieniem PZP i posiadania wsparcia technicznego na etap zawierania Umowy EPC, gdzie struktura zagadnień technicznych rozliczania corocznej Gwarantowanej Oszczędności Energii jest kluczowa dla zabezpieczenia interesów stron Umowy EPC.</w:t>
      </w:r>
    </w:p>
    <w:p w14:paraId="706D2C9E" w14:textId="39C5A7F7" w:rsidR="00544F49" w:rsidRPr="00EE03B9" w:rsidRDefault="00544F49" w:rsidP="00EF5D91">
      <w:pPr>
        <w:spacing w:line="288" w:lineRule="auto"/>
        <w:rPr>
          <w:rFonts w:ascii="Open Sans" w:hAnsi="Open Sans" w:cs="Open Sans"/>
          <w:b/>
        </w:rPr>
      </w:pPr>
      <w:r>
        <w:rPr>
          <w:rFonts w:ascii="Open Sans" w:hAnsi="Open Sans" w:cs="Open Sans"/>
          <w:b/>
        </w:rPr>
        <w:t xml:space="preserve">Zalecane </w:t>
      </w:r>
      <w:r w:rsidRPr="00EE03B9">
        <w:rPr>
          <w:rFonts w:ascii="Open Sans" w:hAnsi="Open Sans" w:cs="Open Sans"/>
          <w:b/>
        </w:rPr>
        <w:t>w</w:t>
      </w:r>
      <w:r>
        <w:rPr>
          <w:rFonts w:ascii="Open Sans" w:hAnsi="Open Sans" w:cs="Open Sans"/>
          <w:b/>
        </w:rPr>
        <w:t xml:space="preserve">ymagania </w:t>
      </w:r>
      <w:r w:rsidRPr="00EE03B9">
        <w:rPr>
          <w:rFonts w:ascii="Open Sans" w:hAnsi="Open Sans" w:cs="Open Sans"/>
          <w:b/>
        </w:rPr>
        <w:t>techniczne dla budynków użyteczności publicznej z</w:t>
      </w:r>
      <w:r w:rsidR="00BC26DC">
        <w:rPr>
          <w:rFonts w:ascii="Open Sans" w:hAnsi="Open Sans" w:cs="Open Sans"/>
          <w:b/>
        </w:rPr>
        <w:t> </w:t>
      </w:r>
      <w:r>
        <w:rPr>
          <w:rFonts w:ascii="Open Sans" w:hAnsi="Open Sans" w:cs="Open Sans"/>
          <w:b/>
        </w:rPr>
        <w:t>uwzględnieniem rodzaju budynków w standardzie po modernizacji.</w:t>
      </w:r>
    </w:p>
    <w:p w14:paraId="275592E6" w14:textId="3C0D5C05" w:rsidR="00544F49" w:rsidRDefault="00544F49" w:rsidP="00EF5D91">
      <w:pPr>
        <w:spacing w:line="288" w:lineRule="auto"/>
        <w:rPr>
          <w:rFonts w:ascii="Open Sans" w:hAnsi="Open Sans" w:cs="Open Sans"/>
        </w:rPr>
      </w:pPr>
      <w:r w:rsidRPr="00EE03B9">
        <w:rPr>
          <w:rFonts w:ascii="Open Sans" w:hAnsi="Open Sans" w:cs="Open Sans"/>
        </w:rPr>
        <w:lastRenderedPageBreak/>
        <w:t>Na potrzeby realizacji wsparcia termomodernizacji budynków użyteczności publicznej w</w:t>
      </w:r>
      <w:r w:rsidR="00BC26DC">
        <w:rPr>
          <w:rFonts w:ascii="Open Sans" w:hAnsi="Open Sans" w:cs="Open Sans"/>
        </w:rPr>
        <w:t> </w:t>
      </w:r>
      <w:r w:rsidRPr="00EE03B9">
        <w:rPr>
          <w:rFonts w:ascii="Open Sans" w:hAnsi="Open Sans" w:cs="Open Sans"/>
        </w:rPr>
        <w:t xml:space="preserve">obligatoryjnej formule ESCO/EPC </w:t>
      </w:r>
      <w:r>
        <w:rPr>
          <w:rFonts w:ascii="Open Sans" w:hAnsi="Open Sans" w:cs="Open Sans"/>
        </w:rPr>
        <w:t>określa się</w:t>
      </w:r>
      <w:r w:rsidRPr="00EE03B9">
        <w:rPr>
          <w:rFonts w:ascii="Open Sans" w:hAnsi="Open Sans" w:cs="Open Sans"/>
        </w:rPr>
        <w:t xml:space="preserve"> </w:t>
      </w:r>
      <w:r>
        <w:rPr>
          <w:rFonts w:ascii="Open Sans" w:hAnsi="Open Sans" w:cs="Open Sans"/>
        </w:rPr>
        <w:t xml:space="preserve">zalecany, minimalny standard </w:t>
      </w:r>
      <w:r w:rsidRPr="00EE03B9">
        <w:rPr>
          <w:rFonts w:ascii="Open Sans" w:hAnsi="Open Sans" w:cs="Open Sans"/>
        </w:rPr>
        <w:t>dla budynków użyteczności publicznej z uwzględnieniem rodzaju budynków, któr</w:t>
      </w:r>
      <w:r>
        <w:rPr>
          <w:rFonts w:ascii="Open Sans" w:hAnsi="Open Sans" w:cs="Open Sans"/>
        </w:rPr>
        <w:t>y</w:t>
      </w:r>
      <w:r w:rsidRPr="00EE03B9">
        <w:rPr>
          <w:rFonts w:ascii="Open Sans" w:hAnsi="Open Sans" w:cs="Open Sans"/>
        </w:rPr>
        <w:t xml:space="preserve"> powin</w:t>
      </w:r>
      <w:r>
        <w:rPr>
          <w:rFonts w:ascii="Open Sans" w:hAnsi="Open Sans" w:cs="Open Sans"/>
        </w:rPr>
        <w:t>ien być zapewniony</w:t>
      </w:r>
      <w:r w:rsidRPr="00EE03B9">
        <w:rPr>
          <w:rFonts w:ascii="Open Sans" w:hAnsi="Open Sans" w:cs="Open Sans"/>
        </w:rPr>
        <w:t xml:space="preserve"> przez docelowy scenariusz usprawnień</w:t>
      </w:r>
      <w:r>
        <w:rPr>
          <w:rFonts w:ascii="Open Sans" w:hAnsi="Open Sans" w:cs="Open Sans"/>
        </w:rPr>
        <w:t xml:space="preserve"> z podziałem na rodzaje energii</w:t>
      </w:r>
      <w:r w:rsidRPr="00EE03B9">
        <w:rPr>
          <w:rFonts w:ascii="Open Sans" w:hAnsi="Open Sans" w:cs="Open Sans"/>
        </w:rPr>
        <w:t>.</w:t>
      </w:r>
      <w:r>
        <w:rPr>
          <w:rFonts w:ascii="Open Sans" w:hAnsi="Open Sans" w:cs="Open Sans"/>
        </w:rPr>
        <w:t xml:space="preserve"> Wymagania techniczne wyraża się poprzez określenie maksymalnego wskaźnika rocznego zapotrzebowania budynku na energię końcową. W uzasadnionych przypadkach, docelowy standard może być inny, niemniej wtedy wymaga się dodatkowego uzasadnienia. W</w:t>
      </w:r>
      <w:r w:rsidR="00BC26DC">
        <w:rPr>
          <w:rFonts w:ascii="Open Sans" w:hAnsi="Open Sans" w:cs="Open Sans"/>
        </w:rPr>
        <w:t> </w:t>
      </w:r>
      <w:r>
        <w:rPr>
          <w:rFonts w:ascii="Open Sans" w:hAnsi="Open Sans" w:cs="Open Sans"/>
        </w:rPr>
        <w:t>przypadku innych rodzajów budynków użyteczności publicznej niż wskazane poniżej – wskaźnik EK określa się w audycie ex-</w:t>
      </w:r>
      <w:proofErr w:type="spellStart"/>
      <w:r>
        <w:rPr>
          <w:rFonts w:ascii="Open Sans" w:hAnsi="Open Sans" w:cs="Open Sans"/>
        </w:rPr>
        <w:t>ante</w:t>
      </w:r>
      <w:proofErr w:type="spellEnd"/>
      <w:r>
        <w:rPr>
          <w:rFonts w:ascii="Open Sans" w:hAnsi="Open Sans" w:cs="Open Sans"/>
        </w:rPr>
        <w:t xml:space="preserve"> indywidualnie.</w:t>
      </w:r>
    </w:p>
    <w:p w14:paraId="18F151CE"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Zalecany</w:t>
      </w:r>
      <w:r>
        <w:rPr>
          <w:rFonts w:ascii="Open Sans" w:hAnsi="Open Sans" w:cs="Open Sans"/>
        </w:rPr>
        <w:t>,</w:t>
      </w:r>
      <w:r w:rsidRPr="00B96FE5">
        <w:rPr>
          <w:rFonts w:ascii="Open Sans" w:hAnsi="Open Sans" w:cs="Open Sans"/>
        </w:rPr>
        <w:t xml:space="preserve"> minimalny standard zapotrzebowania na energię końcową wyrażony</w:t>
      </w:r>
      <w:r>
        <w:rPr>
          <w:rFonts w:ascii="Open Sans" w:hAnsi="Open Sans" w:cs="Open Sans"/>
        </w:rPr>
        <w:t xml:space="preserve"> jest</w:t>
      </w:r>
      <w:r w:rsidRPr="00B96FE5">
        <w:rPr>
          <w:rFonts w:ascii="Open Sans" w:hAnsi="Open Sans" w:cs="Open Sans"/>
        </w:rPr>
        <w:t xml:space="preserve"> poprzez maksymalny wskaźnik rocznego zapotrzebowania na energią końcową, wyliczany w następujący sposób:</w:t>
      </w:r>
    </w:p>
    <w:p w14:paraId="7CDC13EA" w14:textId="77777777" w:rsidR="00544F49" w:rsidRPr="00B96FE5" w:rsidRDefault="00544F49" w:rsidP="00EF5D91">
      <w:pPr>
        <w:spacing w:after="240" w:line="288" w:lineRule="auto"/>
        <w:rPr>
          <w:rFonts w:ascii="Open Sans" w:hAnsi="Open Sans" w:cs="Open Sans"/>
        </w:rPr>
      </w:pPr>
      <w:r w:rsidRPr="00B96FE5">
        <w:rPr>
          <w:rFonts w:ascii="Open Sans" w:hAnsi="Open Sans" w:cs="Open Sans"/>
        </w:rPr>
        <w:t>EK = EK</w:t>
      </w:r>
      <w:r w:rsidRPr="00B96FE5">
        <w:rPr>
          <w:rFonts w:ascii="Open Sans" w:hAnsi="Open Sans" w:cs="Open Sans"/>
          <w:vertAlign w:val="subscript"/>
        </w:rPr>
        <w:t xml:space="preserve">H+W </w:t>
      </w:r>
      <w:r w:rsidRPr="00B96FE5">
        <w:rPr>
          <w:rFonts w:ascii="Open Sans" w:hAnsi="Open Sans" w:cs="Open Sans"/>
        </w:rPr>
        <w:t>+ EK</w:t>
      </w:r>
      <w:r w:rsidRPr="00B96FE5">
        <w:rPr>
          <w:rFonts w:ascii="Open Sans" w:hAnsi="Open Sans" w:cs="Open Sans"/>
          <w:vertAlign w:val="subscript"/>
        </w:rPr>
        <w:t>C</w:t>
      </w:r>
      <w:r w:rsidRPr="00B96FE5">
        <w:rPr>
          <w:rFonts w:ascii="Open Sans" w:hAnsi="Open Sans" w:cs="Open Sans"/>
        </w:rPr>
        <w:t xml:space="preserve"> + EK</w:t>
      </w:r>
      <w:r w:rsidRPr="00B96FE5">
        <w:rPr>
          <w:rFonts w:ascii="Open Sans" w:hAnsi="Open Sans" w:cs="Open Sans"/>
          <w:vertAlign w:val="subscript"/>
        </w:rPr>
        <w:t>L</w:t>
      </w:r>
      <w:r w:rsidRPr="00B96FE5">
        <w:rPr>
          <w:rFonts w:ascii="Open Sans" w:hAnsi="Open Sans" w:cs="Open Sans"/>
        </w:rPr>
        <w:t xml:space="preserve"> [kWh/(m2 · rok)],</w:t>
      </w:r>
    </w:p>
    <w:p w14:paraId="4C61D2B1"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gdzie:</w:t>
      </w:r>
    </w:p>
    <w:p w14:paraId="5FDCBFCB"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EK</w:t>
      </w:r>
      <w:r w:rsidRPr="00B96FE5">
        <w:rPr>
          <w:rFonts w:ascii="Open Sans" w:hAnsi="Open Sans" w:cs="Open Sans"/>
          <w:vertAlign w:val="subscript"/>
        </w:rPr>
        <w:t>H+W</w:t>
      </w:r>
      <w:r w:rsidRPr="00B96FE5">
        <w:rPr>
          <w:rFonts w:ascii="Open Sans" w:hAnsi="Open Sans" w:cs="Open Sans"/>
        </w:rPr>
        <w:t xml:space="preserve"> - cząstkowa wartość wskaźnika EK na potrzeby ogrzewania, wentylacji oraz przygotowania ciepłej wody użytkowej,</w:t>
      </w:r>
    </w:p>
    <w:p w14:paraId="32B6B360"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EK</w:t>
      </w:r>
      <w:r w:rsidRPr="00B96FE5">
        <w:rPr>
          <w:rFonts w:ascii="Open Sans" w:hAnsi="Open Sans" w:cs="Open Sans"/>
          <w:vertAlign w:val="subscript"/>
        </w:rPr>
        <w:t>C</w:t>
      </w:r>
      <w:r w:rsidRPr="00B96FE5">
        <w:rPr>
          <w:rFonts w:ascii="Open Sans" w:hAnsi="Open Sans" w:cs="Open Sans"/>
        </w:rPr>
        <w:t xml:space="preserve"> - cząstkowa wartość wskaźnika EK na potrzeby chłodzenia,</w:t>
      </w:r>
    </w:p>
    <w:p w14:paraId="260C418B" w14:textId="77777777" w:rsidR="00544F49" w:rsidRPr="00B96FE5" w:rsidRDefault="00544F49" w:rsidP="00EF5D91">
      <w:pPr>
        <w:spacing w:after="240" w:line="288" w:lineRule="auto"/>
        <w:rPr>
          <w:rFonts w:ascii="Open Sans" w:hAnsi="Open Sans" w:cs="Open Sans"/>
        </w:rPr>
      </w:pPr>
      <w:r w:rsidRPr="00B96FE5">
        <w:rPr>
          <w:rFonts w:ascii="Open Sans" w:hAnsi="Open Sans" w:cs="Open Sans"/>
        </w:rPr>
        <w:t>EK</w:t>
      </w:r>
      <w:r w:rsidRPr="00B96FE5">
        <w:rPr>
          <w:rFonts w:ascii="Open Sans" w:hAnsi="Open Sans" w:cs="Open Sans"/>
          <w:vertAlign w:val="subscript"/>
        </w:rPr>
        <w:t>L</w:t>
      </w:r>
      <w:r w:rsidRPr="00B96FE5">
        <w:rPr>
          <w:rFonts w:ascii="Open Sans" w:hAnsi="Open Sans" w:cs="Open Sans"/>
        </w:rPr>
        <w:t xml:space="preserve"> - cząstkowa wartość wskaźnika EK na potrzeby oświetlenia.</w:t>
      </w:r>
    </w:p>
    <w:p w14:paraId="59BDD266" w14:textId="77777777" w:rsidR="00544F49" w:rsidRPr="00B96FE5" w:rsidRDefault="00544F49" w:rsidP="00EF5D91">
      <w:pPr>
        <w:spacing w:after="240" w:line="288" w:lineRule="auto"/>
        <w:rPr>
          <w:rFonts w:ascii="Open Sans" w:hAnsi="Open Sans" w:cs="Open Sans"/>
        </w:rPr>
      </w:pPr>
      <w:r w:rsidRPr="00B96FE5">
        <w:rPr>
          <w:rFonts w:ascii="Open Sans" w:hAnsi="Open Sans" w:cs="Open Sans"/>
        </w:rPr>
        <w:t>Cząstkowe wartości wskaźnika EK w scenariuszu po termomodernizacji wylicza się zgodnie z poniższymi tabelami:</w:t>
      </w:r>
    </w:p>
    <w:p w14:paraId="6B909DA5" w14:textId="672280D9" w:rsidR="00544F49" w:rsidRPr="00B96FE5" w:rsidRDefault="00544F49" w:rsidP="00EF5D91">
      <w:pPr>
        <w:spacing w:after="240" w:line="288" w:lineRule="auto"/>
        <w:rPr>
          <w:rFonts w:ascii="Open Sans" w:hAnsi="Open Sans" w:cs="Open Sans"/>
        </w:rPr>
      </w:pPr>
      <w:r w:rsidRPr="00B96FE5">
        <w:rPr>
          <w:rFonts w:ascii="Open Sans" w:hAnsi="Open Sans" w:cs="Open Sans"/>
        </w:rPr>
        <w:t>Cząstkowe, maksymalne wartości wskaźnika EK</w:t>
      </w:r>
      <w:r w:rsidRPr="00B96FE5">
        <w:rPr>
          <w:rFonts w:ascii="Open Sans" w:hAnsi="Open Sans" w:cs="Open Sans"/>
          <w:vertAlign w:val="subscript"/>
        </w:rPr>
        <w:t xml:space="preserve">H+W </w:t>
      </w:r>
      <w:r w:rsidRPr="00B96FE5">
        <w:rPr>
          <w:rFonts w:ascii="Open Sans" w:hAnsi="Open Sans" w:cs="Open Sans"/>
        </w:rPr>
        <w:t>na potrzeby ogrzewania, wentylacji i przygotowania ciepłej wody w zależności od rodzaju budynku:</w:t>
      </w:r>
    </w:p>
    <w:tbl>
      <w:tblPr>
        <w:tblW w:w="9067" w:type="dxa"/>
        <w:tblCellMar>
          <w:left w:w="70" w:type="dxa"/>
          <w:right w:w="70" w:type="dxa"/>
        </w:tblCellMar>
        <w:tblLook w:val="04A0" w:firstRow="1" w:lastRow="0" w:firstColumn="1" w:lastColumn="0" w:noHBand="0" w:noVBand="1"/>
        <w:tblCaption w:val="Cząstkowe, maksymalne wartości wskaźnika EKH+W na potrzeby ogrzewania, wentylacji i przygotowania ciepłej wody w zależności od rodzaju budynku"/>
        <w:tblDescription w:val="Tabela przedstawia cząstkowe, maksymalne wartości wskaźnika EKH+W na potrzeby ogrzewania, wentylacji i przygotowania ciepłej wody w zależności od rodzaju budynku:"/>
      </w:tblPr>
      <w:tblGrid>
        <w:gridCol w:w="562"/>
        <w:gridCol w:w="4536"/>
        <w:gridCol w:w="3969"/>
      </w:tblGrid>
      <w:tr w:rsidR="00544F49" w:rsidRPr="00B96FE5" w14:paraId="7ABD1F87" w14:textId="77777777" w:rsidTr="00880058">
        <w:trPr>
          <w:trHeight w:val="48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CBA61"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xml:space="preserve">Lp.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B86E364"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xml:space="preserve">Rodzaj budynku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0CE7076"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Cząstkowe, maksymalne wartości wskaźnika EK na potrzeby ogrzewania, wentylacji i przygotowania ciepłej wody EK</w:t>
            </w:r>
            <w:r w:rsidRPr="00326ADE">
              <w:rPr>
                <w:rFonts w:ascii="Open Sans" w:hAnsi="Open Sans" w:cs="Open Sans"/>
                <w:vertAlign w:val="subscript"/>
              </w:rPr>
              <w:t>H+W</w:t>
            </w:r>
            <w:r w:rsidRPr="00B96FE5">
              <w:rPr>
                <w:rFonts w:ascii="Open Sans" w:hAnsi="Open Sans" w:cs="Open Sans"/>
              </w:rPr>
              <w:t xml:space="preserve"> [kWh/(m2 · rok)]</w:t>
            </w:r>
          </w:p>
        </w:tc>
      </w:tr>
      <w:tr w:rsidR="00544F49" w:rsidRPr="00B96FE5" w14:paraId="09329546" w14:textId="77777777" w:rsidTr="00880058">
        <w:trPr>
          <w:trHeight w:val="3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46F74E1" w14:textId="77777777" w:rsidR="00544F49" w:rsidRPr="00B96FE5" w:rsidRDefault="00544F49" w:rsidP="00EF5D91">
            <w:pPr>
              <w:spacing w:after="0" w:line="288" w:lineRule="auto"/>
              <w:rPr>
                <w:rFonts w:ascii="Open Sans" w:hAnsi="Open Sans" w:cs="Open Sans"/>
              </w:rPr>
            </w:pPr>
            <w:r>
              <w:rPr>
                <w:rFonts w:ascii="Open Sans" w:hAnsi="Open Sans" w:cs="Open Sans"/>
              </w:rPr>
              <w:t>1</w:t>
            </w:r>
          </w:p>
        </w:tc>
        <w:tc>
          <w:tcPr>
            <w:tcW w:w="4536" w:type="dxa"/>
            <w:tcBorders>
              <w:top w:val="nil"/>
              <w:left w:val="nil"/>
              <w:bottom w:val="single" w:sz="4" w:space="0" w:color="auto"/>
              <w:right w:val="single" w:sz="4" w:space="0" w:color="auto"/>
            </w:tcBorders>
            <w:shd w:val="clear" w:color="auto" w:fill="auto"/>
            <w:vAlign w:val="center"/>
            <w:hideMark/>
          </w:tcPr>
          <w:p w14:paraId="02E3B8E1"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Budynek użyteczności publicznej:</w:t>
            </w:r>
          </w:p>
        </w:tc>
        <w:tc>
          <w:tcPr>
            <w:tcW w:w="3969" w:type="dxa"/>
            <w:tcBorders>
              <w:top w:val="nil"/>
              <w:left w:val="nil"/>
              <w:bottom w:val="single" w:sz="4" w:space="0" w:color="auto"/>
              <w:right w:val="single" w:sz="4" w:space="0" w:color="auto"/>
            </w:tcBorders>
            <w:shd w:val="clear" w:color="auto" w:fill="auto"/>
            <w:vAlign w:val="center"/>
            <w:hideMark/>
          </w:tcPr>
          <w:p w14:paraId="75383ABF"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w:t>
            </w:r>
          </w:p>
        </w:tc>
      </w:tr>
      <w:tr w:rsidR="00544F49" w:rsidRPr="00B96FE5" w14:paraId="5996F87C" w14:textId="77777777" w:rsidTr="00880058">
        <w:trPr>
          <w:trHeight w:val="300"/>
        </w:trPr>
        <w:tc>
          <w:tcPr>
            <w:tcW w:w="562" w:type="dxa"/>
            <w:vMerge/>
            <w:tcBorders>
              <w:top w:val="nil"/>
              <w:left w:val="single" w:sz="4" w:space="0" w:color="auto"/>
              <w:bottom w:val="single" w:sz="4" w:space="0" w:color="auto"/>
              <w:right w:val="single" w:sz="4" w:space="0" w:color="auto"/>
            </w:tcBorders>
            <w:vAlign w:val="center"/>
            <w:hideMark/>
          </w:tcPr>
          <w:p w14:paraId="7495476A" w14:textId="77777777" w:rsidR="00544F49" w:rsidRPr="00B96FE5" w:rsidRDefault="00544F49" w:rsidP="00EF5D91">
            <w:pPr>
              <w:spacing w:after="0" w:line="288" w:lineRule="auto"/>
              <w:rPr>
                <w:rFonts w:ascii="Open Sans" w:hAnsi="Open Sans" w:cs="Open Sans"/>
              </w:rPr>
            </w:pPr>
          </w:p>
        </w:tc>
        <w:tc>
          <w:tcPr>
            <w:tcW w:w="4536" w:type="dxa"/>
            <w:tcBorders>
              <w:top w:val="nil"/>
              <w:left w:val="nil"/>
              <w:bottom w:val="single" w:sz="4" w:space="0" w:color="auto"/>
              <w:right w:val="single" w:sz="4" w:space="0" w:color="auto"/>
            </w:tcBorders>
            <w:shd w:val="clear" w:color="auto" w:fill="auto"/>
            <w:vAlign w:val="center"/>
            <w:hideMark/>
          </w:tcPr>
          <w:p w14:paraId="1DE19510"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a) opieki zdrowotnej</w:t>
            </w:r>
          </w:p>
        </w:tc>
        <w:tc>
          <w:tcPr>
            <w:tcW w:w="3969" w:type="dxa"/>
            <w:tcBorders>
              <w:top w:val="nil"/>
              <w:left w:val="nil"/>
              <w:bottom w:val="single" w:sz="4" w:space="0" w:color="auto"/>
              <w:right w:val="single" w:sz="4" w:space="0" w:color="auto"/>
            </w:tcBorders>
            <w:shd w:val="clear" w:color="auto" w:fill="auto"/>
            <w:vAlign w:val="center"/>
            <w:hideMark/>
          </w:tcPr>
          <w:p w14:paraId="72203B7C"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225</w:t>
            </w:r>
          </w:p>
        </w:tc>
      </w:tr>
      <w:tr w:rsidR="00544F49" w:rsidRPr="00B96FE5" w14:paraId="2549127F" w14:textId="77777777" w:rsidTr="00880058">
        <w:trPr>
          <w:trHeight w:val="300"/>
        </w:trPr>
        <w:tc>
          <w:tcPr>
            <w:tcW w:w="562" w:type="dxa"/>
            <w:vMerge/>
            <w:tcBorders>
              <w:top w:val="nil"/>
              <w:left w:val="single" w:sz="4" w:space="0" w:color="auto"/>
              <w:bottom w:val="single" w:sz="4" w:space="0" w:color="auto"/>
              <w:right w:val="single" w:sz="4" w:space="0" w:color="auto"/>
            </w:tcBorders>
            <w:vAlign w:val="center"/>
            <w:hideMark/>
          </w:tcPr>
          <w:p w14:paraId="0FC79161" w14:textId="77777777" w:rsidR="00544F49" w:rsidRPr="00B96FE5" w:rsidRDefault="00544F49" w:rsidP="00EF5D91">
            <w:pPr>
              <w:spacing w:after="0" w:line="288" w:lineRule="auto"/>
              <w:rPr>
                <w:rFonts w:ascii="Open Sans" w:hAnsi="Open Sans" w:cs="Open Sans"/>
              </w:rPr>
            </w:pPr>
          </w:p>
        </w:tc>
        <w:tc>
          <w:tcPr>
            <w:tcW w:w="4536" w:type="dxa"/>
            <w:tcBorders>
              <w:top w:val="nil"/>
              <w:left w:val="nil"/>
              <w:bottom w:val="single" w:sz="4" w:space="0" w:color="auto"/>
              <w:right w:val="single" w:sz="4" w:space="0" w:color="auto"/>
            </w:tcBorders>
            <w:shd w:val="clear" w:color="auto" w:fill="auto"/>
            <w:vAlign w:val="center"/>
            <w:hideMark/>
          </w:tcPr>
          <w:p w14:paraId="7620F207"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b) pozostałe</w:t>
            </w:r>
          </w:p>
        </w:tc>
        <w:tc>
          <w:tcPr>
            <w:tcW w:w="3969" w:type="dxa"/>
            <w:tcBorders>
              <w:top w:val="nil"/>
              <w:left w:val="nil"/>
              <w:bottom w:val="single" w:sz="4" w:space="0" w:color="auto"/>
              <w:right w:val="single" w:sz="4" w:space="0" w:color="auto"/>
            </w:tcBorders>
            <w:shd w:val="clear" w:color="auto" w:fill="auto"/>
            <w:vAlign w:val="center"/>
            <w:hideMark/>
          </w:tcPr>
          <w:p w14:paraId="68F1F4CC"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75</w:t>
            </w:r>
          </w:p>
        </w:tc>
      </w:tr>
    </w:tbl>
    <w:p w14:paraId="579F89F3" w14:textId="77777777" w:rsidR="00544F49" w:rsidRPr="00B96FE5" w:rsidRDefault="00544F49" w:rsidP="00EF5D91">
      <w:pPr>
        <w:spacing w:before="360" w:after="0" w:line="288" w:lineRule="auto"/>
        <w:rPr>
          <w:rFonts w:ascii="Open Sans" w:hAnsi="Open Sans" w:cs="Open Sans"/>
        </w:rPr>
      </w:pPr>
      <w:r w:rsidRPr="00B96FE5">
        <w:rPr>
          <w:rFonts w:ascii="Open Sans" w:hAnsi="Open Sans" w:cs="Open Sans"/>
        </w:rPr>
        <w:lastRenderedPageBreak/>
        <w:t>Cząstkowe, maksymalne wartości wskaźnika EK</w:t>
      </w:r>
      <w:r w:rsidRPr="00326ADE">
        <w:rPr>
          <w:rFonts w:ascii="Open Sans" w:hAnsi="Open Sans" w:cs="Open Sans"/>
          <w:vertAlign w:val="subscript"/>
        </w:rPr>
        <w:t>C</w:t>
      </w:r>
      <w:r w:rsidRPr="00B96FE5">
        <w:rPr>
          <w:rFonts w:ascii="Open Sans" w:hAnsi="Open Sans" w:cs="Open Sans"/>
        </w:rPr>
        <w:t xml:space="preserve"> na potrzeby chłodzenia w zależności od rodzaju budynku:</w:t>
      </w:r>
    </w:p>
    <w:tbl>
      <w:tblPr>
        <w:tblW w:w="9067" w:type="dxa"/>
        <w:tblCellMar>
          <w:left w:w="70" w:type="dxa"/>
          <w:right w:w="70" w:type="dxa"/>
        </w:tblCellMar>
        <w:tblLook w:val="04A0" w:firstRow="1" w:lastRow="0" w:firstColumn="1" w:lastColumn="0" w:noHBand="0" w:noVBand="1"/>
        <w:tblCaption w:val="Cząstkowe, maksymalne wartości wskaźnika EKC na potrzeby chłodzenia w zależności od rodzaju budynku"/>
        <w:tblDescription w:val="Tabela przedstawia cząstkowe, maksymalne wartości wskaźnika EKC na potrzeby chłodzenia w zależności od rodzaju budynku"/>
      </w:tblPr>
      <w:tblGrid>
        <w:gridCol w:w="562"/>
        <w:gridCol w:w="4536"/>
        <w:gridCol w:w="3969"/>
      </w:tblGrid>
      <w:tr w:rsidR="00544F49" w:rsidRPr="00B96FE5" w14:paraId="7637DC6D" w14:textId="77777777" w:rsidTr="00880058">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C0A51"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xml:space="preserve">Lp.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7A49381"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xml:space="preserve">Rodzaj budynku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FBB79AE"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Cząstkowe, maksymalne wartości wskaźnika EK na potrzeby chłodzenia</w:t>
            </w:r>
            <w:r w:rsidRPr="00B96FE5">
              <w:rPr>
                <w:rFonts w:ascii="Open Sans" w:hAnsi="Open Sans" w:cs="Open Sans"/>
              </w:rPr>
              <w:br/>
              <w:t>EK</w:t>
            </w:r>
            <w:r w:rsidRPr="00326ADE">
              <w:rPr>
                <w:rFonts w:ascii="Open Sans" w:hAnsi="Open Sans" w:cs="Open Sans"/>
                <w:vertAlign w:val="subscript"/>
              </w:rPr>
              <w:t>C</w:t>
            </w:r>
            <w:r w:rsidRPr="00B96FE5">
              <w:rPr>
                <w:rFonts w:ascii="Open Sans" w:hAnsi="Open Sans" w:cs="Open Sans"/>
              </w:rPr>
              <w:t xml:space="preserve"> [kWh/(m2 · rok)]*)</w:t>
            </w:r>
          </w:p>
        </w:tc>
      </w:tr>
      <w:tr w:rsidR="00544F49" w:rsidRPr="00B96FE5" w14:paraId="1D2E6788" w14:textId="77777777" w:rsidTr="00880058">
        <w:trPr>
          <w:trHeight w:val="3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58104818" w14:textId="77777777" w:rsidR="00544F49" w:rsidRPr="00B96FE5" w:rsidRDefault="00544F49" w:rsidP="00EF5D91">
            <w:pPr>
              <w:spacing w:after="0" w:line="288" w:lineRule="auto"/>
              <w:rPr>
                <w:rFonts w:ascii="Open Sans" w:hAnsi="Open Sans" w:cs="Open Sans"/>
              </w:rPr>
            </w:pPr>
            <w:r>
              <w:rPr>
                <w:rFonts w:ascii="Open Sans" w:hAnsi="Open Sans" w:cs="Open Sans"/>
              </w:rPr>
              <w:t>1</w:t>
            </w:r>
          </w:p>
        </w:tc>
        <w:tc>
          <w:tcPr>
            <w:tcW w:w="4536" w:type="dxa"/>
            <w:tcBorders>
              <w:top w:val="nil"/>
              <w:left w:val="nil"/>
              <w:bottom w:val="single" w:sz="4" w:space="0" w:color="auto"/>
              <w:right w:val="single" w:sz="4" w:space="0" w:color="auto"/>
            </w:tcBorders>
            <w:shd w:val="clear" w:color="auto" w:fill="auto"/>
            <w:vAlign w:val="center"/>
            <w:hideMark/>
          </w:tcPr>
          <w:p w14:paraId="03AA9C5C"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Budynek użyteczności publicznej:</w:t>
            </w:r>
          </w:p>
        </w:tc>
        <w:tc>
          <w:tcPr>
            <w:tcW w:w="3969" w:type="dxa"/>
            <w:vMerge w:val="restart"/>
            <w:tcBorders>
              <w:top w:val="nil"/>
              <w:left w:val="single" w:sz="4" w:space="0" w:color="auto"/>
              <w:bottom w:val="single" w:sz="4" w:space="0" w:color="000000"/>
              <w:right w:val="single" w:sz="4" w:space="0" w:color="auto"/>
            </w:tcBorders>
            <w:vAlign w:val="center"/>
            <w:hideMark/>
          </w:tcPr>
          <w:p w14:paraId="433D2E84"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xml:space="preserve">EKC = 15 </w:t>
            </w:r>
            <w:proofErr w:type="spellStart"/>
            <w:r w:rsidRPr="00B96FE5">
              <w:rPr>
                <w:rFonts w:ascii="Open Sans" w:hAnsi="Open Sans" w:cs="Open Sans"/>
              </w:rPr>
              <w:t>A</w:t>
            </w:r>
            <w:r w:rsidRPr="00326ADE">
              <w:rPr>
                <w:rFonts w:ascii="Open Sans" w:hAnsi="Open Sans" w:cs="Open Sans"/>
                <w:vertAlign w:val="subscript"/>
              </w:rPr>
              <w:t>f,C</w:t>
            </w:r>
            <w:proofErr w:type="spellEnd"/>
            <w:r w:rsidRPr="00B96FE5">
              <w:rPr>
                <w:rFonts w:ascii="Open Sans" w:hAnsi="Open Sans" w:cs="Open Sans"/>
              </w:rPr>
              <w:t>/</w:t>
            </w:r>
            <w:proofErr w:type="spellStart"/>
            <w:r w:rsidRPr="00B96FE5">
              <w:rPr>
                <w:rFonts w:ascii="Open Sans" w:hAnsi="Open Sans" w:cs="Open Sans"/>
              </w:rPr>
              <w:t>A</w:t>
            </w:r>
            <w:r w:rsidRPr="00326ADE">
              <w:rPr>
                <w:rFonts w:ascii="Open Sans" w:hAnsi="Open Sans" w:cs="Open Sans"/>
                <w:vertAlign w:val="subscript"/>
              </w:rPr>
              <w:t>f</w:t>
            </w:r>
            <w:proofErr w:type="spellEnd"/>
          </w:p>
        </w:tc>
      </w:tr>
      <w:tr w:rsidR="00544F49" w:rsidRPr="00B96FE5" w14:paraId="6F4D53EA" w14:textId="77777777" w:rsidTr="00880058">
        <w:trPr>
          <w:trHeight w:val="300"/>
        </w:trPr>
        <w:tc>
          <w:tcPr>
            <w:tcW w:w="562" w:type="dxa"/>
            <w:vMerge/>
            <w:tcBorders>
              <w:top w:val="nil"/>
              <w:left w:val="single" w:sz="4" w:space="0" w:color="auto"/>
              <w:bottom w:val="single" w:sz="4" w:space="0" w:color="auto"/>
              <w:right w:val="single" w:sz="4" w:space="0" w:color="auto"/>
            </w:tcBorders>
            <w:vAlign w:val="center"/>
            <w:hideMark/>
          </w:tcPr>
          <w:p w14:paraId="18467D43" w14:textId="77777777" w:rsidR="00544F49" w:rsidRPr="00B96FE5" w:rsidRDefault="00544F49" w:rsidP="00EF5D91">
            <w:pPr>
              <w:spacing w:after="0" w:line="288" w:lineRule="auto"/>
              <w:rPr>
                <w:rFonts w:ascii="Open Sans" w:hAnsi="Open Sans" w:cs="Open Sans"/>
              </w:rPr>
            </w:pPr>
          </w:p>
        </w:tc>
        <w:tc>
          <w:tcPr>
            <w:tcW w:w="4536" w:type="dxa"/>
            <w:tcBorders>
              <w:top w:val="nil"/>
              <w:left w:val="nil"/>
              <w:bottom w:val="single" w:sz="4" w:space="0" w:color="auto"/>
              <w:right w:val="single" w:sz="4" w:space="0" w:color="auto"/>
            </w:tcBorders>
            <w:shd w:val="clear" w:color="auto" w:fill="auto"/>
            <w:vAlign w:val="center"/>
            <w:hideMark/>
          </w:tcPr>
          <w:p w14:paraId="6340374C"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a) opieki zdrowotnej</w:t>
            </w:r>
          </w:p>
        </w:tc>
        <w:tc>
          <w:tcPr>
            <w:tcW w:w="3969" w:type="dxa"/>
            <w:vMerge/>
            <w:tcBorders>
              <w:top w:val="nil"/>
              <w:left w:val="single" w:sz="4" w:space="0" w:color="auto"/>
              <w:bottom w:val="single" w:sz="4" w:space="0" w:color="000000"/>
              <w:right w:val="single" w:sz="4" w:space="0" w:color="auto"/>
            </w:tcBorders>
            <w:vAlign w:val="center"/>
            <w:hideMark/>
          </w:tcPr>
          <w:p w14:paraId="31965526" w14:textId="77777777" w:rsidR="00544F49" w:rsidRPr="00B96FE5" w:rsidRDefault="00544F49" w:rsidP="00EF5D91">
            <w:pPr>
              <w:spacing w:after="0" w:line="288" w:lineRule="auto"/>
              <w:rPr>
                <w:rFonts w:ascii="Open Sans" w:hAnsi="Open Sans" w:cs="Open Sans"/>
              </w:rPr>
            </w:pPr>
          </w:p>
        </w:tc>
      </w:tr>
      <w:tr w:rsidR="00544F49" w:rsidRPr="00B96FE5" w14:paraId="790AC4A2" w14:textId="77777777" w:rsidTr="00880058">
        <w:trPr>
          <w:trHeight w:val="300"/>
        </w:trPr>
        <w:tc>
          <w:tcPr>
            <w:tcW w:w="562" w:type="dxa"/>
            <w:vMerge/>
            <w:tcBorders>
              <w:top w:val="nil"/>
              <w:left w:val="single" w:sz="4" w:space="0" w:color="auto"/>
              <w:bottom w:val="single" w:sz="4" w:space="0" w:color="auto"/>
              <w:right w:val="single" w:sz="4" w:space="0" w:color="auto"/>
            </w:tcBorders>
            <w:vAlign w:val="center"/>
            <w:hideMark/>
          </w:tcPr>
          <w:p w14:paraId="0499324B" w14:textId="77777777" w:rsidR="00544F49" w:rsidRPr="00B96FE5" w:rsidRDefault="00544F49" w:rsidP="00EF5D91">
            <w:pPr>
              <w:spacing w:after="0" w:line="288" w:lineRule="auto"/>
              <w:rPr>
                <w:rFonts w:ascii="Open Sans" w:hAnsi="Open Sans" w:cs="Open Sans"/>
              </w:rPr>
            </w:pPr>
          </w:p>
        </w:tc>
        <w:tc>
          <w:tcPr>
            <w:tcW w:w="4536" w:type="dxa"/>
            <w:tcBorders>
              <w:top w:val="nil"/>
              <w:left w:val="nil"/>
              <w:bottom w:val="single" w:sz="4" w:space="0" w:color="auto"/>
              <w:right w:val="single" w:sz="4" w:space="0" w:color="auto"/>
            </w:tcBorders>
            <w:shd w:val="clear" w:color="auto" w:fill="auto"/>
            <w:vAlign w:val="center"/>
            <w:hideMark/>
          </w:tcPr>
          <w:p w14:paraId="042B2B82"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b) pozostałe</w:t>
            </w:r>
          </w:p>
        </w:tc>
        <w:tc>
          <w:tcPr>
            <w:tcW w:w="3969" w:type="dxa"/>
            <w:vMerge/>
            <w:tcBorders>
              <w:top w:val="nil"/>
              <w:left w:val="single" w:sz="4" w:space="0" w:color="auto"/>
              <w:bottom w:val="single" w:sz="4" w:space="0" w:color="000000"/>
              <w:right w:val="single" w:sz="4" w:space="0" w:color="auto"/>
            </w:tcBorders>
            <w:vAlign w:val="center"/>
            <w:hideMark/>
          </w:tcPr>
          <w:p w14:paraId="0730DFEA" w14:textId="77777777" w:rsidR="00544F49" w:rsidRPr="00B96FE5" w:rsidRDefault="00544F49" w:rsidP="00EF5D91">
            <w:pPr>
              <w:spacing w:after="0" w:line="288" w:lineRule="auto"/>
              <w:rPr>
                <w:rFonts w:ascii="Open Sans" w:hAnsi="Open Sans" w:cs="Open Sans"/>
              </w:rPr>
            </w:pPr>
          </w:p>
        </w:tc>
      </w:tr>
    </w:tbl>
    <w:p w14:paraId="2D2676A2" w14:textId="77777777" w:rsidR="00544F49" w:rsidRPr="00326ADE" w:rsidRDefault="00544F49" w:rsidP="00EF5D91">
      <w:pPr>
        <w:spacing w:after="0" w:line="288" w:lineRule="auto"/>
        <w:rPr>
          <w:rFonts w:ascii="Open Sans" w:hAnsi="Open Sans" w:cs="Open Sans"/>
        </w:rPr>
      </w:pPr>
      <w:proofErr w:type="spellStart"/>
      <w:r w:rsidRPr="00326ADE">
        <w:rPr>
          <w:rFonts w:ascii="Open Sans" w:hAnsi="Open Sans" w:cs="Open Sans"/>
        </w:rPr>
        <w:t>A</w:t>
      </w:r>
      <w:r w:rsidRPr="00326ADE">
        <w:rPr>
          <w:rFonts w:ascii="Open Sans" w:hAnsi="Open Sans" w:cs="Open Sans"/>
          <w:vertAlign w:val="subscript"/>
        </w:rPr>
        <w:t>f</w:t>
      </w:r>
      <w:proofErr w:type="spellEnd"/>
      <w:r w:rsidRPr="00326ADE">
        <w:rPr>
          <w:rFonts w:ascii="Open Sans" w:hAnsi="Open Sans" w:cs="Open Sans"/>
        </w:rPr>
        <w:t xml:space="preserve"> - powierzchnia pomieszczeń o regulowanej temperaturze powietrza (ogrzewana lub chłodzona), określona zgodnie z przepisami wydanymi na podstawie art. 15 ustawy z dnia 29 sierpnia 2014 r. o charakterystyce energetycznej budynków (Dz. U. z 2021 r. poz. 497) [m2],</w:t>
      </w:r>
    </w:p>
    <w:p w14:paraId="37A20164" w14:textId="77777777" w:rsidR="00544F49" w:rsidRPr="00326ADE" w:rsidRDefault="00544F49" w:rsidP="00EF5D91">
      <w:pPr>
        <w:spacing w:after="0" w:line="288" w:lineRule="auto"/>
        <w:rPr>
          <w:rFonts w:ascii="Open Sans" w:hAnsi="Open Sans" w:cs="Open Sans"/>
        </w:rPr>
      </w:pPr>
      <w:proofErr w:type="spellStart"/>
      <w:r w:rsidRPr="00326ADE">
        <w:rPr>
          <w:rFonts w:ascii="Open Sans" w:hAnsi="Open Sans" w:cs="Open Sans"/>
        </w:rPr>
        <w:t>A</w:t>
      </w:r>
      <w:r w:rsidRPr="00326ADE">
        <w:rPr>
          <w:rFonts w:ascii="Open Sans" w:hAnsi="Open Sans" w:cs="Open Sans"/>
          <w:vertAlign w:val="subscript"/>
        </w:rPr>
        <w:t>f,C</w:t>
      </w:r>
      <w:proofErr w:type="spellEnd"/>
      <w:r w:rsidRPr="00326ADE">
        <w:rPr>
          <w:rFonts w:ascii="Open Sans" w:hAnsi="Open Sans" w:cs="Open Sans"/>
          <w:vertAlign w:val="subscript"/>
        </w:rPr>
        <w:t xml:space="preserve"> </w:t>
      </w:r>
      <w:r w:rsidRPr="00326ADE">
        <w:rPr>
          <w:rFonts w:ascii="Open Sans" w:hAnsi="Open Sans" w:cs="Open Sans"/>
        </w:rPr>
        <w:t>- powierzchnia pomieszczeń o regulowanej temperaturze powietrza (chłodzona), określona zgodnie z ww. przepisami [m2].</w:t>
      </w:r>
    </w:p>
    <w:p w14:paraId="5D1C1951" w14:textId="77777777" w:rsidR="00544F49" w:rsidRPr="00326ADE" w:rsidRDefault="00544F49" w:rsidP="00EF5D91">
      <w:pPr>
        <w:spacing w:after="240" w:line="288" w:lineRule="auto"/>
        <w:rPr>
          <w:rFonts w:ascii="Open Sans" w:hAnsi="Open Sans" w:cs="Open Sans"/>
          <w:i/>
          <w:sz w:val="18"/>
          <w:szCs w:val="18"/>
        </w:rPr>
      </w:pPr>
      <w:r w:rsidRPr="00326ADE">
        <w:rPr>
          <w:rFonts w:ascii="Open Sans" w:hAnsi="Open Sans" w:cs="Open Sans"/>
          <w:i/>
          <w:sz w:val="18"/>
          <w:szCs w:val="18"/>
        </w:rPr>
        <w:t>*) Jeżeli budynek posiada instalację chłodzenia, w przeciwnym przypadku EK</w:t>
      </w:r>
      <w:r w:rsidRPr="00030569">
        <w:rPr>
          <w:rFonts w:ascii="Open Sans" w:hAnsi="Open Sans" w:cs="Open Sans"/>
          <w:i/>
          <w:sz w:val="18"/>
          <w:szCs w:val="18"/>
          <w:vertAlign w:val="subscript"/>
        </w:rPr>
        <w:t>C</w:t>
      </w:r>
      <w:r w:rsidRPr="00326ADE">
        <w:rPr>
          <w:rFonts w:ascii="Open Sans" w:hAnsi="Open Sans" w:cs="Open Sans"/>
          <w:i/>
          <w:sz w:val="18"/>
          <w:szCs w:val="18"/>
        </w:rPr>
        <w:t xml:space="preserve"> = 0 kWh/(m2 · rok).</w:t>
      </w:r>
    </w:p>
    <w:p w14:paraId="29EFC45C" w14:textId="13F1ADC1" w:rsidR="00544F49" w:rsidRPr="00B96FE5" w:rsidRDefault="00544F49" w:rsidP="00EF5D91">
      <w:pPr>
        <w:spacing w:after="0" w:line="288" w:lineRule="auto"/>
        <w:rPr>
          <w:rFonts w:ascii="Open Sans" w:hAnsi="Open Sans" w:cs="Open Sans"/>
        </w:rPr>
      </w:pPr>
      <w:r w:rsidRPr="00B96FE5">
        <w:rPr>
          <w:rFonts w:ascii="Open Sans" w:hAnsi="Open Sans" w:cs="Open Sans"/>
        </w:rPr>
        <w:t>Cząstkowe, maksymalne wartości wskaźnika EK</w:t>
      </w:r>
      <w:r w:rsidRPr="00326ADE">
        <w:rPr>
          <w:rFonts w:ascii="Open Sans" w:hAnsi="Open Sans" w:cs="Open Sans"/>
          <w:vertAlign w:val="subscript"/>
        </w:rPr>
        <w:t xml:space="preserve">L </w:t>
      </w:r>
      <w:r w:rsidRPr="00B96FE5">
        <w:rPr>
          <w:rFonts w:ascii="Open Sans" w:hAnsi="Open Sans" w:cs="Open Sans"/>
        </w:rPr>
        <w:t>na potrzeby oświetlenia w zależności od rodzaju budynku:</w:t>
      </w:r>
    </w:p>
    <w:tbl>
      <w:tblPr>
        <w:tblW w:w="9067" w:type="dxa"/>
        <w:tblCellMar>
          <w:left w:w="70" w:type="dxa"/>
          <w:right w:w="70" w:type="dxa"/>
        </w:tblCellMar>
        <w:tblLook w:val="04A0" w:firstRow="1" w:lastRow="0" w:firstColumn="1" w:lastColumn="0" w:noHBand="0" w:noVBand="1"/>
        <w:tblCaption w:val="Cząstkowe, maksymalne wartości wskaźnika EKL na potrzeby oświetlenia w zależności od rodzaju budynku"/>
        <w:tblDescription w:val="Tabela przedstawia cząstkowe, maksymalne wartości wskaźnika EKL na potrzeby oświetlenia w zależności od rodzaju budynku"/>
      </w:tblPr>
      <w:tblGrid>
        <w:gridCol w:w="562"/>
        <w:gridCol w:w="4536"/>
        <w:gridCol w:w="3969"/>
      </w:tblGrid>
      <w:tr w:rsidR="00544F49" w:rsidRPr="00B96FE5" w14:paraId="278CC1E6" w14:textId="77777777" w:rsidTr="00880058">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CBD7C"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xml:space="preserve">Lp.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10E2381"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 xml:space="preserve">Rodzaj budynku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674BD3D"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Cząstkowe, maksymalne wartości wskaźnika EK na potrzeby oświetlenia</w:t>
            </w:r>
            <w:r w:rsidRPr="00B96FE5">
              <w:rPr>
                <w:rFonts w:ascii="Open Sans" w:hAnsi="Open Sans" w:cs="Open Sans"/>
              </w:rPr>
              <w:br/>
              <w:t>EK</w:t>
            </w:r>
            <w:r w:rsidRPr="00326ADE">
              <w:rPr>
                <w:rFonts w:ascii="Open Sans" w:hAnsi="Open Sans" w:cs="Open Sans"/>
                <w:vertAlign w:val="subscript"/>
              </w:rPr>
              <w:t>L</w:t>
            </w:r>
            <w:r w:rsidRPr="00B96FE5">
              <w:rPr>
                <w:rFonts w:ascii="Open Sans" w:hAnsi="Open Sans" w:cs="Open Sans"/>
              </w:rPr>
              <w:t xml:space="preserve"> [kWh/(m2 · rok)] w zależności od czasu działania oświetlenia w ciągu roku t0[h/rok] *)</w:t>
            </w:r>
          </w:p>
        </w:tc>
      </w:tr>
      <w:tr w:rsidR="00544F49" w:rsidRPr="00B96FE5" w14:paraId="2CE7AB3E" w14:textId="77777777" w:rsidTr="00880058">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F76E3E" w14:textId="77777777" w:rsidR="00544F49" w:rsidRPr="00B96FE5" w:rsidRDefault="00544F49" w:rsidP="00EF5D91">
            <w:pPr>
              <w:spacing w:after="0" w:line="288" w:lineRule="auto"/>
              <w:rPr>
                <w:rFonts w:ascii="Open Sans" w:hAnsi="Open Sans" w:cs="Open Sans"/>
              </w:rPr>
            </w:pPr>
            <w:r>
              <w:rPr>
                <w:rFonts w:ascii="Open Sans" w:hAnsi="Open Sans" w:cs="Open Sans"/>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784D2A9E"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Budynek użyteczności publicznej:</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8F765"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dla t0 &lt; 2500</w:t>
            </w:r>
            <w:r w:rsidRPr="00B96FE5">
              <w:rPr>
                <w:rFonts w:ascii="Open Sans" w:hAnsi="Open Sans" w:cs="Open Sans"/>
              </w:rPr>
              <w:br/>
              <w:t>EK</w:t>
            </w:r>
            <w:r w:rsidRPr="00326ADE">
              <w:rPr>
                <w:rFonts w:ascii="Open Sans" w:hAnsi="Open Sans" w:cs="Open Sans"/>
                <w:vertAlign w:val="subscript"/>
              </w:rPr>
              <w:t>L</w:t>
            </w:r>
            <w:r w:rsidRPr="00B96FE5">
              <w:rPr>
                <w:rFonts w:ascii="Open Sans" w:hAnsi="Open Sans" w:cs="Open Sans"/>
              </w:rPr>
              <w:t xml:space="preserve"> = 15</w:t>
            </w:r>
            <w:r w:rsidRPr="00B96FE5">
              <w:rPr>
                <w:rFonts w:ascii="Open Sans" w:hAnsi="Open Sans" w:cs="Open Sans"/>
              </w:rPr>
              <w:br/>
              <w:t>dla t0 ≥ 2500</w:t>
            </w:r>
            <w:r w:rsidRPr="00B96FE5">
              <w:rPr>
                <w:rFonts w:ascii="Open Sans" w:hAnsi="Open Sans" w:cs="Open Sans"/>
              </w:rPr>
              <w:br/>
              <w:t>EK</w:t>
            </w:r>
            <w:r w:rsidRPr="00326ADE">
              <w:rPr>
                <w:rFonts w:ascii="Open Sans" w:hAnsi="Open Sans" w:cs="Open Sans"/>
                <w:vertAlign w:val="subscript"/>
              </w:rPr>
              <w:t>L</w:t>
            </w:r>
            <w:r w:rsidRPr="00B96FE5">
              <w:rPr>
                <w:rFonts w:ascii="Open Sans" w:hAnsi="Open Sans" w:cs="Open Sans"/>
              </w:rPr>
              <w:t xml:space="preserve"> = 30</w:t>
            </w:r>
          </w:p>
        </w:tc>
      </w:tr>
      <w:tr w:rsidR="00544F49" w:rsidRPr="00B96FE5" w14:paraId="3A4EE437" w14:textId="77777777" w:rsidTr="00880058">
        <w:trPr>
          <w:trHeight w:val="300"/>
        </w:trPr>
        <w:tc>
          <w:tcPr>
            <w:tcW w:w="562" w:type="dxa"/>
            <w:vMerge/>
            <w:tcBorders>
              <w:top w:val="single" w:sz="4" w:space="0" w:color="auto"/>
              <w:left w:val="single" w:sz="4" w:space="0" w:color="auto"/>
              <w:right w:val="single" w:sz="4" w:space="0" w:color="auto"/>
            </w:tcBorders>
            <w:shd w:val="clear" w:color="auto" w:fill="auto"/>
            <w:vAlign w:val="center"/>
            <w:hideMark/>
          </w:tcPr>
          <w:p w14:paraId="4EA14349" w14:textId="77777777" w:rsidR="00544F49" w:rsidRPr="00B96FE5" w:rsidRDefault="00544F49" w:rsidP="00EF5D91">
            <w:pPr>
              <w:spacing w:after="0" w:line="288" w:lineRule="auto"/>
              <w:rPr>
                <w:rFonts w:ascii="Open Sans" w:hAnsi="Open Sans" w:cs="Open Sans"/>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B9F3897"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a) opieki zdrowotnej</w:t>
            </w:r>
          </w:p>
        </w:tc>
        <w:tc>
          <w:tcPr>
            <w:tcW w:w="3969" w:type="dxa"/>
            <w:vMerge/>
            <w:tcBorders>
              <w:top w:val="single" w:sz="4" w:space="0" w:color="auto"/>
              <w:left w:val="single" w:sz="4" w:space="0" w:color="auto"/>
              <w:bottom w:val="single" w:sz="4" w:space="0" w:color="000000"/>
              <w:right w:val="single" w:sz="4" w:space="0" w:color="auto"/>
            </w:tcBorders>
            <w:vAlign w:val="center"/>
            <w:hideMark/>
          </w:tcPr>
          <w:p w14:paraId="464AB001" w14:textId="77777777" w:rsidR="00544F49" w:rsidRPr="00B96FE5" w:rsidRDefault="00544F49" w:rsidP="00EF5D91">
            <w:pPr>
              <w:spacing w:after="0" w:line="288" w:lineRule="auto"/>
              <w:rPr>
                <w:rFonts w:ascii="Open Sans" w:hAnsi="Open Sans" w:cs="Open Sans"/>
              </w:rPr>
            </w:pPr>
          </w:p>
        </w:tc>
      </w:tr>
      <w:tr w:rsidR="00544F49" w:rsidRPr="00B96FE5" w14:paraId="596799FB" w14:textId="77777777" w:rsidTr="00880058">
        <w:trPr>
          <w:trHeight w:val="417"/>
        </w:trPr>
        <w:tc>
          <w:tcPr>
            <w:tcW w:w="562" w:type="dxa"/>
            <w:vMerge/>
            <w:tcBorders>
              <w:left w:val="single" w:sz="4" w:space="0" w:color="auto"/>
              <w:bottom w:val="single" w:sz="4" w:space="0" w:color="auto"/>
              <w:right w:val="single" w:sz="4" w:space="0" w:color="auto"/>
            </w:tcBorders>
            <w:vAlign w:val="center"/>
            <w:hideMark/>
          </w:tcPr>
          <w:p w14:paraId="7F95E140" w14:textId="77777777" w:rsidR="00544F49" w:rsidRPr="00B96FE5" w:rsidRDefault="00544F49" w:rsidP="00EF5D91">
            <w:pPr>
              <w:spacing w:after="0" w:line="288" w:lineRule="auto"/>
              <w:rPr>
                <w:rFonts w:ascii="Open Sans" w:hAnsi="Open Sans" w:cs="Open Sans"/>
              </w:rPr>
            </w:pPr>
          </w:p>
        </w:tc>
        <w:tc>
          <w:tcPr>
            <w:tcW w:w="4536" w:type="dxa"/>
            <w:tcBorders>
              <w:top w:val="nil"/>
              <w:left w:val="nil"/>
              <w:bottom w:val="single" w:sz="4" w:space="0" w:color="auto"/>
              <w:right w:val="single" w:sz="4" w:space="0" w:color="auto"/>
            </w:tcBorders>
            <w:shd w:val="clear" w:color="auto" w:fill="auto"/>
            <w:vAlign w:val="center"/>
            <w:hideMark/>
          </w:tcPr>
          <w:p w14:paraId="33EF5B32" w14:textId="77777777" w:rsidR="00544F49" w:rsidRPr="00B96FE5" w:rsidRDefault="00544F49" w:rsidP="00EF5D91">
            <w:pPr>
              <w:spacing w:after="0" w:line="288" w:lineRule="auto"/>
              <w:rPr>
                <w:rFonts w:ascii="Open Sans" w:hAnsi="Open Sans" w:cs="Open Sans"/>
              </w:rPr>
            </w:pPr>
            <w:r w:rsidRPr="00B96FE5">
              <w:rPr>
                <w:rFonts w:ascii="Open Sans" w:hAnsi="Open Sans" w:cs="Open Sans"/>
              </w:rPr>
              <w:t>b) pozostałe</w:t>
            </w:r>
          </w:p>
        </w:tc>
        <w:tc>
          <w:tcPr>
            <w:tcW w:w="3969" w:type="dxa"/>
            <w:vMerge/>
            <w:tcBorders>
              <w:top w:val="nil"/>
              <w:left w:val="single" w:sz="4" w:space="0" w:color="auto"/>
              <w:bottom w:val="single" w:sz="4" w:space="0" w:color="000000"/>
              <w:right w:val="single" w:sz="4" w:space="0" w:color="auto"/>
            </w:tcBorders>
            <w:vAlign w:val="center"/>
            <w:hideMark/>
          </w:tcPr>
          <w:p w14:paraId="008A6C41" w14:textId="77777777" w:rsidR="00544F49" w:rsidRPr="00B96FE5" w:rsidRDefault="00544F49" w:rsidP="00EF5D91">
            <w:pPr>
              <w:spacing w:after="0" w:line="288" w:lineRule="auto"/>
              <w:rPr>
                <w:rFonts w:ascii="Open Sans" w:hAnsi="Open Sans" w:cs="Open Sans"/>
              </w:rPr>
            </w:pPr>
          </w:p>
        </w:tc>
      </w:tr>
    </w:tbl>
    <w:p w14:paraId="768B1E01" w14:textId="77777777" w:rsidR="00544F49" w:rsidRPr="00326ADE" w:rsidRDefault="00544F49" w:rsidP="00EF5D91">
      <w:pPr>
        <w:spacing w:line="288" w:lineRule="auto"/>
        <w:rPr>
          <w:rFonts w:ascii="Open Sans" w:hAnsi="Open Sans" w:cs="Open Sans"/>
          <w:i/>
          <w:sz w:val="18"/>
          <w:szCs w:val="18"/>
        </w:rPr>
      </w:pPr>
      <w:r w:rsidRPr="00326ADE">
        <w:rPr>
          <w:rFonts w:ascii="Open Sans" w:hAnsi="Open Sans" w:cs="Open Sans"/>
          <w:i/>
          <w:sz w:val="18"/>
          <w:szCs w:val="18"/>
        </w:rPr>
        <w:t>*) Jeżeli w budynku należy uwzględnić oświetlenie wbudowane, w przeciwnym przypadku EK</w:t>
      </w:r>
      <w:r w:rsidRPr="00030569">
        <w:rPr>
          <w:rFonts w:ascii="Open Sans" w:hAnsi="Open Sans" w:cs="Open Sans"/>
          <w:i/>
          <w:sz w:val="18"/>
          <w:szCs w:val="18"/>
          <w:vertAlign w:val="subscript"/>
        </w:rPr>
        <w:t>L</w:t>
      </w:r>
      <w:r w:rsidRPr="00326ADE">
        <w:rPr>
          <w:rFonts w:ascii="Open Sans" w:hAnsi="Open Sans" w:cs="Open Sans"/>
          <w:i/>
          <w:sz w:val="18"/>
          <w:szCs w:val="18"/>
        </w:rPr>
        <w:t xml:space="preserve"> = 0 kWh/(m2 · rok)</w:t>
      </w:r>
    </w:p>
    <w:p w14:paraId="520B0047" w14:textId="77777777" w:rsidR="00544F49" w:rsidRPr="00D956F6" w:rsidRDefault="00544F49" w:rsidP="00EF5D91">
      <w:pPr>
        <w:spacing w:line="288" w:lineRule="auto"/>
        <w:rPr>
          <w:rFonts w:ascii="Open Sans" w:hAnsi="Open Sans" w:cs="Open Sans"/>
          <w:b/>
        </w:rPr>
      </w:pPr>
      <w:r w:rsidRPr="00D956F6">
        <w:rPr>
          <w:rFonts w:ascii="Open Sans" w:hAnsi="Open Sans" w:cs="Open Sans"/>
          <w:b/>
        </w:rPr>
        <w:t>Standardy termomodernizacji</w:t>
      </w:r>
      <w:r>
        <w:rPr>
          <w:rFonts w:ascii="Open Sans" w:hAnsi="Open Sans" w:cs="Open Sans"/>
          <w:b/>
        </w:rPr>
        <w:t>.</w:t>
      </w:r>
    </w:p>
    <w:p w14:paraId="0B167DA3" w14:textId="77777777" w:rsidR="00544F49" w:rsidRPr="00EE03B9" w:rsidRDefault="00544F49" w:rsidP="00EF5D91">
      <w:pPr>
        <w:spacing w:line="288" w:lineRule="auto"/>
        <w:rPr>
          <w:rFonts w:ascii="Open Sans" w:hAnsi="Open Sans" w:cs="Open Sans"/>
        </w:rPr>
      </w:pPr>
      <w:r w:rsidRPr="00EE03B9">
        <w:rPr>
          <w:rFonts w:ascii="Open Sans" w:hAnsi="Open Sans" w:cs="Open Sans"/>
        </w:rPr>
        <w:t xml:space="preserve">W związku z </w:t>
      </w:r>
      <w:r>
        <w:rPr>
          <w:rFonts w:ascii="Open Sans" w:hAnsi="Open Sans" w:cs="Open Sans"/>
        </w:rPr>
        <w:t>określonymi w programie priorytetowym trzema</w:t>
      </w:r>
      <w:r w:rsidRPr="00EE03B9">
        <w:rPr>
          <w:rFonts w:ascii="Open Sans" w:hAnsi="Open Sans" w:cs="Open Sans"/>
        </w:rPr>
        <w:t xml:space="preserve"> poziom</w:t>
      </w:r>
      <w:r>
        <w:rPr>
          <w:rFonts w:ascii="Open Sans" w:hAnsi="Open Sans" w:cs="Open Sans"/>
        </w:rPr>
        <w:t>ami</w:t>
      </w:r>
      <w:r w:rsidRPr="00EE03B9">
        <w:rPr>
          <w:rFonts w:ascii="Open Sans" w:hAnsi="Open Sans" w:cs="Open Sans"/>
        </w:rPr>
        <w:t xml:space="preserve"> dofinansowania </w:t>
      </w:r>
      <w:r>
        <w:rPr>
          <w:rFonts w:ascii="Open Sans" w:hAnsi="Open Sans" w:cs="Open Sans"/>
        </w:rPr>
        <w:t xml:space="preserve">bezzwrotnego, </w:t>
      </w:r>
      <w:r w:rsidRPr="00EE03B9">
        <w:rPr>
          <w:rFonts w:ascii="Open Sans" w:hAnsi="Open Sans" w:cs="Open Sans"/>
        </w:rPr>
        <w:t xml:space="preserve">skierowanego bezpośrednio do beneficjentów dla różnych </w:t>
      </w:r>
      <w:bookmarkStart w:id="1" w:name="_Hlk193265474"/>
      <w:r w:rsidRPr="00EE03B9">
        <w:rPr>
          <w:rFonts w:ascii="Open Sans" w:hAnsi="Open Sans" w:cs="Open Sans"/>
        </w:rPr>
        <w:t>scenariuszy realizacyjnych, związanych z planowanymi poziomami oszczędności energii końcowej</w:t>
      </w:r>
      <w:bookmarkEnd w:id="1"/>
      <w:r>
        <w:rPr>
          <w:rFonts w:ascii="Open Sans" w:hAnsi="Open Sans" w:cs="Open Sans"/>
        </w:rPr>
        <w:t xml:space="preserve"> określa się poniższe standardy termomodernizacji przedsięwzięcia</w:t>
      </w:r>
      <w:r w:rsidRPr="00EE03B9">
        <w:rPr>
          <w:rFonts w:ascii="Open Sans" w:hAnsi="Open Sans" w:cs="Open Sans"/>
        </w:rPr>
        <w:t xml:space="preserve">: </w:t>
      </w:r>
    </w:p>
    <w:p w14:paraId="78DE8185" w14:textId="633C69C6" w:rsidR="00544F49" w:rsidRPr="004210C8" w:rsidRDefault="00544F49" w:rsidP="004210C8">
      <w:pPr>
        <w:pStyle w:val="Akapitzlist"/>
        <w:numPr>
          <w:ilvl w:val="0"/>
          <w:numId w:val="22"/>
        </w:numPr>
        <w:spacing w:line="288" w:lineRule="auto"/>
        <w:ind w:left="284" w:firstLine="424"/>
        <w:rPr>
          <w:rFonts w:ascii="Open Sans" w:hAnsi="Open Sans" w:cs="Open Sans"/>
        </w:rPr>
      </w:pPr>
      <w:r w:rsidRPr="004210C8">
        <w:rPr>
          <w:rFonts w:ascii="Open Sans" w:hAnsi="Open Sans" w:cs="Open Sans"/>
          <w:b/>
        </w:rPr>
        <w:lastRenderedPageBreak/>
        <w:t xml:space="preserve">mała termomodernizacja </w:t>
      </w:r>
      <w:r w:rsidRPr="004210C8">
        <w:rPr>
          <w:rFonts w:ascii="Open Sans" w:hAnsi="Open Sans" w:cs="Open Sans"/>
        </w:rPr>
        <w:t xml:space="preserve">- np. usprawnienie tylko instalacyjne (zakładające możliwość przekazania do zarządzania energią już ocieplonych ostatnio budynków) np. montaż obowiązkowego systemu BMS/oświetlenie/PV/liczniki inteligentne itp. Warunkiem jest redukcja zapotrzebowania energii końcowej minimum 30%. Pozwoli to na dołączenie budynków już </w:t>
      </w:r>
      <w:proofErr w:type="spellStart"/>
      <w:r w:rsidRPr="004210C8">
        <w:rPr>
          <w:rFonts w:ascii="Open Sans" w:hAnsi="Open Sans" w:cs="Open Sans"/>
        </w:rPr>
        <w:t>termomodernizowanych</w:t>
      </w:r>
      <w:proofErr w:type="spellEnd"/>
      <w:r w:rsidRPr="004210C8">
        <w:rPr>
          <w:rFonts w:ascii="Open Sans" w:hAnsi="Open Sans" w:cs="Open Sans"/>
        </w:rPr>
        <w:t xml:space="preserve"> w ostatnich latach, które mogłyby rozszerzyć wykaz ewentualnych budynków skierowanych do zarządzania energią przez firmy ESCO po niewielkich usprawnieniach instalacyjnych np. montaż systemu zarzadzania energią, dodatkowe OZE itp. </w:t>
      </w:r>
    </w:p>
    <w:p w14:paraId="0B1BCB13" w14:textId="260AB8A6" w:rsidR="00544F49" w:rsidRPr="004210C8" w:rsidRDefault="00544F49" w:rsidP="004210C8">
      <w:pPr>
        <w:pStyle w:val="Akapitzlist"/>
        <w:numPr>
          <w:ilvl w:val="0"/>
          <w:numId w:val="22"/>
        </w:numPr>
        <w:spacing w:line="288" w:lineRule="auto"/>
        <w:ind w:left="284" w:firstLine="424"/>
        <w:rPr>
          <w:rFonts w:ascii="Open Sans" w:hAnsi="Open Sans" w:cs="Open Sans"/>
        </w:rPr>
      </w:pPr>
      <w:r w:rsidRPr="004210C8">
        <w:rPr>
          <w:rFonts w:ascii="Open Sans" w:hAnsi="Open Sans" w:cs="Open Sans"/>
          <w:b/>
        </w:rPr>
        <w:t>średnia termomodernizacja</w:t>
      </w:r>
      <w:r w:rsidRPr="004210C8">
        <w:rPr>
          <w:rFonts w:ascii="Open Sans" w:hAnsi="Open Sans" w:cs="Open Sans"/>
        </w:rPr>
        <w:t xml:space="preserve"> – podstawowe działania termomodernizacyjne. Warunkiem jest redukcja zapotrzebowania na energię końcową budynku pomiędzy 45% a 60%. Średnia termomodernizacja dotyczyłaby w szczególności szeregu podstawowych działań termomodernizacyjnych z elementem zarzadzania energią. </w:t>
      </w:r>
    </w:p>
    <w:p w14:paraId="00F6E9F0" w14:textId="2A3DBE23" w:rsidR="0085479A" w:rsidRPr="004210C8" w:rsidRDefault="00544F49" w:rsidP="004210C8">
      <w:pPr>
        <w:pStyle w:val="Akapitzlist"/>
        <w:numPr>
          <w:ilvl w:val="0"/>
          <w:numId w:val="22"/>
        </w:numPr>
        <w:spacing w:line="288" w:lineRule="auto"/>
        <w:ind w:left="284" w:firstLine="424"/>
        <w:rPr>
          <w:rFonts w:ascii="Open Sans" w:hAnsi="Open Sans" w:cs="Open Sans"/>
          <w:bCs/>
        </w:rPr>
      </w:pPr>
      <w:r w:rsidRPr="004210C8">
        <w:rPr>
          <w:rFonts w:ascii="Open Sans" w:hAnsi="Open Sans" w:cs="Open Sans"/>
          <w:b/>
        </w:rPr>
        <w:t xml:space="preserve">głęboka termomodernizacja + obowiązkowe działania dodatkowe EPC+. </w:t>
      </w:r>
      <w:r w:rsidRPr="004210C8">
        <w:rPr>
          <w:rFonts w:ascii="Open Sans" w:hAnsi="Open Sans" w:cs="Open Sans"/>
          <w:bCs/>
        </w:rPr>
        <w:t xml:space="preserve">Warunkiem jest redukcja zapotrzebowania na energię końcową budynku powyżej 60%. </w:t>
      </w:r>
    </w:p>
    <w:p w14:paraId="444A3FD7" w14:textId="0BC09C3C" w:rsidR="00544F49" w:rsidRDefault="004C635B" w:rsidP="00EF5D91">
      <w:pPr>
        <w:spacing w:line="288" w:lineRule="auto"/>
        <w:rPr>
          <w:rFonts w:ascii="Open Sans" w:hAnsi="Open Sans" w:cs="Open Sans"/>
        </w:rPr>
      </w:pPr>
      <w:r w:rsidRPr="05C92EFF">
        <w:rPr>
          <w:rFonts w:ascii="Open Sans" w:hAnsi="Open Sans" w:cs="Open Sans"/>
        </w:rPr>
        <w:t>W przypadku projektów ko</w:t>
      </w:r>
      <w:r w:rsidR="002942F7" w:rsidRPr="05C92EFF">
        <w:rPr>
          <w:rFonts w:ascii="Open Sans" w:hAnsi="Open Sans" w:cs="Open Sans"/>
        </w:rPr>
        <w:t>mpleksowych</w:t>
      </w:r>
      <w:r w:rsidR="00544F49" w:rsidRPr="05C92EFF">
        <w:rPr>
          <w:rFonts w:ascii="Open Sans" w:hAnsi="Open Sans" w:cs="Open Sans"/>
        </w:rPr>
        <w:t xml:space="preserve"> dofinansowani</w:t>
      </w:r>
      <w:r w:rsidR="002942F7" w:rsidRPr="05C92EFF">
        <w:rPr>
          <w:rFonts w:ascii="Open Sans" w:hAnsi="Open Sans" w:cs="Open Sans"/>
        </w:rPr>
        <w:t>em mogą być</w:t>
      </w:r>
      <w:r w:rsidR="00544F49" w:rsidRPr="05C92EFF">
        <w:rPr>
          <w:rFonts w:ascii="Open Sans" w:hAnsi="Open Sans" w:cs="Open Sans"/>
        </w:rPr>
        <w:t xml:space="preserve"> również</w:t>
      </w:r>
      <w:r w:rsidR="002942F7" w:rsidRPr="05C92EFF">
        <w:rPr>
          <w:rFonts w:ascii="Open Sans" w:hAnsi="Open Sans" w:cs="Open Sans"/>
        </w:rPr>
        <w:t xml:space="preserve"> </w:t>
      </w:r>
      <w:r w:rsidR="00894317" w:rsidRPr="05C92EFF">
        <w:rPr>
          <w:rFonts w:ascii="Open Sans" w:hAnsi="Open Sans" w:cs="Open Sans"/>
        </w:rPr>
        <w:t>objęte</w:t>
      </w:r>
      <w:r w:rsidR="00544F49" w:rsidRPr="05C92EFF">
        <w:rPr>
          <w:rFonts w:ascii="Open Sans" w:hAnsi="Open Sans" w:cs="Open Sans"/>
        </w:rPr>
        <w:t xml:space="preserve"> działa</w:t>
      </w:r>
      <w:r w:rsidR="00894317" w:rsidRPr="05C92EFF">
        <w:rPr>
          <w:rFonts w:ascii="Open Sans" w:hAnsi="Open Sans" w:cs="Open Sans"/>
        </w:rPr>
        <w:t>nia</w:t>
      </w:r>
      <w:r w:rsidR="00544F49" w:rsidRPr="05C92EFF">
        <w:rPr>
          <w:rFonts w:ascii="Open Sans" w:hAnsi="Open Sans" w:cs="Open Sans"/>
        </w:rPr>
        <w:t>, które nie mają bezpośredniego wpływu na podniesienie standardu energetycznego budynku</w:t>
      </w:r>
      <w:r w:rsidR="00735546" w:rsidRPr="05C92EFF">
        <w:rPr>
          <w:rFonts w:ascii="Open Sans" w:hAnsi="Open Sans" w:cs="Open Sans"/>
        </w:rPr>
        <w:t xml:space="preserve"> i które nie wynikają bezpośrednio z audytu</w:t>
      </w:r>
      <w:r w:rsidR="00355BFA" w:rsidRPr="05C92EFF">
        <w:rPr>
          <w:rFonts w:ascii="Open Sans" w:hAnsi="Open Sans" w:cs="Open Sans"/>
        </w:rPr>
        <w:t xml:space="preserve">. Należą do nich </w:t>
      </w:r>
      <w:r w:rsidR="00544F49" w:rsidRPr="05C92EFF">
        <w:rPr>
          <w:rFonts w:ascii="Open Sans" w:hAnsi="Open Sans" w:cs="Open Sans"/>
        </w:rPr>
        <w:t>dodatkow</w:t>
      </w:r>
      <w:r w:rsidR="00D6748F" w:rsidRPr="05C92EFF">
        <w:rPr>
          <w:rFonts w:ascii="Open Sans" w:hAnsi="Open Sans" w:cs="Open Sans"/>
        </w:rPr>
        <w:t>e</w:t>
      </w:r>
      <w:r w:rsidR="00544F49" w:rsidRPr="05C92EFF">
        <w:rPr>
          <w:rFonts w:ascii="Open Sans" w:hAnsi="Open Sans" w:cs="Open Sans"/>
        </w:rPr>
        <w:t xml:space="preserve"> usprawnie</w:t>
      </w:r>
      <w:r w:rsidR="00D6748F" w:rsidRPr="05C92EFF">
        <w:rPr>
          <w:rFonts w:ascii="Open Sans" w:hAnsi="Open Sans" w:cs="Open Sans"/>
        </w:rPr>
        <w:t>nia</w:t>
      </w:r>
      <w:r w:rsidR="00544F49" w:rsidRPr="05C92EFF">
        <w:rPr>
          <w:rFonts w:ascii="Open Sans" w:hAnsi="Open Sans" w:cs="Open Sans"/>
        </w:rPr>
        <w:t xml:space="preserve"> taki</w:t>
      </w:r>
      <w:r w:rsidR="00D6748F" w:rsidRPr="05C92EFF">
        <w:rPr>
          <w:rFonts w:ascii="Open Sans" w:hAnsi="Open Sans" w:cs="Open Sans"/>
        </w:rPr>
        <w:t>e</w:t>
      </w:r>
      <w:r w:rsidR="00544F49" w:rsidRPr="05C92EFF">
        <w:rPr>
          <w:rFonts w:ascii="Open Sans" w:hAnsi="Open Sans" w:cs="Open Sans"/>
        </w:rPr>
        <w:t xml:space="preserve"> jak zielono-niebieska infrastruktura, zagospodarowane wód opadowych, </w:t>
      </w:r>
      <w:proofErr w:type="spellStart"/>
      <w:r w:rsidR="00544F49" w:rsidRPr="05C92EFF">
        <w:rPr>
          <w:rFonts w:ascii="Open Sans" w:hAnsi="Open Sans" w:cs="Open Sans"/>
        </w:rPr>
        <w:t>debetonizacja</w:t>
      </w:r>
      <w:proofErr w:type="spellEnd"/>
      <w:r w:rsidR="00544F49" w:rsidRPr="05C92EFF">
        <w:rPr>
          <w:rFonts w:ascii="Open Sans" w:hAnsi="Open Sans" w:cs="Open Sans"/>
        </w:rPr>
        <w:t xml:space="preserve"> terenu wokół budynku czy np. dostosowanie budynku do potrzeb dla osób niepełnosprawnych, itp., jeżeli realizują szersze cele Europejskiego Zielonego Ładu, w tym strategii na rzecz Fali renowacji, o których mowa. </w:t>
      </w:r>
      <w:r w:rsidR="00870857" w:rsidRPr="05C92EFF">
        <w:rPr>
          <w:rFonts w:ascii="Open Sans" w:hAnsi="Open Sans" w:cs="Open Sans"/>
        </w:rPr>
        <w:t>Koszt tych usprawnień nie może przekroczyć 15% kosztów kwalifikowanych projektu.</w:t>
      </w:r>
    </w:p>
    <w:p w14:paraId="6F7FEDD3" w14:textId="77777777" w:rsidR="00544F49" w:rsidRDefault="00544F49" w:rsidP="00EF5D91">
      <w:pPr>
        <w:spacing w:line="288" w:lineRule="auto"/>
      </w:pPr>
      <w:r>
        <w:rPr>
          <w:rFonts w:ascii="Open Sans" w:hAnsi="Open Sans" w:cs="Open Sans"/>
        </w:rPr>
        <w:t>Bilans energii końcowej powinien zawierać porównanie zapotrzebowania budynku przed i po modernizacji na energię cieplną na ogrzewanie i wentylację, c.w.u., energię elektryczną pomocniczą, energie elektryczną na oświetlenie wbudowane oraz chłodzenie (jeśli dotyczy) – z uwzględnieniem pracy instalacji OZE.</w:t>
      </w:r>
      <w:r w:rsidRPr="009E706A">
        <w:t xml:space="preserve"> </w:t>
      </w:r>
    </w:p>
    <w:p w14:paraId="19D3A5E0" w14:textId="77777777" w:rsidR="00544F49" w:rsidRPr="00393EFA" w:rsidRDefault="5F6283DF" w:rsidP="00EF5D91">
      <w:pPr>
        <w:spacing w:line="288" w:lineRule="auto"/>
        <w:rPr>
          <w:rFonts w:ascii="Open Sans" w:hAnsi="Open Sans" w:cs="Open Sans"/>
        </w:rPr>
      </w:pPr>
      <w:r w:rsidRPr="00393EFA">
        <w:rPr>
          <w:rFonts w:ascii="Open Sans" w:hAnsi="Open Sans" w:cs="Open Sans"/>
        </w:rPr>
        <w:t>Nie przewiduje się wsparcia budynków, w których docelowym źródłem ciepła planowane jest źródło ciepła na paliwo stałe (węgiel kamienny, biomasa).</w:t>
      </w:r>
    </w:p>
    <w:p w14:paraId="7D3130EE" w14:textId="77777777" w:rsidR="00544F49" w:rsidRPr="00D956F6" w:rsidRDefault="00544F49" w:rsidP="00EF5D91">
      <w:pPr>
        <w:spacing w:line="288" w:lineRule="auto"/>
        <w:rPr>
          <w:rFonts w:ascii="Open Sans" w:hAnsi="Open Sans" w:cs="Open Sans"/>
          <w:b/>
        </w:rPr>
      </w:pPr>
      <w:r w:rsidRPr="00D956F6">
        <w:rPr>
          <w:rFonts w:ascii="Open Sans" w:hAnsi="Open Sans" w:cs="Open Sans"/>
          <w:b/>
        </w:rPr>
        <w:t>Minimalny okres zarządzania energią.</w:t>
      </w:r>
    </w:p>
    <w:p w14:paraId="550D28CE" w14:textId="77777777" w:rsidR="00273392" w:rsidRDefault="00273392" w:rsidP="00317C89">
      <w:pPr>
        <w:spacing w:line="288" w:lineRule="auto"/>
        <w:rPr>
          <w:rFonts w:ascii="Open Sans" w:hAnsi="Open Sans" w:cs="Open Sans"/>
        </w:rPr>
      </w:pPr>
      <w:r w:rsidRPr="00273392">
        <w:rPr>
          <w:rFonts w:ascii="Open Sans" w:hAnsi="Open Sans" w:cs="Open Sans"/>
        </w:rPr>
        <w:t xml:space="preserve">Wymaganym minimalnym okresem zarządzania energią przez firmę ESCO budynkami objętymi dofinansowaniem jest nie krótszy niż okres trwałości projektu wynikający z </w:t>
      </w:r>
      <w:r w:rsidRPr="00273392">
        <w:rPr>
          <w:rFonts w:ascii="Open Sans" w:hAnsi="Open Sans" w:cs="Open Sans"/>
        </w:rPr>
        <w:lastRenderedPageBreak/>
        <w:t>zapisów umowy o dofinansowanie ze środków UE dla danego przedsięwzięcia. Zaleca się przeanalizowanie wydłużenia tego okresu na okres spłat pożyczek uzyskanych w ramach dofinansowania.</w:t>
      </w:r>
    </w:p>
    <w:p w14:paraId="7A00FC71" w14:textId="574033B9" w:rsidR="00544F49" w:rsidRDefault="00544F49" w:rsidP="00317C89">
      <w:pPr>
        <w:spacing w:line="288" w:lineRule="auto"/>
        <w:rPr>
          <w:rFonts w:ascii="Open Sans" w:hAnsi="Open Sans" w:cs="Open Sans"/>
          <w:b/>
          <w:bCs/>
        </w:rPr>
      </w:pPr>
      <w:r w:rsidRPr="007257EE">
        <w:rPr>
          <w:rFonts w:ascii="Open Sans" w:hAnsi="Open Sans" w:cs="Open Sans"/>
          <w:b/>
          <w:bCs/>
        </w:rPr>
        <w:t>Umowa EPC</w:t>
      </w:r>
    </w:p>
    <w:p w14:paraId="12E1745D" w14:textId="77777777" w:rsidR="00544F49" w:rsidRPr="008C4213" w:rsidRDefault="00544F49" w:rsidP="00317C89">
      <w:pPr>
        <w:spacing w:line="288" w:lineRule="auto"/>
        <w:rPr>
          <w:rFonts w:ascii="Open Sans" w:hAnsi="Open Sans" w:cs="Open Sans"/>
        </w:rPr>
      </w:pPr>
      <w:r w:rsidRPr="008C4213">
        <w:rPr>
          <w:rFonts w:ascii="Open Sans" w:hAnsi="Open Sans" w:cs="Open Sans"/>
        </w:rPr>
        <w:t xml:space="preserve">Umowa EPC (Energy Performance </w:t>
      </w:r>
      <w:proofErr w:type="spellStart"/>
      <w:r w:rsidRPr="008C4213">
        <w:rPr>
          <w:rFonts w:ascii="Open Sans" w:hAnsi="Open Sans" w:cs="Open Sans"/>
        </w:rPr>
        <w:t>Contracting</w:t>
      </w:r>
      <w:proofErr w:type="spellEnd"/>
      <w:r w:rsidRPr="008C4213">
        <w:rPr>
          <w:rFonts w:ascii="Open Sans" w:hAnsi="Open Sans" w:cs="Open Sans"/>
        </w:rPr>
        <w:t>) –</w:t>
      </w:r>
      <w:r>
        <w:rPr>
          <w:rFonts w:ascii="Open Sans" w:hAnsi="Open Sans" w:cs="Open Sans"/>
        </w:rPr>
        <w:t xml:space="preserve"> </w:t>
      </w:r>
      <w:r w:rsidRPr="008C4213">
        <w:rPr>
          <w:rFonts w:ascii="Open Sans" w:hAnsi="Open Sans" w:cs="Open Sans"/>
        </w:rPr>
        <w:t xml:space="preserve">to umowa między </w:t>
      </w:r>
      <w:r>
        <w:rPr>
          <w:rFonts w:ascii="Open Sans" w:hAnsi="Open Sans" w:cs="Open Sans"/>
        </w:rPr>
        <w:t xml:space="preserve">beneficjentem/właścicielem budynku </w:t>
      </w:r>
      <w:r w:rsidRPr="008C4213">
        <w:rPr>
          <w:rFonts w:ascii="Open Sans" w:hAnsi="Open Sans" w:cs="Open Sans"/>
        </w:rPr>
        <w:t xml:space="preserve">a dostawcą usług </w:t>
      </w:r>
      <w:r>
        <w:rPr>
          <w:rFonts w:ascii="Open Sans" w:hAnsi="Open Sans" w:cs="Open Sans"/>
        </w:rPr>
        <w:t>energetycznych</w:t>
      </w:r>
      <w:r w:rsidRPr="008C4213">
        <w:rPr>
          <w:rFonts w:ascii="Open Sans" w:hAnsi="Open Sans" w:cs="Open Sans"/>
        </w:rPr>
        <w:t xml:space="preserve"> (firmą ESCO), która określa warunki realizacji, finansowania i spłaty inwestycji.</w:t>
      </w:r>
    </w:p>
    <w:p w14:paraId="6E39CA41" w14:textId="77777777" w:rsidR="00544F49" w:rsidRPr="00B4791D" w:rsidRDefault="00544F49" w:rsidP="00317C89">
      <w:pPr>
        <w:spacing w:line="288" w:lineRule="auto"/>
        <w:rPr>
          <w:rFonts w:ascii="Open Sans" w:hAnsi="Open Sans" w:cs="Open Sans"/>
        </w:rPr>
      </w:pPr>
      <w:r w:rsidRPr="00B4791D">
        <w:rPr>
          <w:rFonts w:ascii="Open Sans" w:hAnsi="Open Sans" w:cs="Open Sans"/>
        </w:rPr>
        <w:t>Dostępne wzory umowy EPC dla termomodernizacji budynków:</w:t>
      </w:r>
    </w:p>
    <w:p w14:paraId="3A1121D7" w14:textId="77777777" w:rsidR="00544F49" w:rsidRDefault="00544F49" w:rsidP="00D92D75">
      <w:pPr>
        <w:pStyle w:val="Akapitzlist"/>
        <w:numPr>
          <w:ilvl w:val="0"/>
          <w:numId w:val="1"/>
        </w:numPr>
        <w:spacing w:line="288" w:lineRule="auto"/>
        <w:ind w:left="426"/>
        <w:rPr>
          <w:rFonts w:ascii="Open Sans" w:hAnsi="Open Sans" w:cs="Open Sans"/>
        </w:rPr>
      </w:pPr>
      <w:r w:rsidRPr="00C7577F">
        <w:rPr>
          <w:rFonts w:ascii="Open Sans" w:hAnsi="Open Sans" w:cs="Open Sans"/>
        </w:rPr>
        <w:t xml:space="preserve">Ministerstwo Klimatu i Środowiska udostępniło praktyczne opracowanie i narzędzie dla jednostek sektora publicznego w postaci wytycznych do realizacji inwestycji w modelu finansowania ESCO (z ang. Energy </w:t>
      </w:r>
      <w:proofErr w:type="spellStart"/>
      <w:r w:rsidRPr="00C7577F">
        <w:rPr>
          <w:rFonts w:ascii="Open Sans" w:hAnsi="Open Sans" w:cs="Open Sans"/>
        </w:rPr>
        <w:t>Saving</w:t>
      </w:r>
      <w:proofErr w:type="spellEnd"/>
      <w:r w:rsidRPr="00C7577F">
        <w:rPr>
          <w:rFonts w:ascii="Open Sans" w:hAnsi="Open Sans" w:cs="Open Sans"/>
        </w:rPr>
        <w:t xml:space="preserve"> Company) tzw. umów o poprawę efektywności energetycznej. Co do zasady, formuła ESCO/EPC to rozwiązanie w ramach którego specjalistyczne firmy (ESCO) oferują wdrożenie przedsięwzięć służących poprawie efektywności energetycznej, bez konieczności angażowania przez klienta własnych zasobów finansowych (z wykorzystaniem uzyskanego dofinansowania) na starcie projektu, przy jednoczesnym zobowiązaniu do uzyskania i utrzymania przez określony czas, Gwarantowanych Oszczędności Energii (GOE). Koszty inwestycji, w części lub w całości mogą spłacane są z uzyskanych oszczędności energii, poprzez widoczną różnicę w rachunkach za energię. </w:t>
      </w:r>
    </w:p>
    <w:p w14:paraId="3E4C0342" w14:textId="77777777" w:rsidR="00544F49" w:rsidRPr="00C7577F" w:rsidRDefault="00544F49" w:rsidP="00D92D75">
      <w:pPr>
        <w:pStyle w:val="Akapitzlist"/>
        <w:spacing w:line="288" w:lineRule="auto"/>
        <w:ind w:left="426"/>
        <w:rPr>
          <w:rFonts w:ascii="Open Sans" w:hAnsi="Open Sans" w:cs="Open Sans"/>
        </w:rPr>
      </w:pPr>
      <w:r w:rsidRPr="00C7577F">
        <w:rPr>
          <w:rFonts w:ascii="Open Sans" w:hAnsi="Open Sans" w:cs="Open Sans"/>
        </w:rPr>
        <w:t>Wzorzec umów EPC:</w:t>
      </w:r>
    </w:p>
    <w:p w14:paraId="143A6BF1" w14:textId="5DCA2B77" w:rsidR="00544F49" w:rsidRDefault="00544F49" w:rsidP="00D92D75">
      <w:pPr>
        <w:spacing w:line="288" w:lineRule="auto"/>
        <w:ind w:left="426"/>
        <w:rPr>
          <w:rFonts w:ascii="Open Sans" w:hAnsi="Open Sans" w:cs="Open Sans"/>
        </w:rPr>
      </w:pPr>
      <w:hyperlink r:id="rId11" w:history="1">
        <w:r w:rsidRPr="000E325D">
          <w:rPr>
            <w:rStyle w:val="Hipercze"/>
            <w:rFonts w:ascii="Open Sans" w:hAnsi="Open Sans" w:cs="Open Sans"/>
          </w:rPr>
          <w:t>https://www.gov.pl/web/klimat/wytyczne-do-umow-o-poprawe-efektywnosci-energetycznej-epc</w:t>
        </w:r>
      </w:hyperlink>
    </w:p>
    <w:p w14:paraId="204BB6B3" w14:textId="6E72A4A5" w:rsidR="00544F49" w:rsidRDefault="00544F49" w:rsidP="00D92D75">
      <w:pPr>
        <w:pStyle w:val="Akapitzlist"/>
        <w:numPr>
          <w:ilvl w:val="0"/>
          <w:numId w:val="1"/>
        </w:numPr>
        <w:spacing w:line="288" w:lineRule="auto"/>
        <w:ind w:left="426"/>
        <w:rPr>
          <w:rFonts w:ascii="Open Sans" w:hAnsi="Open Sans" w:cs="Open Sans"/>
        </w:rPr>
      </w:pPr>
      <w:r w:rsidRPr="05C92EFF">
        <w:rPr>
          <w:rFonts w:ascii="Open Sans" w:hAnsi="Open Sans" w:cs="Open Sans"/>
        </w:rPr>
        <w:t xml:space="preserve">NFOŚiGW opracował na potrzeby naboru w ramach Funduszu Modernizacyjnego program dedykowany wsparciu termomodernizacji w modelu ESCO/EPC: „Renowacja z gwarancją oszczędności EPC (Energy Performance </w:t>
      </w:r>
      <w:proofErr w:type="spellStart"/>
      <w:r w:rsidRPr="05C92EFF">
        <w:rPr>
          <w:rFonts w:ascii="Open Sans" w:hAnsi="Open Sans" w:cs="Open Sans"/>
        </w:rPr>
        <w:t>Contract</w:t>
      </w:r>
      <w:proofErr w:type="spellEnd"/>
      <w:r w:rsidRPr="05C92EFF">
        <w:rPr>
          <w:rFonts w:ascii="Open Sans" w:hAnsi="Open Sans" w:cs="Open Sans"/>
        </w:rPr>
        <w:t xml:space="preserve">) Plus”. W </w:t>
      </w:r>
      <w:r w:rsidR="00D46D4E">
        <w:rPr>
          <w:rFonts w:ascii="Open Sans" w:hAnsi="Open Sans" w:cs="Open Sans"/>
        </w:rPr>
        <w:t xml:space="preserve">dokumentach </w:t>
      </w:r>
      <w:proofErr w:type="spellStart"/>
      <w:r w:rsidR="00D46D4E">
        <w:rPr>
          <w:rFonts w:ascii="Open Sans" w:hAnsi="Open Sans" w:cs="Open Sans"/>
        </w:rPr>
        <w:t>naborowych</w:t>
      </w:r>
      <w:proofErr w:type="spellEnd"/>
      <w:r w:rsidR="00D46D4E">
        <w:rPr>
          <w:rFonts w:ascii="Open Sans" w:hAnsi="Open Sans" w:cs="Open Sans"/>
        </w:rPr>
        <w:t xml:space="preserve"> niniejszego programu</w:t>
      </w:r>
      <w:r w:rsidRPr="05C92EFF">
        <w:rPr>
          <w:rFonts w:ascii="Open Sans" w:hAnsi="Open Sans" w:cs="Open Sans"/>
        </w:rPr>
        <w:t xml:space="preserve"> zaproponowano wzór Umowy EPC wraz z załącznikami w tym: „Standardy Dostępności”. </w:t>
      </w:r>
    </w:p>
    <w:p w14:paraId="13ACA2B5" w14:textId="196EA8D1" w:rsidR="00544F49" w:rsidRPr="00B4791D" w:rsidRDefault="5F6283DF" w:rsidP="00D92D75">
      <w:pPr>
        <w:pStyle w:val="Akapitzlist"/>
        <w:spacing w:line="288" w:lineRule="auto"/>
        <w:ind w:left="426"/>
        <w:rPr>
          <w:rFonts w:ascii="Open Sans" w:hAnsi="Open Sans" w:cs="Open Sans"/>
        </w:rPr>
      </w:pPr>
      <w:r w:rsidRPr="0048D115">
        <w:rPr>
          <w:rFonts w:ascii="Open Sans" w:hAnsi="Open Sans" w:cs="Open Sans"/>
        </w:rPr>
        <w:t>Dokument „Standardy Dostępności Budynków” jest dokumentem modelowym uwzględniającym wszystkie możliwe usprawnienia i rodzaje energii mogące być przedmiotem Inwestycji i uwzględniającym możliwości przeliczenia wyników licznikowych uzyskanych w roku n na warunki bazowe, co umożliwia jednoznaczne, rokroczne rozliczenie się z uzyskania Gwarantowanych Oszczędności Energii (GOE). Dokument ten</w:t>
      </w:r>
      <w:r w:rsidR="5037F0C1" w:rsidRPr="0048D115">
        <w:rPr>
          <w:rFonts w:ascii="Open Sans" w:hAnsi="Open Sans" w:cs="Open Sans"/>
        </w:rPr>
        <w:t xml:space="preserve"> </w:t>
      </w:r>
      <w:r w:rsidRPr="0048D115">
        <w:rPr>
          <w:rFonts w:ascii="Open Sans" w:hAnsi="Open Sans" w:cs="Open Sans"/>
        </w:rPr>
        <w:t xml:space="preserve">winien być dostosowywany do realizowanej inwestycji. </w:t>
      </w:r>
      <w:r w:rsidRPr="0048D115">
        <w:rPr>
          <w:rFonts w:ascii="Open Sans" w:hAnsi="Open Sans" w:cs="Open Sans"/>
        </w:rPr>
        <w:lastRenderedPageBreak/>
        <w:t>Zaproponowano również wzór raportu rozliczenia GOE. NFOŚiGW zachęca do zapoznania się i skorzystania z niniejszych dokumentów.</w:t>
      </w:r>
    </w:p>
    <w:p w14:paraId="60EABDA3" w14:textId="77777777" w:rsidR="00544F49" w:rsidRDefault="00544F49" w:rsidP="00D92D75">
      <w:pPr>
        <w:spacing w:line="288" w:lineRule="auto"/>
        <w:ind w:left="426" w:firstLine="708"/>
        <w:rPr>
          <w:rFonts w:ascii="Open Sans" w:hAnsi="Open Sans" w:cs="Open Sans"/>
        </w:rPr>
      </w:pPr>
      <w:r>
        <w:rPr>
          <w:rFonts w:ascii="Open Sans" w:hAnsi="Open Sans" w:cs="Open Sans"/>
        </w:rPr>
        <w:t>Wzór Umowy EPC opracowany przez NFOŚiGW wraz z załącznikami:</w:t>
      </w:r>
    </w:p>
    <w:p w14:paraId="6C3CB540" w14:textId="3FD67AEE" w:rsidR="00544F49" w:rsidRDefault="00544F49" w:rsidP="00D92D75">
      <w:pPr>
        <w:spacing w:line="288" w:lineRule="auto"/>
        <w:ind w:left="426"/>
        <w:rPr>
          <w:rFonts w:ascii="Open Sans" w:hAnsi="Open Sans" w:cs="Open Sans"/>
        </w:rPr>
      </w:pPr>
      <w:hyperlink r:id="rId12" w:history="1">
        <w:r w:rsidRPr="000E325D">
          <w:rPr>
            <w:rStyle w:val="Hipercze"/>
            <w:rFonts w:ascii="Open Sans" w:hAnsi="Open Sans" w:cs="Open Sans"/>
          </w:rPr>
          <w:t>https://www.gov.pl/web/funduszmodernizacyjny/renowacja-z-gwarancja-oszczednosci-epc-energy-performance-contract-plus-nabor-ii</w:t>
        </w:r>
      </w:hyperlink>
    </w:p>
    <w:p w14:paraId="70025228" w14:textId="77777777" w:rsidR="00544F49" w:rsidRPr="00B4791D" w:rsidRDefault="00544F49" w:rsidP="00317C89">
      <w:pPr>
        <w:spacing w:line="288" w:lineRule="auto"/>
        <w:rPr>
          <w:rFonts w:ascii="Open Sans" w:hAnsi="Open Sans" w:cs="Open Sans"/>
        </w:rPr>
      </w:pPr>
      <w:r>
        <w:rPr>
          <w:rFonts w:ascii="Open Sans" w:hAnsi="Open Sans" w:cs="Open Sans"/>
        </w:rPr>
        <w:t>Ww. wzory umów</w:t>
      </w:r>
      <w:r w:rsidRPr="00B4791D">
        <w:rPr>
          <w:rFonts w:ascii="Open Sans" w:hAnsi="Open Sans" w:cs="Open Sans"/>
        </w:rPr>
        <w:t xml:space="preserve"> EPC mo</w:t>
      </w:r>
      <w:r>
        <w:rPr>
          <w:rFonts w:ascii="Open Sans" w:hAnsi="Open Sans" w:cs="Open Sans"/>
        </w:rPr>
        <w:t>gą</w:t>
      </w:r>
      <w:r w:rsidRPr="00B4791D">
        <w:rPr>
          <w:rFonts w:ascii="Open Sans" w:hAnsi="Open Sans" w:cs="Open Sans"/>
        </w:rPr>
        <w:t xml:space="preserve"> być modyfikowan</w:t>
      </w:r>
      <w:r>
        <w:rPr>
          <w:rFonts w:ascii="Open Sans" w:hAnsi="Open Sans" w:cs="Open Sans"/>
        </w:rPr>
        <w:t>e</w:t>
      </w:r>
      <w:r w:rsidRPr="00B4791D">
        <w:rPr>
          <w:rFonts w:ascii="Open Sans" w:hAnsi="Open Sans" w:cs="Open Sans"/>
        </w:rPr>
        <w:t>, jeżeli jest to niezbędne w celu dostosowania do specyfiki Inwestycji i instytucjonalności stron. Umowa EPC musi jednak zachować charakter umowy EPC z gwarantowaną oszczędnością energii:</w:t>
      </w:r>
    </w:p>
    <w:p w14:paraId="2416B6C1" w14:textId="41425D14" w:rsidR="00544F49" w:rsidRPr="004210C8" w:rsidRDefault="00544F49" w:rsidP="004210C8">
      <w:pPr>
        <w:pStyle w:val="Akapitzlist"/>
        <w:numPr>
          <w:ilvl w:val="0"/>
          <w:numId w:val="23"/>
        </w:numPr>
        <w:spacing w:line="288" w:lineRule="auto"/>
        <w:ind w:left="142" w:hanging="76"/>
        <w:rPr>
          <w:rFonts w:ascii="Open Sans" w:hAnsi="Open Sans" w:cs="Open Sans"/>
        </w:rPr>
      </w:pPr>
      <w:r w:rsidRPr="004210C8">
        <w:rPr>
          <w:rFonts w:ascii="Open Sans" w:hAnsi="Open Sans" w:cs="Open Sans"/>
        </w:rPr>
        <w:t xml:space="preserve">umowa EPC powinna przypisywać część </w:t>
      </w:r>
      <w:proofErr w:type="spellStart"/>
      <w:r w:rsidRPr="004210C8">
        <w:rPr>
          <w:rFonts w:ascii="Open Sans" w:hAnsi="Open Sans" w:cs="Open Sans"/>
        </w:rPr>
        <w:t>ryzyk</w:t>
      </w:r>
      <w:proofErr w:type="spellEnd"/>
      <w:r w:rsidRPr="004210C8">
        <w:rPr>
          <w:rFonts w:ascii="Open Sans" w:hAnsi="Open Sans" w:cs="Open Sans"/>
        </w:rPr>
        <w:t xml:space="preserve"> (w tym: coroczne uzyskiwanie GOE) dostawcy usług energetycznych (firmie ESCO) z uwzględnieniem minimalnego okresu zarządzania energią w budynku/ach;</w:t>
      </w:r>
    </w:p>
    <w:p w14:paraId="166DC516" w14:textId="529B0CE7" w:rsidR="00544F49" w:rsidRDefault="00544F49" w:rsidP="004210C8">
      <w:pPr>
        <w:pStyle w:val="Akapitzlist"/>
        <w:numPr>
          <w:ilvl w:val="0"/>
          <w:numId w:val="23"/>
        </w:numPr>
        <w:spacing w:line="288" w:lineRule="auto"/>
        <w:ind w:left="142" w:hanging="76"/>
        <w:rPr>
          <w:rFonts w:ascii="Open Sans" w:hAnsi="Open Sans" w:cs="Open Sans"/>
        </w:rPr>
      </w:pPr>
      <w:r>
        <w:rPr>
          <w:rFonts w:ascii="Open Sans" w:hAnsi="Open Sans" w:cs="Open Sans"/>
        </w:rPr>
        <w:t>umowa EPC powinna zawierać określone minimalne standardy energetyczne i</w:t>
      </w:r>
      <w:r w:rsidR="008C1B95">
        <w:rPr>
          <w:rFonts w:ascii="Open Sans" w:hAnsi="Open Sans" w:cs="Open Sans"/>
        </w:rPr>
        <w:t> </w:t>
      </w:r>
      <w:r>
        <w:rPr>
          <w:rFonts w:ascii="Open Sans" w:hAnsi="Open Sans" w:cs="Open Sans"/>
        </w:rPr>
        <w:t>techniczne utrzymania budynku/pomieszczeń z uwzględnieniem podziału obowiązków i</w:t>
      </w:r>
      <w:r w:rsidR="008C1B95">
        <w:rPr>
          <w:rFonts w:ascii="Open Sans" w:hAnsi="Open Sans" w:cs="Open Sans"/>
        </w:rPr>
        <w:t> </w:t>
      </w:r>
      <w:r>
        <w:rPr>
          <w:rFonts w:ascii="Open Sans" w:hAnsi="Open Sans" w:cs="Open Sans"/>
        </w:rPr>
        <w:t>odpowiedzialności stron (np. w przypadku występowania awarii, remontów itp.) i wpływu na coroczne uzyskanie/potwierdzanie uzyskania/utrzymania GOE (wraz z metodologią wyliczeń i raportowania) wraz z podziałem odpowiedzialności – w tym finansowej dostawcy usług energetycznych (firmie ESCO) za ich dotrzymanie(premia)/niedotrzymanie (kara) występujące w wyniku jego starań/zaniechań;</w:t>
      </w:r>
    </w:p>
    <w:p w14:paraId="0C2E8E99" w14:textId="2C89BAF5" w:rsidR="00544F49" w:rsidRDefault="00544F49" w:rsidP="004210C8">
      <w:pPr>
        <w:pStyle w:val="Akapitzlist"/>
        <w:numPr>
          <w:ilvl w:val="0"/>
          <w:numId w:val="23"/>
        </w:numPr>
        <w:spacing w:line="288" w:lineRule="auto"/>
        <w:ind w:left="142" w:hanging="76"/>
        <w:rPr>
          <w:rFonts w:ascii="Open Sans" w:hAnsi="Open Sans" w:cs="Open Sans"/>
        </w:rPr>
      </w:pPr>
      <w:r>
        <w:rPr>
          <w:rFonts w:ascii="Open Sans" w:hAnsi="Open Sans" w:cs="Open Sans"/>
        </w:rPr>
        <w:t xml:space="preserve">umowa EPC powinna </w:t>
      </w:r>
      <w:r w:rsidRPr="00E84407">
        <w:rPr>
          <w:rFonts w:ascii="Open Sans" w:hAnsi="Open Sans" w:cs="Open Sans"/>
        </w:rPr>
        <w:t>przewidywać uzyskiwanie efektów (Efektu Ekologicznego) i osiągnięcie zakresu realizacji inwestycji (Efektu Rzeczowego),</w:t>
      </w:r>
      <w:r>
        <w:rPr>
          <w:rFonts w:ascii="Open Sans" w:hAnsi="Open Sans" w:cs="Open Sans"/>
        </w:rPr>
        <w:t xml:space="preserve"> </w:t>
      </w:r>
      <w:r w:rsidRPr="00E84407">
        <w:rPr>
          <w:rFonts w:ascii="Open Sans" w:hAnsi="Open Sans" w:cs="Open Sans"/>
        </w:rPr>
        <w:t>zgodnie z</w:t>
      </w:r>
      <w:r>
        <w:rPr>
          <w:rFonts w:ascii="Open Sans" w:hAnsi="Open Sans" w:cs="Open Sans"/>
        </w:rPr>
        <w:t xml:space="preserve"> warunkami opisanymi w </w:t>
      </w:r>
      <w:proofErr w:type="spellStart"/>
      <w:r w:rsidRPr="008C4213">
        <w:rPr>
          <w:rFonts w:ascii="Open Sans" w:hAnsi="Open Sans" w:cs="Open Sans"/>
        </w:rPr>
        <w:t>UoD</w:t>
      </w:r>
      <w:proofErr w:type="spellEnd"/>
      <w:r w:rsidRPr="008C4213">
        <w:rPr>
          <w:rFonts w:ascii="Open Sans" w:hAnsi="Open Sans" w:cs="Open Sans"/>
        </w:rPr>
        <w:t xml:space="preserve"> z NFOŚiGW</w:t>
      </w:r>
      <w:r>
        <w:rPr>
          <w:rFonts w:ascii="Open Sans" w:hAnsi="Open Sans" w:cs="Open Sans"/>
        </w:rPr>
        <w:t>;</w:t>
      </w:r>
    </w:p>
    <w:p w14:paraId="7121407F" w14:textId="1E5FCAC0" w:rsidR="00544F49" w:rsidRDefault="00544F49" w:rsidP="004210C8">
      <w:pPr>
        <w:pStyle w:val="Akapitzlist"/>
        <w:numPr>
          <w:ilvl w:val="0"/>
          <w:numId w:val="23"/>
        </w:numPr>
        <w:spacing w:line="288" w:lineRule="auto"/>
        <w:ind w:left="142" w:hanging="76"/>
        <w:rPr>
          <w:rFonts w:ascii="Open Sans" w:hAnsi="Open Sans" w:cs="Open Sans"/>
        </w:rPr>
      </w:pPr>
      <w:r>
        <w:rPr>
          <w:rFonts w:ascii="Open Sans" w:hAnsi="Open Sans" w:cs="Open Sans"/>
        </w:rPr>
        <w:t xml:space="preserve">umowa EPC powinna uwzględniać obowiązek dostarczenia przez </w:t>
      </w:r>
      <w:r w:rsidRPr="00C72D35">
        <w:rPr>
          <w:rFonts w:ascii="Open Sans" w:hAnsi="Open Sans" w:cs="Open Sans"/>
        </w:rPr>
        <w:t>dostawc</w:t>
      </w:r>
      <w:r>
        <w:rPr>
          <w:rFonts w:ascii="Open Sans" w:hAnsi="Open Sans" w:cs="Open Sans"/>
        </w:rPr>
        <w:t>ę</w:t>
      </w:r>
      <w:r w:rsidRPr="00C72D35">
        <w:rPr>
          <w:rFonts w:ascii="Open Sans" w:hAnsi="Open Sans" w:cs="Open Sans"/>
        </w:rPr>
        <w:t xml:space="preserve"> usług energetycznych (firm</w:t>
      </w:r>
      <w:r>
        <w:rPr>
          <w:rFonts w:ascii="Open Sans" w:hAnsi="Open Sans" w:cs="Open Sans"/>
        </w:rPr>
        <w:t>ę</w:t>
      </w:r>
      <w:r w:rsidRPr="00C72D35">
        <w:rPr>
          <w:rFonts w:ascii="Open Sans" w:hAnsi="Open Sans" w:cs="Open Sans"/>
        </w:rPr>
        <w:t xml:space="preserve"> ESCO) </w:t>
      </w:r>
      <w:r>
        <w:rPr>
          <w:rFonts w:ascii="Open Sans" w:hAnsi="Open Sans" w:cs="Open Sans"/>
        </w:rPr>
        <w:t xml:space="preserve">wszelkiej dokumentacji niezbędnej do rozliczenia realizacji inwestycji zgodnie z </w:t>
      </w:r>
      <w:r w:rsidRPr="008C4213">
        <w:rPr>
          <w:rFonts w:ascii="Open Sans" w:hAnsi="Open Sans" w:cs="Open Sans"/>
        </w:rPr>
        <w:t xml:space="preserve">warunkami opisanymi w </w:t>
      </w:r>
      <w:proofErr w:type="spellStart"/>
      <w:r w:rsidRPr="008C4213">
        <w:rPr>
          <w:rFonts w:ascii="Open Sans" w:hAnsi="Open Sans" w:cs="Open Sans"/>
        </w:rPr>
        <w:t>UoD</w:t>
      </w:r>
      <w:proofErr w:type="spellEnd"/>
      <w:r w:rsidRPr="008C4213">
        <w:rPr>
          <w:rFonts w:ascii="Open Sans" w:hAnsi="Open Sans" w:cs="Open Sans"/>
        </w:rPr>
        <w:t xml:space="preserve"> z NFOŚiGW</w:t>
      </w:r>
      <w:r>
        <w:rPr>
          <w:rFonts w:ascii="Open Sans" w:hAnsi="Open Sans" w:cs="Open Sans"/>
        </w:rPr>
        <w:t xml:space="preserve"> warunkującymi potwierdzenie uzyskania dofinansowania;</w:t>
      </w:r>
    </w:p>
    <w:p w14:paraId="23B43BD4" w14:textId="13BA644C" w:rsidR="00544F49" w:rsidRDefault="00544F49" w:rsidP="004210C8">
      <w:pPr>
        <w:pStyle w:val="Akapitzlist"/>
        <w:numPr>
          <w:ilvl w:val="0"/>
          <w:numId w:val="23"/>
        </w:numPr>
        <w:spacing w:line="288" w:lineRule="auto"/>
        <w:ind w:left="142" w:hanging="76"/>
        <w:rPr>
          <w:rFonts w:ascii="Open Sans" w:hAnsi="Open Sans" w:cs="Open Sans"/>
        </w:rPr>
      </w:pPr>
      <w:r>
        <w:rPr>
          <w:rFonts w:ascii="Open Sans" w:hAnsi="Open Sans" w:cs="Open Sans"/>
        </w:rPr>
        <w:t>d</w:t>
      </w:r>
      <w:r w:rsidRPr="00B4791D">
        <w:rPr>
          <w:rFonts w:ascii="Open Sans" w:hAnsi="Open Sans" w:cs="Open Sans"/>
        </w:rPr>
        <w:t xml:space="preserve">ostawca usługi </w:t>
      </w:r>
      <w:r>
        <w:rPr>
          <w:rFonts w:ascii="Open Sans" w:hAnsi="Open Sans" w:cs="Open Sans"/>
        </w:rPr>
        <w:t>energetycznej (firma ESCO)</w:t>
      </w:r>
      <w:r w:rsidRPr="00B4791D">
        <w:rPr>
          <w:rFonts w:ascii="Open Sans" w:hAnsi="Open Sans" w:cs="Open Sans"/>
        </w:rPr>
        <w:t xml:space="preserve"> zapewnia wykwalifikowany personel do realizacji projektu EPC - specjaliści dostawcy usługi posiadają odpowiednie kwalifikacje i</w:t>
      </w:r>
      <w:r w:rsidR="00007A5E">
        <w:rPr>
          <w:rFonts w:ascii="Open Sans" w:hAnsi="Open Sans" w:cs="Open Sans"/>
        </w:rPr>
        <w:t> </w:t>
      </w:r>
      <w:r w:rsidRPr="00B4791D">
        <w:rPr>
          <w:rFonts w:ascii="Open Sans" w:hAnsi="Open Sans" w:cs="Open Sans"/>
        </w:rPr>
        <w:t xml:space="preserve">zdolności związane z przygotowaniem i realizacją </w:t>
      </w:r>
      <w:r>
        <w:rPr>
          <w:rFonts w:ascii="Open Sans" w:hAnsi="Open Sans" w:cs="Open Sans"/>
        </w:rPr>
        <w:t>Umowy</w:t>
      </w:r>
      <w:r w:rsidRPr="00B4791D">
        <w:rPr>
          <w:rFonts w:ascii="Open Sans" w:hAnsi="Open Sans" w:cs="Open Sans"/>
        </w:rPr>
        <w:t xml:space="preserve"> EPC</w:t>
      </w:r>
      <w:r>
        <w:rPr>
          <w:rFonts w:ascii="Open Sans" w:hAnsi="Open Sans" w:cs="Open Sans"/>
        </w:rPr>
        <w:t xml:space="preserve"> – zarówno na okres realizacji inwestycji jak i na okres zarządzania energią;</w:t>
      </w:r>
    </w:p>
    <w:p w14:paraId="5467F8E0" w14:textId="3E359C55" w:rsidR="00544F49" w:rsidRDefault="50250066" w:rsidP="004210C8">
      <w:pPr>
        <w:pStyle w:val="Akapitzlist"/>
        <w:numPr>
          <w:ilvl w:val="0"/>
          <w:numId w:val="23"/>
        </w:numPr>
        <w:spacing w:line="288" w:lineRule="auto"/>
        <w:ind w:left="142" w:hanging="76"/>
        <w:rPr>
          <w:rFonts w:ascii="Open Sans" w:hAnsi="Open Sans" w:cs="Open Sans"/>
        </w:rPr>
      </w:pPr>
      <w:r w:rsidRPr="1131D883">
        <w:rPr>
          <w:rFonts w:ascii="Open Sans" w:hAnsi="Open Sans" w:cs="Open Sans"/>
        </w:rPr>
        <w:t>dostawca usługi energetycznej EPC (firma ESCO) oraz klient postępują zgodnie z</w:t>
      </w:r>
      <w:r w:rsidR="268BF14B" w:rsidRPr="1131D883">
        <w:rPr>
          <w:rFonts w:ascii="Open Sans" w:hAnsi="Open Sans" w:cs="Open Sans"/>
        </w:rPr>
        <w:t> </w:t>
      </w:r>
      <w:r w:rsidRPr="1131D883">
        <w:rPr>
          <w:rFonts w:ascii="Open Sans" w:hAnsi="Open Sans" w:cs="Open Sans"/>
        </w:rPr>
        <w:t>wszelkimi przepisami i obowiązującym w danym kraju prawem, w tym szczególnie przepis</w:t>
      </w:r>
      <w:r w:rsidR="2FCF3C88" w:rsidRPr="1131D883">
        <w:rPr>
          <w:rFonts w:ascii="Open Sans" w:hAnsi="Open Sans" w:cs="Open Sans"/>
        </w:rPr>
        <w:t>ami</w:t>
      </w:r>
      <w:r w:rsidRPr="1131D883">
        <w:rPr>
          <w:rFonts w:ascii="Open Sans" w:hAnsi="Open Sans" w:cs="Open Sans"/>
        </w:rPr>
        <w:t xml:space="preserve"> prawa budowlanego;</w:t>
      </w:r>
    </w:p>
    <w:p w14:paraId="33C38071" w14:textId="6B1B781E" w:rsidR="00544F49" w:rsidRDefault="50250066" w:rsidP="004210C8">
      <w:pPr>
        <w:pStyle w:val="Akapitzlist"/>
        <w:numPr>
          <w:ilvl w:val="0"/>
          <w:numId w:val="23"/>
        </w:numPr>
        <w:spacing w:line="288" w:lineRule="auto"/>
        <w:ind w:left="142" w:hanging="76"/>
        <w:rPr>
          <w:rFonts w:ascii="Open Sans" w:hAnsi="Open Sans" w:cs="Open Sans"/>
        </w:rPr>
      </w:pPr>
      <w:r w:rsidRPr="1131D883">
        <w:rPr>
          <w:rFonts w:ascii="Open Sans" w:hAnsi="Open Sans" w:cs="Open Sans"/>
        </w:rPr>
        <w:lastRenderedPageBreak/>
        <w:t>umowa EPC powinna przewidywać minimalny okres zarządzania energią, co do zasady,</w:t>
      </w:r>
      <w:r w:rsidRPr="004210C8">
        <w:rPr>
          <w:rFonts w:ascii="Open Sans" w:hAnsi="Open Sans" w:cs="Open Sans"/>
        </w:rPr>
        <w:t xml:space="preserve"> </w:t>
      </w:r>
      <w:r w:rsidRPr="1131D883">
        <w:rPr>
          <w:rFonts w:ascii="Open Sans" w:hAnsi="Open Sans" w:cs="Open Sans"/>
        </w:rPr>
        <w:t>do spłaty inwestycji z uzyskanych oszczędności energii</w:t>
      </w:r>
      <w:r w:rsidR="34905766" w:rsidRPr="1131D883">
        <w:rPr>
          <w:rFonts w:ascii="Open Sans" w:hAnsi="Open Sans" w:cs="Open Sans"/>
        </w:rPr>
        <w:t>,</w:t>
      </w:r>
      <w:r w:rsidRPr="1131D883">
        <w:rPr>
          <w:rFonts w:ascii="Open Sans" w:hAnsi="Open Sans" w:cs="Open Sans"/>
        </w:rPr>
        <w:t xml:space="preserve"> ale nie krócej niż pięcioletni okres trwałości opisany w </w:t>
      </w:r>
      <w:proofErr w:type="spellStart"/>
      <w:r w:rsidRPr="1131D883">
        <w:rPr>
          <w:rFonts w:ascii="Open Sans" w:hAnsi="Open Sans" w:cs="Open Sans"/>
        </w:rPr>
        <w:t>UoD</w:t>
      </w:r>
      <w:proofErr w:type="spellEnd"/>
      <w:r w:rsidRPr="1131D883">
        <w:rPr>
          <w:rFonts w:ascii="Open Sans" w:hAnsi="Open Sans" w:cs="Open Sans"/>
        </w:rPr>
        <w:t xml:space="preserve"> z NFOŚiGW;</w:t>
      </w:r>
    </w:p>
    <w:p w14:paraId="6E234B6F" w14:textId="6D250398" w:rsidR="00544F49" w:rsidRDefault="00544F49" w:rsidP="004210C8">
      <w:pPr>
        <w:pStyle w:val="Akapitzlist"/>
        <w:numPr>
          <w:ilvl w:val="0"/>
          <w:numId w:val="23"/>
        </w:numPr>
        <w:spacing w:line="288" w:lineRule="auto"/>
        <w:ind w:left="142" w:hanging="76"/>
        <w:rPr>
          <w:rFonts w:ascii="Open Sans" w:hAnsi="Open Sans" w:cs="Open Sans"/>
        </w:rPr>
      </w:pPr>
      <w:r>
        <w:rPr>
          <w:rFonts w:ascii="Open Sans" w:hAnsi="Open Sans" w:cs="Open Sans"/>
        </w:rPr>
        <w:t>umowa EPC powinna przewidywać, co najmniej raz na rok, procedurę raportowania, rozliczania uzyskiwania GOE pomiędzy stronami i pozostałych warunków umowy o</w:t>
      </w:r>
      <w:r w:rsidR="007605FA">
        <w:rPr>
          <w:rFonts w:ascii="Open Sans" w:hAnsi="Open Sans" w:cs="Open Sans"/>
        </w:rPr>
        <w:t> </w:t>
      </w:r>
      <w:r>
        <w:rPr>
          <w:rFonts w:ascii="Open Sans" w:hAnsi="Open Sans" w:cs="Open Sans"/>
        </w:rPr>
        <w:t>zarządzanie energią w budynku z zapewnieniem obowiązywania przynajmniej do końca minimalnego okresu zarządzania energią;</w:t>
      </w:r>
    </w:p>
    <w:p w14:paraId="5B11E01A" w14:textId="045ABB8C" w:rsidR="00544F49" w:rsidRDefault="50250066" w:rsidP="004210C8">
      <w:pPr>
        <w:pStyle w:val="Akapitzlist"/>
        <w:numPr>
          <w:ilvl w:val="0"/>
          <w:numId w:val="23"/>
        </w:numPr>
        <w:spacing w:line="288" w:lineRule="auto"/>
        <w:ind w:left="142" w:hanging="76"/>
        <w:rPr>
          <w:rFonts w:ascii="Open Sans" w:hAnsi="Open Sans" w:cs="Open Sans"/>
        </w:rPr>
      </w:pPr>
      <w:r w:rsidRPr="1131D883">
        <w:rPr>
          <w:rFonts w:ascii="Open Sans" w:hAnsi="Open Sans" w:cs="Open Sans"/>
        </w:rPr>
        <w:t>w przypadku ewentualnych sporów np. związanych z rozliczaniem GOE, umowa EPC, powinna uwzględniać mniejsze doświadczenie ze strony beneficjenta</w:t>
      </w:r>
      <w:r w:rsidR="41ADA2B6" w:rsidRPr="1131D883">
        <w:rPr>
          <w:rFonts w:ascii="Open Sans" w:hAnsi="Open Sans" w:cs="Open Sans"/>
        </w:rPr>
        <w:t>,</w:t>
      </w:r>
      <w:r w:rsidRPr="1131D883">
        <w:rPr>
          <w:rFonts w:ascii="Open Sans" w:hAnsi="Open Sans" w:cs="Open Sans"/>
        </w:rPr>
        <w:t xml:space="preserve"> które może być zrównoważone poprzez wyspecjalizowaną firmę doradczą.</w:t>
      </w:r>
    </w:p>
    <w:p w14:paraId="57CF2C2C" w14:textId="67519F19" w:rsidR="00544F49" w:rsidRPr="00743593" w:rsidRDefault="00544F49" w:rsidP="00317C89">
      <w:pPr>
        <w:spacing w:line="288" w:lineRule="auto"/>
        <w:rPr>
          <w:rFonts w:ascii="Open Sans" w:hAnsi="Open Sans" w:cs="Open Sans"/>
        </w:rPr>
      </w:pPr>
      <w:r w:rsidRPr="00743593">
        <w:rPr>
          <w:rFonts w:ascii="Open Sans" w:hAnsi="Open Sans" w:cs="Open Sans"/>
        </w:rPr>
        <w:t xml:space="preserve">Umowa EPC (lub kilka umów EPC) i </w:t>
      </w:r>
      <w:r w:rsidR="00E52A8E" w:rsidRPr="00743593">
        <w:rPr>
          <w:rFonts w:ascii="Open Sans" w:hAnsi="Open Sans" w:cs="Open Sans"/>
        </w:rPr>
        <w:t xml:space="preserve">umowy o </w:t>
      </w:r>
      <w:r w:rsidR="00E80A7A" w:rsidRPr="00743593">
        <w:rPr>
          <w:rFonts w:ascii="Open Sans" w:hAnsi="Open Sans" w:cs="Open Sans"/>
        </w:rPr>
        <w:t>wsparcie</w:t>
      </w:r>
      <w:r w:rsidR="00E52A8E" w:rsidRPr="00743593">
        <w:rPr>
          <w:rFonts w:ascii="Open Sans" w:hAnsi="Open Sans" w:cs="Open Sans"/>
        </w:rPr>
        <w:t xml:space="preserve"> </w:t>
      </w:r>
      <w:r w:rsidR="00676698" w:rsidRPr="00743593">
        <w:rPr>
          <w:rFonts w:ascii="Open Sans" w:hAnsi="Open Sans" w:cs="Open Sans"/>
        </w:rPr>
        <w:t xml:space="preserve">zawarte w ramach instrumentu finansowego </w:t>
      </w:r>
      <w:proofErr w:type="spellStart"/>
      <w:r w:rsidR="005A6088" w:rsidRPr="00743593">
        <w:rPr>
          <w:rFonts w:ascii="Open Sans" w:hAnsi="Open Sans" w:cs="Open Sans"/>
        </w:rPr>
        <w:t>FEnIKS</w:t>
      </w:r>
      <w:proofErr w:type="spellEnd"/>
      <w:r w:rsidR="005A6088" w:rsidRPr="00743593">
        <w:rPr>
          <w:rFonts w:ascii="Open Sans" w:hAnsi="Open Sans" w:cs="Open Sans"/>
        </w:rPr>
        <w:t xml:space="preserve"> jako</w:t>
      </w:r>
      <w:r w:rsidRPr="00743593">
        <w:rPr>
          <w:rFonts w:ascii="Open Sans" w:hAnsi="Open Sans" w:cs="Open Sans"/>
        </w:rPr>
        <w:t xml:space="preserve"> związane z realizacją tego samego przedsięwzięcia są współzależne i opisują t</w:t>
      </w:r>
      <w:r w:rsidR="005A6088" w:rsidRPr="00743593">
        <w:rPr>
          <w:rFonts w:ascii="Open Sans" w:hAnsi="Open Sans" w:cs="Open Sans"/>
        </w:rPr>
        <w:t>ę</w:t>
      </w:r>
      <w:r w:rsidRPr="00743593">
        <w:rPr>
          <w:rFonts w:ascii="Open Sans" w:hAnsi="Open Sans" w:cs="Open Sans"/>
        </w:rPr>
        <w:t xml:space="preserve"> samą inwestycję. W przypadku występowania konieczności aktualizacji podstawowych parametrów inwestycji na kolejnych etapach realizacji np.: kosztów, efektów, terminów czy zakresu rzeczowego, NFOŚiGW wymagać będzie każdorazowo, pod warunkiem nawet utraty dofinansowania, doprowadzania ww. umów do wewnętrznej spójności w ww. zakresie, co nie oznacza tożsamości efektów ekologicznych w umowie z NFOŚiGW i GOE ujętej w umowie EPC. Na etapie ewentualnej każdej zmiany warunków realizacji ww. Umów, NFOŚiGW zastrzega sobie prawo weryfikacji czy przedsięwzięcie nadal spełnia wymagania (kryteria) określone w naborze. </w:t>
      </w:r>
    </w:p>
    <w:p w14:paraId="47317074" w14:textId="78628584" w:rsidR="00743593" w:rsidRPr="00743593" w:rsidRDefault="74BAC6A5" w:rsidP="00317C89">
      <w:pPr>
        <w:spacing w:line="288" w:lineRule="auto"/>
        <w:rPr>
          <w:rFonts w:ascii="Open Sans" w:hAnsi="Open Sans" w:cs="Open Sans"/>
        </w:rPr>
      </w:pPr>
      <w:r w:rsidRPr="1131D883">
        <w:rPr>
          <w:rFonts w:ascii="Open Sans" w:hAnsi="Open Sans" w:cs="Open Sans"/>
        </w:rPr>
        <w:t>Zawarta umowa EPC musi zostać przesłana do NFOŚiGW wraz z oświadczeniem o</w:t>
      </w:r>
      <w:r w:rsidR="00200377">
        <w:rPr>
          <w:rFonts w:ascii="Open Sans" w:hAnsi="Open Sans" w:cs="Open Sans"/>
        </w:rPr>
        <w:t> </w:t>
      </w:r>
      <w:r w:rsidRPr="1131D883">
        <w:rPr>
          <w:rFonts w:ascii="Open Sans" w:hAnsi="Open Sans" w:cs="Open Sans"/>
        </w:rPr>
        <w:t>spełnieniu powyższych warunków</w:t>
      </w:r>
      <w:r w:rsidR="1F290D49" w:rsidRPr="1131D883">
        <w:rPr>
          <w:rFonts w:ascii="Open Sans" w:hAnsi="Open Sans" w:cs="Open Sans"/>
        </w:rPr>
        <w:t>,</w:t>
      </w:r>
      <w:r w:rsidRPr="1131D883">
        <w:rPr>
          <w:rFonts w:ascii="Open Sans" w:hAnsi="Open Sans" w:cs="Open Sans"/>
        </w:rPr>
        <w:t xml:space="preserve"> które będą obowiązywać przynajmniej do końca okresu trwałości projektu wynikającego z umowy o dofinansowanie ze środków UE dla danego przedsięwzięcia.</w:t>
      </w:r>
    </w:p>
    <w:p w14:paraId="1BD20731" w14:textId="4D00CA44" w:rsidR="00906463" w:rsidRPr="007257EE" w:rsidRDefault="50250066" w:rsidP="00317C89">
      <w:pPr>
        <w:spacing w:line="288" w:lineRule="auto"/>
        <w:rPr>
          <w:rFonts w:ascii="Open Sans" w:hAnsi="Open Sans" w:cs="Open Sans"/>
        </w:rPr>
      </w:pPr>
      <w:r w:rsidRPr="1131D883">
        <w:rPr>
          <w:rFonts w:ascii="Open Sans" w:hAnsi="Open Sans" w:cs="Open Sans"/>
        </w:rPr>
        <w:t>Umowa EPC powinna automatycznie i każdorazowo uwzględniać wydłużenie okresu minimalnego zarządzania energią</w:t>
      </w:r>
      <w:r w:rsidR="17632870" w:rsidRPr="1131D883">
        <w:rPr>
          <w:rFonts w:ascii="Open Sans" w:hAnsi="Open Sans" w:cs="Open Sans"/>
        </w:rPr>
        <w:t>,</w:t>
      </w:r>
      <w:r w:rsidRPr="1131D883">
        <w:rPr>
          <w:rFonts w:ascii="Open Sans" w:hAnsi="Open Sans" w:cs="Open Sans"/>
        </w:rPr>
        <w:t xml:space="preserve"> jeśli z dowolnych przyczyn występuje zmiana terminu zakończenia realizacji w </w:t>
      </w:r>
      <w:r w:rsidR="24CE84B9" w:rsidRPr="1131D883">
        <w:rPr>
          <w:rFonts w:ascii="Open Sans" w:hAnsi="Open Sans" w:cs="Open Sans"/>
        </w:rPr>
        <w:t>u</w:t>
      </w:r>
      <w:r w:rsidRPr="1131D883">
        <w:rPr>
          <w:rFonts w:ascii="Open Sans" w:hAnsi="Open Sans" w:cs="Open Sans"/>
        </w:rPr>
        <w:t xml:space="preserve">mowie o </w:t>
      </w:r>
      <w:r w:rsidR="79CEDF3C" w:rsidRPr="007F4982">
        <w:rPr>
          <w:rFonts w:ascii="Open Sans" w:hAnsi="Open Sans" w:cs="Open Sans"/>
        </w:rPr>
        <w:t>wsparcie</w:t>
      </w:r>
      <w:r w:rsidRPr="007F4982">
        <w:rPr>
          <w:rFonts w:ascii="Open Sans" w:hAnsi="Open Sans" w:cs="Open Sans"/>
        </w:rPr>
        <w:t>. Koszty związane z zarządzaniem energi</w:t>
      </w:r>
      <w:r w:rsidR="11922FDC" w:rsidRPr="007F4982">
        <w:rPr>
          <w:rFonts w:ascii="Open Sans" w:hAnsi="Open Sans" w:cs="Open Sans"/>
        </w:rPr>
        <w:t>ą</w:t>
      </w:r>
      <w:r w:rsidRPr="007F4982">
        <w:rPr>
          <w:rFonts w:ascii="Open Sans" w:hAnsi="Open Sans" w:cs="Open Sans"/>
        </w:rPr>
        <w:t xml:space="preserve"> i utrzymaniem technicznym przez firmę ESCO na etapie zarządzania energią, nie są kosztami kwalifikowanymi a w zakres usług mogą wchodzić nie tylko zarządzanie energią,</w:t>
      </w:r>
      <w:r w:rsidRPr="1131D883">
        <w:rPr>
          <w:rFonts w:ascii="Open Sans" w:hAnsi="Open Sans" w:cs="Open Sans"/>
        </w:rPr>
        <w:t xml:space="preserve"> ale też konserwacja i naprawa urządzeń itp.</w:t>
      </w:r>
    </w:p>
    <w:p w14:paraId="4A1AC2E7" w14:textId="77777777" w:rsidR="00544F49" w:rsidRPr="00ED2A40" w:rsidRDefault="00544F49" w:rsidP="00317C89">
      <w:pPr>
        <w:spacing w:line="288" w:lineRule="auto"/>
        <w:rPr>
          <w:rFonts w:ascii="Open Sans" w:hAnsi="Open Sans" w:cs="Open Sans"/>
        </w:rPr>
      </w:pPr>
      <w:r w:rsidRPr="00ED2A40">
        <w:rPr>
          <w:rFonts w:ascii="Open Sans" w:hAnsi="Open Sans" w:cs="Open Sans"/>
          <w:b/>
          <w:bCs/>
        </w:rPr>
        <w:t>Rozliczenie uzyskanego dofinansowania</w:t>
      </w:r>
      <w:r>
        <w:rPr>
          <w:rFonts w:ascii="Open Sans" w:hAnsi="Open Sans" w:cs="Open Sans"/>
          <w:b/>
          <w:bCs/>
        </w:rPr>
        <w:t xml:space="preserve"> przedsięwzięcia realizowanego w formule ESCO/EPC</w:t>
      </w:r>
      <w:r w:rsidRPr="00ED2A40">
        <w:rPr>
          <w:rFonts w:ascii="Open Sans" w:hAnsi="Open Sans" w:cs="Open Sans"/>
          <w:b/>
          <w:bCs/>
        </w:rPr>
        <w:t xml:space="preserve"> z NFOŚiGW</w:t>
      </w:r>
      <w:r>
        <w:rPr>
          <w:rFonts w:ascii="Open Sans" w:hAnsi="Open Sans" w:cs="Open Sans"/>
        </w:rPr>
        <w:t>.</w:t>
      </w:r>
    </w:p>
    <w:p w14:paraId="7FB3EBC2" w14:textId="6B88324E" w:rsidR="00544F49" w:rsidRDefault="00544F49" w:rsidP="00317C89">
      <w:pPr>
        <w:spacing w:line="288" w:lineRule="auto"/>
        <w:rPr>
          <w:rFonts w:ascii="Open Sans" w:hAnsi="Open Sans" w:cs="Open Sans"/>
        </w:rPr>
      </w:pPr>
      <w:r w:rsidRPr="00A8734B">
        <w:rPr>
          <w:rFonts w:ascii="Open Sans" w:hAnsi="Open Sans" w:cs="Open Sans"/>
        </w:rPr>
        <w:t xml:space="preserve">Rozliczenie </w:t>
      </w:r>
      <w:r>
        <w:rPr>
          <w:rFonts w:ascii="Open Sans" w:hAnsi="Open Sans" w:cs="Open Sans"/>
        </w:rPr>
        <w:t>dofinansowania</w:t>
      </w:r>
      <w:r w:rsidRPr="00A8734B">
        <w:rPr>
          <w:rFonts w:ascii="Open Sans" w:hAnsi="Open Sans" w:cs="Open Sans"/>
        </w:rPr>
        <w:t xml:space="preserve"> z NFOŚiGW realizowane byłoby po zakończeniu inwestycji na podstawie</w:t>
      </w:r>
      <w:r>
        <w:rPr>
          <w:rFonts w:ascii="Open Sans" w:hAnsi="Open Sans" w:cs="Open Sans"/>
        </w:rPr>
        <w:t xml:space="preserve"> wymaganych dokumentów określonych w </w:t>
      </w:r>
      <w:r w:rsidR="000F16F7">
        <w:rPr>
          <w:rFonts w:ascii="Open Sans" w:hAnsi="Open Sans" w:cs="Open Sans"/>
        </w:rPr>
        <w:t>umowie o wsparcie</w:t>
      </w:r>
      <w:r>
        <w:rPr>
          <w:rFonts w:ascii="Open Sans" w:hAnsi="Open Sans" w:cs="Open Sans"/>
        </w:rPr>
        <w:t xml:space="preserve">, w tym: </w:t>
      </w:r>
      <w:r w:rsidRPr="00A8734B">
        <w:rPr>
          <w:rFonts w:ascii="Open Sans" w:hAnsi="Open Sans" w:cs="Open Sans"/>
        </w:rPr>
        <w:lastRenderedPageBreak/>
        <w:t>protokołów końcowych prac, powykonawczego audytu ex-post i wykonanego SCHE (Świadectwo</w:t>
      </w:r>
      <w:r>
        <w:rPr>
          <w:rFonts w:ascii="Open Sans" w:hAnsi="Open Sans" w:cs="Open Sans"/>
        </w:rPr>
        <w:t xml:space="preserve"> </w:t>
      </w:r>
      <w:r w:rsidRPr="00A8734B">
        <w:rPr>
          <w:rFonts w:ascii="Open Sans" w:hAnsi="Open Sans" w:cs="Open Sans"/>
        </w:rPr>
        <w:t>Charakterystyki Energetycznej</w:t>
      </w:r>
      <w:r w:rsidR="00906F6C">
        <w:rPr>
          <w:rFonts w:ascii="Open Sans" w:hAnsi="Open Sans" w:cs="Open Sans"/>
        </w:rPr>
        <w:t xml:space="preserve"> wykonanego zgodnie z aktualnym na czas jego wykonywania</w:t>
      </w:r>
      <w:r w:rsidR="00906F6C" w:rsidRPr="00906F6C">
        <w:rPr>
          <w:rFonts w:ascii="Open Sans" w:hAnsi="Open Sans" w:cs="Open Sans"/>
        </w:rPr>
        <w:t xml:space="preserve"> rozporządzenie</w:t>
      </w:r>
      <w:r w:rsidR="00906F6C">
        <w:rPr>
          <w:rFonts w:ascii="Open Sans" w:hAnsi="Open Sans" w:cs="Open Sans"/>
        </w:rPr>
        <w:t>m</w:t>
      </w:r>
      <w:r w:rsidR="00906F6C" w:rsidRPr="00906F6C">
        <w:rPr>
          <w:rFonts w:ascii="Open Sans" w:hAnsi="Open Sans" w:cs="Open Sans"/>
        </w:rPr>
        <w:t xml:space="preserve"> w sprawie metodologii wyznaczania charakterystyki energetycznej budynku</w:t>
      </w:r>
      <w:r w:rsidR="00906F6C">
        <w:rPr>
          <w:rFonts w:ascii="Open Sans" w:hAnsi="Open Sans" w:cs="Open Sans"/>
        </w:rPr>
        <w:t xml:space="preserve"> </w:t>
      </w:r>
      <w:r w:rsidR="00906F6C" w:rsidRPr="00906F6C">
        <w:rPr>
          <w:rFonts w:ascii="Open Sans" w:hAnsi="Open Sans" w:cs="Open Sans"/>
        </w:rPr>
        <w:t>lub części budynku oraz świadectw charakterystyki energetycznej</w:t>
      </w:r>
      <w:r w:rsidRPr="00A8734B">
        <w:rPr>
          <w:rFonts w:ascii="Open Sans" w:hAnsi="Open Sans" w:cs="Open Sans"/>
        </w:rPr>
        <w:t>) potwierdzającego realizację inwestycji zgodnie z Umową</w:t>
      </w:r>
      <w:r>
        <w:rPr>
          <w:rFonts w:ascii="Open Sans" w:hAnsi="Open Sans" w:cs="Open Sans"/>
        </w:rPr>
        <w:t xml:space="preserve"> </w:t>
      </w:r>
      <w:r w:rsidRPr="00A8734B">
        <w:rPr>
          <w:rFonts w:ascii="Open Sans" w:hAnsi="Open Sans" w:cs="Open Sans"/>
        </w:rPr>
        <w:t>o dofinansowanie</w:t>
      </w:r>
      <w:r>
        <w:rPr>
          <w:rFonts w:ascii="Open Sans" w:hAnsi="Open Sans" w:cs="Open Sans"/>
        </w:rPr>
        <w:t xml:space="preserve"> z NFOŚiGW. Weryfikacja SCHE odbywa się w zakresie: osiągnięcia standardu po modernizacji, wyrażonego poprzez</w:t>
      </w:r>
      <w:r w:rsidR="00906F6C">
        <w:rPr>
          <w:rFonts w:ascii="Open Sans" w:hAnsi="Open Sans" w:cs="Open Sans"/>
        </w:rPr>
        <w:t xml:space="preserve"> wskaźnik</w:t>
      </w:r>
      <w:r>
        <w:rPr>
          <w:rFonts w:ascii="Open Sans" w:hAnsi="Open Sans" w:cs="Open Sans"/>
        </w:rPr>
        <w:t xml:space="preserve"> zapotrzebowanie budynku na energię końcową, któr</w:t>
      </w:r>
      <w:r w:rsidR="00906F6C">
        <w:rPr>
          <w:rFonts w:ascii="Open Sans" w:hAnsi="Open Sans" w:cs="Open Sans"/>
        </w:rPr>
        <w:t>y</w:t>
      </w:r>
      <w:r>
        <w:rPr>
          <w:rFonts w:ascii="Open Sans" w:hAnsi="Open Sans" w:cs="Open Sans"/>
        </w:rPr>
        <w:t xml:space="preserve"> powin</w:t>
      </w:r>
      <w:r w:rsidR="00906F6C">
        <w:rPr>
          <w:rFonts w:ascii="Open Sans" w:hAnsi="Open Sans" w:cs="Open Sans"/>
        </w:rPr>
        <w:t>ien</w:t>
      </w:r>
      <w:r>
        <w:rPr>
          <w:rFonts w:ascii="Open Sans" w:hAnsi="Open Sans" w:cs="Open Sans"/>
        </w:rPr>
        <w:t xml:space="preserve"> być nie gorsz</w:t>
      </w:r>
      <w:r w:rsidR="00906F6C">
        <w:rPr>
          <w:rFonts w:ascii="Open Sans" w:hAnsi="Open Sans" w:cs="Open Sans"/>
        </w:rPr>
        <w:t>y</w:t>
      </w:r>
      <w:r>
        <w:rPr>
          <w:rFonts w:ascii="Open Sans" w:hAnsi="Open Sans" w:cs="Open Sans"/>
        </w:rPr>
        <w:t xml:space="preserve">, niż określono w audycie ex-post, potwierdzającym osiągnięcie wskaźników z </w:t>
      </w:r>
      <w:r w:rsidR="0012507D">
        <w:rPr>
          <w:rFonts w:ascii="Open Sans" w:hAnsi="Open Sans" w:cs="Open Sans"/>
        </w:rPr>
        <w:t>umowy o wsparcie</w:t>
      </w:r>
      <w:r>
        <w:rPr>
          <w:rFonts w:ascii="Open Sans" w:hAnsi="Open Sans" w:cs="Open Sans"/>
        </w:rPr>
        <w:t>.</w:t>
      </w:r>
    </w:p>
    <w:p w14:paraId="34687B7F" w14:textId="77777777" w:rsidR="00544F49" w:rsidRDefault="00544F49" w:rsidP="00317C89">
      <w:pPr>
        <w:spacing w:line="288" w:lineRule="auto"/>
        <w:rPr>
          <w:rFonts w:ascii="Open Sans" w:hAnsi="Open Sans" w:cs="Open Sans"/>
        </w:rPr>
      </w:pPr>
      <w:r>
        <w:rPr>
          <w:rFonts w:ascii="Open Sans" w:hAnsi="Open Sans" w:cs="Open Sans"/>
        </w:rPr>
        <w:t>Pozostałe parametry określone w SCHE powykonawczym uznaje się, że mogą (ze względu na ewentualne różnice metodologiczne, aktualizacje założeń i czas wykonania dokumentu) odbiegać od parametrów określonych w audycie ex-post (który co do zasady odnosi się do metodologii użytej w audycie ex-</w:t>
      </w:r>
      <w:proofErr w:type="spellStart"/>
      <w:r>
        <w:rPr>
          <w:rFonts w:ascii="Open Sans" w:hAnsi="Open Sans" w:cs="Open Sans"/>
        </w:rPr>
        <w:t>ante</w:t>
      </w:r>
      <w:proofErr w:type="spellEnd"/>
      <w:r>
        <w:rPr>
          <w:rFonts w:ascii="Open Sans" w:hAnsi="Open Sans" w:cs="Open Sans"/>
        </w:rPr>
        <w:t>).</w:t>
      </w:r>
    </w:p>
    <w:p w14:paraId="6F06FB15" w14:textId="33F50B05" w:rsidR="006E237B" w:rsidRDefault="00544F49" w:rsidP="00317C89">
      <w:pPr>
        <w:spacing w:after="2640" w:line="288" w:lineRule="auto"/>
        <w:rPr>
          <w:rFonts w:ascii="Open Sans" w:hAnsi="Open Sans" w:cs="Open Sans"/>
        </w:rPr>
      </w:pPr>
      <w:r w:rsidRPr="00A8734B">
        <w:rPr>
          <w:rFonts w:ascii="Open Sans" w:hAnsi="Open Sans" w:cs="Open Sans"/>
        </w:rPr>
        <w:t xml:space="preserve">Dodatkowo na mocy zapisów w umowie </w:t>
      </w:r>
      <w:r>
        <w:rPr>
          <w:rFonts w:ascii="Open Sans" w:hAnsi="Open Sans" w:cs="Open Sans"/>
        </w:rPr>
        <w:t>o poprawę efektywności energetycznej</w:t>
      </w:r>
      <w:r w:rsidRPr="00A8734B">
        <w:rPr>
          <w:rFonts w:ascii="Open Sans" w:hAnsi="Open Sans" w:cs="Open Sans"/>
        </w:rPr>
        <w:t xml:space="preserve"> (Umowa EPC)</w:t>
      </w:r>
      <w:r>
        <w:rPr>
          <w:rFonts w:ascii="Open Sans" w:hAnsi="Open Sans" w:cs="Open Sans"/>
        </w:rPr>
        <w:t xml:space="preserve"> lub dodatkowej umowie</w:t>
      </w:r>
      <w:r w:rsidRPr="00A8734B">
        <w:rPr>
          <w:rFonts w:ascii="Open Sans" w:hAnsi="Open Sans" w:cs="Open Sans"/>
        </w:rPr>
        <w:t>,</w:t>
      </w:r>
      <w:r>
        <w:rPr>
          <w:rFonts w:ascii="Open Sans" w:hAnsi="Open Sans" w:cs="Open Sans"/>
        </w:rPr>
        <w:t xml:space="preserve"> </w:t>
      </w:r>
      <w:r w:rsidRPr="00A8734B">
        <w:rPr>
          <w:rFonts w:ascii="Open Sans" w:hAnsi="Open Sans" w:cs="Open Sans"/>
        </w:rPr>
        <w:t>pomiędzy Beneficjentem a firmą ESCO, wprowadzone byłoby obligatoryjne zobowiązanie zarządzania</w:t>
      </w:r>
      <w:r>
        <w:rPr>
          <w:rFonts w:ascii="Open Sans" w:hAnsi="Open Sans" w:cs="Open Sans"/>
        </w:rPr>
        <w:t xml:space="preserve"> </w:t>
      </w:r>
      <w:r w:rsidRPr="00A8734B">
        <w:rPr>
          <w:rFonts w:ascii="Open Sans" w:hAnsi="Open Sans" w:cs="Open Sans"/>
        </w:rPr>
        <w:t>energią przez firmę ESCO w budynkach</w:t>
      </w:r>
      <w:r w:rsidR="00906F6C" w:rsidRPr="00906F6C">
        <w:t xml:space="preserve"> </w:t>
      </w:r>
      <w:r w:rsidR="00906F6C" w:rsidRPr="00906F6C">
        <w:rPr>
          <w:rFonts w:ascii="Open Sans" w:hAnsi="Open Sans" w:cs="Open Sans"/>
        </w:rPr>
        <w:t>z uwzględnieniem minimalnego okresu zarządzania energią</w:t>
      </w:r>
      <w:r w:rsidRPr="00A8734B">
        <w:rPr>
          <w:rFonts w:ascii="Open Sans" w:hAnsi="Open Sans" w:cs="Open Sans"/>
        </w:rPr>
        <w:t>,</w:t>
      </w:r>
      <w:r>
        <w:rPr>
          <w:rFonts w:ascii="Open Sans" w:hAnsi="Open Sans" w:cs="Open Sans"/>
        </w:rPr>
        <w:t xml:space="preserve"> </w:t>
      </w:r>
      <w:r w:rsidRPr="00A8734B">
        <w:rPr>
          <w:rFonts w:ascii="Open Sans" w:hAnsi="Open Sans" w:cs="Open Sans"/>
        </w:rPr>
        <w:t>co pozwalałoby zapewnić coroczne osiąganie Gwarantowanej Oszczędności Energii (GOE).</w:t>
      </w:r>
      <w:r>
        <w:rPr>
          <w:rFonts w:ascii="Open Sans" w:hAnsi="Open Sans" w:cs="Open Sans"/>
        </w:rPr>
        <w:t xml:space="preserve"> </w:t>
      </w:r>
      <w:r w:rsidRPr="00E532EE">
        <w:rPr>
          <w:rFonts w:ascii="Open Sans" w:hAnsi="Open Sans" w:cs="Open Sans"/>
        </w:rPr>
        <w:t>Osiągnięcie gwarantowanej oszczędności energii przedsiębiorstwo ESCO rozlicza przed Beneficjentem po pierwszym</w:t>
      </w:r>
      <w:r>
        <w:rPr>
          <w:rFonts w:ascii="Open Sans" w:hAnsi="Open Sans" w:cs="Open Sans"/>
        </w:rPr>
        <w:t xml:space="preserve"> i kolejnym</w:t>
      </w:r>
      <w:r w:rsidRPr="00E532EE">
        <w:rPr>
          <w:rFonts w:ascii="Open Sans" w:hAnsi="Open Sans" w:cs="Open Sans"/>
        </w:rPr>
        <w:t xml:space="preserve"> roku zarządzania energią z zachowaniem zasad określonych i ustalonych w umowie pomiędzy Beneficjentem a przedsiębiorstwem ESCO na podstawie raportu</w:t>
      </w:r>
      <w:r>
        <w:rPr>
          <w:rFonts w:ascii="Open Sans" w:hAnsi="Open Sans" w:cs="Open Sans"/>
        </w:rPr>
        <w:t>.</w:t>
      </w:r>
    </w:p>
    <w:p w14:paraId="5045E8BE" w14:textId="522B716A" w:rsidR="00944D22" w:rsidRPr="004752BD" w:rsidRDefault="00FB510B" w:rsidP="00317C89">
      <w:pPr>
        <w:pBdr>
          <w:top w:val="single" w:sz="4" w:space="1" w:color="auto"/>
          <w:left w:val="single" w:sz="4" w:space="4" w:color="auto"/>
          <w:bottom w:val="single" w:sz="4" w:space="1" w:color="auto"/>
          <w:right w:val="single" w:sz="4" w:space="4" w:color="auto"/>
        </w:pBdr>
        <w:spacing w:line="288" w:lineRule="auto"/>
        <w:rPr>
          <w:rFonts w:ascii="Open Sans" w:hAnsi="Open Sans" w:cs="Open Sans"/>
          <w:b/>
          <w:bCs/>
        </w:rPr>
      </w:pPr>
      <w:r>
        <w:rPr>
          <w:rFonts w:ascii="Open Sans" w:hAnsi="Open Sans" w:cs="Open Sans"/>
          <w:b/>
          <w:bCs/>
        </w:rPr>
        <w:t xml:space="preserve">II. </w:t>
      </w:r>
      <w:r w:rsidR="00DD1953" w:rsidRPr="004752BD">
        <w:rPr>
          <w:rFonts w:ascii="Open Sans" w:hAnsi="Open Sans" w:cs="Open Sans"/>
          <w:b/>
          <w:bCs/>
        </w:rPr>
        <w:t>Katalog Kosztów kwalifikowanych prac wynikających z opracowan</w:t>
      </w:r>
      <w:r w:rsidR="00EC5534">
        <w:rPr>
          <w:rFonts w:ascii="Open Sans" w:hAnsi="Open Sans" w:cs="Open Sans"/>
          <w:b/>
          <w:bCs/>
        </w:rPr>
        <w:t>ego</w:t>
      </w:r>
      <w:r w:rsidR="00DD1953" w:rsidRPr="004752BD">
        <w:rPr>
          <w:rFonts w:ascii="Open Sans" w:hAnsi="Open Sans" w:cs="Open Sans"/>
          <w:b/>
          <w:bCs/>
        </w:rPr>
        <w:t xml:space="preserve"> audytu energetycznego ex-</w:t>
      </w:r>
      <w:proofErr w:type="spellStart"/>
      <w:r w:rsidR="00DD1953" w:rsidRPr="004752BD">
        <w:rPr>
          <w:rFonts w:ascii="Open Sans" w:hAnsi="Open Sans" w:cs="Open Sans"/>
          <w:b/>
          <w:bCs/>
        </w:rPr>
        <w:t>ante</w:t>
      </w:r>
      <w:proofErr w:type="spellEnd"/>
      <w:r w:rsidR="00B17AA0">
        <w:rPr>
          <w:rFonts w:ascii="Open Sans" w:hAnsi="Open Sans" w:cs="Open Sans"/>
          <w:b/>
          <w:bCs/>
        </w:rPr>
        <w:t xml:space="preserve"> w projektach termomodernizacyjnych współfinansowanych ze środków europejskich</w:t>
      </w:r>
      <w:r w:rsidR="00B17AA0" w:rsidRPr="00B17AA0">
        <w:rPr>
          <w:rFonts w:ascii="Open Sans" w:hAnsi="Open Sans" w:cs="Open Sans"/>
          <w:b/>
          <w:bCs/>
        </w:rPr>
        <w:t xml:space="preserve"> w ramach Programu Fundusze Europejskie na Infrastrukturę, Klimat, Środowisko 2021-2027</w:t>
      </w:r>
      <w:r w:rsidR="00DD1953" w:rsidRPr="004752BD">
        <w:rPr>
          <w:rFonts w:ascii="Open Sans" w:hAnsi="Open Sans" w:cs="Open Sans"/>
          <w:b/>
          <w:bCs/>
        </w:rPr>
        <w:t xml:space="preserve">. </w:t>
      </w:r>
    </w:p>
    <w:p w14:paraId="40D7CCB1" w14:textId="77777777" w:rsidR="004D1C2F" w:rsidRPr="004D1C2F" w:rsidRDefault="004D1C2F" w:rsidP="00317C89">
      <w:pPr>
        <w:spacing w:line="288" w:lineRule="auto"/>
        <w:rPr>
          <w:rFonts w:ascii="Open Sans" w:hAnsi="Open Sans" w:cs="Open Sans"/>
          <w:b/>
          <w:bCs/>
        </w:rPr>
      </w:pPr>
      <w:r w:rsidRPr="004D1C2F">
        <w:rPr>
          <w:rFonts w:ascii="Open Sans" w:hAnsi="Open Sans" w:cs="Open Sans"/>
          <w:b/>
          <w:bCs/>
        </w:rPr>
        <w:t>Wstęp</w:t>
      </w:r>
    </w:p>
    <w:p w14:paraId="28A90D92" w14:textId="325C687F" w:rsidR="004D1C2F" w:rsidRPr="004D1C2F" w:rsidRDefault="18100E54" w:rsidP="00317C89">
      <w:pPr>
        <w:spacing w:line="288" w:lineRule="auto"/>
        <w:rPr>
          <w:rFonts w:ascii="Open Sans" w:hAnsi="Open Sans" w:cs="Open Sans"/>
        </w:rPr>
      </w:pPr>
      <w:r w:rsidRPr="1131D883">
        <w:rPr>
          <w:rFonts w:ascii="Open Sans" w:hAnsi="Open Sans" w:cs="Open Sans"/>
        </w:rPr>
        <w:lastRenderedPageBreak/>
        <w:t>Katalog obejmuje zakres robót stanowiących integralną część projektu, służących do osiągni</w:t>
      </w:r>
      <w:r w:rsidR="598DEB3A" w:rsidRPr="1131D883">
        <w:rPr>
          <w:rFonts w:ascii="Open Sans" w:hAnsi="Open Sans" w:cs="Open Sans"/>
        </w:rPr>
        <w:t>ę</w:t>
      </w:r>
      <w:r w:rsidRPr="1131D883">
        <w:rPr>
          <w:rFonts w:ascii="Open Sans" w:hAnsi="Open Sans" w:cs="Open Sans"/>
        </w:rPr>
        <w:t xml:space="preserve">cia celu projektu w postaci oszczędności energii, redukcji emisji CO2, osiągnięciu lepszego standardu energetycznego budynku i podwyższenia standardu </w:t>
      </w:r>
      <w:proofErr w:type="spellStart"/>
      <w:r w:rsidRPr="1131D883">
        <w:rPr>
          <w:rFonts w:ascii="Open Sans" w:hAnsi="Open Sans" w:cs="Open Sans"/>
        </w:rPr>
        <w:t>techniczno</w:t>
      </w:r>
      <w:proofErr w:type="spellEnd"/>
      <w:r w:rsidRPr="1131D883">
        <w:rPr>
          <w:rFonts w:ascii="Open Sans" w:hAnsi="Open Sans" w:cs="Open Sans"/>
        </w:rPr>
        <w:t xml:space="preserve"> – użytkowego budynku, uwzględnionych w audycie energetycznym </w:t>
      </w:r>
      <w:r w:rsidR="2DFD3215" w:rsidRPr="1131D883">
        <w:rPr>
          <w:rFonts w:ascii="Open Sans" w:hAnsi="Open Sans" w:cs="Open Sans"/>
        </w:rPr>
        <w:t>e</w:t>
      </w:r>
      <w:r w:rsidRPr="1131D883">
        <w:rPr>
          <w:rFonts w:ascii="Open Sans" w:hAnsi="Open Sans" w:cs="Open Sans"/>
        </w:rPr>
        <w:t>x-</w:t>
      </w:r>
      <w:proofErr w:type="spellStart"/>
      <w:r w:rsidRPr="1131D883">
        <w:rPr>
          <w:rFonts w:ascii="Open Sans" w:hAnsi="Open Sans" w:cs="Open Sans"/>
        </w:rPr>
        <w:t>ante</w:t>
      </w:r>
      <w:proofErr w:type="spellEnd"/>
      <w:r w:rsidRPr="1131D883">
        <w:rPr>
          <w:rFonts w:ascii="Open Sans" w:hAnsi="Open Sans" w:cs="Open Sans"/>
        </w:rPr>
        <w:t xml:space="preserve"> i wskazanych we wniosku o dofinansowanie w ramach Programu Fundusze Europejskie na Infrastrukturę, Klimat, Środowisko 2021-2027. </w:t>
      </w:r>
    </w:p>
    <w:p w14:paraId="787A5395" w14:textId="31B31166" w:rsidR="004D1C2F" w:rsidRPr="004D1C2F" w:rsidRDefault="18100E54" w:rsidP="00317C89">
      <w:pPr>
        <w:spacing w:line="288" w:lineRule="auto"/>
        <w:rPr>
          <w:rFonts w:ascii="Open Sans" w:hAnsi="Open Sans" w:cs="Open Sans"/>
        </w:rPr>
      </w:pPr>
      <w:r w:rsidRPr="1131D883">
        <w:rPr>
          <w:rFonts w:ascii="Open Sans" w:hAnsi="Open Sans" w:cs="Open Sans"/>
        </w:rPr>
        <w:t>Wszystkie prace mające wpływ na zapotrzebowanie budynku na energię końcową powinny zostać wykonane zgodnie z Audytem energetycznym ex-</w:t>
      </w:r>
      <w:proofErr w:type="spellStart"/>
      <w:r w:rsidRPr="1131D883">
        <w:rPr>
          <w:rFonts w:ascii="Open Sans" w:hAnsi="Open Sans" w:cs="Open Sans"/>
        </w:rPr>
        <w:t>ante</w:t>
      </w:r>
      <w:proofErr w:type="spellEnd"/>
      <w:r w:rsidRPr="1131D883">
        <w:rPr>
          <w:rFonts w:ascii="Open Sans" w:hAnsi="Open Sans" w:cs="Open Sans"/>
        </w:rPr>
        <w:t xml:space="preserve">, dokumentacją projektową (o ile była wymagana w ogólnych przepisach prawa budowlanego) i wymaganiami NFOŚiGW. </w:t>
      </w:r>
    </w:p>
    <w:p w14:paraId="06D95EBD" w14:textId="3D664604" w:rsidR="004D1C2F" w:rsidRPr="004D1C2F" w:rsidRDefault="004D1C2F" w:rsidP="00317C89">
      <w:pPr>
        <w:spacing w:line="288" w:lineRule="auto"/>
        <w:rPr>
          <w:rFonts w:ascii="Open Sans" w:hAnsi="Open Sans" w:cs="Open Sans"/>
          <w:bCs/>
        </w:rPr>
      </w:pPr>
      <w:r w:rsidRPr="004D1C2F">
        <w:rPr>
          <w:rFonts w:ascii="Open Sans" w:hAnsi="Open Sans" w:cs="Open Sans"/>
          <w:bCs/>
        </w:rPr>
        <w:t xml:space="preserve">Zmodernizowane obiekty powinny spełniać standardy określone w rozporządzeniu Ministra Infrastruktury z dnia 12 kwietnia 2002 r. w sprawie warunków technicznych, jakim powinny odpowiadać budynki i ich usytuowanie (Obwieszczenie Ministra Rozwoju i Technologii z dnia 15 kwietnia 2022 r. w sprawie ogłoszenia jednolitego tekstu rozporządzenia Ministra Infrastruktury w sprawie warunków technicznych, jakim powinny odpowiadać budynki i ich usytuowanie - Dz.U. z dnia 9 czerwca 2022 r., poz. 1225) oraz w normach tam przywołanych. </w:t>
      </w:r>
    </w:p>
    <w:p w14:paraId="47F9EADA" w14:textId="59B37F64" w:rsidR="00F97A89" w:rsidRPr="004D1C2F" w:rsidRDefault="004D1C2F" w:rsidP="00317C89">
      <w:pPr>
        <w:spacing w:line="288" w:lineRule="auto"/>
        <w:rPr>
          <w:rFonts w:ascii="Open Sans" w:hAnsi="Open Sans" w:cs="Open Sans"/>
          <w:bCs/>
        </w:rPr>
      </w:pPr>
      <w:r w:rsidRPr="004D1C2F">
        <w:rPr>
          <w:rFonts w:ascii="Open Sans" w:hAnsi="Open Sans" w:cs="Open Sans"/>
          <w:bCs/>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0B08423F" w14:textId="26B58607" w:rsidR="004D1C2F" w:rsidRPr="00FF3704" w:rsidRDefault="004D1C2F" w:rsidP="00317C89">
      <w:pPr>
        <w:spacing w:line="288" w:lineRule="auto"/>
        <w:rPr>
          <w:rFonts w:ascii="Open Sans" w:hAnsi="Open Sans" w:cs="Open Sans"/>
          <w:bCs/>
          <w:color w:val="000000" w:themeColor="text1"/>
        </w:rPr>
      </w:pPr>
      <w:r w:rsidRPr="004D1C2F">
        <w:rPr>
          <w:rFonts w:ascii="Open Sans" w:hAnsi="Open Sans" w:cs="Open Sans"/>
          <w:bCs/>
        </w:rPr>
        <w:t>Wyliczenia bilansowe, energetyczne i emisyjne w audycie ex-</w:t>
      </w:r>
      <w:proofErr w:type="spellStart"/>
      <w:r w:rsidRPr="004D1C2F">
        <w:rPr>
          <w:rFonts w:ascii="Open Sans" w:hAnsi="Open Sans" w:cs="Open Sans"/>
          <w:bCs/>
        </w:rPr>
        <w:t>ante</w:t>
      </w:r>
      <w:proofErr w:type="spellEnd"/>
      <w:r w:rsidRPr="004D1C2F">
        <w:rPr>
          <w:rFonts w:ascii="Open Sans" w:hAnsi="Open Sans" w:cs="Open Sans"/>
          <w:bCs/>
        </w:rPr>
        <w:t>, powinny być zgodne z ogólnymi przepisami prawa budowlanego, powinny być przeprowadzone zgodnie z zapisami Rozporządzenia Ministra Infrastruktury i Rozwoju z dnia 27 lutego 2015 r. w sprawie metodologii wyznaczania charakterystyki energetycznej budynku lub części budynku oraz świadectw charakterystyki energetycznej (</w:t>
      </w:r>
      <w:r w:rsidRPr="00FF3704">
        <w:rPr>
          <w:rFonts w:ascii="Open Sans" w:hAnsi="Open Sans" w:cs="Open Sans"/>
          <w:bCs/>
          <w:color w:val="000000" w:themeColor="text1"/>
        </w:rPr>
        <w:t>wraz z późniejszymi zmianami – aktualne na czas składania wniosku o dofinansowanie)</w:t>
      </w:r>
      <w:r w:rsidR="00FB510B" w:rsidRPr="00FF3704">
        <w:rPr>
          <w:rFonts w:ascii="Open Sans" w:hAnsi="Open Sans" w:cs="Open Sans"/>
          <w:bCs/>
          <w:color w:val="000000" w:themeColor="text1"/>
        </w:rPr>
        <w:t xml:space="preserve"> lub (w przypadku realizacji inwestycji w formule ESCO/EPC) wynikać ze specjalistycznej wiedzy i doświadczenia firmy ESCO i/lub </w:t>
      </w:r>
      <w:r w:rsidR="003E60BE" w:rsidRPr="00FF3704">
        <w:rPr>
          <w:rFonts w:ascii="Open Sans" w:hAnsi="Open Sans" w:cs="Open Sans"/>
          <w:bCs/>
          <w:color w:val="000000" w:themeColor="text1"/>
        </w:rPr>
        <w:t>d</w:t>
      </w:r>
      <w:r w:rsidR="00D261BC" w:rsidRPr="00FF3704">
        <w:rPr>
          <w:rFonts w:ascii="Open Sans" w:hAnsi="Open Sans" w:cs="Open Sans"/>
          <w:bCs/>
          <w:color w:val="000000" w:themeColor="text1"/>
        </w:rPr>
        <w:t>oradcy technicznego (</w:t>
      </w:r>
      <w:proofErr w:type="spellStart"/>
      <w:r w:rsidR="00FB510B" w:rsidRPr="00FF3704">
        <w:rPr>
          <w:rFonts w:ascii="Open Sans" w:hAnsi="Open Sans" w:cs="Open Sans"/>
          <w:bCs/>
          <w:color w:val="000000" w:themeColor="text1"/>
        </w:rPr>
        <w:t>facylitatora</w:t>
      </w:r>
      <w:proofErr w:type="spellEnd"/>
      <w:r w:rsidR="00FB510B" w:rsidRPr="00FF3704">
        <w:rPr>
          <w:rFonts w:ascii="Open Sans" w:hAnsi="Open Sans" w:cs="Open Sans"/>
          <w:bCs/>
          <w:color w:val="000000" w:themeColor="text1"/>
        </w:rPr>
        <w:t xml:space="preserve"> EPC</w:t>
      </w:r>
      <w:r w:rsidR="00D261BC" w:rsidRPr="00FF3704">
        <w:rPr>
          <w:rFonts w:ascii="Open Sans" w:hAnsi="Open Sans" w:cs="Open Sans"/>
          <w:bCs/>
          <w:color w:val="000000" w:themeColor="text1"/>
        </w:rPr>
        <w:t>)</w:t>
      </w:r>
      <w:r w:rsidR="00FB510B" w:rsidRPr="00FF3704">
        <w:rPr>
          <w:rFonts w:ascii="Open Sans" w:hAnsi="Open Sans" w:cs="Open Sans"/>
          <w:bCs/>
          <w:color w:val="000000" w:themeColor="text1"/>
        </w:rPr>
        <w:t xml:space="preserve"> – dopasowane do potrzeb </w:t>
      </w:r>
      <w:r w:rsidR="00D261BC" w:rsidRPr="00FF3704">
        <w:rPr>
          <w:rFonts w:ascii="Open Sans" w:hAnsi="Open Sans" w:cs="Open Sans"/>
          <w:bCs/>
          <w:color w:val="000000" w:themeColor="text1"/>
        </w:rPr>
        <w:t>projektu</w:t>
      </w:r>
      <w:r w:rsidR="00FB510B" w:rsidRPr="00FF3704">
        <w:rPr>
          <w:rFonts w:ascii="Open Sans" w:hAnsi="Open Sans" w:cs="Open Sans"/>
          <w:bCs/>
          <w:color w:val="000000" w:themeColor="text1"/>
        </w:rPr>
        <w:t xml:space="preserve"> z uwzględnieniem jego indywidualnych cech, sposobu użytkowania, w celu wyboru </w:t>
      </w:r>
      <w:r w:rsidR="00FB510B" w:rsidRPr="00FF3704">
        <w:rPr>
          <w:rFonts w:ascii="Open Sans" w:hAnsi="Open Sans" w:cs="Open Sans"/>
          <w:bCs/>
          <w:color w:val="000000" w:themeColor="text1"/>
        </w:rPr>
        <w:lastRenderedPageBreak/>
        <w:t>najbardziej efektywnych i optymalnych rozwiązań z uwzględnieniem</w:t>
      </w:r>
      <w:r w:rsidR="00F42B1D" w:rsidRPr="00FF3704">
        <w:rPr>
          <w:rFonts w:ascii="Open Sans" w:hAnsi="Open Sans" w:cs="Open Sans"/>
          <w:bCs/>
          <w:color w:val="000000" w:themeColor="text1"/>
        </w:rPr>
        <w:t xml:space="preserve"> pełnego</w:t>
      </w:r>
      <w:r w:rsidR="00FB510B" w:rsidRPr="00FF3704">
        <w:rPr>
          <w:rFonts w:ascii="Open Sans" w:hAnsi="Open Sans" w:cs="Open Sans"/>
          <w:bCs/>
          <w:color w:val="000000" w:themeColor="text1"/>
        </w:rPr>
        <w:t xml:space="preserve"> charakteru inwestycji z obowiązkowym elementem zarządzania energią w standardzie po modernizacji</w:t>
      </w:r>
      <w:r w:rsidRPr="00FF3704">
        <w:rPr>
          <w:rFonts w:ascii="Open Sans" w:hAnsi="Open Sans" w:cs="Open Sans"/>
          <w:bCs/>
          <w:color w:val="000000" w:themeColor="text1"/>
        </w:rPr>
        <w:t>.</w:t>
      </w:r>
      <w:r w:rsidR="00F42B1D" w:rsidRPr="00FF3704">
        <w:rPr>
          <w:rFonts w:ascii="Open Sans" w:hAnsi="Open Sans" w:cs="Open Sans"/>
          <w:bCs/>
          <w:color w:val="000000" w:themeColor="text1"/>
        </w:rPr>
        <w:t xml:space="preserve"> </w:t>
      </w:r>
    </w:p>
    <w:p w14:paraId="40583CCE" w14:textId="1E21A927" w:rsidR="004D1C2F" w:rsidRPr="00FF3704" w:rsidRDefault="18100E54" w:rsidP="00317C89">
      <w:pPr>
        <w:spacing w:line="288" w:lineRule="auto"/>
        <w:rPr>
          <w:rFonts w:ascii="Open Sans" w:hAnsi="Open Sans" w:cs="Open Sans"/>
          <w:b/>
          <w:bCs/>
          <w:color w:val="000000" w:themeColor="text1"/>
        </w:rPr>
      </w:pPr>
      <w:r w:rsidRPr="1131D883">
        <w:rPr>
          <w:rFonts w:ascii="Open Sans" w:hAnsi="Open Sans" w:cs="Open Sans"/>
          <w:color w:val="000000" w:themeColor="text1"/>
        </w:rPr>
        <w:t>Co do zasady, w audycie ex-</w:t>
      </w:r>
      <w:proofErr w:type="spellStart"/>
      <w:r w:rsidRPr="1131D883">
        <w:rPr>
          <w:rFonts w:ascii="Open Sans" w:hAnsi="Open Sans" w:cs="Open Sans"/>
          <w:color w:val="000000" w:themeColor="text1"/>
        </w:rPr>
        <w:t>ante</w:t>
      </w:r>
      <w:proofErr w:type="spellEnd"/>
      <w:r w:rsidRPr="1131D883">
        <w:rPr>
          <w:rFonts w:ascii="Open Sans" w:hAnsi="Open Sans" w:cs="Open Sans"/>
          <w:color w:val="000000" w:themeColor="text1"/>
        </w:rPr>
        <w:t xml:space="preserve"> porównywana ma być charakterystyka energetyczna budynku przed i po modernizacji z uwzględnieniem wybranego przez audytora docelowego scenariusza usprawnień na podstawie audytu energetycznego wykonanego zgodnie z Rozporządzeniem Ministra Infrastruktury z dnia 17 marca 2009 r. (Dz.U. z 2009 r. nr 43, poz. 346) z </w:t>
      </w:r>
      <w:proofErr w:type="spellStart"/>
      <w:r w:rsidRPr="1131D883">
        <w:rPr>
          <w:rFonts w:ascii="Open Sans" w:hAnsi="Open Sans" w:cs="Open Sans"/>
          <w:color w:val="000000" w:themeColor="text1"/>
        </w:rPr>
        <w:t>późn</w:t>
      </w:r>
      <w:proofErr w:type="spellEnd"/>
      <w:r w:rsidRPr="1131D883">
        <w:rPr>
          <w:rFonts w:ascii="Open Sans" w:hAnsi="Open Sans" w:cs="Open Sans"/>
          <w:color w:val="000000" w:themeColor="text1"/>
        </w:rPr>
        <w:t xml:space="preserve">. zm.), przy użyciu tej samej metodologii i zasad pracy/obciążenia budynku (liczba użytkowników budynku, ta sama funkcja, ten sam czas pracy oświetlenia wbudowanego, te same wymagania wymian strumieni powietrza itp.). Poprawność prezentowania danych będzie weryfikowana na etapie oceny wniosku o dofinansowanie, na podstawie przygotowanych dokumentów </w:t>
      </w:r>
      <w:proofErr w:type="spellStart"/>
      <w:r w:rsidRPr="1131D883">
        <w:rPr>
          <w:rFonts w:ascii="Open Sans" w:hAnsi="Open Sans" w:cs="Open Sans"/>
          <w:color w:val="000000" w:themeColor="text1"/>
        </w:rPr>
        <w:t>naborowych</w:t>
      </w:r>
      <w:proofErr w:type="spellEnd"/>
      <w:r w:rsidRPr="1131D883">
        <w:rPr>
          <w:rFonts w:ascii="Open Sans" w:hAnsi="Open Sans" w:cs="Open Sans"/>
          <w:color w:val="000000" w:themeColor="text1"/>
        </w:rPr>
        <w:t xml:space="preserve"> (opracowanych przez NFOŚiGW – w całości nazywane dalej jako „Audyt energetyczny ex-</w:t>
      </w:r>
      <w:proofErr w:type="spellStart"/>
      <w:r w:rsidRPr="1131D883">
        <w:rPr>
          <w:rFonts w:ascii="Open Sans" w:hAnsi="Open Sans" w:cs="Open Sans"/>
          <w:color w:val="000000" w:themeColor="text1"/>
        </w:rPr>
        <w:t>ante</w:t>
      </w:r>
      <w:proofErr w:type="spellEnd"/>
      <w:r w:rsidRPr="1131D883">
        <w:rPr>
          <w:rFonts w:ascii="Open Sans" w:hAnsi="Open Sans" w:cs="Open Sans"/>
          <w:color w:val="000000" w:themeColor="text1"/>
        </w:rPr>
        <w:t>”), które narzucają ujednoliconą (w celach umożliwiających wiarygodne porównanie inwestycji pomiędzy sobą) metodologię prezentowania podstawowych parametrów inwestycji.</w:t>
      </w:r>
    </w:p>
    <w:p w14:paraId="0A0C85A1" w14:textId="38FC0A1B" w:rsidR="00D261BC" w:rsidRPr="00FF3704" w:rsidRDefault="003E60BE" w:rsidP="00317C89">
      <w:pPr>
        <w:spacing w:line="288" w:lineRule="auto"/>
        <w:rPr>
          <w:rFonts w:ascii="Open Sans" w:hAnsi="Open Sans" w:cs="Open Sans"/>
          <w:color w:val="000000" w:themeColor="text1"/>
        </w:rPr>
      </w:pPr>
      <w:r w:rsidRPr="00FF3704">
        <w:rPr>
          <w:rFonts w:ascii="Open Sans" w:hAnsi="Open Sans" w:cs="Open Sans"/>
          <w:color w:val="000000" w:themeColor="text1"/>
        </w:rPr>
        <w:t>Dla pełnej i prawidłowej</w:t>
      </w:r>
      <w:r w:rsidR="00D261BC" w:rsidRPr="00FF3704">
        <w:rPr>
          <w:rFonts w:ascii="Open Sans" w:hAnsi="Open Sans" w:cs="Open Sans"/>
          <w:color w:val="000000" w:themeColor="text1"/>
        </w:rPr>
        <w:t xml:space="preserve"> realizacji przedsięwzięcia</w:t>
      </w:r>
      <w:r w:rsidRPr="00FF3704">
        <w:rPr>
          <w:rFonts w:ascii="Open Sans" w:hAnsi="Open Sans" w:cs="Open Sans"/>
          <w:color w:val="000000" w:themeColor="text1"/>
        </w:rPr>
        <w:t xml:space="preserve"> przez Wnioskodawcę,</w:t>
      </w:r>
      <w:r w:rsidR="00D261BC" w:rsidRPr="00FF3704">
        <w:rPr>
          <w:rFonts w:ascii="Open Sans" w:hAnsi="Open Sans" w:cs="Open Sans"/>
          <w:color w:val="000000" w:themeColor="text1"/>
        </w:rPr>
        <w:t xml:space="preserve"> mo</w:t>
      </w:r>
      <w:r w:rsidRPr="00FF3704">
        <w:rPr>
          <w:rFonts w:ascii="Open Sans" w:hAnsi="Open Sans" w:cs="Open Sans"/>
          <w:color w:val="000000" w:themeColor="text1"/>
        </w:rPr>
        <w:t>gą</w:t>
      </w:r>
      <w:r w:rsidR="00D261BC" w:rsidRPr="00FF3704">
        <w:rPr>
          <w:rFonts w:ascii="Open Sans" w:hAnsi="Open Sans" w:cs="Open Sans"/>
          <w:color w:val="000000" w:themeColor="text1"/>
        </w:rPr>
        <w:t xml:space="preserve"> być kwalifikowane </w:t>
      </w:r>
      <w:r w:rsidR="00835DC3" w:rsidRPr="00FF3704">
        <w:rPr>
          <w:rFonts w:ascii="Open Sans" w:hAnsi="Open Sans" w:cs="Open Sans"/>
          <w:color w:val="000000" w:themeColor="text1"/>
        </w:rPr>
        <w:t>również</w:t>
      </w:r>
      <w:r w:rsidR="00F42B1D" w:rsidRPr="00FF3704">
        <w:rPr>
          <w:rFonts w:ascii="Open Sans" w:hAnsi="Open Sans" w:cs="Open Sans"/>
          <w:color w:val="000000" w:themeColor="text1"/>
        </w:rPr>
        <w:t xml:space="preserve"> (oprócz kosztów prac przygotowawczych wspomnianych w niniejszym dokumencie)</w:t>
      </w:r>
      <w:r w:rsidR="00835DC3" w:rsidRPr="00FF3704">
        <w:rPr>
          <w:rFonts w:ascii="Open Sans" w:hAnsi="Open Sans" w:cs="Open Sans"/>
          <w:color w:val="000000" w:themeColor="text1"/>
        </w:rPr>
        <w:t xml:space="preserve"> p</w:t>
      </w:r>
      <w:r w:rsidR="00D261BC" w:rsidRPr="00FF3704">
        <w:rPr>
          <w:rFonts w:ascii="Open Sans" w:hAnsi="Open Sans" w:cs="Open Sans"/>
          <w:color w:val="000000" w:themeColor="text1"/>
        </w:rPr>
        <w:t>ełnienie</w:t>
      </w:r>
      <w:r w:rsidRPr="00FF3704">
        <w:rPr>
          <w:rFonts w:ascii="Open Sans" w:hAnsi="Open Sans" w:cs="Open Sans"/>
          <w:color w:val="000000" w:themeColor="text1"/>
        </w:rPr>
        <w:t xml:space="preserve"> </w:t>
      </w:r>
      <w:r w:rsidR="00D261BC" w:rsidRPr="00FF3704">
        <w:rPr>
          <w:rFonts w:ascii="Open Sans" w:hAnsi="Open Sans" w:cs="Open Sans"/>
          <w:color w:val="000000" w:themeColor="text1"/>
        </w:rPr>
        <w:t>obowiązku nadzoru nad prawidłową realizacją prac budowlanych zgodnie z ogólnymi i szczeg</w:t>
      </w:r>
      <w:r w:rsidR="001C2EF1" w:rsidRPr="00FF3704">
        <w:rPr>
          <w:rFonts w:ascii="Open Sans" w:hAnsi="Open Sans" w:cs="Open Sans"/>
          <w:color w:val="000000" w:themeColor="text1"/>
        </w:rPr>
        <w:t>óło</w:t>
      </w:r>
      <w:r w:rsidR="00D261BC" w:rsidRPr="00FF3704">
        <w:rPr>
          <w:rFonts w:ascii="Open Sans" w:hAnsi="Open Sans" w:cs="Open Sans"/>
          <w:color w:val="000000" w:themeColor="text1"/>
        </w:rPr>
        <w:t>wymi przepisami Prawa budowlanego w tym zakresie</w:t>
      </w:r>
      <w:r w:rsidRPr="00FF3704">
        <w:rPr>
          <w:rFonts w:ascii="Open Sans" w:hAnsi="Open Sans" w:cs="Open Sans"/>
          <w:color w:val="000000" w:themeColor="text1"/>
        </w:rPr>
        <w:t>, niezbędne koszty zarządzania projektem, koszty zatrudnienia doradcy technicznego (</w:t>
      </w:r>
      <w:proofErr w:type="spellStart"/>
      <w:r w:rsidRPr="00FF3704">
        <w:rPr>
          <w:rFonts w:ascii="Open Sans" w:hAnsi="Open Sans" w:cs="Open Sans"/>
          <w:color w:val="000000" w:themeColor="text1"/>
        </w:rPr>
        <w:t>facylitatora</w:t>
      </w:r>
      <w:proofErr w:type="spellEnd"/>
      <w:r w:rsidRPr="00FF3704">
        <w:rPr>
          <w:rFonts w:ascii="Open Sans" w:hAnsi="Open Sans" w:cs="Open Sans"/>
          <w:color w:val="000000" w:themeColor="text1"/>
        </w:rPr>
        <w:t xml:space="preserve"> EPC) posiadającego właściwe uprawnienia, doświadczenie i znajomość Prawa budowlanego czy też Prawa Zamówień publicznych w zależności od spodziewanego zakresu prac modernizacyjnych i od poszukiwanego obszaru wsparcia w procesie wyboru i współpracy z firmą ESCO.</w:t>
      </w:r>
      <w:r w:rsidR="00F42B1D" w:rsidRPr="00FF3704">
        <w:rPr>
          <w:rFonts w:ascii="Open Sans" w:hAnsi="Open Sans" w:cs="Open Sans"/>
          <w:color w:val="000000" w:themeColor="text1"/>
        </w:rPr>
        <w:t xml:space="preserve"> Poszczególne programy priorytetowe mogą zawierać dodatkowe warunki ograniczające lub rozszerzające możliwość kwalifikacji – jeśli dotyczy.</w:t>
      </w:r>
    </w:p>
    <w:p w14:paraId="158AE5D8" w14:textId="3F7A5232" w:rsidR="00D261BC" w:rsidRPr="00FF3704" w:rsidRDefault="003E60BE" w:rsidP="00317C89">
      <w:pPr>
        <w:spacing w:line="288" w:lineRule="auto"/>
        <w:rPr>
          <w:rFonts w:ascii="Open Sans" w:hAnsi="Open Sans" w:cs="Open Sans"/>
          <w:color w:val="000000" w:themeColor="text1"/>
        </w:rPr>
      </w:pPr>
      <w:r w:rsidRPr="00FF3704">
        <w:rPr>
          <w:rFonts w:ascii="Open Sans" w:hAnsi="Open Sans" w:cs="Open Sans"/>
          <w:color w:val="000000" w:themeColor="text1"/>
        </w:rPr>
        <w:t xml:space="preserve">W ramach kosztów kwalifikowanych należy </w:t>
      </w:r>
      <w:r w:rsidR="00360398" w:rsidRPr="00FF3704">
        <w:rPr>
          <w:rFonts w:ascii="Open Sans" w:hAnsi="Open Sans" w:cs="Open Sans"/>
          <w:color w:val="000000" w:themeColor="text1"/>
        </w:rPr>
        <w:t xml:space="preserve">również </w:t>
      </w:r>
      <w:r w:rsidRPr="00FF3704">
        <w:rPr>
          <w:rFonts w:ascii="Open Sans" w:hAnsi="Open Sans" w:cs="Open Sans"/>
          <w:color w:val="000000" w:themeColor="text1"/>
        </w:rPr>
        <w:t>uwzględnić obowiązkowe koszty informacji i promocji</w:t>
      </w:r>
      <w:r w:rsidR="001C2EF1" w:rsidRPr="00FF3704">
        <w:rPr>
          <w:rFonts w:ascii="Open Sans" w:hAnsi="Open Sans" w:cs="Open Sans"/>
          <w:color w:val="000000" w:themeColor="text1"/>
        </w:rPr>
        <w:t xml:space="preserve"> </w:t>
      </w:r>
      <w:r w:rsidR="00360398" w:rsidRPr="00FF3704">
        <w:rPr>
          <w:rFonts w:ascii="Open Sans" w:hAnsi="Open Sans" w:cs="Open Sans"/>
          <w:color w:val="000000" w:themeColor="text1"/>
        </w:rPr>
        <w:t xml:space="preserve">projektu, </w:t>
      </w:r>
      <w:r w:rsidR="001C2EF1" w:rsidRPr="00FF3704">
        <w:rPr>
          <w:rFonts w:ascii="Open Sans" w:hAnsi="Open Sans" w:cs="Open Sans"/>
          <w:color w:val="000000" w:themeColor="text1"/>
        </w:rPr>
        <w:t xml:space="preserve">wynikające z </w:t>
      </w:r>
      <w:r w:rsidR="00360398" w:rsidRPr="00FF3704">
        <w:rPr>
          <w:rFonts w:ascii="Open Sans" w:hAnsi="Open Sans" w:cs="Open Sans"/>
          <w:color w:val="000000" w:themeColor="text1"/>
        </w:rPr>
        <w:t xml:space="preserve">warunków </w:t>
      </w:r>
      <w:r w:rsidR="001C2EF1" w:rsidRPr="00FF3704">
        <w:rPr>
          <w:rFonts w:ascii="Open Sans" w:hAnsi="Open Sans" w:cs="Open Sans"/>
          <w:color w:val="000000" w:themeColor="text1"/>
        </w:rPr>
        <w:t xml:space="preserve">realizacji przedsięwzięcia </w:t>
      </w:r>
      <w:r w:rsidR="00360398" w:rsidRPr="00FF3704">
        <w:rPr>
          <w:rFonts w:ascii="Open Sans" w:hAnsi="Open Sans" w:cs="Open Sans"/>
          <w:color w:val="000000" w:themeColor="text1"/>
        </w:rPr>
        <w:t>dofinansowywanego ze</w:t>
      </w:r>
      <w:r w:rsidR="001C2EF1" w:rsidRPr="00FF3704">
        <w:rPr>
          <w:rFonts w:ascii="Open Sans" w:hAnsi="Open Sans" w:cs="Open Sans"/>
          <w:color w:val="000000" w:themeColor="text1"/>
        </w:rPr>
        <w:t xml:space="preserve"> środków funduszy europejskich – zgodnie z zapisami </w:t>
      </w:r>
      <w:r w:rsidR="00360398" w:rsidRPr="00FF3704">
        <w:rPr>
          <w:rFonts w:ascii="Open Sans" w:hAnsi="Open Sans" w:cs="Open Sans"/>
          <w:color w:val="000000" w:themeColor="text1"/>
        </w:rPr>
        <w:t xml:space="preserve">wzoru </w:t>
      </w:r>
      <w:proofErr w:type="spellStart"/>
      <w:r w:rsidR="001C2EF1" w:rsidRPr="00FF3704">
        <w:rPr>
          <w:rFonts w:ascii="Open Sans" w:hAnsi="Open Sans" w:cs="Open Sans"/>
          <w:color w:val="000000" w:themeColor="text1"/>
        </w:rPr>
        <w:t>UoD</w:t>
      </w:r>
      <w:proofErr w:type="spellEnd"/>
      <w:r w:rsidR="001C2EF1" w:rsidRPr="00FF3704">
        <w:rPr>
          <w:rFonts w:ascii="Open Sans" w:hAnsi="Open Sans" w:cs="Open Sans"/>
          <w:color w:val="000000" w:themeColor="text1"/>
        </w:rPr>
        <w:t xml:space="preserve">. </w:t>
      </w:r>
    </w:p>
    <w:p w14:paraId="6C0E6B84" w14:textId="103DED12" w:rsidR="00DD1953" w:rsidRPr="00317C89" w:rsidRDefault="00DD1953" w:rsidP="00317C89">
      <w:pPr>
        <w:pStyle w:val="Akapitzlist"/>
        <w:numPr>
          <w:ilvl w:val="0"/>
          <w:numId w:val="5"/>
        </w:numPr>
        <w:spacing w:line="288" w:lineRule="auto"/>
        <w:rPr>
          <w:rFonts w:ascii="Open Sans" w:hAnsi="Open Sans" w:cs="Open Sans"/>
          <w:b/>
          <w:bCs/>
        </w:rPr>
      </w:pPr>
      <w:r w:rsidRPr="00317C89">
        <w:rPr>
          <w:rFonts w:ascii="Open Sans" w:hAnsi="Open Sans" w:cs="Open Sans"/>
          <w:b/>
          <w:bCs/>
        </w:rPr>
        <w:t>Ściany zewnętrzne</w:t>
      </w:r>
      <w:r w:rsidR="00944D22" w:rsidRPr="00317C89">
        <w:rPr>
          <w:rFonts w:ascii="Open Sans" w:hAnsi="Open Sans" w:cs="Open Sans"/>
          <w:b/>
          <w:bCs/>
        </w:rPr>
        <w:t>.</w:t>
      </w:r>
    </w:p>
    <w:p w14:paraId="003F9EB1" w14:textId="4959A677" w:rsidR="00DD1953" w:rsidRPr="004752BD" w:rsidRDefault="00DD1953" w:rsidP="00317C89">
      <w:pPr>
        <w:spacing w:line="288" w:lineRule="auto"/>
        <w:rPr>
          <w:rFonts w:ascii="Open Sans" w:hAnsi="Open Sans" w:cs="Open Sans"/>
        </w:rPr>
      </w:pPr>
      <w:r w:rsidRPr="004752BD">
        <w:rPr>
          <w:rFonts w:ascii="Open Sans" w:hAnsi="Open Sans" w:cs="Open Sans"/>
        </w:rPr>
        <w:t>(stykające się</w:t>
      </w:r>
      <w:r w:rsidR="00906463">
        <w:rPr>
          <w:rFonts w:ascii="Open Sans" w:hAnsi="Open Sans" w:cs="Open Sans"/>
        </w:rPr>
        <w:t xml:space="preserve"> ze środowiskiem </w:t>
      </w:r>
      <w:r w:rsidRPr="004752BD">
        <w:rPr>
          <w:rFonts w:ascii="Open Sans" w:hAnsi="Open Sans" w:cs="Open Sans"/>
        </w:rPr>
        <w:t>zewnętrznym, niezależnie od rodzaju ściany, stanowiące osłonę bilansową budynku)</w:t>
      </w:r>
    </w:p>
    <w:p w14:paraId="23B7A9F8" w14:textId="61FD7F28" w:rsidR="00DD1953" w:rsidRPr="00317C89" w:rsidRDefault="291A17CC" w:rsidP="00DF5D1E">
      <w:pPr>
        <w:pStyle w:val="Akapitzlist"/>
        <w:numPr>
          <w:ilvl w:val="0"/>
          <w:numId w:val="24"/>
        </w:numPr>
        <w:spacing w:line="288" w:lineRule="auto"/>
        <w:ind w:left="0" w:firstLine="0"/>
        <w:rPr>
          <w:rFonts w:ascii="Open Sans" w:hAnsi="Open Sans" w:cs="Open Sans"/>
        </w:rPr>
      </w:pPr>
      <w:r w:rsidRPr="00317C89">
        <w:rPr>
          <w:rFonts w:ascii="Open Sans" w:hAnsi="Open Sans" w:cs="Open Sans"/>
        </w:rPr>
        <w:lastRenderedPageBreak/>
        <w:t>ocieplanie ścian zewnętrznych</w:t>
      </w:r>
      <w:r w:rsidR="66A84496" w:rsidRPr="00317C89">
        <w:rPr>
          <w:rFonts w:ascii="Open Sans" w:hAnsi="Open Sans" w:cs="Open Sans"/>
        </w:rPr>
        <w:t xml:space="preserve"> (w tym fundamentowych)</w:t>
      </w:r>
      <w:r w:rsidRPr="00317C89">
        <w:rPr>
          <w:rFonts w:ascii="Open Sans" w:hAnsi="Open Sans" w:cs="Open Sans"/>
        </w:rPr>
        <w:t xml:space="preserve"> – technologie ocieplania w wyniku, których uzyskuje się zmniejszenie strat ciepła przez przenikanie, polegające na umieszczeniu warstwy izolacji termicznej po stronie zewnętrznej lub w uzasadnionych przypadkach (np. wynikających z uzgodnień z Konserwatorem Zabytków) po stronie wewnętrznej po wykonaniu obliczeń cieplno-wilgotnościowych mających na celu zapobieganie występowania „punktu rosy” w ocieplanej przegrodzie, prowadzące do uzyskania odpowiednich współczynników przenikania ciepła, zgodnych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w tym również obejmujące technologie, polegające na tworzeniu tzw. „żyjących, zielonych ścian”; </w:t>
      </w:r>
    </w:p>
    <w:p w14:paraId="58005560" w14:textId="6C426C01" w:rsidR="00DD1953" w:rsidRPr="004752BD" w:rsidRDefault="00DD1953" w:rsidP="00317C89">
      <w:pPr>
        <w:spacing w:line="288" w:lineRule="auto"/>
        <w:rPr>
          <w:rFonts w:ascii="Open Sans" w:hAnsi="Open Sans" w:cs="Open Sans"/>
        </w:rPr>
      </w:pPr>
      <w:r w:rsidRPr="004752BD">
        <w:rPr>
          <w:rFonts w:ascii="Open Sans" w:hAnsi="Open Sans" w:cs="Open Sans"/>
        </w:rPr>
        <w:t xml:space="preserve">W ramach robót związanych z modernizacją ścian zewnętrznych, do kosztów kwalifikowanych zalicza się wszelkie roboty związane z rozbiórką dotychczasowej elewacji (jeżeli wynika to z </w:t>
      </w:r>
      <w:r w:rsidR="00DC0990" w:rsidRPr="004752BD">
        <w:rPr>
          <w:rFonts w:ascii="Open Sans" w:hAnsi="Open Sans" w:cs="Open Sans"/>
        </w:rPr>
        <w:t>A</w:t>
      </w:r>
      <w:r w:rsidRPr="004752BD">
        <w:rPr>
          <w:rFonts w:ascii="Open Sans" w:hAnsi="Open Sans" w:cs="Open Sans"/>
        </w:rPr>
        <w:t>udytu energetycznego ex-</w:t>
      </w:r>
      <w:proofErr w:type="spellStart"/>
      <w:r w:rsidRPr="004752BD">
        <w:rPr>
          <w:rFonts w:ascii="Open Sans" w:hAnsi="Open Sans" w:cs="Open Sans"/>
        </w:rPr>
        <w:t>ante</w:t>
      </w:r>
      <w:proofErr w:type="spellEnd"/>
      <w:r w:rsidRPr="004752BD">
        <w:rPr>
          <w:rFonts w:ascii="Open Sans" w:hAnsi="Open Sans" w:cs="Open Sans"/>
        </w:rPr>
        <w:t xml:space="preserve">), w tym w szczególności rozbiórka (obejmująca demontaż, transport i unieszkodliwianie) elewacji zawierającej </w:t>
      </w:r>
      <w:r w:rsidR="004752BD">
        <w:rPr>
          <w:rFonts w:ascii="Open Sans" w:hAnsi="Open Sans" w:cs="Open Sans"/>
        </w:rPr>
        <w:br/>
      </w:r>
      <w:r w:rsidRPr="004752BD">
        <w:rPr>
          <w:rFonts w:ascii="Open Sans" w:hAnsi="Open Sans" w:cs="Open Sans"/>
        </w:rPr>
        <w:t xml:space="preserve">w swym składzie azbest (m.in. takie wyroby jak chryzotyl – tzw. azbest biały, krokidolit – tzw. azbest niebieski, </w:t>
      </w:r>
      <w:proofErr w:type="spellStart"/>
      <w:r w:rsidRPr="004752BD">
        <w:rPr>
          <w:rFonts w:ascii="Open Sans" w:hAnsi="Open Sans" w:cs="Open Sans"/>
        </w:rPr>
        <w:t>amozyt</w:t>
      </w:r>
      <w:proofErr w:type="spellEnd"/>
      <w:r w:rsidRPr="004752BD">
        <w:rPr>
          <w:rFonts w:ascii="Open Sans" w:hAnsi="Open Sans" w:cs="Open Sans"/>
        </w:rPr>
        <w:t xml:space="preserve"> – tzw. azbest brązowy lub inne). Roboty związane </w:t>
      </w:r>
      <w:r w:rsidR="004752BD">
        <w:rPr>
          <w:rFonts w:ascii="Open Sans" w:hAnsi="Open Sans" w:cs="Open Sans"/>
        </w:rPr>
        <w:br/>
      </w:r>
      <w:r w:rsidRPr="004752BD">
        <w:rPr>
          <w:rFonts w:ascii="Open Sans" w:hAnsi="Open Sans" w:cs="Open Sans"/>
        </w:rPr>
        <w:t xml:space="preserve">z usuwaniem azbestu są kwalifikowane wyłącznie pod warunkiem, że są prowadzone </w:t>
      </w:r>
      <w:r w:rsidR="004752BD">
        <w:rPr>
          <w:rFonts w:ascii="Open Sans" w:hAnsi="Open Sans" w:cs="Open Sans"/>
        </w:rPr>
        <w:br/>
      </w:r>
      <w:r w:rsidRPr="004752BD">
        <w:rPr>
          <w:rFonts w:ascii="Open Sans" w:hAnsi="Open Sans" w:cs="Open Sans"/>
        </w:rPr>
        <w:t xml:space="preserve">z uwzględnieniem specjalnych zasad bezpieczeństwa określonych w odpowiednich przepisach, a w szczególności w: </w:t>
      </w:r>
    </w:p>
    <w:p w14:paraId="1FD83AA3" w14:textId="412EE58D" w:rsidR="00DD1953" w:rsidRPr="004752BD" w:rsidRDefault="291A17CC" w:rsidP="00317C89">
      <w:pPr>
        <w:spacing w:line="288" w:lineRule="auto"/>
        <w:rPr>
          <w:rFonts w:ascii="Open Sans" w:hAnsi="Open Sans" w:cs="Open Sans"/>
        </w:rPr>
      </w:pPr>
      <w:r w:rsidRPr="1131D883">
        <w:rPr>
          <w:rFonts w:ascii="Open Sans" w:hAnsi="Open Sans" w:cs="Open Sans"/>
        </w:rPr>
        <w:t xml:space="preserve">Ustawie z dnia 19 czerwca 1997r. o zakazie stosowania wyrobów zawierających azbest (Dz. U. nr 3 z 2003r., poz. 20 z </w:t>
      </w:r>
      <w:proofErr w:type="spellStart"/>
      <w:r w:rsidRPr="1131D883">
        <w:rPr>
          <w:rFonts w:ascii="Open Sans" w:hAnsi="Open Sans" w:cs="Open Sans"/>
        </w:rPr>
        <w:t>późn</w:t>
      </w:r>
      <w:proofErr w:type="spellEnd"/>
      <w:r w:rsidRPr="1131D883">
        <w:rPr>
          <w:rFonts w:ascii="Open Sans" w:hAnsi="Open Sans" w:cs="Open Sans"/>
        </w:rPr>
        <w:t xml:space="preserve">. zm.), </w:t>
      </w:r>
    </w:p>
    <w:p w14:paraId="454E553C" w14:textId="28747FFA" w:rsidR="00DD1953" w:rsidRPr="004752BD" w:rsidRDefault="00DD1953" w:rsidP="00317C89">
      <w:pPr>
        <w:spacing w:line="288" w:lineRule="auto"/>
        <w:rPr>
          <w:rFonts w:ascii="Open Sans" w:hAnsi="Open Sans" w:cs="Open Sans"/>
        </w:rPr>
      </w:pPr>
      <w:r w:rsidRPr="004752BD">
        <w:rPr>
          <w:rFonts w:ascii="Open Sans" w:hAnsi="Open Sans" w:cs="Open Sans"/>
        </w:rPr>
        <w:t xml:space="preserve">Rozporządzeniu Ministra Gospodarki, Pracy i Polityki Społecznej z dnia 2 kwietnia 2004r. w sprawie sposobów i warunków bezpiecznego użytkowania i usuwania wyrobów zawierających azbest (Dz. U. nr 71 z 2004r., poz. 649), </w:t>
      </w:r>
    </w:p>
    <w:p w14:paraId="6928A65A" w14:textId="185E661A" w:rsidR="00DD1953" w:rsidRPr="004752BD" w:rsidRDefault="00DD1953" w:rsidP="00317C89">
      <w:pPr>
        <w:spacing w:line="288" w:lineRule="auto"/>
        <w:rPr>
          <w:rFonts w:ascii="Open Sans" w:hAnsi="Open Sans" w:cs="Open Sans"/>
        </w:rPr>
      </w:pPr>
      <w:r w:rsidRPr="004752BD">
        <w:rPr>
          <w:rFonts w:ascii="Open Sans" w:hAnsi="Open Sans" w:cs="Open Sans"/>
        </w:rPr>
        <w:t xml:space="preserve">Rozporządzeniu Ministra Gospodarki, Pracy i Polityki Socjalnej z dnia 14 października 2005r. w sprawie zasad bezpieczeństwa i higieny pracy przy zabezpieczeniu i usuwaniu wyrobów zawierających azbest (Dz. U. nr 216 z 2015r., poz. 1824), </w:t>
      </w:r>
    </w:p>
    <w:p w14:paraId="5782B671" w14:textId="21DED306" w:rsidR="00DD1953" w:rsidRPr="004752BD" w:rsidRDefault="00DD1953" w:rsidP="00317C89">
      <w:pPr>
        <w:spacing w:line="288" w:lineRule="auto"/>
        <w:rPr>
          <w:rFonts w:ascii="Open Sans" w:hAnsi="Open Sans" w:cs="Open Sans"/>
        </w:rPr>
      </w:pPr>
      <w:r w:rsidRPr="004752BD">
        <w:rPr>
          <w:rFonts w:ascii="Open Sans" w:hAnsi="Open Sans" w:cs="Open Sans"/>
        </w:rPr>
        <w:t>Rozporządzeniu Ministra Gospodarki z dnia 13 grudnia 2010r. w sprawie wymogów w</w:t>
      </w:r>
      <w:r w:rsidR="00BA1C3C">
        <w:rPr>
          <w:rFonts w:ascii="Open Sans" w:hAnsi="Open Sans" w:cs="Open Sans"/>
        </w:rPr>
        <w:t> </w:t>
      </w:r>
      <w:r w:rsidRPr="004752BD">
        <w:rPr>
          <w:rFonts w:ascii="Open Sans" w:hAnsi="Open Sans" w:cs="Open Sans"/>
        </w:rPr>
        <w:t>zakresie wykorzystywania wyrobów zawierających azbest oraz wykorzystywania i</w:t>
      </w:r>
      <w:r w:rsidR="00BA1C3C">
        <w:rPr>
          <w:rFonts w:ascii="Open Sans" w:hAnsi="Open Sans" w:cs="Open Sans"/>
        </w:rPr>
        <w:t> </w:t>
      </w:r>
      <w:r w:rsidRPr="004752BD">
        <w:rPr>
          <w:rFonts w:ascii="Open Sans" w:hAnsi="Open Sans" w:cs="Open Sans"/>
        </w:rPr>
        <w:t xml:space="preserve">oczyszczania instalacji lub urządzeń, w których były lub są wykorzystywane wyroby zawierające azbest (Dz. U. nr 8 z 2011r., poz. 31), </w:t>
      </w:r>
    </w:p>
    <w:p w14:paraId="4C9DEE88" w14:textId="53AF435B" w:rsidR="00DD1953" w:rsidRPr="004752BD" w:rsidRDefault="00DD1953" w:rsidP="00317C89">
      <w:pPr>
        <w:spacing w:line="288" w:lineRule="auto"/>
        <w:rPr>
          <w:rFonts w:ascii="Open Sans" w:hAnsi="Open Sans" w:cs="Open Sans"/>
        </w:rPr>
      </w:pPr>
      <w:r w:rsidRPr="004752BD">
        <w:rPr>
          <w:rFonts w:ascii="Open Sans" w:hAnsi="Open Sans" w:cs="Open Sans"/>
        </w:rPr>
        <w:t xml:space="preserve">Rozporządzeniu Ministra Gospodarki, Pracy i Polityki Socjalnej z dnia 23 października 2003r. w sprawie wymagań w zakresie wykorzystywania i przemieszczania azbestu oraz </w:t>
      </w:r>
      <w:r w:rsidRPr="004752BD">
        <w:rPr>
          <w:rFonts w:ascii="Open Sans" w:hAnsi="Open Sans" w:cs="Open Sans"/>
        </w:rPr>
        <w:lastRenderedPageBreak/>
        <w:t xml:space="preserve">wykorzystywania i oczyszczania instalacji lub urządzeń, w których był lub jest wykorzystywany azbest (Dz. U. nr 192 z 2003r., poz. 1876); </w:t>
      </w:r>
    </w:p>
    <w:p w14:paraId="61D4BD4F" w14:textId="73D54C70" w:rsidR="00DD1953" w:rsidRPr="00317C89" w:rsidRDefault="00DD1953" w:rsidP="00DF5D1E">
      <w:pPr>
        <w:pStyle w:val="Akapitzlist"/>
        <w:numPr>
          <w:ilvl w:val="0"/>
          <w:numId w:val="24"/>
        </w:numPr>
        <w:spacing w:after="240" w:line="288" w:lineRule="auto"/>
        <w:ind w:left="0" w:firstLine="0"/>
        <w:contextualSpacing w:val="0"/>
        <w:rPr>
          <w:rFonts w:ascii="Open Sans" w:hAnsi="Open Sans" w:cs="Open Sans"/>
        </w:rPr>
      </w:pPr>
      <w:r w:rsidRPr="00317C89">
        <w:rPr>
          <w:rFonts w:ascii="Open Sans" w:hAnsi="Open Sans" w:cs="Open Sans"/>
        </w:rPr>
        <w:t xml:space="preserve">usuwanie wilgoci oraz przyczyn jej powstawania metodami uzależnionymi od  charakteru, wielkości i miejsca zawilgocenia oraz warunków miejscowych, obejmujące m.in. takie roboty jak suszenie murów, uszczelnianie ścian murowanych </w:t>
      </w:r>
      <w:r w:rsidR="006210D4" w:rsidRPr="00317C89">
        <w:rPr>
          <w:rFonts w:ascii="Open Sans" w:hAnsi="Open Sans" w:cs="Open Sans"/>
        </w:rPr>
        <w:t xml:space="preserve">(w tym ścian fundamentowych) </w:t>
      </w:r>
      <w:r w:rsidRPr="00317C89">
        <w:rPr>
          <w:rFonts w:ascii="Open Sans" w:hAnsi="Open Sans" w:cs="Open Sans"/>
        </w:rPr>
        <w:t xml:space="preserve">od wilgoci kapilarnej, uszczelnianie spodu płyty dennej, odtwarzanie izolacji poziomych, wykonywanie tynków renowacyjnych i izolacji pionowych, roboty hydro izolacyjne na balkonach i loggiach oraz inne roboty związane z usuwaniem wilgoci; </w:t>
      </w:r>
    </w:p>
    <w:p w14:paraId="7FF8D2BB" w14:textId="1680191F" w:rsidR="00DD1953" w:rsidRPr="00317C89" w:rsidRDefault="00DD1953" w:rsidP="00317C89">
      <w:pPr>
        <w:pStyle w:val="Akapitzlist"/>
        <w:numPr>
          <w:ilvl w:val="0"/>
          <w:numId w:val="5"/>
        </w:numPr>
        <w:spacing w:line="288" w:lineRule="auto"/>
        <w:rPr>
          <w:rFonts w:ascii="Open Sans" w:hAnsi="Open Sans" w:cs="Open Sans"/>
          <w:b/>
          <w:bCs/>
        </w:rPr>
      </w:pPr>
      <w:r w:rsidRPr="00317C89">
        <w:rPr>
          <w:rFonts w:ascii="Open Sans" w:hAnsi="Open Sans" w:cs="Open Sans"/>
          <w:b/>
          <w:bCs/>
        </w:rPr>
        <w:t>Ściany wewnętrzne</w:t>
      </w:r>
      <w:r w:rsidR="00944D22" w:rsidRPr="00317C89">
        <w:rPr>
          <w:rFonts w:ascii="Open Sans" w:hAnsi="Open Sans" w:cs="Open Sans"/>
          <w:b/>
          <w:bCs/>
        </w:rPr>
        <w:t>.</w:t>
      </w:r>
    </w:p>
    <w:p w14:paraId="07B95A7B" w14:textId="7CEF4EC5" w:rsidR="00DD1953" w:rsidRPr="004752BD" w:rsidRDefault="00DD1953" w:rsidP="00317C89">
      <w:pPr>
        <w:spacing w:line="288" w:lineRule="auto"/>
        <w:rPr>
          <w:rFonts w:ascii="Open Sans" w:hAnsi="Open Sans" w:cs="Open Sans"/>
        </w:rPr>
      </w:pPr>
      <w:r w:rsidRPr="004752BD">
        <w:rPr>
          <w:rFonts w:ascii="Open Sans" w:hAnsi="Open Sans" w:cs="Open Sans"/>
        </w:rPr>
        <w:t xml:space="preserve">(pomiędzy pomieszczeniami ogrzewanymi i nieogrzewanymi, klatkami schodowymi </w:t>
      </w:r>
      <w:r w:rsidR="004752BD">
        <w:rPr>
          <w:rFonts w:ascii="Open Sans" w:hAnsi="Open Sans" w:cs="Open Sans"/>
        </w:rPr>
        <w:br/>
      </w:r>
      <w:r w:rsidRPr="004752BD">
        <w:rPr>
          <w:rFonts w:ascii="Open Sans" w:hAnsi="Open Sans" w:cs="Open Sans"/>
        </w:rPr>
        <w:t xml:space="preserve">lub korytarzami) </w:t>
      </w:r>
    </w:p>
    <w:p w14:paraId="6CD0CE9D" w14:textId="010D5EA3" w:rsidR="00DD1953" w:rsidRPr="00317C89" w:rsidRDefault="00DD1953" w:rsidP="00DF5D1E">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ocieplanie ścian wewnętrznych – technologie ocieplania w wyniku, których uzyskuje się zmniejszenie strat ciepła przez przenikanie, obejmujące m.in. ściany przylegające do szczelin dylatacyjnych, ściany nieogrzewanych kondygnacji podziemnych – przylegające do gruntu, ściany wewnętrzne oddzielające pomieszczenia ogrzewane od nieogrzewanych, w tym oddzielające pomieszczenia, w których różnica temperatur jest większa niż 4 K; </w:t>
      </w:r>
    </w:p>
    <w:p w14:paraId="21934423" w14:textId="3E061B36" w:rsidR="00DD1953" w:rsidRPr="004752BD" w:rsidRDefault="00DD1953" w:rsidP="00317C89">
      <w:pPr>
        <w:spacing w:line="288" w:lineRule="auto"/>
        <w:rPr>
          <w:rFonts w:ascii="Open Sans" w:hAnsi="Open Sans" w:cs="Open Sans"/>
        </w:rPr>
      </w:pPr>
      <w:r w:rsidRPr="004752BD">
        <w:rPr>
          <w:rFonts w:ascii="Open Sans" w:hAnsi="Open Sans" w:cs="Open Sans"/>
        </w:rPr>
        <w:t xml:space="preserve">Jeżeli w przypadku przegród wewnętrznych zachodzi taka konieczność i wynika to </w:t>
      </w:r>
      <w:r w:rsidR="004752BD">
        <w:rPr>
          <w:rFonts w:ascii="Open Sans" w:hAnsi="Open Sans" w:cs="Open Sans"/>
        </w:rPr>
        <w:br/>
      </w:r>
      <w:r w:rsidRPr="004752BD">
        <w:rPr>
          <w:rFonts w:ascii="Open Sans" w:hAnsi="Open Sans" w:cs="Open Sans"/>
        </w:rPr>
        <w:t>z audytu energetycznego ex-</w:t>
      </w:r>
      <w:proofErr w:type="spellStart"/>
      <w:r w:rsidRPr="004752BD">
        <w:rPr>
          <w:rFonts w:ascii="Open Sans" w:hAnsi="Open Sans" w:cs="Open Sans"/>
        </w:rPr>
        <w:t>ante</w:t>
      </w:r>
      <w:proofErr w:type="spellEnd"/>
      <w:r w:rsidRPr="004752BD">
        <w:rPr>
          <w:rFonts w:ascii="Open Sans" w:hAnsi="Open Sans" w:cs="Open Sans"/>
        </w:rPr>
        <w:t xml:space="preserve">, do kosztów kwalifikowanych zalicza się wszelkie roboty związane z rozbiórką dotychczasowego wykończenia lub konstrukcji, w tym </w:t>
      </w:r>
      <w:r w:rsidR="004752BD">
        <w:rPr>
          <w:rFonts w:ascii="Open Sans" w:hAnsi="Open Sans" w:cs="Open Sans"/>
        </w:rPr>
        <w:br/>
      </w:r>
      <w:r w:rsidRPr="004752BD">
        <w:rPr>
          <w:rFonts w:ascii="Open Sans" w:hAnsi="Open Sans" w:cs="Open Sans"/>
        </w:rPr>
        <w:t xml:space="preserve">w szczególności rozbiórka elementów zawierających w swym składzie azbest. Roboty te są kwalifikowane wyłącznie, jeżeli są prowadzone zgodnie z </w:t>
      </w:r>
      <w:r w:rsidR="006210D4" w:rsidRPr="004752BD">
        <w:rPr>
          <w:rFonts w:ascii="Open Sans" w:hAnsi="Open Sans" w:cs="Open Sans"/>
        </w:rPr>
        <w:t xml:space="preserve">obowiązującymi </w:t>
      </w:r>
      <w:r w:rsidRPr="004752BD">
        <w:rPr>
          <w:rFonts w:ascii="Open Sans" w:hAnsi="Open Sans" w:cs="Open Sans"/>
        </w:rPr>
        <w:t>przepisami</w:t>
      </w:r>
      <w:r w:rsidR="006210D4" w:rsidRPr="004752BD">
        <w:rPr>
          <w:rFonts w:ascii="Open Sans" w:hAnsi="Open Sans" w:cs="Open Sans"/>
        </w:rPr>
        <w:t xml:space="preserve"> prawa budowlanego</w:t>
      </w:r>
      <w:r w:rsidR="00C30B04" w:rsidRPr="004752BD">
        <w:rPr>
          <w:rStyle w:val="Odwoanieprzypisudolnego"/>
          <w:rFonts w:ascii="Open Sans" w:hAnsi="Open Sans" w:cs="Open Sans"/>
        </w:rPr>
        <w:footnoteReference w:id="2"/>
      </w:r>
      <w:r w:rsidR="006210D4" w:rsidRPr="004752BD">
        <w:rPr>
          <w:rFonts w:ascii="Open Sans" w:hAnsi="Open Sans" w:cs="Open Sans"/>
        </w:rPr>
        <w:t>.</w:t>
      </w:r>
    </w:p>
    <w:p w14:paraId="71BD3965" w14:textId="024EC0E7" w:rsidR="00DD1953" w:rsidRPr="00317C89" w:rsidRDefault="00DD1953" w:rsidP="00317C89">
      <w:pPr>
        <w:pStyle w:val="Akapitzlist"/>
        <w:numPr>
          <w:ilvl w:val="0"/>
          <w:numId w:val="5"/>
        </w:numPr>
        <w:spacing w:line="288" w:lineRule="auto"/>
        <w:rPr>
          <w:rFonts w:ascii="Open Sans" w:hAnsi="Open Sans" w:cs="Open Sans"/>
          <w:b/>
          <w:bCs/>
        </w:rPr>
      </w:pPr>
      <w:r w:rsidRPr="00317C89">
        <w:rPr>
          <w:rFonts w:ascii="Open Sans" w:hAnsi="Open Sans" w:cs="Open Sans"/>
          <w:b/>
          <w:bCs/>
        </w:rPr>
        <w:t>Stropy</w:t>
      </w:r>
      <w:r w:rsidR="00944D22" w:rsidRPr="00317C89">
        <w:rPr>
          <w:rFonts w:ascii="Open Sans" w:hAnsi="Open Sans" w:cs="Open Sans"/>
          <w:b/>
          <w:bCs/>
        </w:rPr>
        <w:t>, dachy, stropodachy</w:t>
      </w:r>
      <w:r w:rsidR="006210D4" w:rsidRPr="00317C89">
        <w:rPr>
          <w:rFonts w:ascii="Open Sans" w:hAnsi="Open Sans" w:cs="Open Sans"/>
          <w:b/>
          <w:bCs/>
        </w:rPr>
        <w:t>, podłogi na gruncie itp</w:t>
      </w:r>
      <w:r w:rsidR="00944D22" w:rsidRPr="00317C89">
        <w:rPr>
          <w:rFonts w:ascii="Open Sans" w:hAnsi="Open Sans" w:cs="Open Sans"/>
          <w:b/>
          <w:bCs/>
        </w:rPr>
        <w:t>.</w:t>
      </w:r>
    </w:p>
    <w:p w14:paraId="034FC1DE" w14:textId="1F722B6F" w:rsidR="00DD1953" w:rsidRPr="00317C89" w:rsidRDefault="00DD1953" w:rsidP="00DF5D1E">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dach i stropodach – technologie ocieplania, w wyniku których uzyskuje się zmniejszenie strat ciepła przez przenikanie, prowadzące do uzyskania odpowiednich współczynników przenikania ciepła, zgodnych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w</w:t>
      </w:r>
      <w:r w:rsidR="00BA1C3C" w:rsidRPr="00317C89">
        <w:rPr>
          <w:rFonts w:ascii="Open Sans" w:hAnsi="Open Sans" w:cs="Open Sans"/>
        </w:rPr>
        <w:t> </w:t>
      </w:r>
      <w:r w:rsidRPr="00317C89">
        <w:rPr>
          <w:rFonts w:ascii="Open Sans" w:hAnsi="Open Sans" w:cs="Open Sans"/>
        </w:rPr>
        <w:t xml:space="preserve">tym również obejmujące technologie, polegające na tworzeniu tzw. „zielonych dachów”. Roboty mogą obejmować wymianę konstrukcji dachów lub </w:t>
      </w:r>
      <w:r w:rsidRPr="00317C89">
        <w:rPr>
          <w:rFonts w:ascii="Open Sans" w:hAnsi="Open Sans" w:cs="Open Sans"/>
        </w:rPr>
        <w:lastRenderedPageBreak/>
        <w:t>stropodachów, jeżeli będzie taka konieczność i będzie to wynikać z audytu energetycznego ex-</w:t>
      </w:r>
      <w:proofErr w:type="spellStart"/>
      <w:r w:rsidRPr="00317C89">
        <w:rPr>
          <w:rFonts w:ascii="Open Sans" w:hAnsi="Open Sans" w:cs="Open Sans"/>
        </w:rPr>
        <w:t>ante</w:t>
      </w:r>
      <w:proofErr w:type="spellEnd"/>
      <w:r w:rsidRPr="00317C89">
        <w:rPr>
          <w:rFonts w:ascii="Open Sans" w:hAnsi="Open Sans" w:cs="Open Sans"/>
        </w:rPr>
        <w:t xml:space="preserve">; </w:t>
      </w:r>
    </w:p>
    <w:p w14:paraId="25CD23F6" w14:textId="6531D195" w:rsidR="00DD1953" w:rsidRPr="004752BD" w:rsidRDefault="00DD1953" w:rsidP="00317C89">
      <w:pPr>
        <w:spacing w:line="288" w:lineRule="auto"/>
        <w:rPr>
          <w:rFonts w:ascii="Open Sans" w:hAnsi="Open Sans" w:cs="Open Sans"/>
        </w:rPr>
      </w:pPr>
      <w:r w:rsidRPr="004752BD">
        <w:rPr>
          <w:rFonts w:ascii="Open Sans" w:hAnsi="Open Sans" w:cs="Open Sans"/>
        </w:rPr>
        <w:t>W ramach robót związanych z modernizacją dachów i stropodachów, do kosztów kwalifikowanych zalicza się wszelkie roboty związane z rozbiórką dotychczasowego pokrycia dachu (jeżeli wynika to z audytu energetycznego ex-</w:t>
      </w:r>
      <w:proofErr w:type="spellStart"/>
      <w:r w:rsidRPr="004752BD">
        <w:rPr>
          <w:rFonts w:ascii="Open Sans" w:hAnsi="Open Sans" w:cs="Open Sans"/>
        </w:rPr>
        <w:t>ante</w:t>
      </w:r>
      <w:proofErr w:type="spellEnd"/>
      <w:r w:rsidRPr="004752BD">
        <w:rPr>
          <w:rFonts w:ascii="Open Sans" w:hAnsi="Open Sans" w:cs="Open Sans"/>
        </w:rPr>
        <w:t xml:space="preserve">), w tym </w:t>
      </w:r>
      <w:r w:rsidR="004752BD">
        <w:rPr>
          <w:rFonts w:ascii="Open Sans" w:hAnsi="Open Sans" w:cs="Open Sans"/>
        </w:rPr>
        <w:br/>
      </w:r>
      <w:r w:rsidRPr="004752BD">
        <w:rPr>
          <w:rFonts w:ascii="Open Sans" w:hAnsi="Open Sans" w:cs="Open Sans"/>
        </w:rPr>
        <w:t xml:space="preserve">w szczególności rozbiórka pokryć zawierających w swym składzie azbest (np. tzw. eternit, chryzotyl – tzw. azbest biały, krokidolit – tzw. azbest niebieski, </w:t>
      </w:r>
      <w:proofErr w:type="spellStart"/>
      <w:r w:rsidRPr="004752BD">
        <w:rPr>
          <w:rFonts w:ascii="Open Sans" w:hAnsi="Open Sans" w:cs="Open Sans"/>
        </w:rPr>
        <w:t>amozyt</w:t>
      </w:r>
      <w:proofErr w:type="spellEnd"/>
      <w:r w:rsidRPr="004752BD">
        <w:rPr>
          <w:rFonts w:ascii="Open Sans" w:hAnsi="Open Sans" w:cs="Open Sans"/>
        </w:rPr>
        <w:t xml:space="preserve"> – tzw. azbest brązowy lub inne), jak również koszty transportu i utylizacji. Roboty te są kwalifikowane wyłącznie, jeżeli są prowadzone zgodnie z </w:t>
      </w:r>
      <w:r w:rsidR="006210D4" w:rsidRPr="004752BD">
        <w:rPr>
          <w:rFonts w:ascii="Open Sans" w:hAnsi="Open Sans" w:cs="Open Sans"/>
        </w:rPr>
        <w:t>obowiązującymi przepisami prawa budowlanego</w:t>
      </w:r>
      <w:r w:rsidRPr="004752BD">
        <w:rPr>
          <w:rFonts w:ascii="Open Sans" w:hAnsi="Open Sans" w:cs="Open Sans"/>
        </w:rPr>
        <w:t xml:space="preserve">, regulującymi ten rodzaj robót; </w:t>
      </w:r>
    </w:p>
    <w:p w14:paraId="49E964B1" w14:textId="2EEB5C7E" w:rsidR="00DD1953" w:rsidRPr="00317C89" w:rsidRDefault="00DD1953"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strop pod nieogrzewanym poddaszem – ocieplanie stropu poddasza, technologie ocieplania, w wyniku których uzyskuje się zmniejszenie strat ciepła przez przenikanie, prowadzące do uzyskania odpowiednich współczynników przenikania ciepła, zgodnych </w:t>
      </w:r>
      <w:r w:rsidR="004752BD" w:rsidRPr="00317C89">
        <w:rPr>
          <w:rFonts w:ascii="Open Sans" w:hAnsi="Open Sans" w:cs="Open Sans"/>
        </w:rPr>
        <w:br/>
      </w:r>
      <w:r w:rsidRPr="00317C89">
        <w:rPr>
          <w:rFonts w:ascii="Open Sans" w:hAnsi="Open Sans" w:cs="Open Sans"/>
        </w:rPr>
        <w:t xml:space="preserve">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Roboty mogą obejmować wymianę stropu, jeżeli zachodzi taka konieczność; </w:t>
      </w:r>
    </w:p>
    <w:p w14:paraId="19C8C05B" w14:textId="64CEF5A0" w:rsidR="00DD1953" w:rsidRPr="00317C89" w:rsidRDefault="00DD1953"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strop nad piwnicą – ocieplanie stropu nad piwnicą - technologie ocieplania, w wyniku których uzyskuje się zmniejszenie strat ciepła przez przenikanie, prowadzące </w:t>
      </w:r>
      <w:r w:rsidR="004752BD" w:rsidRPr="00317C89">
        <w:rPr>
          <w:rFonts w:ascii="Open Sans" w:hAnsi="Open Sans" w:cs="Open Sans"/>
        </w:rPr>
        <w:br/>
      </w:r>
      <w:r w:rsidRPr="00317C89">
        <w:rPr>
          <w:rFonts w:ascii="Open Sans" w:hAnsi="Open Sans" w:cs="Open Sans"/>
        </w:rPr>
        <w:t xml:space="preserve">do uzyskania odpowiednich współczynników przenikania ciepła, zgodnych </w:t>
      </w:r>
      <w:r w:rsidR="004752BD" w:rsidRPr="00317C89">
        <w:rPr>
          <w:rFonts w:ascii="Open Sans" w:hAnsi="Open Sans" w:cs="Open Sans"/>
        </w:rPr>
        <w:br/>
      </w:r>
      <w:r w:rsidRPr="00317C89">
        <w:rPr>
          <w:rFonts w:ascii="Open Sans" w:hAnsi="Open Sans" w:cs="Open Sans"/>
        </w:rPr>
        <w:t xml:space="preserve">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Roboty mogą obejmować wymianę stropu, jeżeli wynika to z audytu ex-</w:t>
      </w:r>
      <w:proofErr w:type="spellStart"/>
      <w:r w:rsidRPr="00317C89">
        <w:rPr>
          <w:rFonts w:ascii="Open Sans" w:hAnsi="Open Sans" w:cs="Open Sans"/>
        </w:rPr>
        <w:t>ante</w:t>
      </w:r>
      <w:proofErr w:type="spellEnd"/>
      <w:r w:rsidRPr="00317C89">
        <w:rPr>
          <w:rFonts w:ascii="Open Sans" w:hAnsi="Open Sans" w:cs="Open Sans"/>
        </w:rPr>
        <w:t xml:space="preserve">; </w:t>
      </w:r>
    </w:p>
    <w:p w14:paraId="458825AB" w14:textId="2DDEBB66" w:rsidR="00DD1953" w:rsidRPr="00317C89" w:rsidRDefault="7719F709"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p</w:t>
      </w:r>
      <w:r w:rsidR="291A17CC" w:rsidRPr="00317C89">
        <w:rPr>
          <w:rFonts w:ascii="Open Sans" w:hAnsi="Open Sans" w:cs="Open Sans"/>
        </w:rPr>
        <w:t xml:space="preserve">odłoga na gruncie – ocieplanie podłogi na gruncie - technologie ocieplania, w wyniku których uzyskuje się zmniejszenie strat ciepła przez przenikanie, prowadzące </w:t>
      </w:r>
      <w:r w:rsidR="00DD1953" w:rsidRPr="008E674D">
        <w:rPr>
          <w:rFonts w:ascii="Open Sans" w:hAnsi="Open Sans" w:cs="Open Sans"/>
        </w:rPr>
        <w:br/>
      </w:r>
      <w:r w:rsidR="291A17CC" w:rsidRPr="00317C89">
        <w:rPr>
          <w:rFonts w:ascii="Open Sans" w:hAnsi="Open Sans" w:cs="Open Sans"/>
        </w:rPr>
        <w:t xml:space="preserve">do uzyskania odpowiednich współczynników przenikania ciepła, zgodnych </w:t>
      </w:r>
      <w:r w:rsidR="00DD1953" w:rsidRPr="008E674D">
        <w:rPr>
          <w:rFonts w:ascii="Open Sans" w:hAnsi="Open Sans" w:cs="Open Sans"/>
        </w:rPr>
        <w:br/>
      </w:r>
      <w:r w:rsidR="291A17CC" w:rsidRPr="00317C89">
        <w:rPr>
          <w:rFonts w:ascii="Open Sans" w:hAnsi="Open Sans" w:cs="Open Sans"/>
        </w:rPr>
        <w:t xml:space="preserve">z obowiązującymi przepisami </w:t>
      </w:r>
      <w:proofErr w:type="spellStart"/>
      <w:r w:rsidR="291A17CC" w:rsidRPr="00317C89">
        <w:rPr>
          <w:rFonts w:ascii="Open Sans" w:hAnsi="Open Sans" w:cs="Open Sans"/>
        </w:rPr>
        <w:t>techniczno</w:t>
      </w:r>
      <w:proofErr w:type="spellEnd"/>
      <w:r w:rsidR="291A17CC" w:rsidRPr="00317C89">
        <w:rPr>
          <w:rFonts w:ascii="Open Sans" w:hAnsi="Open Sans" w:cs="Open Sans"/>
        </w:rPr>
        <w:t xml:space="preserve"> – budowlanymi</w:t>
      </w:r>
      <w:r w:rsidR="1B26501A" w:rsidRPr="00317C89">
        <w:rPr>
          <w:rFonts w:ascii="Open Sans" w:hAnsi="Open Sans" w:cs="Open Sans"/>
        </w:rPr>
        <w:t>.</w:t>
      </w:r>
      <w:r w:rsidR="291A17CC" w:rsidRPr="00317C89">
        <w:rPr>
          <w:rFonts w:ascii="Open Sans" w:hAnsi="Open Sans" w:cs="Open Sans"/>
        </w:rPr>
        <w:t xml:space="preserve"> Roboty mogą obejmować wymianę podłogi na gruncie, jeżeli wynika z audytu ex-</w:t>
      </w:r>
      <w:proofErr w:type="spellStart"/>
      <w:r w:rsidR="291A17CC" w:rsidRPr="00317C89">
        <w:rPr>
          <w:rFonts w:ascii="Open Sans" w:hAnsi="Open Sans" w:cs="Open Sans"/>
        </w:rPr>
        <w:t>ante</w:t>
      </w:r>
      <w:proofErr w:type="spellEnd"/>
      <w:r w:rsidR="291A17CC" w:rsidRPr="00317C89">
        <w:rPr>
          <w:rFonts w:ascii="Open Sans" w:hAnsi="Open Sans" w:cs="Open Sans"/>
        </w:rPr>
        <w:t xml:space="preserve">, pod warunkiem sfinansowania kosztów podłogi o standardzie nie wyższym, niż przed ociepleniem; </w:t>
      </w:r>
    </w:p>
    <w:p w14:paraId="1319FD52" w14:textId="1ACACB36" w:rsidR="00DD1953" w:rsidRPr="00317C89" w:rsidRDefault="00DD1953"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stropy nad przejazdami – ocieplanie stropów nad przejazdami, technologie ocieplania, w wyniku których uzyskuje się zmniejszenie strat ciepła przez przenikanie, prowadzące do uzyskania odpowiednich współczynników przenikania ciepła, zgodnych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w:t>
      </w:r>
      <w:r w:rsidR="006210D4" w:rsidRPr="00317C89">
        <w:rPr>
          <w:rFonts w:ascii="Open Sans" w:hAnsi="Open Sans" w:cs="Open Sans"/>
        </w:rPr>
        <w:t>.</w:t>
      </w:r>
      <w:r w:rsidRPr="00317C89">
        <w:rPr>
          <w:rFonts w:ascii="Open Sans" w:hAnsi="Open Sans" w:cs="Open Sans"/>
        </w:rPr>
        <w:t xml:space="preserve"> </w:t>
      </w:r>
      <w:r w:rsidR="006210D4" w:rsidRPr="00317C89">
        <w:rPr>
          <w:rFonts w:ascii="Open Sans" w:hAnsi="Open Sans" w:cs="Open Sans"/>
        </w:rPr>
        <w:t>Roboty</w:t>
      </w:r>
      <w:r w:rsidRPr="00317C89">
        <w:rPr>
          <w:rFonts w:ascii="Open Sans" w:hAnsi="Open Sans" w:cs="Open Sans"/>
        </w:rPr>
        <w:t xml:space="preserve"> mogą obejmować </w:t>
      </w:r>
      <w:r w:rsidR="006210D4" w:rsidRPr="00317C89">
        <w:rPr>
          <w:rFonts w:ascii="Open Sans" w:hAnsi="Open Sans" w:cs="Open Sans"/>
        </w:rPr>
        <w:t xml:space="preserve">również </w:t>
      </w:r>
      <w:r w:rsidRPr="00317C89">
        <w:rPr>
          <w:rFonts w:ascii="Open Sans" w:hAnsi="Open Sans" w:cs="Open Sans"/>
        </w:rPr>
        <w:t xml:space="preserve">wymianę stropu, jeżeli zachodzi taka konieczność; </w:t>
      </w:r>
    </w:p>
    <w:p w14:paraId="6717F15A" w14:textId="3E8AC45F" w:rsidR="00DD1953" w:rsidRPr="00317C89" w:rsidRDefault="00DD1953"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stropy nad zamkniętymi przestrzeniami podpodłogowymi – ocieplanie stropów nad zamkniętymi przestrzeniami podpodłogowymi, technologie ocieplania, w wyniku których uzyskuje się zmniejszenie strat ciepła przez przenikanie, prowadzące do uzyskania odpowiednich współczynników przenikania ciepła, zgodnych z </w:t>
      </w:r>
      <w:r w:rsidRPr="00317C89">
        <w:rPr>
          <w:rFonts w:ascii="Open Sans" w:hAnsi="Open Sans" w:cs="Open Sans"/>
        </w:rPr>
        <w:lastRenderedPageBreak/>
        <w:t xml:space="preserve">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w:t>
      </w:r>
      <w:r w:rsidR="00C30B04" w:rsidRPr="008E674D">
        <w:footnoteReference w:id="3"/>
      </w:r>
      <w:r w:rsidR="00C30B04" w:rsidRPr="00317C89">
        <w:rPr>
          <w:rFonts w:ascii="Open Sans" w:hAnsi="Open Sans" w:cs="Open Sans"/>
        </w:rPr>
        <w:t>.</w:t>
      </w:r>
      <w:r w:rsidRPr="00317C89">
        <w:rPr>
          <w:rFonts w:ascii="Open Sans" w:hAnsi="Open Sans" w:cs="Open Sans"/>
        </w:rPr>
        <w:t xml:space="preserve">  Roboty mogą obejmować wymianę stropu, jeżeli zachodzi taka konieczność; </w:t>
      </w:r>
    </w:p>
    <w:p w14:paraId="1C92FD3D" w14:textId="44C01AA4" w:rsidR="00DD1953" w:rsidRPr="00317C89" w:rsidRDefault="291A17CC"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stropy na gruncie – ocieplanie stropów na gruncie, technologie ocieplania, w wyniku których uzyskuje się zmniejszenie strat ciepła przez przenikanie, prowadzące do uzyskania odpowiednich współczynników przenikania ciepła, zgodnych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w:t>
      </w:r>
      <w:r w:rsidR="3BDEE679" w:rsidRPr="00317C89">
        <w:rPr>
          <w:rFonts w:ascii="Open Sans" w:hAnsi="Open Sans" w:cs="Open Sans"/>
        </w:rPr>
        <w:t>.</w:t>
      </w:r>
      <w:r w:rsidRPr="00317C89">
        <w:rPr>
          <w:rFonts w:ascii="Open Sans" w:hAnsi="Open Sans" w:cs="Open Sans"/>
        </w:rPr>
        <w:t xml:space="preserve"> Roboty mogą obejmować wymianę stropu, jeżeli zachodzi taka konieczność; </w:t>
      </w:r>
    </w:p>
    <w:p w14:paraId="4E09C415" w14:textId="3999612A" w:rsidR="00DD1953" w:rsidRPr="00317C89" w:rsidRDefault="00DD1953"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stropy nad kondygnacjami podziemnymi – ocieplanie stropów nad kondygnacjami podziemnymi, technologie ocieplania, w wyniku których uzyskuje się zmniejszenie strat ciepła przez przenikanie, prowadzące do uzyskania odpowiednich współczynników przenikania ciepła, zgodnych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Roboty mogą obejmować wymianę stropu, jeżeli zachodzi taka konieczność; </w:t>
      </w:r>
    </w:p>
    <w:p w14:paraId="7CECC01C" w14:textId="1D876B04" w:rsidR="00DD1953" w:rsidRPr="00317C89" w:rsidRDefault="291A17CC"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izolacje transparentne, pod warunkiem, że wynika to z audytu energetycznego ex-</w:t>
      </w:r>
      <w:proofErr w:type="spellStart"/>
      <w:r w:rsidRPr="00317C89">
        <w:rPr>
          <w:rFonts w:ascii="Open Sans" w:hAnsi="Open Sans" w:cs="Open Sans"/>
        </w:rPr>
        <w:t>ante</w:t>
      </w:r>
      <w:proofErr w:type="spellEnd"/>
      <w:r w:rsidRPr="00317C89">
        <w:rPr>
          <w:rFonts w:ascii="Open Sans" w:hAnsi="Open Sans" w:cs="Open Sans"/>
        </w:rPr>
        <w:t xml:space="preserve">; </w:t>
      </w:r>
    </w:p>
    <w:p w14:paraId="2192DBBF" w14:textId="67CA0DAE" w:rsidR="00DD1953" w:rsidRPr="00317C89" w:rsidRDefault="00DD1953" w:rsidP="008E674D">
      <w:pPr>
        <w:pStyle w:val="Akapitzlist"/>
        <w:numPr>
          <w:ilvl w:val="0"/>
          <w:numId w:val="24"/>
        </w:numPr>
        <w:spacing w:after="240" w:line="288" w:lineRule="auto"/>
        <w:ind w:left="0" w:firstLine="0"/>
        <w:contextualSpacing w:val="0"/>
        <w:rPr>
          <w:rFonts w:ascii="Open Sans" w:hAnsi="Open Sans" w:cs="Open Sans"/>
        </w:rPr>
      </w:pPr>
      <w:r w:rsidRPr="00317C89">
        <w:rPr>
          <w:rFonts w:ascii="Open Sans" w:hAnsi="Open Sans" w:cs="Open Sans"/>
        </w:rPr>
        <w:t xml:space="preserve">uszczelnianie zielonych dachów. </w:t>
      </w:r>
    </w:p>
    <w:p w14:paraId="4DB7AF24" w14:textId="243C4D9F" w:rsidR="00DD1953" w:rsidRPr="00317C89" w:rsidRDefault="00DD1953" w:rsidP="00317C89">
      <w:pPr>
        <w:pStyle w:val="Akapitzlist"/>
        <w:numPr>
          <w:ilvl w:val="0"/>
          <w:numId w:val="5"/>
        </w:numPr>
        <w:spacing w:line="288" w:lineRule="auto"/>
        <w:rPr>
          <w:rFonts w:ascii="Open Sans" w:hAnsi="Open Sans" w:cs="Open Sans"/>
          <w:b/>
          <w:bCs/>
        </w:rPr>
      </w:pPr>
      <w:r w:rsidRPr="00317C89">
        <w:rPr>
          <w:rFonts w:ascii="Open Sans" w:hAnsi="Open Sans" w:cs="Open Sans"/>
          <w:b/>
          <w:bCs/>
        </w:rPr>
        <w:t>Stolarka okienna i drzwiowa, przegrody przezroczyste</w:t>
      </w:r>
      <w:r w:rsidR="00944D22" w:rsidRPr="00317C89">
        <w:rPr>
          <w:rFonts w:ascii="Open Sans" w:hAnsi="Open Sans" w:cs="Open Sans"/>
          <w:b/>
          <w:bCs/>
        </w:rPr>
        <w:t>.</w:t>
      </w:r>
      <w:r w:rsidRPr="00317C89">
        <w:rPr>
          <w:rFonts w:ascii="Open Sans" w:hAnsi="Open Sans" w:cs="Open Sans"/>
          <w:b/>
          <w:bCs/>
        </w:rPr>
        <w:t xml:space="preserve">  </w:t>
      </w:r>
    </w:p>
    <w:p w14:paraId="1AC6C422" w14:textId="6696E4F7" w:rsidR="00DD1953" w:rsidRPr="00317C89" w:rsidRDefault="291A17CC"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wymiana okien i drzwi zewnętrznych wejściowych na nowe – wymiana powinna prowadzić do uzyskania odpowiednich współczynników przenikania ciepła, zgodnych </w:t>
      </w:r>
      <w:r w:rsidR="00DD1953" w:rsidRPr="008E674D">
        <w:rPr>
          <w:rFonts w:ascii="Open Sans" w:hAnsi="Open Sans" w:cs="Open Sans"/>
        </w:rPr>
        <w:br/>
      </w:r>
      <w:r w:rsidRPr="00317C89">
        <w:rPr>
          <w:rFonts w:ascii="Open Sans" w:hAnsi="Open Sans" w:cs="Open Sans"/>
        </w:rPr>
        <w:t xml:space="preserve">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oraz odpowiedniej szczelności</w:t>
      </w:r>
      <w:r w:rsidR="7168BAE2" w:rsidRPr="00317C89">
        <w:rPr>
          <w:rFonts w:ascii="Open Sans" w:hAnsi="Open Sans" w:cs="Open Sans"/>
        </w:rPr>
        <w:t>.</w:t>
      </w:r>
      <w:r w:rsidRPr="00317C89">
        <w:rPr>
          <w:rFonts w:ascii="Open Sans" w:hAnsi="Open Sans" w:cs="Open Sans"/>
        </w:rPr>
        <w:t xml:space="preserve"> Roboty mogą obejmować wymianę okien i drzwi wewnętrznych, jeżeli zachodzi taka konieczność (oraz jeżeli wynika to z audytu energetycznego ex-</w:t>
      </w:r>
      <w:proofErr w:type="spellStart"/>
      <w:r w:rsidRPr="00317C89">
        <w:rPr>
          <w:rFonts w:ascii="Open Sans" w:hAnsi="Open Sans" w:cs="Open Sans"/>
        </w:rPr>
        <w:t>ante</w:t>
      </w:r>
      <w:proofErr w:type="spellEnd"/>
      <w:r w:rsidRPr="00317C89">
        <w:rPr>
          <w:rFonts w:ascii="Open Sans" w:hAnsi="Open Sans" w:cs="Open Sans"/>
        </w:rPr>
        <w:t xml:space="preserve">), w tym oddzielających pomieszczenia ogrzewane od nieogrzewanych; </w:t>
      </w:r>
    </w:p>
    <w:p w14:paraId="565F0DD6" w14:textId="7222DC7A" w:rsidR="00DD1953" w:rsidRPr="00317C89" w:rsidRDefault="00DD1953" w:rsidP="008E674D">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wymiana okien i drzwi balkonowych - powinna prowadzić do uzyskania odpowiednich współczynników przenikania ciepła, zgodnych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oraz do odpowiedniej szczelności. </w:t>
      </w:r>
    </w:p>
    <w:p w14:paraId="59E647E1" w14:textId="14478A6C" w:rsidR="00DD1953" w:rsidRPr="004752BD" w:rsidRDefault="291A17CC" w:rsidP="00317C89">
      <w:pPr>
        <w:spacing w:line="288" w:lineRule="auto"/>
        <w:rPr>
          <w:rFonts w:ascii="Open Sans" w:hAnsi="Open Sans" w:cs="Open Sans"/>
          <w:i/>
          <w:iCs/>
        </w:rPr>
      </w:pPr>
      <w:r w:rsidRPr="1131D883">
        <w:rPr>
          <w:rFonts w:ascii="Open Sans" w:hAnsi="Open Sans" w:cs="Open Sans"/>
          <w:i/>
          <w:iCs/>
        </w:rPr>
        <w:t xml:space="preserve">Zaleca się realizację powyższych prac z zastosowaniem tzw. ciepłego montażu okien, który pozwala na to, by okna energooszczędne zachowały swoje walory izolacyjne, czyli były szczelnie zamontowane. Jedynie osadzenie okna w warstwie ocieplenia eliminuje mostki termiczne, które wokół niego mogą powstawać. Wymiana lub modernizacja okien i drzwi balkonowych </w:t>
      </w:r>
      <w:r w:rsidR="61A8314B" w:rsidRPr="1131D883">
        <w:rPr>
          <w:rFonts w:ascii="Open Sans" w:hAnsi="Open Sans" w:cs="Open Sans"/>
          <w:i/>
          <w:iCs/>
        </w:rPr>
        <w:t>powinna spełniać</w:t>
      </w:r>
      <w:r w:rsidRPr="1131D883">
        <w:rPr>
          <w:rFonts w:ascii="Open Sans" w:hAnsi="Open Sans" w:cs="Open Sans"/>
          <w:i/>
          <w:iCs/>
        </w:rPr>
        <w:t xml:space="preserve"> wymagania Rozporządzeni</w:t>
      </w:r>
      <w:r w:rsidR="61A8314B" w:rsidRPr="1131D883">
        <w:rPr>
          <w:rFonts w:ascii="Open Sans" w:hAnsi="Open Sans" w:cs="Open Sans"/>
          <w:i/>
          <w:iCs/>
        </w:rPr>
        <w:t>a</w:t>
      </w:r>
      <w:r w:rsidRPr="1131D883">
        <w:rPr>
          <w:rFonts w:ascii="Open Sans" w:hAnsi="Open Sans" w:cs="Open Sans"/>
          <w:i/>
          <w:iCs/>
        </w:rPr>
        <w:t xml:space="preserve"> Ministra Infrastruktury z dnia 12 kwietnia 2002</w:t>
      </w:r>
      <w:r w:rsidR="61A8314B" w:rsidRPr="1131D883">
        <w:rPr>
          <w:rFonts w:ascii="Open Sans" w:hAnsi="Open Sans" w:cs="Open Sans"/>
          <w:i/>
          <w:iCs/>
        </w:rPr>
        <w:t xml:space="preserve"> </w:t>
      </w:r>
      <w:r w:rsidRPr="1131D883">
        <w:rPr>
          <w:rFonts w:ascii="Open Sans" w:hAnsi="Open Sans" w:cs="Open Sans"/>
          <w:i/>
          <w:iCs/>
        </w:rPr>
        <w:t>r. oraz polskich norm (</w:t>
      </w:r>
      <w:r w:rsidR="61A8314B" w:rsidRPr="1131D883">
        <w:rPr>
          <w:rFonts w:ascii="Open Sans" w:hAnsi="Open Sans" w:cs="Open Sans"/>
          <w:i/>
          <w:iCs/>
        </w:rPr>
        <w:t>zaleca się szczególną uwagę</w:t>
      </w:r>
      <w:r w:rsidR="7E0429A7" w:rsidRPr="1131D883">
        <w:rPr>
          <w:rFonts w:ascii="Open Sans" w:hAnsi="Open Sans" w:cs="Open Sans"/>
          <w:i/>
          <w:iCs/>
        </w:rPr>
        <w:t>,</w:t>
      </w:r>
      <w:r w:rsidR="61A8314B" w:rsidRPr="1131D883">
        <w:rPr>
          <w:rFonts w:ascii="Open Sans" w:hAnsi="Open Sans" w:cs="Open Sans"/>
          <w:i/>
          <w:iCs/>
        </w:rPr>
        <w:t xml:space="preserve"> jeśli chodzi </w:t>
      </w:r>
      <w:r w:rsidRPr="1131D883">
        <w:rPr>
          <w:rFonts w:ascii="Open Sans" w:hAnsi="Open Sans" w:cs="Open Sans"/>
          <w:i/>
          <w:iCs/>
        </w:rPr>
        <w:t xml:space="preserve">o zachowanie </w:t>
      </w:r>
      <w:r w:rsidRPr="1131D883">
        <w:rPr>
          <w:rFonts w:ascii="Open Sans" w:hAnsi="Open Sans" w:cs="Open Sans"/>
          <w:i/>
          <w:iCs/>
        </w:rPr>
        <w:lastRenderedPageBreak/>
        <w:t>warunków termicznych</w:t>
      </w:r>
      <w:r w:rsidR="61A8314B" w:rsidRPr="1131D883">
        <w:rPr>
          <w:rFonts w:ascii="Open Sans" w:hAnsi="Open Sans" w:cs="Open Sans"/>
          <w:i/>
          <w:iCs/>
        </w:rPr>
        <w:t xml:space="preserve"> mocowania oraz</w:t>
      </w:r>
      <w:r w:rsidRPr="1131D883">
        <w:rPr>
          <w:rFonts w:ascii="Open Sans" w:hAnsi="Open Sans" w:cs="Open Sans"/>
          <w:i/>
          <w:iCs/>
        </w:rPr>
        <w:t xml:space="preserve"> szczelności) – </w:t>
      </w:r>
      <w:r w:rsidR="61A8314B" w:rsidRPr="1131D883">
        <w:rPr>
          <w:rFonts w:ascii="Open Sans" w:hAnsi="Open Sans" w:cs="Open Sans"/>
          <w:i/>
          <w:iCs/>
        </w:rPr>
        <w:t xml:space="preserve">co winno mieć </w:t>
      </w:r>
      <w:r w:rsidRPr="1131D883">
        <w:rPr>
          <w:rFonts w:ascii="Open Sans" w:hAnsi="Open Sans" w:cs="Open Sans"/>
          <w:i/>
          <w:iCs/>
        </w:rPr>
        <w:t xml:space="preserve">odzwierciedlenie w protokole odbioru. </w:t>
      </w:r>
    </w:p>
    <w:p w14:paraId="78CEC8C6" w14:textId="46BD7096" w:rsidR="00DD1953" w:rsidRPr="00317C89" w:rsidRDefault="291A17CC"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modernizacja starych okien i drzwi zewnętrznych – modernizacja polegać może na odpowiednim spasowaniu, zastosowaniu lub wymianie uszczelek i okuć, uszczelnieniu drzwi, co powinno prowadzić do uzyskania odpowiednich </w:t>
      </w:r>
      <w:r w:rsidR="00DD1953" w:rsidRPr="00317C89">
        <w:rPr>
          <w:rFonts w:ascii="Open Sans" w:hAnsi="Open Sans" w:cs="Open Sans"/>
        </w:rPr>
        <w:t xml:space="preserve">współczynników przenikania ciepła, zgodnych z obowiązującymi przepisami </w:t>
      </w:r>
      <w:proofErr w:type="spellStart"/>
      <w:r w:rsidR="00DD1953" w:rsidRPr="00317C89">
        <w:rPr>
          <w:rFonts w:ascii="Open Sans" w:hAnsi="Open Sans" w:cs="Open Sans"/>
        </w:rPr>
        <w:t>techniczno</w:t>
      </w:r>
      <w:proofErr w:type="spellEnd"/>
      <w:r w:rsidR="00DD1953" w:rsidRPr="00317C89">
        <w:rPr>
          <w:rFonts w:ascii="Open Sans" w:hAnsi="Open Sans" w:cs="Open Sans"/>
        </w:rPr>
        <w:t xml:space="preserve"> – budowlanymi oraz odpowiedniej szczelności. Roboty mogą obejmować modernizację okien i drzwi wewnętrznych, jeżeli zachodzi taka konieczność, w tym oddzielających pomieszczenia ogrzewane od nieogrzewanych;  </w:t>
      </w:r>
    </w:p>
    <w:p w14:paraId="102CD2DA" w14:textId="2AF6AC83" w:rsidR="00944D22"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wymiana lub modernizacja okien piwnicznych i poddaszy – wymiana lub modernizacja powinna prowadzić do uzyskania odpowiednich współczynników przenikania ciepła, zgodnych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oraz odpowiedniej szczelności; </w:t>
      </w:r>
    </w:p>
    <w:p w14:paraId="45136F3E" w14:textId="70967984"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wymiana pozostałych przegród przezroczystych (fasady przeszklone, świetliki, atria, ogrody zimowe); </w:t>
      </w:r>
    </w:p>
    <w:p w14:paraId="159F7B09" w14:textId="0BD8CF9E" w:rsidR="00DD1953" w:rsidRPr="004752BD" w:rsidRDefault="00DD1953" w:rsidP="00317C89">
      <w:pPr>
        <w:spacing w:line="288" w:lineRule="auto"/>
        <w:rPr>
          <w:rFonts w:ascii="Open Sans" w:hAnsi="Open Sans" w:cs="Open Sans"/>
          <w:i/>
          <w:iCs/>
        </w:rPr>
      </w:pPr>
      <w:r w:rsidRPr="004752BD">
        <w:rPr>
          <w:rFonts w:ascii="Open Sans" w:hAnsi="Open Sans" w:cs="Open Sans"/>
          <w:i/>
          <w:iCs/>
        </w:rPr>
        <w:t xml:space="preserve">W wyniku wszelkich prac związanych z oszczędnością energii (w szczególności związanych </w:t>
      </w:r>
      <w:r w:rsidR="004752BD">
        <w:rPr>
          <w:rFonts w:ascii="Open Sans" w:hAnsi="Open Sans" w:cs="Open Sans"/>
          <w:i/>
          <w:iCs/>
        </w:rPr>
        <w:br/>
      </w:r>
      <w:r w:rsidRPr="004752BD">
        <w:rPr>
          <w:rFonts w:ascii="Open Sans" w:hAnsi="Open Sans" w:cs="Open Sans"/>
          <w:i/>
          <w:iCs/>
        </w:rPr>
        <w:t xml:space="preserve">z przegrodami, stanowiącymi osłonę bilansową budynku oraz ze stolarką okienną </w:t>
      </w:r>
      <w:r w:rsidR="004752BD">
        <w:rPr>
          <w:rFonts w:ascii="Open Sans" w:hAnsi="Open Sans" w:cs="Open Sans"/>
          <w:i/>
          <w:iCs/>
        </w:rPr>
        <w:br/>
      </w:r>
      <w:r w:rsidRPr="004752BD">
        <w:rPr>
          <w:rFonts w:ascii="Open Sans" w:hAnsi="Open Sans" w:cs="Open Sans"/>
          <w:i/>
          <w:iCs/>
        </w:rPr>
        <w:t xml:space="preserve">i drzwiową), należy uzyskać szczelność budynku zgodnie z wymaganiami określonymi </w:t>
      </w:r>
      <w:r w:rsidR="004752BD">
        <w:rPr>
          <w:rFonts w:ascii="Open Sans" w:hAnsi="Open Sans" w:cs="Open Sans"/>
          <w:i/>
          <w:iCs/>
        </w:rPr>
        <w:br/>
      </w:r>
      <w:r w:rsidRPr="004752BD">
        <w:rPr>
          <w:rFonts w:ascii="Open Sans" w:hAnsi="Open Sans" w:cs="Open Sans"/>
          <w:i/>
          <w:iCs/>
        </w:rPr>
        <w:t xml:space="preserve">w Rozporządzeniu Ministra Infrastruktury z dnia 12 kwietnia 2002 r. w sprawie warunków technicznych, jakim powinny odpowiadać budynki i ich usytuowanie z </w:t>
      </w:r>
      <w:proofErr w:type="spellStart"/>
      <w:r w:rsidRPr="004752BD">
        <w:rPr>
          <w:rFonts w:ascii="Open Sans" w:hAnsi="Open Sans" w:cs="Open Sans"/>
          <w:i/>
          <w:iCs/>
        </w:rPr>
        <w:t>późn</w:t>
      </w:r>
      <w:proofErr w:type="spellEnd"/>
      <w:r w:rsidRPr="004752BD">
        <w:rPr>
          <w:rFonts w:ascii="Open Sans" w:hAnsi="Open Sans" w:cs="Open Sans"/>
          <w:i/>
          <w:iCs/>
        </w:rPr>
        <w:t xml:space="preserve">. zmianami. </w:t>
      </w:r>
      <w:r w:rsidR="004752BD">
        <w:rPr>
          <w:rFonts w:ascii="Open Sans" w:hAnsi="Open Sans" w:cs="Open Sans"/>
          <w:i/>
          <w:iCs/>
        </w:rPr>
        <w:br/>
      </w:r>
      <w:r w:rsidRPr="004752BD">
        <w:rPr>
          <w:rFonts w:ascii="Open Sans" w:hAnsi="Open Sans" w:cs="Open Sans"/>
          <w:i/>
          <w:iCs/>
        </w:rPr>
        <w:t xml:space="preserve">W celu potwierdzenia jakości wykonania ww. prac, po ich wykonaniu budynek może być poddany próbie szczelności, przeprowadzonej zgodnie z Polską Normą, dotyczącą określania przepuszczalności powietrznej budynków w celu uzyskania zalecanej szczelności określnej </w:t>
      </w:r>
      <w:r w:rsidR="004752BD">
        <w:rPr>
          <w:rFonts w:ascii="Open Sans" w:hAnsi="Open Sans" w:cs="Open Sans"/>
          <w:i/>
          <w:iCs/>
        </w:rPr>
        <w:br/>
      </w:r>
      <w:r w:rsidRPr="004752BD">
        <w:rPr>
          <w:rFonts w:ascii="Open Sans" w:hAnsi="Open Sans" w:cs="Open Sans"/>
          <w:i/>
          <w:iCs/>
        </w:rPr>
        <w:t xml:space="preserve">w pkt. 2.3.3 załącznika nr 2 do w/w Rozporządzenia (koszty związane z próbą szczelności są kosztami kwalifikowanymi). Badanie jakości wykonania robót związanych z montażem stolarki okiennej i drzwiowej można też potwierdzić badaniami termowizyjnymi opracowanymi w formie odpowiedniego raportu z badań – koszt tych badań jest kosztem kwalifikowanym.  </w:t>
      </w:r>
    </w:p>
    <w:p w14:paraId="223FD61F" w14:textId="77777777" w:rsidR="00DD1953" w:rsidRPr="004752BD" w:rsidRDefault="00DD1953" w:rsidP="00317C89">
      <w:pPr>
        <w:spacing w:line="288" w:lineRule="auto"/>
        <w:rPr>
          <w:rFonts w:ascii="Open Sans" w:hAnsi="Open Sans" w:cs="Open Sans"/>
          <w:i/>
          <w:iCs/>
        </w:rPr>
      </w:pPr>
      <w:r w:rsidRPr="004752BD">
        <w:rPr>
          <w:rFonts w:ascii="Open Sans" w:hAnsi="Open Sans" w:cs="Open Sans"/>
          <w:i/>
          <w:iCs/>
        </w:rPr>
        <w:t>Zaleca się stosowanie próby szczelności lub badań termowizyjnych przed ostatecznym odbiorem prac od Wykonawcy jako warunek prawidłowego wykonania prac termomodernizacyjnych z zapewnieniem możliwości naprawy wykrytych ewentualnych usterek ww. metodami.</w:t>
      </w:r>
    </w:p>
    <w:p w14:paraId="36CD925A" w14:textId="2B4CC386" w:rsidR="00DD1953" w:rsidRPr="00317C89" w:rsidRDefault="00DD1953" w:rsidP="00317C89">
      <w:pPr>
        <w:pStyle w:val="Akapitzlist"/>
        <w:numPr>
          <w:ilvl w:val="0"/>
          <w:numId w:val="5"/>
        </w:numPr>
        <w:spacing w:line="288" w:lineRule="auto"/>
        <w:rPr>
          <w:rFonts w:ascii="Open Sans" w:hAnsi="Open Sans" w:cs="Open Sans"/>
          <w:b/>
          <w:bCs/>
        </w:rPr>
      </w:pPr>
      <w:r w:rsidRPr="00317C89">
        <w:rPr>
          <w:rFonts w:ascii="Open Sans" w:hAnsi="Open Sans" w:cs="Open Sans"/>
          <w:b/>
          <w:bCs/>
        </w:rPr>
        <w:t xml:space="preserve">Wymiana oświetlenia na energooszczędne  </w:t>
      </w:r>
    </w:p>
    <w:p w14:paraId="077465B5" w14:textId="42E80B6A"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wymiana źródeł światła na źródła wysokowydajne, np. żarówek na świetlówki; </w:t>
      </w:r>
    </w:p>
    <w:p w14:paraId="176E9085" w14:textId="466E8F3F"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lastRenderedPageBreak/>
        <w:t xml:space="preserve">wymiana opraw; </w:t>
      </w:r>
    </w:p>
    <w:p w14:paraId="07AB07E6" w14:textId="5BFE3881"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wymiana i montaż tablic rozdzielczych; </w:t>
      </w:r>
    </w:p>
    <w:p w14:paraId="00284A03" w14:textId="6F5670C8"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zastosowanie i montaż układów automatyki sterowniczej, w tym zastosowanie systemów zarządzania energią; </w:t>
      </w:r>
    </w:p>
    <w:p w14:paraId="74649048" w14:textId="26CE8A2B"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przełożenie (wymiana) instalacji elektrycznej, gdy jest to uzasadnione i wynika z audytu energetycznego ex-</w:t>
      </w:r>
      <w:proofErr w:type="spellStart"/>
      <w:r w:rsidRPr="00317C89">
        <w:rPr>
          <w:rFonts w:ascii="Open Sans" w:hAnsi="Open Sans" w:cs="Open Sans"/>
        </w:rPr>
        <w:t>ante</w:t>
      </w:r>
      <w:proofErr w:type="spellEnd"/>
      <w:r w:rsidRPr="00317C89">
        <w:rPr>
          <w:rFonts w:ascii="Open Sans" w:hAnsi="Open Sans" w:cs="Open Sans"/>
        </w:rPr>
        <w:t xml:space="preserve">; </w:t>
      </w:r>
    </w:p>
    <w:p w14:paraId="0981E9E2" w14:textId="641DEA16" w:rsidR="00DD1953" w:rsidRPr="004752BD" w:rsidRDefault="291A17CC" w:rsidP="00317C89">
      <w:pPr>
        <w:spacing w:line="288" w:lineRule="auto"/>
        <w:rPr>
          <w:rFonts w:ascii="Open Sans" w:hAnsi="Open Sans" w:cs="Open Sans"/>
          <w:i/>
          <w:iCs/>
        </w:rPr>
      </w:pPr>
      <w:r w:rsidRPr="1131D883">
        <w:rPr>
          <w:rFonts w:ascii="Open Sans" w:hAnsi="Open Sans" w:cs="Open Sans"/>
          <w:i/>
          <w:iCs/>
        </w:rPr>
        <w:t>Roboty mogą obejmować kompleksową modernizację oświetlenia w tym zmianę rozmieszczeni</w:t>
      </w:r>
      <w:r w:rsidR="321C1715" w:rsidRPr="1131D883">
        <w:rPr>
          <w:rFonts w:ascii="Open Sans" w:hAnsi="Open Sans" w:cs="Open Sans"/>
          <w:i/>
          <w:iCs/>
        </w:rPr>
        <w:t>a</w:t>
      </w:r>
      <w:r w:rsidRPr="1131D883">
        <w:rPr>
          <w:rFonts w:ascii="Open Sans" w:hAnsi="Open Sans" w:cs="Open Sans"/>
          <w:i/>
          <w:iCs/>
        </w:rPr>
        <w:t xml:space="preserve"> i ilości punktów świetlnych) prowadzącą do właściwego doboru natężenia oświetlenia w pomieszczeniach; wykorzystania w maksymalnym stopniu oświetlenia dziennego; optymalnego wykorzystania odbić od powierzchni pionowych</w:t>
      </w:r>
      <w:r w:rsidR="3069155F" w:rsidRPr="1131D883">
        <w:rPr>
          <w:rFonts w:ascii="Open Sans" w:hAnsi="Open Sans" w:cs="Open Sans"/>
          <w:i/>
          <w:iCs/>
        </w:rPr>
        <w:t>, itp</w:t>
      </w:r>
      <w:r w:rsidRPr="1131D883">
        <w:rPr>
          <w:rFonts w:ascii="Open Sans" w:hAnsi="Open Sans" w:cs="Open Sans"/>
          <w:i/>
          <w:iCs/>
        </w:rPr>
        <w:t xml:space="preserve">. </w:t>
      </w:r>
    </w:p>
    <w:p w14:paraId="1BB27C47" w14:textId="5767401F" w:rsidR="00DD1953" w:rsidRPr="00317C89" w:rsidRDefault="00DD1953" w:rsidP="00317C89">
      <w:pPr>
        <w:pStyle w:val="Akapitzlist"/>
        <w:numPr>
          <w:ilvl w:val="0"/>
          <w:numId w:val="5"/>
        </w:numPr>
        <w:spacing w:line="288" w:lineRule="auto"/>
        <w:rPr>
          <w:rFonts w:ascii="Open Sans" w:hAnsi="Open Sans" w:cs="Open Sans"/>
          <w:b/>
          <w:bCs/>
        </w:rPr>
      </w:pPr>
      <w:r w:rsidRPr="00317C89">
        <w:rPr>
          <w:rFonts w:ascii="Open Sans" w:hAnsi="Open Sans" w:cs="Open Sans"/>
          <w:b/>
          <w:bCs/>
        </w:rPr>
        <w:t>Przebudowa / modernizacja systemów grzewczych (instalacji centralnego ogrzewania, podłączenie bardziej energetycznie i ekologicznie efektywnego źródła ciepła)</w:t>
      </w:r>
      <w:r w:rsidR="00A45322" w:rsidRPr="00317C89">
        <w:rPr>
          <w:rFonts w:ascii="Open Sans" w:hAnsi="Open Sans" w:cs="Open Sans"/>
          <w:b/>
          <w:bCs/>
        </w:rPr>
        <w:t>.</w:t>
      </w:r>
      <w:r w:rsidRPr="00317C89">
        <w:rPr>
          <w:rFonts w:ascii="Open Sans" w:hAnsi="Open Sans" w:cs="Open Sans"/>
          <w:b/>
          <w:bCs/>
        </w:rPr>
        <w:t xml:space="preserve"> </w:t>
      </w:r>
    </w:p>
    <w:p w14:paraId="29566418" w14:textId="2B6F24E0"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opracowanie projektów budowlanych i wykonawczych modernizacji energetycznej, stanowiących element projektu inwestycyjnego; </w:t>
      </w:r>
    </w:p>
    <w:p w14:paraId="724ABE50" w14:textId="5E7B02E4"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wymiana instalacji (w tym modernizacja polegająca na zmianie układu zasilania </w:t>
      </w:r>
      <w:r w:rsidR="004752BD" w:rsidRPr="00317C89">
        <w:rPr>
          <w:rFonts w:ascii="Open Sans" w:hAnsi="Open Sans" w:cs="Open Sans"/>
        </w:rPr>
        <w:br/>
      </w:r>
      <w:r w:rsidRPr="00317C89">
        <w:rPr>
          <w:rFonts w:ascii="Open Sans" w:hAnsi="Open Sans" w:cs="Open Sans"/>
        </w:rPr>
        <w:t xml:space="preserve">i dystrybucji ciepła, rurociągów i grzejników, z uwzględnieniem zmiany grzejników </w:t>
      </w:r>
      <w:r w:rsidR="004752BD" w:rsidRPr="00317C89">
        <w:rPr>
          <w:rFonts w:ascii="Open Sans" w:hAnsi="Open Sans" w:cs="Open Sans"/>
        </w:rPr>
        <w:br/>
      </w:r>
      <w:r w:rsidRPr="00317C89">
        <w:rPr>
          <w:rFonts w:ascii="Open Sans" w:hAnsi="Open Sans" w:cs="Open Sans"/>
        </w:rPr>
        <w:t>na bardziej efektywne energetycznie), w tym likwidacja elementów instalacji i urządzeń zawierających azbest, pod warunkiem, że są prowadzone zgodnie z przepisami</w:t>
      </w:r>
      <w:r w:rsidR="00C30B04" w:rsidRPr="001877A4">
        <w:footnoteReference w:id="4"/>
      </w:r>
      <w:r w:rsidRPr="00317C89">
        <w:rPr>
          <w:rFonts w:ascii="Open Sans" w:hAnsi="Open Sans" w:cs="Open Sans"/>
        </w:rPr>
        <w:t xml:space="preserve">; </w:t>
      </w:r>
    </w:p>
    <w:p w14:paraId="3873FBD9" w14:textId="7334D40A" w:rsidR="00DD1953" w:rsidRPr="00317C89" w:rsidRDefault="291A17CC"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wymiana/zastosowanie izolacji termicznej instalacji, zgodnie z obowiązującymi przepisami techniczno</w:t>
      </w:r>
      <w:r w:rsidR="61A8314B" w:rsidRPr="00317C89">
        <w:rPr>
          <w:rFonts w:ascii="Open Sans" w:hAnsi="Open Sans" w:cs="Open Sans"/>
        </w:rPr>
        <w:t>-</w:t>
      </w:r>
      <w:r w:rsidRPr="00317C89">
        <w:rPr>
          <w:rFonts w:ascii="Open Sans" w:hAnsi="Open Sans" w:cs="Open Sans"/>
        </w:rPr>
        <w:t xml:space="preserve"> budowlanymi; obejmuje całość instalacji, w tym odcinki przechodzące przez ściany, stropy, przewody ułożone w podłodze, przewody ogrzewania powietrznego, przewody instalacji wody lodowej, przewody zewnętrznej sieci ciepłowniczej poza budynkiem, łączące zewnętrzne źródło ciepła i instalację c.o. w</w:t>
      </w:r>
      <w:r w:rsidR="001F03E2" w:rsidRPr="00317C89">
        <w:rPr>
          <w:rFonts w:ascii="Open Sans" w:hAnsi="Open Sans" w:cs="Open Sans"/>
        </w:rPr>
        <w:t> </w:t>
      </w:r>
      <w:r w:rsidRPr="00317C89">
        <w:rPr>
          <w:rFonts w:ascii="Open Sans" w:hAnsi="Open Sans" w:cs="Open Sans"/>
        </w:rPr>
        <w:t xml:space="preserve">budynku, itp.; </w:t>
      </w:r>
    </w:p>
    <w:p w14:paraId="5491862D" w14:textId="368EA2F9"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poprawa efektywności energetycznej lokalnej sieci ciepłowniczej, łączącej źródło ciepła z instalacją c.o. w budynku, zgodnie z obowiązującymi przepisami </w:t>
      </w:r>
      <w:proofErr w:type="spellStart"/>
      <w:r w:rsidRPr="00317C89">
        <w:rPr>
          <w:rFonts w:ascii="Open Sans" w:hAnsi="Open Sans" w:cs="Open Sans"/>
        </w:rPr>
        <w:t>techniczno</w:t>
      </w:r>
      <w:proofErr w:type="spellEnd"/>
      <w:r w:rsidRPr="00317C89">
        <w:rPr>
          <w:rFonts w:ascii="Open Sans" w:hAnsi="Open Sans" w:cs="Open Sans"/>
        </w:rPr>
        <w:t xml:space="preserve"> – budowlanymi; </w:t>
      </w:r>
    </w:p>
    <w:p w14:paraId="6DD55E16" w14:textId="6C507561"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regulacja hydrauliczna instalacji polegająca m.in. na jej hydraulicznym zrównoważeniu; </w:t>
      </w:r>
    </w:p>
    <w:p w14:paraId="2D8767DB" w14:textId="68E03B46"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lastRenderedPageBreak/>
        <w:t xml:space="preserve">zastosowanie armatury regulacyjnej, w tym przede wszystkim zaworów </w:t>
      </w:r>
      <w:proofErr w:type="spellStart"/>
      <w:r w:rsidRPr="00317C89">
        <w:rPr>
          <w:rFonts w:ascii="Open Sans" w:hAnsi="Open Sans" w:cs="Open Sans"/>
        </w:rPr>
        <w:t>podpionowych</w:t>
      </w:r>
      <w:proofErr w:type="spellEnd"/>
      <w:r w:rsidRPr="00317C89">
        <w:rPr>
          <w:rFonts w:ascii="Open Sans" w:hAnsi="Open Sans" w:cs="Open Sans"/>
        </w:rPr>
        <w:t xml:space="preserve">, zaworów termostatycznych, zaworów równoważących oraz wszelkiej innej armatury wpływającej na jakość regulacji; </w:t>
      </w:r>
    </w:p>
    <w:p w14:paraId="3EA80BC2" w14:textId="05BEAC42"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zastosowanie i montaż układów automatyki sterowniczej w źródle ciepła (w tym automatyki pogodowej, czasowego sterowania pracą instalacji, polegającego na nocnym lub weekendowym obniżeniu parametrów pracy, itp.); </w:t>
      </w:r>
    </w:p>
    <w:p w14:paraId="4FD7EB17" w14:textId="67D001EC"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zastosowanie ekranów </w:t>
      </w:r>
      <w:proofErr w:type="spellStart"/>
      <w:r w:rsidRPr="00317C89">
        <w:rPr>
          <w:rFonts w:ascii="Open Sans" w:hAnsi="Open Sans" w:cs="Open Sans"/>
        </w:rPr>
        <w:t>zagrzejnikowych</w:t>
      </w:r>
      <w:proofErr w:type="spellEnd"/>
      <w:r w:rsidRPr="00317C89">
        <w:rPr>
          <w:rFonts w:ascii="Open Sans" w:hAnsi="Open Sans" w:cs="Open Sans"/>
        </w:rPr>
        <w:t xml:space="preserve">; </w:t>
      </w:r>
    </w:p>
    <w:p w14:paraId="2962B47D" w14:textId="7B08E195"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hermetyzacja instalacji (zastosowanie przeponowych naczyń </w:t>
      </w:r>
      <w:proofErr w:type="spellStart"/>
      <w:r w:rsidRPr="00317C89">
        <w:rPr>
          <w:rFonts w:ascii="Open Sans" w:hAnsi="Open Sans" w:cs="Open Sans"/>
        </w:rPr>
        <w:t>wzbiorczych</w:t>
      </w:r>
      <w:proofErr w:type="spellEnd"/>
      <w:r w:rsidRPr="00317C89">
        <w:rPr>
          <w:rFonts w:ascii="Open Sans" w:hAnsi="Open Sans" w:cs="Open Sans"/>
        </w:rPr>
        <w:t xml:space="preserve"> oraz automatycznych zaworów odpowietrzających); </w:t>
      </w:r>
    </w:p>
    <w:p w14:paraId="4AB2DECD" w14:textId="3A0A17D2"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czyszczenie i chemiczne płukanie instalacji; </w:t>
      </w:r>
    </w:p>
    <w:p w14:paraId="4B1A2B93" w14:textId="60D86AC8"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remont i dostosowanie pomieszczeń węzłów cieplnych lub kotłowni do odpowiednich standardów (okładziny ceramiczne, malowanie, wykonanie instalacji kanalizacyjnych, elektrycznych, wentylacyjnych, przeciwpożarowych, itp.); </w:t>
      </w:r>
    </w:p>
    <w:p w14:paraId="46067CB8" w14:textId="3AD95FE1" w:rsidR="00DD1953" w:rsidRPr="00317C89" w:rsidRDefault="00DD1953"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 xml:space="preserve">instalacja / przebudowa systemów chłodzących, w tym również z zastosowaniem urządzeń OZE, pod warunkiem, że wiązać się to będzie z uzyskaniem oszczędności energii w obiekcie; </w:t>
      </w:r>
    </w:p>
    <w:p w14:paraId="01EB8247" w14:textId="742B6387" w:rsidR="00DD1953" w:rsidRPr="00317C89" w:rsidRDefault="291A17CC" w:rsidP="001877A4">
      <w:pPr>
        <w:pStyle w:val="Akapitzlist"/>
        <w:numPr>
          <w:ilvl w:val="0"/>
          <w:numId w:val="24"/>
        </w:numPr>
        <w:spacing w:line="288" w:lineRule="auto"/>
        <w:ind w:left="0" w:firstLine="0"/>
        <w:rPr>
          <w:rFonts w:ascii="Open Sans" w:hAnsi="Open Sans" w:cs="Open Sans"/>
        </w:rPr>
      </w:pPr>
      <w:r w:rsidRPr="00317C89">
        <w:rPr>
          <w:rFonts w:ascii="Open Sans" w:hAnsi="Open Sans" w:cs="Open Sans"/>
        </w:rPr>
        <w:t>instalacja urządzeń OZE w modernizowanych energetycznie budynkach, zastępująca w całości lub częściow</w:t>
      </w:r>
      <w:r w:rsidR="7C16B179" w:rsidRPr="00317C89">
        <w:rPr>
          <w:rFonts w:ascii="Open Sans" w:hAnsi="Open Sans" w:cs="Open Sans"/>
        </w:rPr>
        <w:t>o</w:t>
      </w:r>
      <w:r w:rsidRPr="00317C89">
        <w:rPr>
          <w:rFonts w:ascii="Open Sans" w:hAnsi="Open Sans" w:cs="Open Sans"/>
        </w:rPr>
        <w:t xml:space="preserve"> dotychczasowe źródło ciepła, pod warunkiem</w:t>
      </w:r>
      <w:r w:rsidR="141A557C" w:rsidRPr="00317C89">
        <w:rPr>
          <w:rFonts w:ascii="Open Sans" w:hAnsi="Open Sans" w:cs="Open Sans"/>
        </w:rPr>
        <w:t>,</w:t>
      </w:r>
      <w:r w:rsidRPr="00317C89">
        <w:rPr>
          <w:rFonts w:ascii="Open Sans" w:hAnsi="Open Sans" w:cs="Open Sans"/>
        </w:rPr>
        <w:t xml:space="preserve"> że obiekt nie jest lub nie może być podłączony do sieci ciepłowniczej; </w:t>
      </w:r>
    </w:p>
    <w:p w14:paraId="45D442D1" w14:textId="1EC64427" w:rsidR="00DD1953" w:rsidRPr="00317C89" w:rsidRDefault="291A17CC" w:rsidP="001877A4">
      <w:pPr>
        <w:pStyle w:val="Akapitzlist"/>
        <w:numPr>
          <w:ilvl w:val="0"/>
          <w:numId w:val="24"/>
        </w:numPr>
        <w:spacing w:after="240" w:line="288" w:lineRule="auto"/>
        <w:ind w:left="0" w:firstLine="0"/>
        <w:contextualSpacing w:val="0"/>
        <w:rPr>
          <w:rFonts w:ascii="Open Sans" w:hAnsi="Open Sans" w:cs="Open Sans"/>
        </w:rPr>
      </w:pPr>
      <w:r w:rsidRPr="00317C89">
        <w:rPr>
          <w:rFonts w:ascii="Open Sans" w:hAnsi="Open Sans" w:cs="Open Sans"/>
        </w:rPr>
        <w:t>instalacja liczników ciepła, niezbędnych do prawidłowego prezentowania danych o</w:t>
      </w:r>
      <w:r w:rsidR="001F03E2" w:rsidRPr="00317C89">
        <w:rPr>
          <w:rFonts w:ascii="Open Sans" w:hAnsi="Open Sans" w:cs="Open Sans"/>
        </w:rPr>
        <w:t> </w:t>
      </w:r>
      <w:r w:rsidRPr="00317C89">
        <w:rPr>
          <w:rFonts w:ascii="Open Sans" w:hAnsi="Open Sans" w:cs="Open Sans"/>
        </w:rPr>
        <w:t>zużyciu oraz produkcji ciepła i energii elektrycznej w tym ze źródeł odnawialnych; montaż liczników nie jest obligatoryjny w przypadku, gdy nie jest to technicznie</w:t>
      </w:r>
      <w:r w:rsidR="00DD1953" w:rsidRPr="001877A4">
        <w:rPr>
          <w:rFonts w:ascii="Open Sans" w:hAnsi="Open Sans" w:cs="Open Sans"/>
        </w:rPr>
        <w:br/>
      </w:r>
      <w:r w:rsidRPr="00317C89">
        <w:rPr>
          <w:rFonts w:ascii="Open Sans" w:hAnsi="Open Sans" w:cs="Open Sans"/>
        </w:rPr>
        <w:t>i ekonomicznie uzasadnione lub gdy budynek będący przedmiotem modernizacji energetycznej został uprzednio wyposażony w ww. urządzenia</w:t>
      </w:r>
      <w:r w:rsidR="158B2667" w:rsidRPr="00317C89">
        <w:rPr>
          <w:rFonts w:ascii="Open Sans" w:hAnsi="Open Sans" w:cs="Open Sans"/>
        </w:rPr>
        <w:t>.</w:t>
      </w:r>
    </w:p>
    <w:p w14:paraId="211DA1AD" w14:textId="388BAA48" w:rsidR="001B5ACC" w:rsidRPr="00317C89" w:rsidRDefault="2BB7E768" w:rsidP="00E22F5B">
      <w:pPr>
        <w:pStyle w:val="Akapitzlist"/>
        <w:numPr>
          <w:ilvl w:val="0"/>
          <w:numId w:val="5"/>
        </w:numPr>
        <w:spacing w:line="288" w:lineRule="auto"/>
        <w:rPr>
          <w:rFonts w:ascii="Open Sans" w:hAnsi="Open Sans" w:cs="Open Sans"/>
          <w:b/>
          <w:bCs/>
        </w:rPr>
      </w:pPr>
      <w:r w:rsidRPr="00317C89">
        <w:rPr>
          <w:rFonts w:ascii="Open Sans" w:hAnsi="Open Sans" w:cs="Open Sans"/>
          <w:b/>
          <w:bCs/>
        </w:rPr>
        <w:t xml:space="preserve">Modernizacja źródła ciepła, w tym źródła zewnętrznego oraz energetyczne wykorzystanie OZE  </w:t>
      </w:r>
    </w:p>
    <w:p w14:paraId="34B3D74C" w14:textId="4F804CF1" w:rsidR="001B5ACC" w:rsidRPr="00317C89" w:rsidRDefault="001B5ACC" w:rsidP="00EC0C52">
      <w:pPr>
        <w:pStyle w:val="Akapitzlist"/>
        <w:numPr>
          <w:ilvl w:val="0"/>
          <w:numId w:val="24"/>
        </w:numPr>
        <w:spacing w:line="288" w:lineRule="auto"/>
        <w:ind w:left="0" w:firstLine="0"/>
        <w:rPr>
          <w:rFonts w:ascii="Open Sans" w:hAnsi="Open Sans" w:cs="Open Sans"/>
        </w:rPr>
      </w:pPr>
      <w:r w:rsidRPr="00317C89">
        <w:rPr>
          <w:rFonts w:ascii="Open Sans" w:hAnsi="Open Sans" w:cs="Open Sans"/>
        </w:rPr>
        <w:t>modernizacja (podniesienie sprawności wytwarzania) kotłów, gdy jest to uzasadnione i wynika z audytu energetycznego ex-</w:t>
      </w:r>
      <w:proofErr w:type="spellStart"/>
      <w:r w:rsidRPr="00317C89">
        <w:rPr>
          <w:rFonts w:ascii="Open Sans" w:hAnsi="Open Sans" w:cs="Open Sans"/>
        </w:rPr>
        <w:t>ante</w:t>
      </w:r>
      <w:proofErr w:type="spellEnd"/>
      <w:r w:rsidRPr="00317C89">
        <w:rPr>
          <w:rFonts w:ascii="Open Sans" w:hAnsi="Open Sans" w:cs="Open Sans"/>
        </w:rPr>
        <w:t xml:space="preserve">; </w:t>
      </w:r>
    </w:p>
    <w:p w14:paraId="03ED574A" w14:textId="76CB0264" w:rsidR="003A6E16" w:rsidRPr="00317C89" w:rsidRDefault="00393EFA" w:rsidP="00EC0C52">
      <w:pPr>
        <w:pStyle w:val="Akapitzlist"/>
        <w:numPr>
          <w:ilvl w:val="0"/>
          <w:numId w:val="24"/>
        </w:numPr>
        <w:spacing w:line="288" w:lineRule="auto"/>
        <w:ind w:left="0" w:firstLine="0"/>
        <w:rPr>
          <w:rFonts w:ascii="Open Sans" w:hAnsi="Open Sans" w:cs="Open Sans"/>
        </w:rPr>
      </w:pPr>
      <w:r w:rsidRPr="00317C89">
        <w:rPr>
          <w:rFonts w:ascii="Open Sans" w:hAnsi="Open Sans" w:cs="Open Sans"/>
        </w:rPr>
        <w:t>zgodnie z Dyrektywą Parlamentu Europejskiego i Rady (UE) 2024/1275 z dnia 24 kwietnia 2024 r. w sprawie charakterystyki energetycznej budynków, od 1 stycznia 2025 roku wsparcie systemów grzewczych zasilanych paliwami kopalnymi, w tym wymiany systemów na zasilane gazem ziemnym nie jest możliwe.</w:t>
      </w:r>
    </w:p>
    <w:p w14:paraId="12C7AD42" w14:textId="014B5887" w:rsidR="001B5ACC" w:rsidRPr="004752BD" w:rsidRDefault="001B5ACC" w:rsidP="00E22F5B">
      <w:pPr>
        <w:spacing w:line="288" w:lineRule="auto"/>
        <w:rPr>
          <w:rFonts w:ascii="Open Sans" w:hAnsi="Open Sans" w:cs="Open Sans"/>
          <w:i/>
        </w:rPr>
      </w:pPr>
      <w:r w:rsidRPr="004752BD">
        <w:rPr>
          <w:rFonts w:ascii="Open Sans" w:hAnsi="Open Sans" w:cs="Open Sans"/>
          <w:i/>
        </w:rPr>
        <w:t xml:space="preserve">Nowe urządzenia do ogrzewania powinny spełniać aktualne przepisy UE, dotyczące minimalnego poziomu efektywności energetycznej i norm emisji zanieczyszczeń, które zostały określone w przepisach wykonawczych do Dyrektywy 2009/125/WE z dnia 21 października </w:t>
      </w:r>
      <w:r w:rsidRPr="004752BD">
        <w:rPr>
          <w:rFonts w:ascii="Open Sans" w:hAnsi="Open Sans" w:cs="Open Sans"/>
          <w:i/>
        </w:rPr>
        <w:lastRenderedPageBreak/>
        <w:t>2009</w:t>
      </w:r>
      <w:r w:rsidR="00793A0E">
        <w:rPr>
          <w:rFonts w:ascii="Open Sans" w:hAnsi="Open Sans" w:cs="Open Sans"/>
          <w:i/>
        </w:rPr>
        <w:t> </w:t>
      </w:r>
      <w:r w:rsidRPr="004752BD">
        <w:rPr>
          <w:rFonts w:ascii="Open Sans" w:hAnsi="Open Sans" w:cs="Open Sans"/>
          <w:i/>
        </w:rPr>
        <w:t xml:space="preserve">r., ustanawiającej ogólne zasady ustalania wymogów dotyczących </w:t>
      </w:r>
      <w:proofErr w:type="spellStart"/>
      <w:r w:rsidRPr="004752BD">
        <w:rPr>
          <w:rFonts w:ascii="Open Sans" w:hAnsi="Open Sans" w:cs="Open Sans"/>
          <w:i/>
        </w:rPr>
        <w:t>ekoprojektu</w:t>
      </w:r>
      <w:proofErr w:type="spellEnd"/>
      <w:r w:rsidRPr="004752BD">
        <w:rPr>
          <w:rFonts w:ascii="Open Sans" w:hAnsi="Open Sans" w:cs="Open Sans"/>
          <w:i/>
        </w:rPr>
        <w:t xml:space="preserve"> dla produktów związanych z energią, oraz zastosowany kocioł powinien spełniać następujące warunki: automatyczne zasilanie w paliwo, brak dodatkowego rusztu, dedykowany wyłącznie do spalania określonego rodzaju paliwa (wynika to z dokumentacji kotła).</w:t>
      </w:r>
    </w:p>
    <w:p w14:paraId="76CD2546" w14:textId="73C2CC3C" w:rsidR="00E41085" w:rsidRDefault="2BB7E768" w:rsidP="00E22F5B">
      <w:pPr>
        <w:spacing w:line="288" w:lineRule="auto"/>
        <w:rPr>
          <w:rFonts w:ascii="Open Sans" w:hAnsi="Open Sans" w:cs="Open Sans"/>
          <w:b/>
          <w:bCs/>
        </w:rPr>
      </w:pPr>
      <w:r w:rsidRPr="1131D883">
        <w:rPr>
          <w:rFonts w:ascii="Open Sans" w:hAnsi="Open Sans" w:cs="Open Sans"/>
          <w:i/>
          <w:iCs/>
        </w:rPr>
        <w:t xml:space="preserve">W </w:t>
      </w:r>
      <w:r w:rsidR="4EC1128F" w:rsidRPr="1131D883">
        <w:rPr>
          <w:rFonts w:ascii="Open Sans" w:hAnsi="Open Sans" w:cs="Open Sans"/>
          <w:i/>
          <w:iCs/>
        </w:rPr>
        <w:t xml:space="preserve">budynkach </w:t>
      </w:r>
      <w:r w:rsidRPr="1131D883">
        <w:rPr>
          <w:rFonts w:ascii="Open Sans" w:hAnsi="Open Sans" w:cs="Open Sans"/>
          <w:i/>
          <w:iCs/>
        </w:rPr>
        <w:t>użyteczności publicznej wymiana indywidualnego źródła ciepła opartego na spalaniu paliw kopalnych możliwa będzie w oparciu o hierarchię źródeł ciepła: 1. Ciepło systemowe, 2 Odnawialne Źródła Energii (</w:t>
      </w:r>
      <w:proofErr w:type="spellStart"/>
      <w:r w:rsidRPr="1131D883">
        <w:rPr>
          <w:rFonts w:ascii="Open Sans" w:hAnsi="Open Sans" w:cs="Open Sans"/>
          <w:i/>
          <w:iCs/>
        </w:rPr>
        <w:t>t</w:t>
      </w:r>
      <w:r w:rsidR="6C4B6921" w:rsidRPr="1131D883">
        <w:rPr>
          <w:rFonts w:ascii="Open Sans" w:hAnsi="Open Sans" w:cs="Open Sans"/>
          <w:i/>
          <w:iCs/>
        </w:rPr>
        <w:t>.</w:t>
      </w:r>
      <w:r w:rsidRPr="1131D883">
        <w:rPr>
          <w:rFonts w:ascii="Open Sans" w:hAnsi="Open Sans" w:cs="Open Sans"/>
          <w:i/>
          <w:iCs/>
        </w:rPr>
        <w:t>j</w:t>
      </w:r>
      <w:proofErr w:type="spellEnd"/>
      <w:r w:rsidRPr="1131D883">
        <w:rPr>
          <w:rFonts w:ascii="Open Sans" w:hAnsi="Open Sans" w:cs="Open Sans"/>
          <w:i/>
          <w:iCs/>
        </w:rPr>
        <w:t>. pompy ciepła)</w:t>
      </w:r>
      <w:r w:rsidR="6C4B6921" w:rsidRPr="1131D883">
        <w:rPr>
          <w:rFonts w:ascii="Open Sans" w:hAnsi="Open Sans" w:cs="Open Sans"/>
          <w:i/>
          <w:iCs/>
        </w:rPr>
        <w:t>.</w:t>
      </w:r>
      <w:r w:rsidRPr="1131D883">
        <w:rPr>
          <w:rFonts w:ascii="Open Sans" w:hAnsi="Open Sans" w:cs="Open Sans"/>
          <w:i/>
          <w:iCs/>
        </w:rPr>
        <w:t xml:space="preserve"> Dopiero uzasadnienie dla braku możliwości technicznych lub ekonomicznych może być podstawą wyboru źródła ciepła</w:t>
      </w:r>
      <w:r w:rsidR="66BC42CC" w:rsidRPr="1131D883">
        <w:rPr>
          <w:rFonts w:ascii="Open Sans" w:hAnsi="Open Sans" w:cs="Open Sans"/>
          <w:i/>
          <w:iCs/>
        </w:rPr>
        <w:t xml:space="preserve"> </w:t>
      </w:r>
      <w:r w:rsidRPr="1131D883">
        <w:rPr>
          <w:rFonts w:ascii="Open Sans" w:hAnsi="Open Sans" w:cs="Open Sans"/>
          <w:i/>
          <w:iCs/>
        </w:rPr>
        <w:t>o niższej hierarchii. Jeżeli będzie to możliwe, mogą zostać uwzględnione rozwiązania mające na celu wdrożenie technologii wodorowych, które są zgodne z zakresem art. 6 i 7 rozporządzenia 2021/1058 ERDF/CF.</w:t>
      </w:r>
      <w:r w:rsidR="1293B121" w:rsidRPr="1131D883">
        <w:rPr>
          <w:rFonts w:ascii="Open Sans" w:hAnsi="Open Sans" w:cs="Open Sans"/>
          <w:i/>
          <w:iCs/>
        </w:rPr>
        <w:t xml:space="preserve">  </w:t>
      </w:r>
    </w:p>
    <w:p w14:paraId="005286B1" w14:textId="686D3D60" w:rsidR="00814206" w:rsidRPr="00E22F5B" w:rsidRDefault="00814206" w:rsidP="00E22F5B">
      <w:pPr>
        <w:pStyle w:val="Akapitzlist"/>
        <w:numPr>
          <w:ilvl w:val="0"/>
          <w:numId w:val="5"/>
        </w:numPr>
        <w:spacing w:line="288" w:lineRule="auto"/>
        <w:rPr>
          <w:rFonts w:ascii="Open Sans" w:hAnsi="Open Sans" w:cs="Open Sans"/>
          <w:b/>
          <w:bCs/>
        </w:rPr>
      </w:pPr>
      <w:r w:rsidRPr="00E22F5B">
        <w:rPr>
          <w:rFonts w:ascii="Open Sans" w:hAnsi="Open Sans" w:cs="Open Sans"/>
          <w:b/>
          <w:bCs/>
        </w:rPr>
        <w:t xml:space="preserve">Pozostałe prace związane z modernizacją/wymianą źródła energii: </w:t>
      </w:r>
    </w:p>
    <w:p w14:paraId="7905DA96" w14:textId="60E8133B"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okładziny ceramiczne i malowanie pomieszczeń źródła ciepła; </w:t>
      </w:r>
    </w:p>
    <w:p w14:paraId="709FA5BA" w14:textId="42369CC5"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 przegrody okienne w pomieszczeniach źródła ciepła, </w:t>
      </w:r>
    </w:p>
    <w:p w14:paraId="37A5B4C0" w14:textId="73D89B46"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instalacje elektryczne; </w:t>
      </w:r>
    </w:p>
    <w:p w14:paraId="6B13FE0B" w14:textId="6F9D43FC"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instalacje wentylacyjne; </w:t>
      </w:r>
    </w:p>
    <w:p w14:paraId="7905D318" w14:textId="3C1BD080"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instalacje kanalizacyjne; </w:t>
      </w:r>
    </w:p>
    <w:p w14:paraId="6F803D85" w14:textId="1F8727F9"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instalacje przeciwpożarowe; </w:t>
      </w:r>
    </w:p>
    <w:p w14:paraId="25C5169F" w14:textId="0BB90CDC"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place składowe na paliwo, w tym pomieszczenia zbiorników na paliwo; </w:t>
      </w:r>
    </w:p>
    <w:p w14:paraId="15019C9E" w14:textId="0A131085"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instalacja załadowcza paliwa i niezbędny sprzęt wyładowczo – załadowczy paliwa; </w:t>
      </w:r>
    </w:p>
    <w:p w14:paraId="79E21E7B" w14:textId="3BD571D9"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modernizacja / wymiana instalacji i armatury hydraulicznej; </w:t>
      </w:r>
    </w:p>
    <w:p w14:paraId="72B840A7" w14:textId="122B9318"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instalacja uzdatniania wody; </w:t>
      </w:r>
    </w:p>
    <w:p w14:paraId="21953D22" w14:textId="791F0A29"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 wymiana układów automatycznego sterowania pracą instalacji; </w:t>
      </w:r>
    </w:p>
    <w:p w14:paraId="7556FB91" w14:textId="3F2A7F86"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obiegów cyrkulacyjnych w źródle ciepła; </w:t>
      </w:r>
    </w:p>
    <w:p w14:paraId="24FDEF0D" w14:textId="11809905"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gruntowych wymienników ciepła; </w:t>
      </w:r>
    </w:p>
    <w:p w14:paraId="3CC8857D" w14:textId="43DA5857"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wykonanie dolnego źródła ciepła wraz z pracami odtworzeniowymi;  </w:t>
      </w:r>
    </w:p>
    <w:p w14:paraId="21DF32FD" w14:textId="6D988AD5"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zakup i montaż urządzeń do magazynowania ciepła i energii elektrycznej (w tym zasobniki ciepła i akumulatory);  </w:t>
      </w:r>
    </w:p>
    <w:p w14:paraId="4CEABE05" w14:textId="43EED678" w:rsidR="007B04A8" w:rsidRPr="00E22F5B" w:rsidRDefault="00814206" w:rsidP="00CA211D">
      <w:pPr>
        <w:pStyle w:val="Akapitzlist"/>
        <w:numPr>
          <w:ilvl w:val="0"/>
          <w:numId w:val="24"/>
        </w:numPr>
        <w:spacing w:after="240" w:line="288" w:lineRule="auto"/>
        <w:ind w:left="0" w:firstLine="0"/>
        <w:contextualSpacing w:val="0"/>
        <w:rPr>
          <w:rFonts w:ascii="Open Sans" w:hAnsi="Open Sans" w:cs="Open Sans"/>
        </w:rPr>
      </w:pPr>
      <w:r w:rsidRPr="00E22F5B">
        <w:rPr>
          <w:rFonts w:ascii="Open Sans" w:hAnsi="Open Sans" w:cs="Open Sans"/>
        </w:rPr>
        <w:t xml:space="preserve">inne roboty budowlane w obrębie pomieszczenia źródła ciepła niezbędne dla prawidłowego funkcjonowania źródła ciepła lub wymagane przepisami, zgodnie </w:t>
      </w:r>
      <w:r w:rsidR="00C251E7" w:rsidRPr="00E22F5B">
        <w:rPr>
          <w:rFonts w:ascii="Open Sans" w:hAnsi="Open Sans" w:cs="Open Sans"/>
        </w:rPr>
        <w:br/>
      </w:r>
      <w:r w:rsidRPr="00E22F5B">
        <w:rPr>
          <w:rFonts w:ascii="Open Sans" w:hAnsi="Open Sans" w:cs="Open Sans"/>
        </w:rPr>
        <w:t xml:space="preserve">z dokumentacją projektową.  </w:t>
      </w:r>
    </w:p>
    <w:p w14:paraId="26CE232A" w14:textId="58253E43" w:rsidR="00814206" w:rsidRPr="00E22F5B" w:rsidRDefault="00814206" w:rsidP="00E22F5B">
      <w:pPr>
        <w:pStyle w:val="Akapitzlist"/>
        <w:numPr>
          <w:ilvl w:val="0"/>
          <w:numId w:val="5"/>
        </w:numPr>
        <w:spacing w:line="288" w:lineRule="auto"/>
        <w:rPr>
          <w:rFonts w:ascii="Open Sans" w:hAnsi="Open Sans" w:cs="Open Sans"/>
          <w:b/>
          <w:bCs/>
        </w:rPr>
      </w:pPr>
      <w:r w:rsidRPr="00E22F5B">
        <w:rPr>
          <w:rFonts w:ascii="Open Sans" w:hAnsi="Open Sans" w:cs="Open Sans"/>
          <w:b/>
          <w:bCs/>
        </w:rPr>
        <w:t xml:space="preserve">Modernizacja instalacji ciepłej wody użytkowej </w:t>
      </w:r>
    </w:p>
    <w:p w14:paraId="4D27C7CA" w14:textId="2F731ADA"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wymiana rurociągów i izolacji; </w:t>
      </w:r>
    </w:p>
    <w:p w14:paraId="0A287FCE" w14:textId="5D0F4FA4"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wymiana / zastosowanie izolacji termicznej przewodów instalacji c.w.u.; </w:t>
      </w:r>
    </w:p>
    <w:p w14:paraId="12BA2924" w14:textId="55807770"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lastRenderedPageBreak/>
        <w:t>wyposażenie instalacji w system cyrkulacji c.w.u., w tych przypadkach, które są uzasadnione i wynikają z audytu energetycznego ex-</w:t>
      </w:r>
      <w:proofErr w:type="spellStart"/>
      <w:r w:rsidRPr="00E22F5B">
        <w:rPr>
          <w:rFonts w:ascii="Open Sans" w:hAnsi="Open Sans" w:cs="Open Sans"/>
        </w:rPr>
        <w:t>ante</w:t>
      </w:r>
      <w:proofErr w:type="spellEnd"/>
      <w:r w:rsidRPr="00E22F5B">
        <w:rPr>
          <w:rFonts w:ascii="Open Sans" w:hAnsi="Open Sans" w:cs="Open Sans"/>
        </w:rPr>
        <w:t xml:space="preserve">; </w:t>
      </w:r>
    </w:p>
    <w:p w14:paraId="0AC9111D" w14:textId="2004FA8F"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sterowania czasowego instalacji cyrkulacyjnej, </w:t>
      </w:r>
    </w:p>
    <w:p w14:paraId="11916CD5" w14:textId="605BD1D1"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armatury regulacyjnej w zakresie regulacji hydraulicznej, w tym zaworów </w:t>
      </w:r>
      <w:proofErr w:type="spellStart"/>
      <w:r w:rsidRPr="00E22F5B">
        <w:rPr>
          <w:rFonts w:ascii="Open Sans" w:hAnsi="Open Sans" w:cs="Open Sans"/>
        </w:rPr>
        <w:t>podpionowych</w:t>
      </w:r>
      <w:proofErr w:type="spellEnd"/>
      <w:r w:rsidRPr="00E22F5B">
        <w:rPr>
          <w:rFonts w:ascii="Open Sans" w:hAnsi="Open Sans" w:cs="Open Sans"/>
        </w:rPr>
        <w:t xml:space="preserve">; </w:t>
      </w:r>
    </w:p>
    <w:p w14:paraId="1308E44C" w14:textId="6B0CD114"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wymiana / zastosowanie zbiorników c.w.u. oraz ich izolacja; </w:t>
      </w:r>
    </w:p>
    <w:p w14:paraId="572B04EF" w14:textId="3DAD7CD0"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montaż / modernizacja / wymiana węzłów cieplnych dla potrzeb c.w.u.; </w:t>
      </w:r>
    </w:p>
    <w:p w14:paraId="6665136D" w14:textId="082A5323"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w:t>
      </w:r>
      <w:proofErr w:type="spellStart"/>
      <w:r w:rsidRPr="00E22F5B">
        <w:rPr>
          <w:rFonts w:ascii="Open Sans" w:hAnsi="Open Sans" w:cs="Open Sans"/>
        </w:rPr>
        <w:t>perlatorów</w:t>
      </w:r>
      <w:proofErr w:type="spellEnd"/>
      <w:r w:rsidRPr="00E22F5B">
        <w:rPr>
          <w:rFonts w:ascii="Open Sans" w:hAnsi="Open Sans" w:cs="Open Sans"/>
        </w:rPr>
        <w:t xml:space="preserve"> oraz zaworów ograniczających ciśnienie, w tym kryz dławiących, jako reduktorów przepływu; </w:t>
      </w:r>
    </w:p>
    <w:p w14:paraId="4EA718FC" w14:textId="310CD2B5"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baterii bezdotykowych lub jednouchwytowych, </w:t>
      </w:r>
    </w:p>
    <w:p w14:paraId="7B7653F5" w14:textId="0B338403"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baterii z ograniczonym czasem wypływu; </w:t>
      </w:r>
    </w:p>
    <w:p w14:paraId="057FEB19" w14:textId="340F0BDB"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nowoczesnej armatury czerpalnej sterowanej zjawiskiem fotokomórki (spłuczki ustępowe, baterie, itp.);  </w:t>
      </w:r>
    </w:p>
    <w:p w14:paraId="176AD2C2" w14:textId="6FDED56D" w:rsidR="00814206" w:rsidRPr="00E22F5B" w:rsidRDefault="00814206" w:rsidP="00CA211D">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liczniki ciepła lub zużycia wody na potrzeby c.w.u.; </w:t>
      </w:r>
    </w:p>
    <w:p w14:paraId="66427A25" w14:textId="10D06904" w:rsidR="007B04A8" w:rsidRPr="00E22F5B" w:rsidRDefault="00814206" w:rsidP="00DA3C07">
      <w:pPr>
        <w:pStyle w:val="Akapitzlist"/>
        <w:numPr>
          <w:ilvl w:val="0"/>
          <w:numId w:val="24"/>
        </w:numPr>
        <w:spacing w:after="240" w:line="288" w:lineRule="auto"/>
        <w:ind w:left="0" w:firstLine="0"/>
        <w:contextualSpacing w:val="0"/>
        <w:rPr>
          <w:rFonts w:ascii="Open Sans" w:hAnsi="Open Sans" w:cs="Open Sans"/>
        </w:rPr>
      </w:pPr>
      <w:r w:rsidRPr="00E22F5B">
        <w:rPr>
          <w:rFonts w:ascii="Open Sans" w:hAnsi="Open Sans" w:cs="Open Sans"/>
        </w:rPr>
        <w:t>wymiana instalacji zimnej wody w niezbędnym zakresie, związanym z modernizacją instalacji c.w.u.</w:t>
      </w:r>
    </w:p>
    <w:p w14:paraId="405A73B9" w14:textId="4F33801B" w:rsidR="00814206" w:rsidRPr="00E22F5B" w:rsidRDefault="00814206" w:rsidP="00E22F5B">
      <w:pPr>
        <w:pStyle w:val="Akapitzlist"/>
        <w:numPr>
          <w:ilvl w:val="0"/>
          <w:numId w:val="5"/>
        </w:numPr>
        <w:spacing w:line="288" w:lineRule="auto"/>
        <w:rPr>
          <w:rFonts w:ascii="Open Sans" w:hAnsi="Open Sans" w:cs="Open Sans"/>
          <w:b/>
          <w:bCs/>
        </w:rPr>
      </w:pPr>
      <w:r w:rsidRPr="00E22F5B">
        <w:rPr>
          <w:rFonts w:ascii="Open Sans" w:hAnsi="Open Sans" w:cs="Open Sans"/>
          <w:b/>
          <w:bCs/>
        </w:rPr>
        <w:t>Montaż/modernizacja instalacji wentylacji</w:t>
      </w:r>
      <w:r w:rsidRPr="004752BD">
        <w:rPr>
          <w:rStyle w:val="Odwoanieprzypisudolnego"/>
          <w:rFonts w:ascii="Open Sans" w:hAnsi="Open Sans" w:cs="Open Sans"/>
          <w:b/>
          <w:bCs/>
        </w:rPr>
        <w:footnoteReference w:id="5"/>
      </w:r>
      <w:r w:rsidRPr="00E22F5B">
        <w:rPr>
          <w:rFonts w:ascii="Open Sans" w:hAnsi="Open Sans" w:cs="Open Sans"/>
          <w:b/>
          <w:bCs/>
        </w:rPr>
        <w:t xml:space="preserve">  i klimatyzacji </w:t>
      </w:r>
    </w:p>
    <w:p w14:paraId="6916643C" w14:textId="7C822776"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wentylacji mechanicznej nawiewnej, </w:t>
      </w:r>
    </w:p>
    <w:p w14:paraId="1B103E72" w14:textId="72A11383"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wentylacji mechanicznej wywiewnej, </w:t>
      </w:r>
    </w:p>
    <w:p w14:paraId="59385D6D" w14:textId="633D2A04"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wentylacji mechanicznej </w:t>
      </w:r>
      <w:proofErr w:type="spellStart"/>
      <w:r w:rsidRPr="00E22F5B">
        <w:rPr>
          <w:rFonts w:ascii="Open Sans" w:hAnsi="Open Sans" w:cs="Open Sans"/>
        </w:rPr>
        <w:t>nawiewno</w:t>
      </w:r>
      <w:proofErr w:type="spellEnd"/>
      <w:r w:rsidRPr="00E22F5B">
        <w:rPr>
          <w:rFonts w:ascii="Open Sans" w:hAnsi="Open Sans" w:cs="Open Sans"/>
        </w:rPr>
        <w:t xml:space="preserve"> - wywiewnej, </w:t>
      </w:r>
    </w:p>
    <w:p w14:paraId="6264F969" w14:textId="5950D62E"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wentylacji mechanicznej </w:t>
      </w:r>
      <w:proofErr w:type="spellStart"/>
      <w:r w:rsidRPr="00E22F5B">
        <w:rPr>
          <w:rFonts w:ascii="Open Sans" w:hAnsi="Open Sans" w:cs="Open Sans"/>
        </w:rPr>
        <w:t>nawiewno</w:t>
      </w:r>
      <w:proofErr w:type="spellEnd"/>
      <w:r w:rsidRPr="00E22F5B">
        <w:rPr>
          <w:rFonts w:ascii="Open Sans" w:hAnsi="Open Sans" w:cs="Open Sans"/>
        </w:rPr>
        <w:t xml:space="preserve"> – wywiewnej z odzyskiem ciepła, </w:t>
      </w:r>
    </w:p>
    <w:p w14:paraId="47A9AD64" w14:textId="5B7BB66A"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montaż nawiewników </w:t>
      </w:r>
      <w:proofErr w:type="spellStart"/>
      <w:r w:rsidRPr="00E22F5B">
        <w:rPr>
          <w:rFonts w:ascii="Open Sans" w:hAnsi="Open Sans" w:cs="Open Sans"/>
        </w:rPr>
        <w:t>higrosterowanych</w:t>
      </w:r>
      <w:proofErr w:type="spellEnd"/>
      <w:r w:rsidRPr="00E22F5B">
        <w:rPr>
          <w:rFonts w:ascii="Open Sans" w:hAnsi="Open Sans" w:cs="Open Sans"/>
        </w:rPr>
        <w:t xml:space="preserve">, automatycznych w oknach i kanałach wentylacyjnych, </w:t>
      </w:r>
    </w:p>
    <w:p w14:paraId="536DA86C" w14:textId="2E0BE1D2"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montaż nawiewników sterowanych ręcznie, </w:t>
      </w:r>
    </w:p>
    <w:p w14:paraId="30E321EF" w14:textId="59359D41"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wentylacji hybrydowej z układem automatyki sterującej; </w:t>
      </w:r>
    </w:p>
    <w:p w14:paraId="14999A7B" w14:textId="126D54E8"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system chłodzenia, w tym z wykorzystaniem zewnętrznej sieci ciepłowniczej; </w:t>
      </w:r>
    </w:p>
    <w:p w14:paraId="63C80D30" w14:textId="63BEBE32"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zastosowanie klimatyzacji, pod warunkiem, gdy w wyniku tego działania nastąpi optymalizacja zużycia energii, prowadząca do zmniejszenia emisji dwutlenku węgla, </w:t>
      </w:r>
      <w:r w:rsidR="00C251E7" w:rsidRPr="00E22F5B">
        <w:rPr>
          <w:rFonts w:ascii="Open Sans" w:hAnsi="Open Sans" w:cs="Open Sans"/>
        </w:rPr>
        <w:br/>
      </w:r>
      <w:r w:rsidRPr="00E22F5B">
        <w:rPr>
          <w:rFonts w:ascii="Open Sans" w:hAnsi="Open Sans" w:cs="Open Sans"/>
        </w:rPr>
        <w:t xml:space="preserve">w tym również w kierunku wykorzystania </w:t>
      </w:r>
      <w:r w:rsidR="00C51694" w:rsidRPr="00E22F5B">
        <w:rPr>
          <w:rFonts w:ascii="Open Sans" w:hAnsi="Open Sans" w:cs="Open Sans"/>
        </w:rPr>
        <w:t>OZE</w:t>
      </w:r>
      <w:r w:rsidRPr="00E22F5B">
        <w:rPr>
          <w:rFonts w:ascii="Open Sans" w:hAnsi="Open Sans" w:cs="Open Sans"/>
        </w:rPr>
        <w:t xml:space="preserve"> i (mikro) </w:t>
      </w:r>
      <w:proofErr w:type="spellStart"/>
      <w:r w:rsidRPr="00E22F5B">
        <w:rPr>
          <w:rFonts w:ascii="Open Sans" w:hAnsi="Open Sans" w:cs="Open Sans"/>
        </w:rPr>
        <w:t>trigeneracji</w:t>
      </w:r>
      <w:proofErr w:type="spellEnd"/>
      <w:r w:rsidRPr="00E22F5B">
        <w:rPr>
          <w:rFonts w:ascii="Open Sans" w:hAnsi="Open Sans" w:cs="Open Sans"/>
        </w:rPr>
        <w:t xml:space="preserve">; </w:t>
      </w:r>
    </w:p>
    <w:p w14:paraId="0CAEE699" w14:textId="0A8CAF17"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lastRenderedPageBreak/>
        <w:t xml:space="preserve">stosowanie alternatywnych systemów chłodzenia i klimatyzacji np. materiały zmiennofazowe itp.; </w:t>
      </w:r>
    </w:p>
    <w:p w14:paraId="11B46390" w14:textId="0E63FBB5" w:rsidR="007B04A8" w:rsidRPr="00E22F5B" w:rsidRDefault="00814206" w:rsidP="001B18EE">
      <w:pPr>
        <w:pStyle w:val="Akapitzlist"/>
        <w:numPr>
          <w:ilvl w:val="0"/>
          <w:numId w:val="24"/>
        </w:numPr>
        <w:spacing w:after="240" w:line="288" w:lineRule="auto"/>
        <w:ind w:left="0" w:firstLine="0"/>
        <w:contextualSpacing w:val="0"/>
        <w:rPr>
          <w:rFonts w:ascii="Open Sans" w:hAnsi="Open Sans" w:cs="Open Sans"/>
        </w:rPr>
      </w:pPr>
      <w:r w:rsidRPr="00E22F5B">
        <w:rPr>
          <w:rFonts w:ascii="Open Sans" w:hAnsi="Open Sans" w:cs="Open Sans"/>
        </w:rPr>
        <w:t>zastosowanie gruntowych wymienników ciepła.</w:t>
      </w:r>
    </w:p>
    <w:p w14:paraId="48BDF9B7" w14:textId="5FC3B70F" w:rsidR="00EA2EA1" w:rsidRPr="00E22F5B" w:rsidRDefault="00814206" w:rsidP="00E22F5B">
      <w:pPr>
        <w:pStyle w:val="Akapitzlist"/>
        <w:numPr>
          <w:ilvl w:val="0"/>
          <w:numId w:val="5"/>
        </w:numPr>
        <w:spacing w:line="288" w:lineRule="auto"/>
        <w:rPr>
          <w:rFonts w:ascii="Open Sans" w:hAnsi="Open Sans" w:cs="Open Sans"/>
          <w:b/>
          <w:bCs/>
        </w:rPr>
      </w:pPr>
      <w:r w:rsidRPr="00E22F5B">
        <w:rPr>
          <w:rFonts w:ascii="Open Sans" w:hAnsi="Open Sans" w:cs="Open Sans"/>
          <w:b/>
          <w:bCs/>
        </w:rPr>
        <w:t xml:space="preserve">Prace przygotowawcze i roboty towarzyszące oraz inne koszty kwalifikowane </w:t>
      </w:r>
    </w:p>
    <w:p w14:paraId="1F799066" w14:textId="3E39C16B" w:rsidR="00814206" w:rsidRPr="004752BD" w:rsidRDefault="00814206" w:rsidP="00E22F5B">
      <w:pPr>
        <w:spacing w:line="288" w:lineRule="auto"/>
        <w:rPr>
          <w:rFonts w:ascii="Open Sans" w:hAnsi="Open Sans" w:cs="Open Sans"/>
          <w:b/>
          <w:bCs/>
        </w:rPr>
      </w:pPr>
      <w:r w:rsidRPr="004752BD">
        <w:rPr>
          <w:rFonts w:ascii="Open Sans" w:hAnsi="Open Sans" w:cs="Open Sans"/>
          <w:b/>
          <w:bCs/>
        </w:rPr>
        <w:t xml:space="preserve">Przygotowanie projektu: </w:t>
      </w:r>
    </w:p>
    <w:p w14:paraId="01C08BB8" w14:textId="3893479F"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 wykonanie studiów wykonalności inwestycji; </w:t>
      </w:r>
    </w:p>
    <w:p w14:paraId="52BCCCD0" w14:textId="053EAB25"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wykonanie raportów oddziaływania na środowisko (jeśli jest wymagane); </w:t>
      </w:r>
    </w:p>
    <w:p w14:paraId="300A1F88" w14:textId="1C529F3D"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wykonanie audytu energetycznego ex-</w:t>
      </w:r>
      <w:proofErr w:type="spellStart"/>
      <w:r w:rsidRPr="00E22F5B">
        <w:rPr>
          <w:rFonts w:ascii="Open Sans" w:hAnsi="Open Sans" w:cs="Open Sans"/>
        </w:rPr>
        <w:t>ante</w:t>
      </w:r>
      <w:proofErr w:type="spellEnd"/>
      <w:r w:rsidRPr="00E22F5B">
        <w:rPr>
          <w:rFonts w:ascii="Open Sans" w:hAnsi="Open Sans" w:cs="Open Sans"/>
        </w:rPr>
        <w:t xml:space="preserve">; </w:t>
      </w:r>
    </w:p>
    <w:p w14:paraId="0F687854" w14:textId="0CEFB483"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wykonanie dokumentacji technicznej (projektów) związanych z planowaną kompleksową modernizacją energetyczną budynków (do kosztów kwalifikowanych zalicza się koszty związane z opracowaniem projektów budowlanych obejmujących prace dotyczące oszczędności energii); </w:t>
      </w:r>
    </w:p>
    <w:p w14:paraId="35DCF2C7" w14:textId="2E7ED31C"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inwentaryzacja budynku przeprowadzona przez przyrodnika</w:t>
      </w:r>
      <w:r w:rsidRPr="001B18EE">
        <w:footnoteReference w:id="6"/>
      </w:r>
      <w:r w:rsidRPr="00E22F5B">
        <w:rPr>
          <w:rFonts w:ascii="Open Sans" w:hAnsi="Open Sans" w:cs="Open Sans"/>
        </w:rPr>
        <w:t>, która określi jakie gatunki ptaków i nietoperzy zasiedlają budynek i czy wymagane są zgody RDOŚ na odstępstwa od zakazów w stosunku do dziko występujących zwierząt objętych ochroną;</w:t>
      </w:r>
    </w:p>
    <w:p w14:paraId="785A81F9" w14:textId="03CC8088" w:rsidR="00814206" w:rsidRPr="00E22F5B" w:rsidRDefault="00814206"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wykonanie dokumentacji przetargowej, przy czym dokumentacja przetargowa powinna zawierać wymóg dla wykonawcy robót, aby prace modernizacyjne były spójne z zasadą DNSH, w szczególności aby realizacja działań na rzecz maksymalizacji wskaźnika (wagowo) odpadów budowlanych i rozbiórkowych innych niż niebezpieczne (z wyłączeniem naturalnie występujących materiałów, o których mowa w kategorii 17 05 04 w europejskim wykazie odpadów ustanowionym decyzją 2000/532/WE) wytworzonych na placu budowy, możliwych do ponownego użycia, recyklingu i innego odzysku materiałów, uwzględniając lokalne możliwości w tym zakresie jak również rodzaj i charakter danego projektu oraz aby odpowiednio dobrano technologie, materiały i urządzenia mający na celu zachowanie zasady DNSH. </w:t>
      </w:r>
    </w:p>
    <w:p w14:paraId="7745865E" w14:textId="20CA700F" w:rsidR="00EA2EA1" w:rsidRPr="004752BD" w:rsidRDefault="00EA2EA1" w:rsidP="00E22F5B">
      <w:pPr>
        <w:spacing w:line="288" w:lineRule="auto"/>
        <w:rPr>
          <w:rFonts w:ascii="Open Sans" w:hAnsi="Open Sans" w:cs="Open Sans"/>
          <w:b/>
          <w:bCs/>
        </w:rPr>
      </w:pPr>
      <w:r w:rsidRPr="004752BD">
        <w:rPr>
          <w:rFonts w:ascii="Open Sans" w:hAnsi="Open Sans" w:cs="Open Sans"/>
          <w:b/>
          <w:bCs/>
        </w:rPr>
        <w:t xml:space="preserve">Roboty towarzyszące: </w:t>
      </w:r>
    </w:p>
    <w:p w14:paraId="4140C3FA" w14:textId="499BA7BE"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roboty związane z automatyką budynku (budynki inteligentne) – wyposażenie budynku w system czujników i detektorów oraz jeden, zintegrowany system zarządzania </w:t>
      </w:r>
      <w:r w:rsidRPr="00E22F5B">
        <w:rPr>
          <w:rFonts w:ascii="Open Sans" w:hAnsi="Open Sans" w:cs="Open Sans"/>
        </w:rPr>
        <w:lastRenderedPageBreak/>
        <w:t xml:space="preserve">wszystkimi znajdującymi się w budynku instalacjami (w tym np. wyposażenie budynków w takie systemy jak BMS – </w:t>
      </w:r>
      <w:proofErr w:type="spellStart"/>
      <w:r w:rsidRPr="00E22F5B">
        <w:rPr>
          <w:rFonts w:ascii="Open Sans" w:hAnsi="Open Sans" w:cs="Open Sans"/>
        </w:rPr>
        <w:t>Building</w:t>
      </w:r>
      <w:proofErr w:type="spellEnd"/>
      <w:r w:rsidRPr="00E22F5B">
        <w:rPr>
          <w:rFonts w:ascii="Open Sans" w:hAnsi="Open Sans" w:cs="Open Sans"/>
        </w:rPr>
        <w:t xml:space="preserve"> Management System, LCN – system sterowania urządzeniami elektrycznymi, czy KNX – system sterowania budynkiem lub o podobnym zakresie działania), </w:t>
      </w:r>
    </w:p>
    <w:p w14:paraId="6CAB2329" w14:textId="00730E6A"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wykonywanie wszelkich robót poprawiających bilans energetyczny budynku, takich np. jak przeszklenia, werandy, ścianki akumulujące ciepło lub inne wskazane w audycie energetycznym ex-</w:t>
      </w:r>
      <w:proofErr w:type="spellStart"/>
      <w:r w:rsidRPr="00E22F5B">
        <w:rPr>
          <w:rFonts w:ascii="Open Sans" w:hAnsi="Open Sans" w:cs="Open Sans"/>
        </w:rPr>
        <w:t>ante</w:t>
      </w:r>
      <w:proofErr w:type="spellEnd"/>
      <w:r w:rsidRPr="00E22F5B">
        <w:rPr>
          <w:rFonts w:ascii="Open Sans" w:hAnsi="Open Sans" w:cs="Open Sans"/>
        </w:rPr>
        <w:t xml:space="preserve"> elementy budowlane zwiększające wykorzystanie zysków ciepła od nasłonecznienia, jak również elementy zacieniające, jeżeli wynika to z audytu energetycznego ex-</w:t>
      </w:r>
      <w:proofErr w:type="spellStart"/>
      <w:r w:rsidRPr="00E22F5B">
        <w:rPr>
          <w:rFonts w:ascii="Open Sans" w:hAnsi="Open Sans" w:cs="Open Sans"/>
        </w:rPr>
        <w:t>ante</w:t>
      </w:r>
      <w:proofErr w:type="spellEnd"/>
      <w:r w:rsidRPr="00E22F5B">
        <w:rPr>
          <w:rFonts w:ascii="Open Sans" w:hAnsi="Open Sans" w:cs="Open Sans"/>
        </w:rPr>
        <w:t xml:space="preserve">; </w:t>
      </w:r>
    </w:p>
    <w:p w14:paraId="1014A447" w14:textId="723BDEC0"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likwidacja mostków cieplnych (połączenia balkonu ze stropem, wieńce i nadproża, okna i parapety, ściany piwnic, attyka itp.); </w:t>
      </w:r>
    </w:p>
    <w:p w14:paraId="02EEFD8E" w14:textId="2F614565"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badanie termowizyjne w celu wstępnego określenia zakresu robót; </w:t>
      </w:r>
    </w:p>
    <w:p w14:paraId="03B52461" w14:textId="19CA6EAB"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wymiana zewnętrznych parapetów okiennych i obróbek blacharskich w przypadku balkonów i loggii, łącznie z wykonaniem ocieplenia ścian zewnętrznych; </w:t>
      </w:r>
    </w:p>
    <w:p w14:paraId="7DEAE35C" w14:textId="6E517B33"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wymiana urządzeń energii pomocniczej na energooszczędne (wymiana pomp, wymiana napędów); </w:t>
      </w:r>
    </w:p>
    <w:p w14:paraId="3721317D" w14:textId="09BB21DC"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wymiana wind na windy z napędami energooszczędnymi; </w:t>
      </w:r>
    </w:p>
    <w:p w14:paraId="0F746600" w14:textId="2E9B28FE"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przełożenie instalacji odgromowych (w tym odtworzenie); </w:t>
      </w:r>
    </w:p>
    <w:p w14:paraId="7F79BC74" w14:textId="056D6DD1"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wykończenie (gipsowanie, tynkowanie) ościeży w przypadku wymiany okien i drzwi, </w:t>
      </w:r>
    </w:p>
    <w:p w14:paraId="2FDCD111" w14:textId="63B71604"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naprawa lokalnych uszkodzeń tynków, podłóg oraz malowanie – w przypadku działań związanych z modernizacją (wymianą) instalacji wewnętrznych; </w:t>
      </w:r>
    </w:p>
    <w:p w14:paraId="3E044557" w14:textId="52B12660"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przystosowanie pomieszczeń w przypadku modernizacji kotłowni, czy instalacji węzła cieplnego; </w:t>
      </w:r>
    </w:p>
    <w:p w14:paraId="1BCAEA63" w14:textId="1210D504"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wszelkie roboty związane z usuwaniem wilgoci i zabezpieczenie budynku przed tzw. wilgocią kapilarną; </w:t>
      </w:r>
    </w:p>
    <w:p w14:paraId="30CE2679" w14:textId="7209FB02"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zabezpieczenie placu budowy oraz doprowadzenie go do stanu użytkowania po zakończeniu robót budowlanych; </w:t>
      </w:r>
    </w:p>
    <w:p w14:paraId="6A67E1FF" w14:textId="115BDA49"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pozostałe prace uzupełniające i towarzyszące niezbędne do prawidłowej realizacji prac termomodernizacyjnych, uzyskania i utrzymania efektów ekologicznych i energetycznych przedsięwzięcia; </w:t>
      </w:r>
    </w:p>
    <w:p w14:paraId="2E55F171" w14:textId="0D9AF756"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prace związane z adaptacją budynku odnośnie nasilenia niekorzystnych skutków zmian klimatu, tj. wzrost wielkości opadów atmosferycznych, wzrost temperatur i wzrost ryzyka pożaru, w szczególności zapewnienie bezpieczeństwa pożarowego budynku poprzez dostosowanie do wymogów określonych w Rozporządzeniu Ministra Infrastruktury z dnia 12 kwietnia 2002 r. w sprawie warunków technicznych, jakim </w:t>
      </w:r>
      <w:r w:rsidRPr="00E22F5B">
        <w:rPr>
          <w:rFonts w:ascii="Open Sans" w:hAnsi="Open Sans" w:cs="Open Sans"/>
        </w:rPr>
        <w:lastRenderedPageBreak/>
        <w:t xml:space="preserve">powinny odpowiadać budynki i ich usytuowanie z </w:t>
      </w:r>
      <w:proofErr w:type="spellStart"/>
      <w:r w:rsidRPr="00E22F5B">
        <w:rPr>
          <w:rFonts w:ascii="Open Sans" w:hAnsi="Open Sans" w:cs="Open Sans"/>
        </w:rPr>
        <w:t>późn</w:t>
      </w:r>
      <w:proofErr w:type="spellEnd"/>
      <w:r w:rsidRPr="00E22F5B">
        <w:rPr>
          <w:rFonts w:ascii="Open Sans" w:hAnsi="Open Sans" w:cs="Open Sans"/>
        </w:rPr>
        <w:t>. zmianami</w:t>
      </w:r>
      <w:r w:rsidRPr="001B18EE">
        <w:footnoteReference w:id="7"/>
      </w:r>
      <w:r w:rsidRPr="00E22F5B">
        <w:rPr>
          <w:rFonts w:ascii="Open Sans" w:hAnsi="Open Sans" w:cs="Open Sans"/>
        </w:rPr>
        <w:t>, działania dostosowawcze w budynkach publicznych w zakresie przygotowania infrastruktury obiektu, pod kątem odporności na zagrożenie użycia broni kinetycznej, jak i tzw. ABC;</w:t>
      </w:r>
    </w:p>
    <w:p w14:paraId="321C54EB" w14:textId="20122DC4"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prace dotyczące zabezpieczenia budynku, przeprowadzone zgodnie z wytycznymi właściwego terytorialnie organu ochrony przyrody, przed zasiedleniem przez ptaki i</w:t>
      </w:r>
      <w:r w:rsidR="00A301B6" w:rsidRPr="00E22F5B">
        <w:rPr>
          <w:rFonts w:ascii="Open Sans" w:hAnsi="Open Sans" w:cs="Open Sans"/>
        </w:rPr>
        <w:t> </w:t>
      </w:r>
      <w:r w:rsidRPr="00E22F5B">
        <w:rPr>
          <w:rFonts w:ascii="Open Sans" w:hAnsi="Open Sans" w:cs="Open Sans"/>
        </w:rPr>
        <w:t xml:space="preserve">nietoperze (likwidacja otworów i szczelin przed przystąpieniem do prac termomodernizacyjnych, wykonana na podstawie opinii RDOŚ  poza sezonem lęgowym ptaków oraz okresem przebywania nietoperzy); </w:t>
      </w:r>
    </w:p>
    <w:p w14:paraId="03F27F2F" w14:textId="699EAA12" w:rsidR="00EA2EA1" w:rsidRPr="00E22F5B" w:rsidRDefault="00EA2EA1" w:rsidP="001B18EE">
      <w:pPr>
        <w:pStyle w:val="Akapitzlist"/>
        <w:numPr>
          <w:ilvl w:val="0"/>
          <w:numId w:val="24"/>
        </w:numPr>
        <w:spacing w:line="288" w:lineRule="auto"/>
        <w:ind w:left="0" w:firstLine="0"/>
        <w:rPr>
          <w:rFonts w:ascii="Open Sans" w:hAnsi="Open Sans" w:cs="Open Sans"/>
        </w:rPr>
      </w:pPr>
      <w:r w:rsidRPr="00E22F5B">
        <w:rPr>
          <w:rFonts w:ascii="Open Sans" w:hAnsi="Open Sans" w:cs="Open Sans"/>
        </w:rPr>
        <w:t>kompensacja utraconych miejsc gniazdowania ptaków lub miejsc ukrycia się nietoperzy, zalecona przez RDOŚ</w:t>
      </w:r>
      <w:r w:rsidRPr="001B18EE">
        <w:footnoteReference w:id="8"/>
      </w:r>
      <w:r w:rsidRPr="00E22F5B">
        <w:rPr>
          <w:rFonts w:ascii="Open Sans" w:hAnsi="Open Sans" w:cs="Open Sans"/>
        </w:rPr>
        <w:t xml:space="preserve"> (np. zamontowanie na budynku odpowiednich budek lęgowych). </w:t>
      </w:r>
    </w:p>
    <w:p w14:paraId="0905F051" w14:textId="7DC0E955" w:rsidR="00EA2EA1" w:rsidRPr="004752BD" w:rsidRDefault="00EA2EA1" w:rsidP="00E22F5B">
      <w:pPr>
        <w:spacing w:line="288" w:lineRule="auto"/>
        <w:rPr>
          <w:rFonts w:ascii="Open Sans" w:hAnsi="Open Sans" w:cs="Open Sans"/>
          <w:b/>
          <w:bCs/>
        </w:rPr>
      </w:pPr>
      <w:r w:rsidRPr="004752BD">
        <w:rPr>
          <w:rFonts w:ascii="Open Sans" w:hAnsi="Open Sans" w:cs="Open Sans"/>
          <w:b/>
          <w:bCs/>
        </w:rPr>
        <w:t xml:space="preserve">Odbiór przedsięwzięcia polegającego na kompleksowej modernizacji energetycznej budynków oraz inne koszty kwalifikowane: </w:t>
      </w:r>
    </w:p>
    <w:p w14:paraId="285A3A0B" w14:textId="6AF7DC73" w:rsidR="00EA2EA1" w:rsidRPr="00E22F5B" w:rsidRDefault="00EA2EA1" w:rsidP="003967AF">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wykonanie audytu energetycznego ex-post, w tym badania i ocena uzyskanych efektów;  </w:t>
      </w:r>
    </w:p>
    <w:p w14:paraId="2871834D" w14:textId="77777777" w:rsidR="00EA2EA1" w:rsidRPr="004752BD" w:rsidRDefault="00EA2EA1" w:rsidP="00E22F5B">
      <w:pPr>
        <w:spacing w:line="288" w:lineRule="auto"/>
        <w:rPr>
          <w:rFonts w:ascii="Open Sans" w:hAnsi="Open Sans" w:cs="Open Sans"/>
        </w:rPr>
      </w:pPr>
      <w:r w:rsidRPr="004752BD">
        <w:rPr>
          <w:rFonts w:ascii="Open Sans" w:hAnsi="Open Sans" w:cs="Open Sans"/>
        </w:rPr>
        <w:t>Przez audyt energetyczny ex-post należy rozumieć raport zawierający:</w:t>
      </w:r>
    </w:p>
    <w:p w14:paraId="25C6E981" w14:textId="3398375C" w:rsidR="00EA2EA1" w:rsidRPr="00E22F5B" w:rsidRDefault="00EA2EA1" w:rsidP="003967AF">
      <w:pPr>
        <w:pStyle w:val="Akapitzlist"/>
        <w:numPr>
          <w:ilvl w:val="0"/>
          <w:numId w:val="24"/>
        </w:numPr>
        <w:spacing w:line="288" w:lineRule="auto"/>
        <w:ind w:left="0" w:firstLine="0"/>
        <w:rPr>
          <w:rFonts w:ascii="Open Sans" w:hAnsi="Open Sans" w:cs="Open Sans"/>
        </w:rPr>
      </w:pPr>
      <w:r w:rsidRPr="00E22F5B">
        <w:rPr>
          <w:rFonts w:ascii="Open Sans" w:hAnsi="Open Sans" w:cs="Open Sans"/>
        </w:rPr>
        <w:t>tabele potwierdzające wykonanie efektów ekologicznych i energetycznych zgodnie z</w:t>
      </w:r>
      <w:r w:rsidR="00A301B6" w:rsidRPr="00E22F5B">
        <w:rPr>
          <w:rFonts w:ascii="Open Sans" w:hAnsi="Open Sans" w:cs="Open Sans"/>
        </w:rPr>
        <w:t> </w:t>
      </w:r>
      <w:r w:rsidRPr="00E22F5B">
        <w:rPr>
          <w:rFonts w:ascii="Open Sans" w:hAnsi="Open Sans" w:cs="Open Sans"/>
        </w:rPr>
        <w:t>nomenklaturą naboru;</w:t>
      </w:r>
    </w:p>
    <w:p w14:paraId="5AF8CD1B" w14:textId="5353AAAD" w:rsidR="00EA2EA1" w:rsidRPr="00E22F5B" w:rsidRDefault="00EA2EA1" w:rsidP="003967AF">
      <w:pPr>
        <w:pStyle w:val="Akapitzlist"/>
        <w:numPr>
          <w:ilvl w:val="0"/>
          <w:numId w:val="24"/>
        </w:numPr>
        <w:spacing w:line="288" w:lineRule="auto"/>
        <w:ind w:left="0" w:firstLine="0"/>
        <w:rPr>
          <w:rFonts w:ascii="Open Sans" w:hAnsi="Open Sans" w:cs="Open Sans"/>
        </w:rPr>
      </w:pPr>
      <w:r w:rsidRPr="00E22F5B">
        <w:rPr>
          <w:rFonts w:ascii="Open Sans" w:hAnsi="Open Sans" w:cs="Open Sans"/>
        </w:rPr>
        <w:t>zestawienie faktycznie wykonanych prac;</w:t>
      </w:r>
    </w:p>
    <w:p w14:paraId="15E17D72" w14:textId="41E78D32" w:rsidR="00EA2EA1" w:rsidRPr="00E22F5B" w:rsidRDefault="00EA2EA1" w:rsidP="003967AF">
      <w:pPr>
        <w:pStyle w:val="Akapitzlist"/>
        <w:numPr>
          <w:ilvl w:val="0"/>
          <w:numId w:val="24"/>
        </w:numPr>
        <w:spacing w:line="288" w:lineRule="auto"/>
        <w:ind w:left="0" w:firstLine="0"/>
        <w:rPr>
          <w:rFonts w:ascii="Open Sans" w:hAnsi="Open Sans" w:cs="Open Sans"/>
        </w:rPr>
      </w:pPr>
      <w:r w:rsidRPr="00E22F5B">
        <w:rPr>
          <w:rFonts w:ascii="Open Sans" w:hAnsi="Open Sans" w:cs="Open Sans"/>
        </w:rPr>
        <w:t>aktualizację karty audytu energetycznego wykonaną przez audytora wraz z obliczeniami wykonanymi zgodnie z metodyką przyjętą na etapie audytu ex-</w:t>
      </w:r>
      <w:proofErr w:type="spellStart"/>
      <w:r w:rsidRPr="00E22F5B">
        <w:rPr>
          <w:rFonts w:ascii="Open Sans" w:hAnsi="Open Sans" w:cs="Open Sans"/>
        </w:rPr>
        <w:t>ante</w:t>
      </w:r>
      <w:proofErr w:type="spellEnd"/>
      <w:r w:rsidRPr="00E22F5B">
        <w:rPr>
          <w:rFonts w:ascii="Open Sans" w:hAnsi="Open Sans" w:cs="Open Sans"/>
        </w:rPr>
        <w:t xml:space="preserve"> (wykonane dla  faktycznie zrealizowanych usprawnień na podstawie odebranej dokumentacji powykonawczej);</w:t>
      </w:r>
    </w:p>
    <w:p w14:paraId="069642D4" w14:textId="598A7A81" w:rsidR="00EA2EA1" w:rsidRPr="00E22F5B" w:rsidRDefault="00EA2EA1" w:rsidP="003967AF">
      <w:pPr>
        <w:pStyle w:val="Akapitzlist"/>
        <w:numPr>
          <w:ilvl w:val="0"/>
          <w:numId w:val="24"/>
        </w:numPr>
        <w:spacing w:line="288" w:lineRule="auto"/>
        <w:ind w:left="0" w:firstLine="0"/>
        <w:rPr>
          <w:rFonts w:ascii="Open Sans" w:hAnsi="Open Sans" w:cs="Open Sans"/>
        </w:rPr>
      </w:pPr>
      <w:r w:rsidRPr="00E22F5B">
        <w:rPr>
          <w:rFonts w:ascii="Open Sans" w:hAnsi="Open Sans" w:cs="Open Sans"/>
        </w:rPr>
        <w:t xml:space="preserve">inne badania i opracowania o charakterze technicznym, jeżeli były niezbędne do potwierdzenia uzyskanego efektu energetycznego i ekologicznego, w tym próba szczelności budynku (przeprowadzona zgodnie z Polską Normą), badania termowizyjne budynków i instalacji (wraz z raportem z badań w formie raportu termograficznego) </w:t>
      </w:r>
      <w:r w:rsidRPr="00E22F5B">
        <w:rPr>
          <w:rFonts w:ascii="Open Sans" w:hAnsi="Open Sans" w:cs="Open Sans"/>
        </w:rPr>
        <w:lastRenderedPageBreak/>
        <w:t xml:space="preserve">wykonane w odpowiednich warunkach, lecz nie później niż w ciągu jednego kwartału od zakończenia robót termomodernizacyjnych; </w:t>
      </w:r>
    </w:p>
    <w:p w14:paraId="4D8E6C46" w14:textId="77777777" w:rsidR="00EA2EA1" w:rsidRPr="004752BD" w:rsidRDefault="00EA2EA1" w:rsidP="00E22F5B">
      <w:pPr>
        <w:spacing w:line="288" w:lineRule="auto"/>
        <w:rPr>
          <w:rFonts w:ascii="Open Sans" w:hAnsi="Open Sans" w:cs="Open Sans"/>
          <w:i/>
          <w:iCs/>
        </w:rPr>
      </w:pPr>
      <w:r w:rsidRPr="004752BD">
        <w:rPr>
          <w:rFonts w:ascii="Open Sans" w:hAnsi="Open Sans" w:cs="Open Sans"/>
          <w:i/>
          <w:iCs/>
        </w:rPr>
        <w:t xml:space="preserve">Koszty związane z badaniami są kwalifikowane wyłącznie, jeżeli są przeprowadzone zgodnie z zasadami przeprowadzenia badań określonych w normach PN-EN 13187 „Właściwości cieplne budynków – Jakościowa detekcja wad cieplnych w obudowie budynku – Metoda podczerwieni” oraz PN-EN 13829 „Właściwości cieplne budynków. Określenie przepuszczalności powietrznej budynków. Metoda pomiaru ciśnieniowego z użyciem wentylatora”. </w:t>
      </w:r>
    </w:p>
    <w:p w14:paraId="6BDC882D" w14:textId="77777777" w:rsidR="00EA2EA1" w:rsidRPr="004752BD" w:rsidRDefault="00EA2EA1" w:rsidP="00E22F5B">
      <w:pPr>
        <w:spacing w:line="288" w:lineRule="auto"/>
        <w:rPr>
          <w:rFonts w:ascii="Open Sans" w:hAnsi="Open Sans" w:cs="Open Sans"/>
          <w:i/>
          <w:iCs/>
        </w:rPr>
      </w:pPr>
      <w:r w:rsidRPr="004752BD">
        <w:rPr>
          <w:rFonts w:ascii="Open Sans" w:hAnsi="Open Sans" w:cs="Open Sans"/>
          <w:i/>
          <w:iCs/>
        </w:rPr>
        <w:t>Celem audytu energetycznego ex-post jest obliczenie efektu energetycznego i ekologicznego dla zakresu rzeczowego stanowiącego różnicę zakresów i oszacowanie jego wpływu na efekt dla całego projektu. Audyt energetyczny ex-post w części dotyczącej potwierdzenia efektu energetycznego i ekologicznego (wraz ze wszystkimi niezbędnymi badaniami) jest kosztem kwalifikowanym.</w:t>
      </w:r>
    </w:p>
    <w:p w14:paraId="6C94F3B9" w14:textId="69B08B82" w:rsidR="007B04A8" w:rsidRPr="004752BD" w:rsidRDefault="00EA2EA1" w:rsidP="00E22F5B">
      <w:pPr>
        <w:spacing w:line="288" w:lineRule="auto"/>
        <w:rPr>
          <w:rFonts w:ascii="Open Sans" w:hAnsi="Open Sans" w:cs="Open Sans"/>
          <w:i/>
          <w:iCs/>
        </w:rPr>
      </w:pPr>
      <w:r w:rsidRPr="004752BD">
        <w:rPr>
          <w:rFonts w:ascii="Open Sans" w:hAnsi="Open Sans" w:cs="Open Sans"/>
          <w:i/>
          <w:iCs/>
        </w:rPr>
        <w:t>W przypadku jeżeli zakres rzeczowy faktycznie wykonany w ramach głębokiej kompleksowej modernizacji energetycznej budynków (przedsięwzięcia termomodernizacyjnego) różni się od zakresu rzeczowego zaplanowanego do wykonania w audycie energetycznym na etapie ex-</w:t>
      </w:r>
      <w:proofErr w:type="spellStart"/>
      <w:r w:rsidRPr="004752BD">
        <w:rPr>
          <w:rFonts w:ascii="Open Sans" w:hAnsi="Open Sans" w:cs="Open Sans"/>
          <w:i/>
          <w:iCs/>
        </w:rPr>
        <w:t>ante</w:t>
      </w:r>
      <w:proofErr w:type="spellEnd"/>
      <w:r w:rsidRPr="004752BD">
        <w:rPr>
          <w:rFonts w:ascii="Open Sans" w:hAnsi="Open Sans" w:cs="Open Sans"/>
          <w:i/>
          <w:iCs/>
        </w:rPr>
        <w:t>, to (po wykonaniu przedsięwzięcia) należy wykonać audyt energetyczny  według tej samej metodologii, która była stosowana na etapie ex-</w:t>
      </w:r>
      <w:proofErr w:type="spellStart"/>
      <w:r w:rsidRPr="004752BD">
        <w:rPr>
          <w:rFonts w:ascii="Open Sans" w:hAnsi="Open Sans" w:cs="Open Sans"/>
          <w:i/>
          <w:iCs/>
        </w:rPr>
        <w:t>ante</w:t>
      </w:r>
      <w:proofErr w:type="spellEnd"/>
      <w:r w:rsidRPr="004752BD">
        <w:rPr>
          <w:rFonts w:ascii="Open Sans" w:hAnsi="Open Sans" w:cs="Open Sans"/>
          <w:i/>
          <w:iCs/>
        </w:rPr>
        <w:t>. W przypadku, gdy w trakcie realizacji nastąpi zmiana zakresu rzeczowego w stopniu wymuszającym opracowanie dodatkowego audytu energetycznego, to koszt takiego audytu co do zasady nie jest kwalifikowany chyba, że zmiana zakresu wynika z przyczyn niezależnych od wnioskodawcy i ujętych w protokole konieczności.</w:t>
      </w:r>
    </w:p>
    <w:p w14:paraId="4142C491" w14:textId="44F32986" w:rsidR="00134033" w:rsidRPr="004752BD" w:rsidRDefault="00C43282" w:rsidP="00EF5D91">
      <w:pPr>
        <w:spacing w:line="288" w:lineRule="auto"/>
        <w:rPr>
          <w:rFonts w:ascii="Open Sans" w:hAnsi="Open Sans" w:cs="Open Sans"/>
          <w:i/>
          <w:iCs/>
        </w:rPr>
      </w:pPr>
      <w:r>
        <w:rPr>
          <w:rFonts w:ascii="Open Sans" w:hAnsi="Open Sans" w:cs="Open Sans"/>
          <w:i/>
          <w:iCs/>
        </w:rPr>
        <w:br w:type="page"/>
      </w:r>
    </w:p>
    <w:p w14:paraId="7C1C972E" w14:textId="43CC3107" w:rsidR="00510D38" w:rsidRPr="004752BD" w:rsidRDefault="00FB510B" w:rsidP="00E22F5B">
      <w:pPr>
        <w:pBdr>
          <w:top w:val="single" w:sz="4" w:space="1" w:color="auto"/>
          <w:left w:val="single" w:sz="4" w:space="4" w:color="auto"/>
          <w:bottom w:val="single" w:sz="4" w:space="1" w:color="auto"/>
          <w:right w:val="single" w:sz="4" w:space="4" w:color="auto"/>
        </w:pBdr>
        <w:spacing w:line="288" w:lineRule="auto"/>
        <w:rPr>
          <w:rFonts w:ascii="Open Sans" w:hAnsi="Open Sans" w:cs="Open Sans"/>
          <w:b/>
          <w:bCs/>
        </w:rPr>
      </w:pPr>
      <w:r>
        <w:rPr>
          <w:rFonts w:ascii="Open Sans" w:hAnsi="Open Sans" w:cs="Open Sans"/>
          <w:b/>
          <w:bCs/>
        </w:rPr>
        <w:lastRenderedPageBreak/>
        <w:t xml:space="preserve">III. </w:t>
      </w:r>
      <w:r w:rsidR="00510D38" w:rsidRPr="004752BD">
        <w:rPr>
          <w:rFonts w:ascii="Open Sans" w:hAnsi="Open Sans" w:cs="Open Sans"/>
          <w:b/>
          <w:bCs/>
        </w:rPr>
        <w:t>Realizacja projektu zgodnie z zasadą DNSH</w:t>
      </w:r>
      <w:r w:rsidR="004D1C2F">
        <w:rPr>
          <w:rFonts w:ascii="Open Sans" w:hAnsi="Open Sans" w:cs="Open Sans"/>
          <w:b/>
          <w:bCs/>
        </w:rPr>
        <w:t>.</w:t>
      </w:r>
    </w:p>
    <w:p w14:paraId="3FAE825E" w14:textId="5DA19396" w:rsidR="00400546" w:rsidRPr="004752BD" w:rsidRDefault="00400546" w:rsidP="00E22F5B">
      <w:pPr>
        <w:spacing w:line="288" w:lineRule="auto"/>
        <w:rPr>
          <w:rFonts w:ascii="Open Sans" w:hAnsi="Open Sans" w:cs="Open Sans"/>
        </w:rPr>
      </w:pPr>
      <w:r w:rsidRPr="004752BD">
        <w:rPr>
          <w:rFonts w:ascii="Open Sans" w:hAnsi="Open Sans" w:cs="Open Sans"/>
        </w:rPr>
        <w:t>Przed rozpoczęciem inwestycji termomodernizacyjnej, współfinansowanej ze środków europejskich, prosimy o zapoznanie się z opracowaniem: „Zgodność przedsięwzięć finansowanych ze środków Unii Europejskiej, w tym realizowanych w ramach Krajowego Planu Odbudowy i Zwiększania Odporności, z zasadą „nie czyń znaczącej szkody” - zasadą DNSH - PODRĘCZNIK DLA BENEFICJENTA”</w:t>
      </w:r>
      <w:r w:rsidR="002624B9" w:rsidRPr="004752BD">
        <w:rPr>
          <w:rFonts w:ascii="Open Sans" w:hAnsi="Open Sans" w:cs="Open Sans"/>
        </w:rPr>
        <w:t xml:space="preserve"> oraz </w:t>
      </w:r>
      <w:r w:rsidR="002624B9" w:rsidRPr="004752BD">
        <w:rPr>
          <w:rStyle w:val="Hipercze"/>
          <w:rFonts w:ascii="Open Sans" w:hAnsi="Open Sans" w:cs="Open Sans"/>
          <w:color w:val="auto"/>
          <w:u w:val="none"/>
        </w:rPr>
        <w:t>z Analizą spełniania zasady „nie czyń poważnej szkody” (DNSH), w rozumieniu art. 17 rozporządzenia (UE) nr 2020/852 dla projektu dokumentu pn. Fundusze Europejskie na Infrastrukturę, Klimat, Środowisko 2021-2027</w:t>
      </w:r>
      <w:r w:rsidRPr="004752BD">
        <w:rPr>
          <w:rFonts w:ascii="Open Sans" w:hAnsi="Open Sans" w:cs="Open Sans"/>
        </w:rPr>
        <w:t>, dostępny</w:t>
      </w:r>
      <w:r w:rsidR="002624B9" w:rsidRPr="004752BD">
        <w:rPr>
          <w:rFonts w:ascii="Open Sans" w:hAnsi="Open Sans" w:cs="Open Sans"/>
        </w:rPr>
        <w:t>ch</w:t>
      </w:r>
      <w:r w:rsidRPr="004752BD">
        <w:rPr>
          <w:rFonts w:ascii="Open Sans" w:hAnsi="Open Sans" w:cs="Open Sans"/>
        </w:rPr>
        <w:t xml:space="preserve"> na stronach:</w:t>
      </w:r>
    </w:p>
    <w:p w14:paraId="2A22675E" w14:textId="77777777" w:rsidR="00D15A04" w:rsidRPr="004752BD" w:rsidRDefault="00400546" w:rsidP="00E22F5B">
      <w:pPr>
        <w:spacing w:line="288" w:lineRule="auto"/>
        <w:rPr>
          <w:rStyle w:val="Hipercze"/>
          <w:rFonts w:ascii="Open Sans" w:hAnsi="Open Sans" w:cs="Open Sans"/>
          <w:color w:val="auto"/>
        </w:rPr>
      </w:pPr>
      <w:hyperlink r:id="rId13" w:history="1">
        <w:r w:rsidRPr="004752BD">
          <w:rPr>
            <w:rStyle w:val="Hipercze"/>
            <w:rFonts w:ascii="Open Sans" w:hAnsi="Open Sans" w:cs="Open Sans"/>
            <w:color w:val="auto"/>
          </w:rPr>
          <w:t>https://www.gov.pl/web/planodbudowy/dnsh2</w:t>
        </w:r>
      </w:hyperlink>
      <w:r w:rsidR="0067036F" w:rsidRPr="004752BD">
        <w:rPr>
          <w:rStyle w:val="Hipercze"/>
          <w:rFonts w:ascii="Open Sans" w:hAnsi="Open Sans" w:cs="Open Sans"/>
          <w:color w:val="auto"/>
        </w:rPr>
        <w:t xml:space="preserve"> </w:t>
      </w:r>
    </w:p>
    <w:p w14:paraId="20C474C4" w14:textId="77777777" w:rsidR="002624B9" w:rsidRPr="004752BD" w:rsidRDefault="00D15A04" w:rsidP="00E22F5B">
      <w:pPr>
        <w:spacing w:line="288" w:lineRule="auto"/>
        <w:rPr>
          <w:rStyle w:val="Hipercze"/>
          <w:rFonts w:ascii="Open Sans" w:hAnsi="Open Sans" w:cs="Open Sans"/>
          <w:color w:val="auto"/>
          <w:u w:val="none"/>
        </w:rPr>
      </w:pPr>
      <w:r w:rsidRPr="004752BD">
        <w:rPr>
          <w:rStyle w:val="Hipercze"/>
          <w:rFonts w:ascii="Open Sans" w:hAnsi="Open Sans" w:cs="Open Sans"/>
          <w:color w:val="auto"/>
          <w:u w:val="none"/>
        </w:rPr>
        <w:t>oraz</w:t>
      </w:r>
    </w:p>
    <w:p w14:paraId="24CC2019" w14:textId="28FD7D8B" w:rsidR="00400546" w:rsidRPr="004752BD" w:rsidRDefault="0067036F" w:rsidP="00E22F5B">
      <w:pPr>
        <w:spacing w:line="288" w:lineRule="auto"/>
        <w:rPr>
          <w:rFonts w:ascii="Open Sans" w:hAnsi="Open Sans" w:cs="Open Sans"/>
        </w:rPr>
      </w:pPr>
      <w:r w:rsidRPr="004752BD">
        <w:rPr>
          <w:rStyle w:val="Hipercze"/>
          <w:rFonts w:ascii="Open Sans" w:hAnsi="Open Sans" w:cs="Open Sans"/>
          <w:color w:val="auto"/>
        </w:rPr>
        <w:t>https://www.pois.gov.pl/media/108045/ocena_DNSH_FEnIKS_2021-2027.pdf</w:t>
      </w:r>
    </w:p>
    <w:p w14:paraId="10F69C2D" w14:textId="01573117" w:rsidR="00BC04E1" w:rsidRDefault="00400546" w:rsidP="00E22F5B">
      <w:pPr>
        <w:spacing w:line="288" w:lineRule="auto"/>
        <w:rPr>
          <w:rFonts w:ascii="Open Sans" w:hAnsi="Open Sans" w:cs="Open Sans"/>
        </w:rPr>
      </w:pPr>
      <w:r w:rsidRPr="004752BD">
        <w:rPr>
          <w:rFonts w:ascii="Open Sans" w:hAnsi="Open Sans" w:cs="Open Sans"/>
        </w:rPr>
        <w:t xml:space="preserve">W oparciu o ogólne zapisy „Podręcznika Beneficjenta” NFOŚiGW zaleca, aby na jak najwcześniejszym etapie inwestycji (np. na etapie opracowywania dokumentacji </w:t>
      </w:r>
      <w:r w:rsidR="00F14941" w:rsidRPr="004752BD">
        <w:rPr>
          <w:rFonts w:ascii="Open Sans" w:hAnsi="Open Sans" w:cs="Open Sans"/>
        </w:rPr>
        <w:t xml:space="preserve">budowlanej, </w:t>
      </w:r>
      <w:r w:rsidRPr="004752BD">
        <w:rPr>
          <w:rFonts w:ascii="Open Sans" w:hAnsi="Open Sans" w:cs="Open Sans"/>
        </w:rPr>
        <w:t xml:space="preserve">technicznej, przetargowej, przedmiaru prac itp.) </w:t>
      </w:r>
      <w:r w:rsidR="00F14941" w:rsidRPr="004752BD">
        <w:rPr>
          <w:rFonts w:ascii="Open Sans" w:hAnsi="Open Sans" w:cs="Open Sans"/>
        </w:rPr>
        <w:t xml:space="preserve">przewidzieć i </w:t>
      </w:r>
      <w:r w:rsidRPr="004752BD">
        <w:rPr>
          <w:rFonts w:ascii="Open Sans" w:hAnsi="Open Sans" w:cs="Open Sans"/>
        </w:rPr>
        <w:t xml:space="preserve">zobowiązać ewentualnego przyszłego </w:t>
      </w:r>
      <w:r w:rsidR="001F5AED">
        <w:rPr>
          <w:rFonts w:ascii="Open Sans" w:hAnsi="Open Sans" w:cs="Open Sans"/>
        </w:rPr>
        <w:t>w</w:t>
      </w:r>
      <w:r w:rsidRPr="004752BD">
        <w:rPr>
          <w:rFonts w:ascii="Open Sans" w:hAnsi="Open Sans" w:cs="Open Sans"/>
        </w:rPr>
        <w:t>ykonawcę prac</w:t>
      </w:r>
      <w:r w:rsidR="009275F6">
        <w:rPr>
          <w:rFonts w:ascii="Open Sans" w:hAnsi="Open Sans" w:cs="Open Sans"/>
        </w:rPr>
        <w:t xml:space="preserve"> do</w:t>
      </w:r>
      <w:r w:rsidRPr="004752BD">
        <w:rPr>
          <w:rFonts w:ascii="Open Sans" w:hAnsi="Open Sans" w:cs="Open Sans"/>
        </w:rPr>
        <w:t xml:space="preserve"> realizacji Przedsięwzięcia zgodnie z</w:t>
      </w:r>
      <w:r w:rsidR="00A301B6">
        <w:rPr>
          <w:rFonts w:ascii="Open Sans" w:hAnsi="Open Sans" w:cs="Open Sans"/>
        </w:rPr>
        <w:t> </w:t>
      </w:r>
      <w:r w:rsidRPr="004752BD">
        <w:rPr>
          <w:rFonts w:ascii="Open Sans" w:hAnsi="Open Sans" w:cs="Open Sans"/>
        </w:rPr>
        <w:t>zasadami DNSH</w:t>
      </w:r>
      <w:r w:rsidR="00B7277F">
        <w:rPr>
          <w:rFonts w:ascii="Open Sans" w:hAnsi="Open Sans" w:cs="Open Sans"/>
        </w:rPr>
        <w:t xml:space="preserve">. Z poziomu każdej inwestycji </w:t>
      </w:r>
      <w:r w:rsidRPr="004752BD">
        <w:rPr>
          <w:rFonts w:ascii="Open Sans" w:hAnsi="Open Sans" w:cs="Open Sans"/>
        </w:rPr>
        <w:t>z uwzględnieniem</w:t>
      </w:r>
      <w:r w:rsidR="00F14941" w:rsidRPr="004752BD">
        <w:rPr>
          <w:rFonts w:ascii="Open Sans" w:hAnsi="Open Sans" w:cs="Open Sans"/>
        </w:rPr>
        <w:t xml:space="preserve"> wskazanego</w:t>
      </w:r>
      <w:r w:rsidRPr="004752BD">
        <w:rPr>
          <w:rFonts w:ascii="Open Sans" w:hAnsi="Open Sans" w:cs="Open Sans"/>
        </w:rPr>
        <w:t xml:space="preserve"> zakresu prac i </w:t>
      </w:r>
      <w:r w:rsidR="001F5AED">
        <w:rPr>
          <w:rFonts w:ascii="Open Sans" w:hAnsi="Open Sans" w:cs="Open Sans"/>
        </w:rPr>
        <w:t xml:space="preserve">jej </w:t>
      </w:r>
      <w:r w:rsidRPr="004752BD">
        <w:rPr>
          <w:rFonts w:ascii="Open Sans" w:hAnsi="Open Sans" w:cs="Open Sans"/>
        </w:rPr>
        <w:t>charakteru</w:t>
      </w:r>
      <w:r w:rsidR="001F5AED">
        <w:rPr>
          <w:rFonts w:ascii="Open Sans" w:hAnsi="Open Sans" w:cs="Open Sans"/>
        </w:rPr>
        <w:t xml:space="preserve"> należy</w:t>
      </w:r>
      <w:r w:rsidR="00B7277F">
        <w:rPr>
          <w:rFonts w:ascii="Open Sans" w:hAnsi="Open Sans" w:cs="Open Sans"/>
        </w:rPr>
        <w:t xml:space="preserve"> określić wykaz dokumentów</w:t>
      </w:r>
      <w:r w:rsidR="001F5AED">
        <w:rPr>
          <w:rFonts w:ascii="Open Sans" w:hAnsi="Open Sans" w:cs="Open Sans"/>
        </w:rPr>
        <w:t>,</w:t>
      </w:r>
      <w:r w:rsidR="00B7277F">
        <w:rPr>
          <w:rFonts w:ascii="Open Sans" w:hAnsi="Open Sans" w:cs="Open Sans"/>
        </w:rPr>
        <w:t xml:space="preserve"> będących przedmiotem okresowego raportowania (minimum raz na rok)</w:t>
      </w:r>
      <w:r w:rsidR="001F5AED">
        <w:rPr>
          <w:rFonts w:ascii="Open Sans" w:hAnsi="Open Sans" w:cs="Open Sans"/>
        </w:rPr>
        <w:t>,</w:t>
      </w:r>
      <w:r w:rsidR="00B7277F">
        <w:rPr>
          <w:rFonts w:ascii="Open Sans" w:hAnsi="Open Sans" w:cs="Open Sans"/>
        </w:rPr>
        <w:t xml:space="preserve"> </w:t>
      </w:r>
      <w:r w:rsidR="001F5AED">
        <w:rPr>
          <w:rFonts w:ascii="Open Sans" w:hAnsi="Open Sans" w:cs="Open Sans"/>
        </w:rPr>
        <w:t xml:space="preserve">weryfikacji </w:t>
      </w:r>
      <w:r w:rsidR="00B7277F">
        <w:rPr>
          <w:rFonts w:ascii="Open Sans" w:hAnsi="Open Sans" w:cs="Open Sans"/>
        </w:rPr>
        <w:t xml:space="preserve">i prowadzonego od </w:t>
      </w:r>
      <w:r w:rsidR="00BC04E1">
        <w:rPr>
          <w:rFonts w:ascii="Open Sans" w:hAnsi="Open Sans" w:cs="Open Sans"/>
        </w:rPr>
        <w:t>przygotowania</w:t>
      </w:r>
      <w:r w:rsidR="00B7277F">
        <w:rPr>
          <w:rFonts w:ascii="Open Sans" w:hAnsi="Open Sans" w:cs="Open Sans"/>
        </w:rPr>
        <w:t xml:space="preserve"> inwestycji</w:t>
      </w:r>
      <w:r w:rsidR="001F5AED">
        <w:rPr>
          <w:rFonts w:ascii="Open Sans" w:hAnsi="Open Sans" w:cs="Open Sans"/>
        </w:rPr>
        <w:t>,</w:t>
      </w:r>
      <w:r w:rsidR="00BC04E1">
        <w:rPr>
          <w:rFonts w:ascii="Open Sans" w:hAnsi="Open Sans" w:cs="Open Sans"/>
        </w:rPr>
        <w:t xml:space="preserve"> przez realizację,</w:t>
      </w:r>
      <w:r w:rsidR="00B7277F">
        <w:rPr>
          <w:rFonts w:ascii="Open Sans" w:hAnsi="Open Sans" w:cs="Open Sans"/>
        </w:rPr>
        <w:t xml:space="preserve"> aż do jej zakończenia</w:t>
      </w:r>
      <w:r w:rsidR="001F5AED">
        <w:rPr>
          <w:rFonts w:ascii="Open Sans" w:hAnsi="Open Sans" w:cs="Open Sans"/>
        </w:rPr>
        <w:t>. Wykaz proponowanych dokumentów jest wymagany d</w:t>
      </w:r>
      <w:r w:rsidR="00BC04E1">
        <w:rPr>
          <w:rFonts w:ascii="Open Sans" w:hAnsi="Open Sans" w:cs="Open Sans"/>
        </w:rPr>
        <w:t xml:space="preserve">la inwestycji współfinansowanych z </w:t>
      </w:r>
      <w:r w:rsidR="00BC04E1" w:rsidRPr="00BC04E1">
        <w:rPr>
          <w:rFonts w:ascii="Open Sans" w:hAnsi="Open Sans" w:cs="Open Sans"/>
        </w:rPr>
        <w:t>Programu Fundusze Europejskie na Infrastrukturę, Klimat,</w:t>
      </w:r>
      <w:r w:rsidR="00BC04E1">
        <w:rPr>
          <w:rFonts w:ascii="Open Sans" w:hAnsi="Open Sans" w:cs="Open Sans"/>
        </w:rPr>
        <w:t xml:space="preserve"> </w:t>
      </w:r>
      <w:r w:rsidR="00BC04E1" w:rsidRPr="00BC04E1">
        <w:rPr>
          <w:rFonts w:ascii="Open Sans" w:hAnsi="Open Sans" w:cs="Open Sans"/>
        </w:rPr>
        <w:t>Środowisko 2021-2027</w:t>
      </w:r>
      <w:r w:rsidRPr="004752BD">
        <w:rPr>
          <w:rFonts w:ascii="Open Sans" w:hAnsi="Open Sans" w:cs="Open Sans"/>
        </w:rPr>
        <w:t>.</w:t>
      </w:r>
    </w:p>
    <w:p w14:paraId="3226B6AF" w14:textId="0902E7E5" w:rsidR="00510D38" w:rsidRPr="004752BD" w:rsidRDefault="00400546" w:rsidP="00E22F5B">
      <w:pPr>
        <w:spacing w:line="288" w:lineRule="auto"/>
        <w:rPr>
          <w:rFonts w:ascii="Open Sans" w:hAnsi="Open Sans" w:cs="Open Sans"/>
        </w:rPr>
      </w:pPr>
      <w:r w:rsidRPr="004752BD">
        <w:rPr>
          <w:rFonts w:ascii="Open Sans" w:hAnsi="Open Sans" w:cs="Open Sans"/>
        </w:rPr>
        <w:t>NFOŚiGW zaleca</w:t>
      </w:r>
      <w:r w:rsidR="001F5AED">
        <w:rPr>
          <w:rFonts w:ascii="Open Sans" w:hAnsi="Open Sans" w:cs="Open Sans"/>
        </w:rPr>
        <w:t>,</w:t>
      </w:r>
      <w:r w:rsidRPr="004752BD">
        <w:rPr>
          <w:rFonts w:ascii="Open Sans" w:hAnsi="Open Sans" w:cs="Open Sans"/>
        </w:rPr>
        <w:t xml:space="preserve"> aby </w:t>
      </w:r>
      <w:r w:rsidR="00F14941" w:rsidRPr="004752BD">
        <w:rPr>
          <w:rFonts w:ascii="Open Sans" w:hAnsi="Open Sans" w:cs="Open Sans"/>
        </w:rPr>
        <w:t xml:space="preserve">dla inwestycji termomodernizacyjnych, </w:t>
      </w:r>
      <w:r w:rsidRPr="004752BD">
        <w:rPr>
          <w:rFonts w:ascii="Open Sans" w:hAnsi="Open Sans" w:cs="Open Sans"/>
        </w:rPr>
        <w:t xml:space="preserve">w sposób dopasowany do docelowego scenariusza realizacyjnego, </w:t>
      </w:r>
      <w:r w:rsidR="000E302C" w:rsidRPr="004752BD">
        <w:rPr>
          <w:rFonts w:ascii="Open Sans" w:hAnsi="Open Sans" w:cs="Open Sans"/>
        </w:rPr>
        <w:t>przyjęto do rozważenia przygotowanie</w:t>
      </w:r>
      <w:r w:rsidR="002624B9" w:rsidRPr="004752BD">
        <w:rPr>
          <w:rFonts w:ascii="Open Sans" w:hAnsi="Open Sans" w:cs="Open Sans"/>
        </w:rPr>
        <w:t xml:space="preserve"> </w:t>
      </w:r>
      <w:r w:rsidR="00B7277F">
        <w:rPr>
          <w:rFonts w:ascii="Open Sans" w:hAnsi="Open Sans" w:cs="Open Sans"/>
        </w:rPr>
        <w:t>i</w:t>
      </w:r>
      <w:r w:rsidR="00A301B6">
        <w:rPr>
          <w:rFonts w:ascii="Open Sans" w:hAnsi="Open Sans" w:cs="Open Sans"/>
        </w:rPr>
        <w:t> </w:t>
      </w:r>
      <w:r w:rsidR="00B7277F">
        <w:rPr>
          <w:rFonts w:ascii="Open Sans" w:hAnsi="Open Sans" w:cs="Open Sans"/>
        </w:rPr>
        <w:t>zobowiązanie projektantów/inspektorów nadzoru/wykonawców</w:t>
      </w:r>
      <w:r w:rsidR="001618A7">
        <w:rPr>
          <w:rFonts w:ascii="Open Sans" w:hAnsi="Open Sans" w:cs="Open Sans"/>
        </w:rPr>
        <w:t xml:space="preserve"> (w formule ESCO/EPC – firmy ESCO)</w:t>
      </w:r>
      <w:r w:rsidR="00B7277F">
        <w:rPr>
          <w:rFonts w:ascii="Open Sans" w:hAnsi="Open Sans" w:cs="Open Sans"/>
        </w:rPr>
        <w:t xml:space="preserve"> </w:t>
      </w:r>
      <w:r w:rsidR="001F5AED">
        <w:rPr>
          <w:rFonts w:ascii="Open Sans" w:hAnsi="Open Sans" w:cs="Open Sans"/>
        </w:rPr>
        <w:t>udokumentowania realizacji inwestycji zgodnie z zasadami DNSH na podstawie</w:t>
      </w:r>
      <w:r w:rsidR="00B7277F">
        <w:rPr>
          <w:rFonts w:ascii="Open Sans" w:hAnsi="Open Sans" w:cs="Open Sans"/>
        </w:rPr>
        <w:t xml:space="preserve"> </w:t>
      </w:r>
      <w:r w:rsidR="002624B9" w:rsidRPr="004752BD">
        <w:rPr>
          <w:rFonts w:ascii="Open Sans" w:hAnsi="Open Sans" w:cs="Open Sans"/>
        </w:rPr>
        <w:t>m.in.</w:t>
      </w:r>
      <w:r w:rsidR="00B7277F">
        <w:rPr>
          <w:rFonts w:ascii="Open Sans" w:hAnsi="Open Sans" w:cs="Open Sans"/>
        </w:rPr>
        <w:t xml:space="preserve"> poniższych dokumentów</w:t>
      </w:r>
      <w:r w:rsidRPr="004752BD">
        <w:rPr>
          <w:rFonts w:ascii="Open Sans" w:hAnsi="Open Sans" w:cs="Open Sans"/>
        </w:rPr>
        <w:t>:</w:t>
      </w:r>
    </w:p>
    <w:p w14:paraId="6FE0B725" w14:textId="1C1AE93E" w:rsidR="00510D38" w:rsidRPr="00E22F5B" w:rsidRDefault="00510D38" w:rsidP="00A63C98">
      <w:pPr>
        <w:pStyle w:val="Akapitzlist"/>
        <w:numPr>
          <w:ilvl w:val="1"/>
          <w:numId w:val="5"/>
        </w:numPr>
        <w:spacing w:line="288" w:lineRule="auto"/>
        <w:ind w:left="426"/>
        <w:rPr>
          <w:rFonts w:ascii="Open Sans" w:hAnsi="Open Sans" w:cs="Open Sans"/>
        </w:rPr>
      </w:pPr>
      <w:r w:rsidRPr="00E22F5B">
        <w:rPr>
          <w:rFonts w:ascii="Open Sans" w:hAnsi="Open Sans" w:cs="Open Sans"/>
          <w:b/>
          <w:bCs/>
        </w:rPr>
        <w:t>Sporządzenie wykazu odpadów</w:t>
      </w:r>
      <w:r w:rsidRPr="00E22F5B">
        <w:rPr>
          <w:rFonts w:ascii="Open Sans" w:hAnsi="Open Sans" w:cs="Open Sans"/>
        </w:rPr>
        <w:t>, które mogą powstać w związku z realizacją termomodernizacji budynku;</w:t>
      </w:r>
    </w:p>
    <w:p w14:paraId="1ADEF4F7" w14:textId="2417A701" w:rsidR="00510D38" w:rsidRPr="00E22F5B" w:rsidRDefault="00510D38" w:rsidP="00A63C98">
      <w:pPr>
        <w:pStyle w:val="Akapitzlist"/>
        <w:numPr>
          <w:ilvl w:val="1"/>
          <w:numId w:val="5"/>
        </w:numPr>
        <w:spacing w:line="288" w:lineRule="auto"/>
        <w:ind w:left="426"/>
        <w:rPr>
          <w:rFonts w:ascii="Open Sans" w:hAnsi="Open Sans" w:cs="Open Sans"/>
        </w:rPr>
      </w:pPr>
      <w:r w:rsidRPr="00E22F5B">
        <w:rPr>
          <w:rFonts w:ascii="Open Sans" w:hAnsi="Open Sans" w:cs="Open Sans"/>
          <w:b/>
          <w:bCs/>
        </w:rPr>
        <w:t xml:space="preserve">Przygotowanie audytu </w:t>
      </w:r>
      <w:proofErr w:type="spellStart"/>
      <w:r w:rsidRPr="00E22F5B">
        <w:rPr>
          <w:rFonts w:ascii="Open Sans" w:hAnsi="Open Sans" w:cs="Open Sans"/>
          <w:b/>
          <w:bCs/>
        </w:rPr>
        <w:t>przedrozbiórkowego</w:t>
      </w:r>
      <w:proofErr w:type="spellEnd"/>
      <w:r w:rsidRPr="00E22F5B">
        <w:rPr>
          <w:rFonts w:ascii="Open Sans" w:hAnsi="Open Sans" w:cs="Open Sans"/>
        </w:rPr>
        <w:t>, mającego na celu analizę jakościową i</w:t>
      </w:r>
      <w:r w:rsidR="00A301B6" w:rsidRPr="00E22F5B">
        <w:rPr>
          <w:rFonts w:ascii="Open Sans" w:hAnsi="Open Sans" w:cs="Open Sans"/>
        </w:rPr>
        <w:t> </w:t>
      </w:r>
      <w:r w:rsidRPr="00E22F5B">
        <w:rPr>
          <w:rFonts w:ascii="Open Sans" w:hAnsi="Open Sans" w:cs="Open Sans"/>
        </w:rPr>
        <w:t>ilościową strumieni odpadów oraz określenie możliwości ich zagospodarowania zgodnie z hierarchią postępowania z odpadami i Protokołem UE, dotyczącym gospodarowania odpadami z budowy i rozbiórki;</w:t>
      </w:r>
    </w:p>
    <w:p w14:paraId="76685835" w14:textId="42D29828" w:rsidR="00510D38" w:rsidRPr="00E22F5B" w:rsidRDefault="00510D38" w:rsidP="00A63C98">
      <w:pPr>
        <w:pStyle w:val="Akapitzlist"/>
        <w:numPr>
          <w:ilvl w:val="1"/>
          <w:numId w:val="5"/>
        </w:numPr>
        <w:spacing w:line="288" w:lineRule="auto"/>
        <w:ind w:left="426"/>
        <w:rPr>
          <w:rFonts w:ascii="Open Sans" w:hAnsi="Open Sans" w:cs="Open Sans"/>
        </w:rPr>
      </w:pPr>
      <w:r w:rsidRPr="00E22F5B">
        <w:rPr>
          <w:rFonts w:ascii="Open Sans" w:hAnsi="Open Sans" w:cs="Open Sans"/>
          <w:b/>
          <w:bCs/>
        </w:rPr>
        <w:lastRenderedPageBreak/>
        <w:t>Wszelkie działania mające na celu ograniczanie emisji hałasu, pyłu i innych substancji</w:t>
      </w:r>
      <w:r w:rsidRPr="00E22F5B">
        <w:rPr>
          <w:rFonts w:ascii="Open Sans" w:hAnsi="Open Sans" w:cs="Open Sans"/>
        </w:rPr>
        <w:t xml:space="preserve"> w trakcie robót budowlanych;</w:t>
      </w:r>
    </w:p>
    <w:p w14:paraId="5240A344" w14:textId="163DD013" w:rsidR="00510D38" w:rsidRPr="00E22F5B" w:rsidRDefault="00510D38" w:rsidP="00A63C98">
      <w:pPr>
        <w:pStyle w:val="Akapitzlist"/>
        <w:numPr>
          <w:ilvl w:val="1"/>
          <w:numId w:val="5"/>
        </w:numPr>
        <w:spacing w:line="288" w:lineRule="auto"/>
        <w:ind w:left="426"/>
        <w:rPr>
          <w:rFonts w:ascii="Open Sans" w:hAnsi="Open Sans" w:cs="Open Sans"/>
        </w:rPr>
      </w:pPr>
      <w:r w:rsidRPr="00E22F5B">
        <w:rPr>
          <w:rFonts w:ascii="Open Sans" w:hAnsi="Open Sans" w:cs="Open Sans"/>
          <w:b/>
          <w:bCs/>
        </w:rPr>
        <w:t>Stosowanie środków służących gospodarowaniu odpadów</w:t>
      </w:r>
      <w:r w:rsidRPr="00E22F5B">
        <w:rPr>
          <w:rFonts w:ascii="Open Sans" w:hAnsi="Open Sans" w:cs="Open Sans"/>
        </w:rPr>
        <w:t>, zgodnie z hierarchią postępowania z odpadami w celu maksymalizacji wskaźnika (wagowo) odpadów budowlanych i rozbiórkowych innych niż niebezpieczne (z wyłączeniem naturalnie występujących materiałów, o których mowa w kategorii 17 05 04 w europejskim wykazie odpadów ustanowionym decyzją 2000/532/WE) wytworzonych na placu budowy, możliwych do ponownego użycia, recyklingu i innego odzysku materiałów, uwzględniając lokalne możliwości w tym zakresie jak również rodzaj i charakter danego projektu;</w:t>
      </w:r>
    </w:p>
    <w:p w14:paraId="0E7E67CC" w14:textId="7F913737" w:rsidR="007B04A8" w:rsidRPr="00E22F5B" w:rsidRDefault="00400546" w:rsidP="00A63C98">
      <w:pPr>
        <w:pStyle w:val="Akapitzlist"/>
        <w:numPr>
          <w:ilvl w:val="1"/>
          <w:numId w:val="5"/>
        </w:numPr>
        <w:spacing w:line="288" w:lineRule="auto"/>
        <w:ind w:left="426"/>
        <w:rPr>
          <w:rFonts w:ascii="Open Sans" w:hAnsi="Open Sans" w:cs="Open Sans"/>
          <w:b/>
          <w:bCs/>
        </w:rPr>
      </w:pPr>
      <w:r w:rsidRPr="00E22F5B">
        <w:rPr>
          <w:rFonts w:ascii="Open Sans" w:hAnsi="Open Sans" w:cs="Open Sans"/>
          <w:b/>
          <w:bCs/>
        </w:rPr>
        <w:t>W</w:t>
      </w:r>
      <w:r w:rsidR="00510D38" w:rsidRPr="00E22F5B">
        <w:rPr>
          <w:rFonts w:ascii="Open Sans" w:hAnsi="Open Sans" w:cs="Open Sans"/>
          <w:b/>
          <w:bCs/>
        </w:rPr>
        <w:t>szelkie inne działania</w:t>
      </w:r>
      <w:r w:rsidR="00510D38" w:rsidRPr="00E22F5B">
        <w:rPr>
          <w:rFonts w:ascii="Open Sans" w:hAnsi="Open Sans" w:cs="Open Sans"/>
        </w:rPr>
        <w:t xml:space="preserve"> mające na celu realizację projektu zgodnie z zasadą DNSH</w:t>
      </w:r>
      <w:r w:rsidRPr="00E22F5B">
        <w:rPr>
          <w:rFonts w:ascii="Open Sans" w:hAnsi="Open Sans" w:cs="Open Sans"/>
        </w:rPr>
        <w:t>, które wynikają z zakresu rzeczowego realizacji przedsięwzięcia i sytuacji zastanej oraz przepisów polskiego prawa w tym zakresie</w:t>
      </w:r>
      <w:r w:rsidR="00510D38" w:rsidRPr="00E22F5B">
        <w:rPr>
          <w:rFonts w:ascii="Open Sans" w:hAnsi="Open Sans" w:cs="Open Sans"/>
          <w:b/>
          <w:bCs/>
        </w:rPr>
        <w:t>.</w:t>
      </w:r>
    </w:p>
    <w:p w14:paraId="19ECBCDA" w14:textId="5822031C" w:rsidR="00134033" w:rsidRPr="004752BD" w:rsidRDefault="00134033" w:rsidP="00E22F5B">
      <w:pPr>
        <w:spacing w:line="288" w:lineRule="auto"/>
        <w:rPr>
          <w:rFonts w:ascii="Open Sans" w:hAnsi="Open Sans" w:cs="Open Sans"/>
          <w:b/>
          <w:bCs/>
        </w:rPr>
      </w:pPr>
      <w:r w:rsidRPr="004752BD">
        <w:rPr>
          <w:rFonts w:ascii="Open Sans" w:hAnsi="Open Sans" w:cs="Open Sans"/>
          <w:b/>
          <w:bCs/>
        </w:rPr>
        <w:t>Koszty związane z realizacją projektu zgodnie z zasadą DNSH zalicza się do kosztów kwalifikowanych.</w:t>
      </w:r>
    </w:p>
    <w:p w14:paraId="260A4C82" w14:textId="082F1E95" w:rsidR="000E302C" w:rsidRPr="004752BD" w:rsidRDefault="00400546" w:rsidP="00E22F5B">
      <w:pPr>
        <w:spacing w:line="288" w:lineRule="auto"/>
        <w:rPr>
          <w:rFonts w:ascii="Open Sans" w:hAnsi="Open Sans" w:cs="Open Sans"/>
          <w:i/>
          <w:iCs/>
        </w:rPr>
      </w:pPr>
      <w:r w:rsidRPr="004752BD">
        <w:rPr>
          <w:rFonts w:ascii="Open Sans" w:hAnsi="Open Sans" w:cs="Open Sans"/>
          <w:i/>
          <w:iCs/>
        </w:rPr>
        <w:t>Zwracamy uwagę</w:t>
      </w:r>
      <w:r w:rsidR="000E302C" w:rsidRPr="004752BD">
        <w:rPr>
          <w:rFonts w:ascii="Open Sans" w:hAnsi="Open Sans" w:cs="Open Sans"/>
          <w:i/>
          <w:iCs/>
        </w:rPr>
        <w:t>,</w:t>
      </w:r>
      <w:r w:rsidRPr="004752BD">
        <w:rPr>
          <w:rFonts w:ascii="Open Sans" w:hAnsi="Open Sans" w:cs="Open Sans"/>
          <w:i/>
          <w:iCs/>
        </w:rPr>
        <w:t xml:space="preserve"> że na etapie realizacji projektu, od przygotowania inwestycji, aż po jej rozliczenie, zasady wdrażania zasad DNSH, będą monitorowane i weryfikowane</w:t>
      </w:r>
      <w:r w:rsidR="000E302C" w:rsidRPr="004752BD">
        <w:rPr>
          <w:rFonts w:ascii="Open Sans" w:hAnsi="Open Sans" w:cs="Open Sans"/>
          <w:i/>
          <w:iCs/>
        </w:rPr>
        <w:t>.</w:t>
      </w:r>
      <w:r w:rsidR="002524B4" w:rsidRPr="004752BD">
        <w:rPr>
          <w:rFonts w:ascii="Open Sans" w:hAnsi="Open Sans" w:cs="Open Sans"/>
          <w:i/>
          <w:iCs/>
        </w:rPr>
        <w:t xml:space="preserve"> </w:t>
      </w:r>
      <w:r w:rsidR="00BC04E1">
        <w:rPr>
          <w:rFonts w:ascii="Open Sans" w:hAnsi="Open Sans" w:cs="Open Sans"/>
          <w:i/>
          <w:iCs/>
        </w:rPr>
        <w:t>Na</w:t>
      </w:r>
      <w:r w:rsidR="000E302C" w:rsidRPr="004752BD">
        <w:rPr>
          <w:rFonts w:ascii="Open Sans" w:hAnsi="Open Sans" w:cs="Open Sans"/>
          <w:i/>
          <w:iCs/>
        </w:rPr>
        <w:t xml:space="preserve"> etapie przygotowania przedsięwzięcia,</w:t>
      </w:r>
      <w:r w:rsidR="00BC04E1">
        <w:rPr>
          <w:rFonts w:ascii="Open Sans" w:hAnsi="Open Sans" w:cs="Open Sans"/>
          <w:i/>
          <w:iCs/>
        </w:rPr>
        <w:t xml:space="preserve"> realizacji</w:t>
      </w:r>
      <w:r w:rsidR="000E302C" w:rsidRPr="004752BD">
        <w:rPr>
          <w:rFonts w:ascii="Open Sans" w:hAnsi="Open Sans" w:cs="Open Sans"/>
          <w:i/>
          <w:iCs/>
        </w:rPr>
        <w:t xml:space="preserve"> oraz na etapie rozliczenia przedsięwzięcia, niezbędne będzie wykonanie „Raportu</w:t>
      </w:r>
      <w:r w:rsidR="002524B4" w:rsidRPr="004752BD">
        <w:rPr>
          <w:rFonts w:ascii="Open Sans" w:hAnsi="Open Sans" w:cs="Open Sans"/>
          <w:i/>
          <w:iCs/>
        </w:rPr>
        <w:t xml:space="preserve"> Otwarcia/</w:t>
      </w:r>
      <w:r w:rsidR="00BC04E1">
        <w:rPr>
          <w:rFonts w:ascii="Open Sans" w:hAnsi="Open Sans" w:cs="Open Sans"/>
          <w:i/>
          <w:iCs/>
        </w:rPr>
        <w:t>Raportów Okresowych (min</w:t>
      </w:r>
      <w:r w:rsidR="00AD4709">
        <w:rPr>
          <w:rFonts w:ascii="Open Sans" w:hAnsi="Open Sans" w:cs="Open Sans"/>
          <w:i/>
          <w:iCs/>
        </w:rPr>
        <w:t>imum</w:t>
      </w:r>
      <w:r w:rsidR="00BC04E1">
        <w:rPr>
          <w:rFonts w:ascii="Open Sans" w:hAnsi="Open Sans" w:cs="Open Sans"/>
          <w:i/>
          <w:iCs/>
        </w:rPr>
        <w:t xml:space="preserve"> raz na rok)/</w:t>
      </w:r>
      <w:r w:rsidR="002524B4" w:rsidRPr="004752BD">
        <w:rPr>
          <w:rFonts w:ascii="Open Sans" w:hAnsi="Open Sans" w:cs="Open Sans"/>
          <w:i/>
          <w:iCs/>
        </w:rPr>
        <w:t>Raportu Końcowego</w:t>
      </w:r>
      <w:r w:rsidR="000E302C" w:rsidRPr="004752BD">
        <w:rPr>
          <w:rFonts w:ascii="Open Sans" w:hAnsi="Open Sans" w:cs="Open Sans"/>
          <w:i/>
          <w:iCs/>
        </w:rPr>
        <w:t>”</w:t>
      </w:r>
      <w:r w:rsidR="002524B4" w:rsidRPr="004752BD">
        <w:rPr>
          <w:rFonts w:ascii="Open Sans" w:hAnsi="Open Sans" w:cs="Open Sans"/>
          <w:i/>
          <w:iCs/>
        </w:rPr>
        <w:t xml:space="preserve"> opisującego</w:t>
      </w:r>
      <w:r w:rsidR="00BC04E1">
        <w:rPr>
          <w:rFonts w:ascii="Open Sans" w:hAnsi="Open Sans" w:cs="Open Sans"/>
          <w:i/>
          <w:iCs/>
        </w:rPr>
        <w:t xml:space="preserve"> </w:t>
      </w:r>
      <w:r w:rsidR="002524B4" w:rsidRPr="004752BD">
        <w:rPr>
          <w:rFonts w:ascii="Open Sans" w:hAnsi="Open Sans" w:cs="Open Sans"/>
          <w:i/>
          <w:iCs/>
        </w:rPr>
        <w:t>sposób planowania, wdrażania, realizacji, monitorowania i</w:t>
      </w:r>
      <w:r w:rsidR="00A301B6">
        <w:rPr>
          <w:rFonts w:ascii="Open Sans" w:hAnsi="Open Sans" w:cs="Open Sans"/>
          <w:i/>
          <w:iCs/>
        </w:rPr>
        <w:t> </w:t>
      </w:r>
      <w:r w:rsidR="002524B4" w:rsidRPr="004752BD">
        <w:rPr>
          <w:rFonts w:ascii="Open Sans" w:hAnsi="Open Sans" w:cs="Open Sans"/>
          <w:i/>
          <w:iCs/>
        </w:rPr>
        <w:t>rozliczania inwestycji zgodnie z duchem zasad DNSH</w:t>
      </w:r>
      <w:r w:rsidR="00BC04E1">
        <w:rPr>
          <w:rFonts w:ascii="Open Sans" w:hAnsi="Open Sans" w:cs="Open Sans"/>
          <w:i/>
          <w:iCs/>
        </w:rPr>
        <w:t xml:space="preserve"> wraz z wykazem dokumentów to potwierdzających</w:t>
      </w:r>
      <w:r w:rsidR="002524B4" w:rsidRPr="004752BD">
        <w:rPr>
          <w:rFonts w:ascii="Open Sans" w:hAnsi="Open Sans" w:cs="Open Sans"/>
          <w:i/>
          <w:iCs/>
        </w:rPr>
        <w:t>.</w:t>
      </w:r>
      <w:r w:rsidR="00D21279" w:rsidRPr="004752BD">
        <w:rPr>
          <w:rFonts w:ascii="Open Sans" w:hAnsi="Open Sans" w:cs="Open Sans"/>
          <w:i/>
          <w:iCs/>
        </w:rPr>
        <w:t xml:space="preserve"> </w:t>
      </w:r>
    </w:p>
    <w:p w14:paraId="549145DA" w14:textId="7249070B" w:rsidR="00400546" w:rsidRPr="004752BD" w:rsidRDefault="00400546" w:rsidP="00E22F5B">
      <w:pPr>
        <w:spacing w:line="288" w:lineRule="auto"/>
        <w:rPr>
          <w:rFonts w:ascii="Open Sans" w:hAnsi="Open Sans" w:cs="Open Sans"/>
        </w:rPr>
      </w:pPr>
      <w:r w:rsidRPr="004752BD">
        <w:rPr>
          <w:rFonts w:ascii="Open Sans" w:hAnsi="Open Sans" w:cs="Open Sans"/>
        </w:rPr>
        <w:br w:type="page"/>
      </w:r>
    </w:p>
    <w:p w14:paraId="451175EE" w14:textId="75E5360C" w:rsidR="007B04A8" w:rsidRPr="004752BD" w:rsidRDefault="00FB510B" w:rsidP="007D5E97">
      <w:pPr>
        <w:pBdr>
          <w:top w:val="single" w:sz="4" w:space="1" w:color="auto"/>
          <w:left w:val="single" w:sz="4" w:space="4" w:color="auto"/>
          <w:bottom w:val="single" w:sz="4" w:space="1" w:color="auto"/>
          <w:right w:val="single" w:sz="4" w:space="4" w:color="auto"/>
        </w:pBdr>
        <w:spacing w:line="288" w:lineRule="auto"/>
        <w:rPr>
          <w:rFonts w:ascii="Open Sans" w:hAnsi="Open Sans" w:cs="Open Sans"/>
          <w:b/>
          <w:bCs/>
        </w:rPr>
      </w:pPr>
      <w:r>
        <w:rPr>
          <w:rFonts w:ascii="Open Sans" w:hAnsi="Open Sans" w:cs="Open Sans"/>
          <w:b/>
          <w:bCs/>
        </w:rPr>
        <w:lastRenderedPageBreak/>
        <w:t xml:space="preserve">VI. </w:t>
      </w:r>
      <w:r w:rsidR="007B04A8" w:rsidRPr="004752BD">
        <w:rPr>
          <w:rFonts w:ascii="Open Sans" w:hAnsi="Open Sans" w:cs="Open Sans"/>
          <w:b/>
          <w:bCs/>
        </w:rPr>
        <w:t>Realizowany zakres rzeczowy nie wynikający z audytu energetycznego (nie więcej niż 15% kosztów kwalifikowanych projektu).</w:t>
      </w:r>
    </w:p>
    <w:p w14:paraId="49E61256" w14:textId="2FD6B39B" w:rsidR="007B04A8" w:rsidRPr="004752BD" w:rsidRDefault="007B04A8" w:rsidP="007D5E97">
      <w:pPr>
        <w:spacing w:line="288" w:lineRule="auto"/>
        <w:rPr>
          <w:rFonts w:ascii="Open Sans" w:hAnsi="Open Sans" w:cs="Open Sans"/>
        </w:rPr>
      </w:pPr>
      <w:r w:rsidRPr="004752BD">
        <w:rPr>
          <w:rFonts w:ascii="Open Sans" w:hAnsi="Open Sans" w:cs="Open Sans"/>
        </w:rPr>
        <w:t>Wsparcie elementów wykraczających poza audyt energetyczny (do wysokości 15% kosztów kwalifikowalnych projektu).</w:t>
      </w:r>
      <w:r w:rsidR="00C251E7">
        <w:rPr>
          <w:rFonts w:ascii="Open Sans" w:hAnsi="Open Sans" w:cs="Open Sans"/>
        </w:rPr>
        <w:t xml:space="preserve"> </w:t>
      </w:r>
      <w:r w:rsidRPr="004752BD">
        <w:rPr>
          <w:rFonts w:ascii="Open Sans" w:hAnsi="Open Sans" w:cs="Open Sans"/>
        </w:rPr>
        <w:t>Wspierane mogą być uzasadnione elementy niewynikające z audytów energetycznych, jeżeli realizują szersze cele Europejskiego Zielonego Ładu, w tym strategii na rzecz Fali renowacji, takich jak:</w:t>
      </w:r>
    </w:p>
    <w:p w14:paraId="1A5A5625" w14:textId="11D413F8" w:rsidR="007B04A8" w:rsidRPr="007D5E97" w:rsidRDefault="00DE3134" w:rsidP="00A63C98">
      <w:pPr>
        <w:pStyle w:val="Akapitzlist"/>
        <w:numPr>
          <w:ilvl w:val="0"/>
          <w:numId w:val="20"/>
        </w:numPr>
        <w:spacing w:line="288" w:lineRule="auto"/>
        <w:ind w:left="426"/>
        <w:rPr>
          <w:rFonts w:ascii="Open Sans" w:hAnsi="Open Sans" w:cs="Open Sans"/>
        </w:rPr>
      </w:pPr>
      <w:r w:rsidRPr="007D5E97">
        <w:rPr>
          <w:rFonts w:ascii="Open Sans" w:hAnsi="Open Sans" w:cs="Open Sans"/>
          <w:b/>
          <w:bCs/>
        </w:rPr>
        <w:t>R</w:t>
      </w:r>
      <w:r w:rsidR="007B04A8" w:rsidRPr="007D5E97">
        <w:rPr>
          <w:rFonts w:ascii="Open Sans" w:hAnsi="Open Sans" w:cs="Open Sans"/>
          <w:b/>
          <w:bCs/>
        </w:rPr>
        <w:t>ozwiązania przyczyniające się do zwiększenia powierzchni zielonych</w:t>
      </w:r>
      <w:r w:rsidR="00353CE4" w:rsidRPr="007D5E97">
        <w:rPr>
          <w:rFonts w:ascii="Open Sans" w:hAnsi="Open Sans" w:cs="Open Sans"/>
          <w:b/>
          <w:bCs/>
        </w:rPr>
        <w:t>,</w:t>
      </w:r>
      <w:r w:rsidR="007B04A8" w:rsidRPr="007D5E97">
        <w:rPr>
          <w:rFonts w:ascii="Open Sans" w:hAnsi="Open Sans" w:cs="Open Sans"/>
        </w:rPr>
        <w:t xml:space="preserve"> </w:t>
      </w:r>
      <w:r w:rsidR="00C251E7" w:rsidRPr="007D5E97">
        <w:rPr>
          <w:rFonts w:ascii="Open Sans" w:hAnsi="Open Sans" w:cs="Open Sans"/>
        </w:rPr>
        <w:br/>
      </w:r>
      <w:r w:rsidR="007B04A8" w:rsidRPr="007D5E97">
        <w:rPr>
          <w:rFonts w:ascii="Open Sans" w:hAnsi="Open Sans" w:cs="Open Sans"/>
        </w:rPr>
        <w:t>(</w:t>
      </w:r>
      <w:r w:rsidR="00353CE4" w:rsidRPr="007D5E97">
        <w:rPr>
          <w:rFonts w:ascii="Open Sans" w:hAnsi="Open Sans" w:cs="Open Sans"/>
        </w:rPr>
        <w:t xml:space="preserve">np.: </w:t>
      </w:r>
      <w:r w:rsidR="007B04A8" w:rsidRPr="007D5E97">
        <w:rPr>
          <w:rFonts w:ascii="Open Sans" w:hAnsi="Open Sans" w:cs="Open Sans"/>
        </w:rPr>
        <w:t>zielone dachy, ściany</w:t>
      </w:r>
      <w:r w:rsidR="00353CE4" w:rsidRPr="007D5E97">
        <w:rPr>
          <w:rFonts w:ascii="Open Sans" w:hAnsi="Open Sans" w:cs="Open Sans"/>
        </w:rPr>
        <w:t xml:space="preserve">, </w:t>
      </w:r>
      <w:proofErr w:type="spellStart"/>
      <w:r w:rsidR="00353CE4" w:rsidRPr="007D5E97">
        <w:rPr>
          <w:rFonts w:ascii="Open Sans" w:hAnsi="Open Sans" w:cs="Open Sans"/>
        </w:rPr>
        <w:t>debetonizacja</w:t>
      </w:r>
      <w:proofErr w:type="spellEnd"/>
      <w:r w:rsidR="00353CE4" w:rsidRPr="007D5E97">
        <w:rPr>
          <w:rFonts w:ascii="Open Sans" w:hAnsi="Open Sans" w:cs="Open Sans"/>
        </w:rPr>
        <w:t xml:space="preserve"> terenu wokół budynku</w:t>
      </w:r>
      <w:r w:rsidR="007B04A8" w:rsidRPr="007D5E97">
        <w:rPr>
          <w:rFonts w:ascii="Open Sans" w:hAnsi="Open Sans" w:cs="Open Sans"/>
        </w:rPr>
        <w:t>)</w:t>
      </w:r>
      <w:r w:rsidR="00353CE4" w:rsidRPr="007D5E97">
        <w:rPr>
          <w:rFonts w:ascii="Open Sans" w:hAnsi="Open Sans" w:cs="Open Sans"/>
        </w:rPr>
        <w:t>;</w:t>
      </w:r>
    </w:p>
    <w:p w14:paraId="16A7884F" w14:textId="2A336712" w:rsidR="007B04A8" w:rsidRPr="007D5E97" w:rsidRDefault="00DE3134" w:rsidP="00A63C98">
      <w:pPr>
        <w:pStyle w:val="Akapitzlist"/>
        <w:numPr>
          <w:ilvl w:val="0"/>
          <w:numId w:val="20"/>
        </w:numPr>
        <w:spacing w:line="288" w:lineRule="auto"/>
        <w:ind w:left="426"/>
        <w:rPr>
          <w:rFonts w:ascii="Open Sans" w:hAnsi="Open Sans" w:cs="Open Sans"/>
        </w:rPr>
      </w:pPr>
      <w:r w:rsidRPr="007D5E97">
        <w:rPr>
          <w:rFonts w:ascii="Open Sans" w:hAnsi="Open Sans" w:cs="Open Sans"/>
          <w:b/>
          <w:bCs/>
        </w:rPr>
        <w:t>R</w:t>
      </w:r>
      <w:r w:rsidR="007B04A8" w:rsidRPr="007D5E97">
        <w:rPr>
          <w:rFonts w:ascii="Open Sans" w:hAnsi="Open Sans" w:cs="Open Sans"/>
          <w:b/>
          <w:bCs/>
        </w:rPr>
        <w:t xml:space="preserve">ozwój </w:t>
      </w:r>
      <w:proofErr w:type="spellStart"/>
      <w:r w:rsidR="007B04A8" w:rsidRPr="007D5E97">
        <w:rPr>
          <w:rFonts w:ascii="Open Sans" w:hAnsi="Open Sans" w:cs="Open Sans"/>
          <w:b/>
          <w:bCs/>
        </w:rPr>
        <w:t>elektromobilności</w:t>
      </w:r>
      <w:proofErr w:type="spellEnd"/>
      <w:r w:rsidR="007B04A8" w:rsidRPr="007D5E97">
        <w:rPr>
          <w:rFonts w:ascii="Open Sans" w:hAnsi="Open Sans" w:cs="Open Sans"/>
        </w:rPr>
        <w:t xml:space="preserve">, np.: punkty ładowania, dostosowanie wewnętrznych </w:t>
      </w:r>
      <w:r w:rsidR="00C251E7" w:rsidRPr="007D5E97">
        <w:rPr>
          <w:rFonts w:ascii="Open Sans" w:hAnsi="Open Sans" w:cs="Open Sans"/>
        </w:rPr>
        <w:br/>
      </w:r>
      <w:r w:rsidR="007B04A8" w:rsidRPr="007D5E97">
        <w:rPr>
          <w:rFonts w:ascii="Open Sans" w:hAnsi="Open Sans" w:cs="Open Sans"/>
        </w:rPr>
        <w:t xml:space="preserve">i zewnętrznych stanowisk postojowych w celu zapewnienia mocy przyłączeniowej pozwalającej wyposażyć te stanowiska w punkty ładowania o mocy nie mniejszej niż </w:t>
      </w:r>
      <w:r w:rsidR="00C251E7" w:rsidRPr="007D5E97">
        <w:rPr>
          <w:rFonts w:ascii="Open Sans" w:hAnsi="Open Sans" w:cs="Open Sans"/>
        </w:rPr>
        <w:br/>
      </w:r>
      <w:r w:rsidR="007B04A8" w:rsidRPr="007D5E97">
        <w:rPr>
          <w:rFonts w:ascii="Open Sans" w:hAnsi="Open Sans" w:cs="Open Sans"/>
        </w:rPr>
        <w:t>3,7 kW itp.</w:t>
      </w:r>
      <w:r w:rsidR="00353CE4" w:rsidRPr="007D5E97">
        <w:rPr>
          <w:rFonts w:ascii="Open Sans" w:hAnsi="Open Sans" w:cs="Open Sans"/>
        </w:rPr>
        <w:t>;</w:t>
      </w:r>
    </w:p>
    <w:p w14:paraId="34250163" w14:textId="762C0067" w:rsidR="007B04A8" w:rsidRPr="007D5E97" w:rsidRDefault="00DE3134" w:rsidP="00A63C98">
      <w:pPr>
        <w:pStyle w:val="Akapitzlist"/>
        <w:numPr>
          <w:ilvl w:val="0"/>
          <w:numId w:val="20"/>
        </w:numPr>
        <w:spacing w:line="288" w:lineRule="auto"/>
        <w:ind w:left="426"/>
        <w:rPr>
          <w:rFonts w:ascii="Open Sans" w:hAnsi="Open Sans" w:cs="Open Sans"/>
        </w:rPr>
      </w:pPr>
      <w:r w:rsidRPr="007D5E97">
        <w:rPr>
          <w:rFonts w:ascii="Open Sans" w:hAnsi="Open Sans" w:cs="Open Sans"/>
          <w:b/>
          <w:bCs/>
        </w:rPr>
        <w:t>R</w:t>
      </w:r>
      <w:r w:rsidR="007B04A8" w:rsidRPr="007D5E97">
        <w:rPr>
          <w:rFonts w:ascii="Open Sans" w:hAnsi="Open Sans" w:cs="Open Sans"/>
          <w:b/>
          <w:bCs/>
        </w:rPr>
        <w:t>ozwiązania na rzecz gospodarki o obiegu zamkniętym</w:t>
      </w:r>
      <w:r w:rsidR="007B04A8" w:rsidRPr="007D5E97">
        <w:rPr>
          <w:rFonts w:ascii="Open Sans" w:hAnsi="Open Sans" w:cs="Open Sans"/>
        </w:rPr>
        <w:t>, np.: rozwiązania mające na celu minimalizowanie wytwarzania odpadów, zapobieganie ich powstawaniu oraz ponowne ich użycie, rozwiązania mające na celu wykorzystanie potencjału wody deszczowej itp.,</w:t>
      </w:r>
    </w:p>
    <w:p w14:paraId="0AB2FFC5" w14:textId="0360BFDE" w:rsidR="007B04A8" w:rsidRPr="007D5E97" w:rsidRDefault="00353CE4" w:rsidP="00A63C98">
      <w:pPr>
        <w:pStyle w:val="Akapitzlist"/>
        <w:numPr>
          <w:ilvl w:val="0"/>
          <w:numId w:val="20"/>
        </w:numPr>
        <w:spacing w:line="288" w:lineRule="auto"/>
        <w:ind w:left="426"/>
        <w:rPr>
          <w:rFonts w:ascii="Open Sans" w:hAnsi="Open Sans" w:cs="Open Sans"/>
        </w:rPr>
      </w:pPr>
      <w:r w:rsidRPr="007D5E97">
        <w:rPr>
          <w:rFonts w:ascii="Open Sans" w:hAnsi="Open Sans" w:cs="Open Sans"/>
          <w:b/>
          <w:bCs/>
        </w:rPr>
        <w:t>I</w:t>
      </w:r>
      <w:r w:rsidR="007B04A8" w:rsidRPr="007D5E97">
        <w:rPr>
          <w:rFonts w:ascii="Open Sans" w:hAnsi="Open Sans" w:cs="Open Sans"/>
          <w:b/>
          <w:bCs/>
        </w:rPr>
        <w:t>nfrastruktura związana z dostępnością</w:t>
      </w:r>
      <w:r w:rsidR="007B04A8" w:rsidRPr="007D5E97">
        <w:rPr>
          <w:rFonts w:ascii="Open Sans" w:hAnsi="Open Sans" w:cs="Open Sans"/>
        </w:rPr>
        <w:t xml:space="preserve">, </w:t>
      </w:r>
      <w:r w:rsidRPr="007D5E97">
        <w:rPr>
          <w:rFonts w:ascii="Open Sans" w:hAnsi="Open Sans" w:cs="Open Sans"/>
        </w:rPr>
        <w:t>np.: prace związane z zapewnieniem osobom niepełnosprawnym dostępu do budynku (wykonanie pochylni, podjazdu lub zainstalowanie urządzeń technicznych zapewniających osobom niepełnosprawnym dostęp do budynku i na kondygnacje z pomieszczeniami użytkowymi, w tym montaż nowych wind energooszczędnych itp.);</w:t>
      </w:r>
    </w:p>
    <w:p w14:paraId="100AE304" w14:textId="05F16AF8" w:rsidR="007B04A8" w:rsidRPr="007D5E97" w:rsidRDefault="00DE3134" w:rsidP="00A63C98">
      <w:pPr>
        <w:pStyle w:val="Akapitzlist"/>
        <w:numPr>
          <w:ilvl w:val="0"/>
          <w:numId w:val="20"/>
        </w:numPr>
        <w:spacing w:line="288" w:lineRule="auto"/>
        <w:ind w:left="426"/>
        <w:rPr>
          <w:rFonts w:ascii="Open Sans" w:hAnsi="Open Sans" w:cs="Open Sans"/>
        </w:rPr>
      </w:pPr>
      <w:r w:rsidRPr="007D5E97">
        <w:rPr>
          <w:rFonts w:ascii="Open Sans" w:hAnsi="Open Sans" w:cs="Open Sans"/>
          <w:b/>
          <w:bCs/>
        </w:rPr>
        <w:t>M</w:t>
      </w:r>
      <w:r w:rsidR="007B04A8" w:rsidRPr="007D5E97">
        <w:rPr>
          <w:rFonts w:ascii="Open Sans" w:hAnsi="Open Sans" w:cs="Open Sans"/>
          <w:b/>
          <w:bCs/>
        </w:rPr>
        <w:t>ontaż urządzeń do magazynowania energii</w:t>
      </w:r>
      <w:r w:rsidR="00353CE4" w:rsidRPr="007D5E97">
        <w:rPr>
          <w:rFonts w:ascii="Open Sans" w:hAnsi="Open Sans" w:cs="Open Sans"/>
        </w:rPr>
        <w:t>;</w:t>
      </w:r>
    </w:p>
    <w:p w14:paraId="0CB3B7A5" w14:textId="7B68FBDA" w:rsidR="007B04A8" w:rsidRPr="007D5E97" w:rsidRDefault="00DE3134" w:rsidP="00A63C98">
      <w:pPr>
        <w:pStyle w:val="Akapitzlist"/>
        <w:numPr>
          <w:ilvl w:val="0"/>
          <w:numId w:val="20"/>
        </w:numPr>
        <w:spacing w:line="288" w:lineRule="auto"/>
        <w:ind w:left="426"/>
        <w:rPr>
          <w:rFonts w:ascii="Open Sans" w:hAnsi="Open Sans" w:cs="Open Sans"/>
        </w:rPr>
      </w:pPr>
      <w:r w:rsidRPr="007D5E97">
        <w:rPr>
          <w:rFonts w:ascii="Open Sans" w:hAnsi="Open Sans" w:cs="Open Sans"/>
          <w:b/>
          <w:bCs/>
        </w:rPr>
        <w:t>M</w:t>
      </w:r>
      <w:r w:rsidR="007B04A8" w:rsidRPr="007D5E97">
        <w:rPr>
          <w:rFonts w:ascii="Open Sans" w:hAnsi="Open Sans" w:cs="Open Sans"/>
          <w:b/>
          <w:bCs/>
        </w:rPr>
        <w:t>ontaż urządzeń służących cyfryzacji budynku,</w:t>
      </w:r>
      <w:r w:rsidR="007B04A8" w:rsidRPr="007D5E97">
        <w:rPr>
          <w:rFonts w:ascii="Open Sans" w:hAnsi="Open Sans" w:cs="Open Sans"/>
        </w:rPr>
        <w:t xml:space="preserve"> </w:t>
      </w:r>
      <w:r w:rsidR="00D21279" w:rsidRPr="007D5E97">
        <w:rPr>
          <w:rFonts w:ascii="Open Sans" w:hAnsi="Open Sans" w:cs="Open Sans"/>
        </w:rPr>
        <w:t>np.: systemy audiowizualne, oświetleniowe, sygnalizacji pożaru, sygnalizacji włamania i napadu, kontroli dostępu, telewizji dozorowej, nagłaśniania ewakuacyjnego, sterowania i kontroli instalacji klimatyzacji, wentylacji i ogrzewania, teleinformatyczne, zasilania głównego i awaryjnego;</w:t>
      </w:r>
    </w:p>
    <w:p w14:paraId="6598E857" w14:textId="5DBA24BB" w:rsidR="007B04A8" w:rsidRPr="007D5E97" w:rsidRDefault="008C57A1" w:rsidP="00A63C98">
      <w:pPr>
        <w:pStyle w:val="Akapitzlist"/>
        <w:numPr>
          <w:ilvl w:val="0"/>
          <w:numId w:val="20"/>
        </w:numPr>
        <w:spacing w:after="360" w:line="288" w:lineRule="auto"/>
        <w:ind w:left="426" w:hanging="357"/>
        <w:contextualSpacing w:val="0"/>
        <w:rPr>
          <w:rFonts w:ascii="Open Sans" w:hAnsi="Open Sans" w:cs="Open Sans"/>
        </w:rPr>
      </w:pPr>
      <w:r w:rsidRPr="007D5E97">
        <w:rPr>
          <w:rFonts w:ascii="Open Sans" w:hAnsi="Open Sans" w:cs="Open Sans"/>
          <w:b/>
          <w:bCs/>
        </w:rPr>
        <w:t>D</w:t>
      </w:r>
      <w:r w:rsidR="00280D47" w:rsidRPr="007D5E97">
        <w:rPr>
          <w:rFonts w:ascii="Open Sans" w:hAnsi="Open Sans" w:cs="Open Sans"/>
          <w:b/>
          <w:bCs/>
        </w:rPr>
        <w:t>ziałania dostosowawcze w zakresie przygotowania infrastruktury obiektu pod kątem odporności na zagrożenie użycia broni kinetycznej, jak i tzw. ABC</w:t>
      </w:r>
      <w:r w:rsidR="00D42B7B" w:rsidRPr="007D5E97">
        <w:rPr>
          <w:rFonts w:ascii="Open Sans" w:hAnsi="Open Sans" w:cs="Open Sans"/>
          <w:b/>
          <w:bCs/>
        </w:rPr>
        <w:t>.</w:t>
      </w:r>
    </w:p>
    <w:p w14:paraId="172900A9" w14:textId="5636E316" w:rsidR="00DA445F" w:rsidRPr="00B9524A" w:rsidRDefault="00DA445F" w:rsidP="007D5E97">
      <w:pPr>
        <w:spacing w:after="360" w:line="288" w:lineRule="auto"/>
        <w:rPr>
          <w:rFonts w:ascii="Open Sans" w:hAnsi="Open Sans" w:cs="Open Sans"/>
        </w:rPr>
      </w:pPr>
      <w:r w:rsidRPr="00B9524A">
        <w:rPr>
          <w:rFonts w:ascii="Open Sans" w:hAnsi="Open Sans" w:cs="Open Sans"/>
        </w:rPr>
        <w:t xml:space="preserve">W </w:t>
      </w:r>
      <w:proofErr w:type="spellStart"/>
      <w:r w:rsidRPr="00B9524A">
        <w:rPr>
          <w:rFonts w:ascii="Open Sans" w:hAnsi="Open Sans" w:cs="Open Sans"/>
        </w:rPr>
        <w:t>w.w</w:t>
      </w:r>
      <w:proofErr w:type="spellEnd"/>
      <w:r w:rsidRPr="00B9524A">
        <w:rPr>
          <w:rFonts w:ascii="Open Sans" w:hAnsi="Open Sans" w:cs="Open Sans"/>
        </w:rPr>
        <w:t>. kosztach można uwzględnić również</w:t>
      </w:r>
      <w:r>
        <w:rPr>
          <w:rFonts w:ascii="Open Sans" w:hAnsi="Open Sans" w:cs="Open Sans"/>
        </w:rPr>
        <w:t xml:space="preserve"> koszty związane z p</w:t>
      </w:r>
      <w:r w:rsidRPr="00DA445F">
        <w:rPr>
          <w:rFonts w:ascii="Open Sans" w:hAnsi="Open Sans" w:cs="Open Sans"/>
        </w:rPr>
        <w:t>odnoszenie</w:t>
      </w:r>
      <w:r>
        <w:rPr>
          <w:rFonts w:ascii="Open Sans" w:hAnsi="Open Sans" w:cs="Open Sans"/>
        </w:rPr>
        <w:t>m</w:t>
      </w:r>
      <w:r w:rsidRPr="00DA445F">
        <w:rPr>
          <w:rFonts w:ascii="Open Sans" w:hAnsi="Open Sans" w:cs="Open Sans"/>
        </w:rPr>
        <w:t xml:space="preserve"> świadomości użytkowników budynku względem planowanej oszczędności energii, np.: prowadzenie działań szkoleniowo-doradczych oraz </w:t>
      </w:r>
      <w:proofErr w:type="spellStart"/>
      <w:r w:rsidRPr="00DA445F">
        <w:rPr>
          <w:rFonts w:ascii="Open Sans" w:hAnsi="Open Sans" w:cs="Open Sans"/>
        </w:rPr>
        <w:t>edukacyjno</w:t>
      </w:r>
      <w:proofErr w:type="spellEnd"/>
      <w:r w:rsidRPr="00DA445F">
        <w:rPr>
          <w:rFonts w:ascii="Open Sans" w:hAnsi="Open Sans" w:cs="Open Sans"/>
        </w:rPr>
        <w:t xml:space="preserve"> - informacyjnych, w tym zwiększających świadomość społeczeństwa, m.in. w zakresie Polityki Klimatycznej UE oraz konieczności transformacji energetycznej Polski</w:t>
      </w:r>
      <w:r>
        <w:rPr>
          <w:rFonts w:ascii="Open Sans" w:hAnsi="Open Sans" w:cs="Open Sans"/>
        </w:rPr>
        <w:t>.</w:t>
      </w:r>
    </w:p>
    <w:p w14:paraId="6FC959BB" w14:textId="768EB69A" w:rsidR="00434D80" w:rsidRPr="004205DB" w:rsidRDefault="007B04A8" w:rsidP="007D5E97">
      <w:pPr>
        <w:spacing w:line="288" w:lineRule="auto"/>
        <w:rPr>
          <w:rFonts w:ascii="Open Sans" w:hAnsi="Open Sans" w:cs="Open Sans"/>
          <w:i/>
          <w:iCs/>
        </w:rPr>
      </w:pPr>
      <w:r w:rsidRPr="004752BD">
        <w:rPr>
          <w:rFonts w:ascii="Open Sans" w:hAnsi="Open Sans" w:cs="Open Sans"/>
          <w:i/>
          <w:iCs/>
        </w:rPr>
        <w:lastRenderedPageBreak/>
        <w:t>Ww. pozycje powinny być osobno monitorowane</w:t>
      </w:r>
      <w:r w:rsidR="002524B4" w:rsidRPr="004752BD">
        <w:rPr>
          <w:rFonts w:ascii="Open Sans" w:hAnsi="Open Sans" w:cs="Open Sans"/>
          <w:i/>
          <w:iCs/>
        </w:rPr>
        <w:t xml:space="preserve"> w dokumentach umowy o dofinansowanie,</w:t>
      </w:r>
      <w:r w:rsidRPr="004752BD">
        <w:rPr>
          <w:rFonts w:ascii="Open Sans" w:hAnsi="Open Sans" w:cs="Open Sans"/>
          <w:i/>
          <w:iCs/>
        </w:rPr>
        <w:t xml:space="preserve"> w celu </w:t>
      </w:r>
      <w:r w:rsidR="002524B4" w:rsidRPr="004752BD">
        <w:rPr>
          <w:rFonts w:ascii="Open Sans" w:hAnsi="Open Sans" w:cs="Open Sans"/>
          <w:i/>
          <w:iCs/>
        </w:rPr>
        <w:t xml:space="preserve">uniknięcia zagrożenia przekroczenia </w:t>
      </w:r>
      <w:r w:rsidRPr="004752BD">
        <w:rPr>
          <w:rFonts w:ascii="Open Sans" w:hAnsi="Open Sans" w:cs="Open Sans"/>
          <w:i/>
          <w:iCs/>
        </w:rPr>
        <w:t>dopuszczonego limitu, tj. 15% kosztów kwalifikowanych projektu na każdym z etapów realizacji przedsięwzięcia</w:t>
      </w:r>
      <w:r w:rsidR="00DE3134" w:rsidRPr="004752BD">
        <w:rPr>
          <w:rFonts w:ascii="Open Sans" w:hAnsi="Open Sans" w:cs="Open Sans"/>
          <w:i/>
          <w:iCs/>
        </w:rPr>
        <w:t>,</w:t>
      </w:r>
      <w:r w:rsidRPr="004752BD">
        <w:rPr>
          <w:rFonts w:ascii="Open Sans" w:hAnsi="Open Sans" w:cs="Open Sans"/>
          <w:i/>
          <w:iCs/>
        </w:rPr>
        <w:t xml:space="preserve"> </w:t>
      </w:r>
      <w:r w:rsidR="002524B4" w:rsidRPr="004752BD">
        <w:rPr>
          <w:rFonts w:ascii="Open Sans" w:hAnsi="Open Sans" w:cs="Open Sans"/>
          <w:i/>
          <w:iCs/>
        </w:rPr>
        <w:t xml:space="preserve">od przygotowania, </w:t>
      </w:r>
      <w:r w:rsidRPr="004752BD">
        <w:rPr>
          <w:rFonts w:ascii="Open Sans" w:hAnsi="Open Sans" w:cs="Open Sans"/>
          <w:i/>
          <w:iCs/>
        </w:rPr>
        <w:t xml:space="preserve">aż </w:t>
      </w:r>
      <w:r w:rsidR="002524B4" w:rsidRPr="004752BD">
        <w:rPr>
          <w:rFonts w:ascii="Open Sans" w:hAnsi="Open Sans" w:cs="Open Sans"/>
          <w:i/>
          <w:iCs/>
        </w:rPr>
        <w:t>p</w:t>
      </w:r>
      <w:r w:rsidRPr="004752BD">
        <w:rPr>
          <w:rFonts w:ascii="Open Sans" w:hAnsi="Open Sans" w:cs="Open Sans"/>
          <w:i/>
          <w:iCs/>
        </w:rPr>
        <w:t>o jego rozliczeni</w:t>
      </w:r>
      <w:r w:rsidR="002524B4" w:rsidRPr="004752BD">
        <w:rPr>
          <w:rFonts w:ascii="Open Sans" w:hAnsi="Open Sans" w:cs="Open Sans"/>
          <w:i/>
          <w:iCs/>
        </w:rPr>
        <w:t>e</w:t>
      </w:r>
      <w:r w:rsidR="00FB510B">
        <w:rPr>
          <w:rFonts w:ascii="Open Sans" w:hAnsi="Open Sans" w:cs="Open Sans"/>
          <w:i/>
          <w:iCs/>
        </w:rPr>
        <w:t>.</w:t>
      </w:r>
    </w:p>
    <w:sectPr w:rsidR="00434D80" w:rsidRPr="004205D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E946" w14:textId="77777777" w:rsidR="00023355" w:rsidRDefault="00023355" w:rsidP="006E237B">
      <w:pPr>
        <w:spacing w:after="0" w:line="240" w:lineRule="auto"/>
      </w:pPr>
      <w:r>
        <w:separator/>
      </w:r>
    </w:p>
  </w:endnote>
  <w:endnote w:type="continuationSeparator" w:id="0">
    <w:p w14:paraId="5076CCB8" w14:textId="77777777" w:rsidR="00023355" w:rsidRDefault="00023355" w:rsidP="006E237B">
      <w:pPr>
        <w:spacing w:after="0" w:line="240" w:lineRule="auto"/>
      </w:pPr>
      <w:r>
        <w:continuationSeparator/>
      </w:r>
    </w:p>
  </w:endnote>
  <w:endnote w:type="continuationNotice" w:id="1">
    <w:p w14:paraId="0F9529AE" w14:textId="77777777" w:rsidR="00023355" w:rsidRDefault="00023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F6FB" w14:textId="4E958AE3" w:rsidR="00A45322" w:rsidRDefault="00B7277F" w:rsidP="00A45322">
    <w:pPr>
      <w:pStyle w:val="Stopka"/>
      <w:jc w:val="right"/>
    </w:pPr>
    <w:r w:rsidRPr="00B7277F">
      <w:rPr>
        <w:i/>
        <w:iCs/>
      </w:rPr>
      <w:t>Wersja</w:t>
    </w:r>
    <w:r>
      <w:rPr>
        <w:i/>
        <w:iCs/>
      </w:rPr>
      <w:t>:</w:t>
    </w:r>
    <w:r w:rsidRPr="00B7277F">
      <w:rPr>
        <w:i/>
        <w:iCs/>
      </w:rPr>
      <w:t xml:space="preserve"> 1.0</w:t>
    </w:r>
    <w:r w:rsidR="00BD10B8">
      <w:rPr>
        <w:i/>
        <w:iCs/>
      </w:rPr>
      <w:t>1</w:t>
    </w:r>
    <w:r w:rsidRPr="00B7277F">
      <w:rPr>
        <w:i/>
        <w:iCs/>
      </w:rPr>
      <w:t xml:space="preserve"> </w:t>
    </w:r>
    <w:r>
      <w:rPr>
        <w:i/>
        <w:iCs/>
      </w:rPr>
      <w:t>(</w:t>
    </w:r>
    <w:r w:rsidR="00BD10B8">
      <w:rPr>
        <w:i/>
        <w:iCs/>
      </w:rPr>
      <w:t>kwiecień</w:t>
    </w:r>
    <w:r w:rsidRPr="00B7277F">
      <w:rPr>
        <w:i/>
        <w:iCs/>
      </w:rPr>
      <w:t xml:space="preserve"> 202</w:t>
    </w:r>
    <w:r w:rsidR="002571F9">
      <w:rPr>
        <w:i/>
        <w:iCs/>
      </w:rPr>
      <w:t>5</w:t>
    </w:r>
    <w:r w:rsidRPr="00B7277F">
      <w:rPr>
        <w:i/>
        <w:iCs/>
      </w:rPr>
      <w:t xml:space="preserve"> r.</w:t>
    </w:r>
    <w:r>
      <w:t xml:space="preserve"> ) </w:t>
    </w:r>
    <w:r w:rsidR="00A45322">
      <w:t>__________________________________________________________________________________</w:t>
    </w:r>
  </w:p>
  <w:sdt>
    <w:sdtPr>
      <w:id w:val="315388718"/>
      <w:docPartObj>
        <w:docPartGallery w:val="Page Numbers (Bottom of Page)"/>
        <w:docPartUnique/>
      </w:docPartObj>
    </w:sdtPr>
    <w:sdtContent>
      <w:sdt>
        <w:sdtPr>
          <w:id w:val="-1769616900"/>
          <w:docPartObj>
            <w:docPartGallery w:val="Page Numbers (Top of Page)"/>
            <w:docPartUnique/>
          </w:docPartObj>
        </w:sdtPr>
        <w:sdtContent>
          <w:p w14:paraId="00A15204" w14:textId="099A3DBC" w:rsidR="00A45322" w:rsidRDefault="00A4532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42B3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42B30">
              <w:rPr>
                <w:b/>
                <w:bCs/>
                <w:noProof/>
              </w:rPr>
              <w:t>27</w:t>
            </w:r>
            <w:r>
              <w:rPr>
                <w:b/>
                <w:bCs/>
                <w:sz w:val="24"/>
                <w:szCs w:val="24"/>
              </w:rPr>
              <w:fldChar w:fldCharType="end"/>
            </w:r>
          </w:p>
        </w:sdtContent>
      </w:sdt>
    </w:sdtContent>
  </w:sdt>
  <w:p w14:paraId="0809E902" w14:textId="77777777" w:rsidR="00A45322" w:rsidRDefault="00A453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BBC1" w14:textId="77777777" w:rsidR="00023355" w:rsidRDefault="00023355" w:rsidP="006E237B">
      <w:pPr>
        <w:spacing w:after="0" w:line="240" w:lineRule="auto"/>
      </w:pPr>
      <w:r>
        <w:separator/>
      </w:r>
    </w:p>
  </w:footnote>
  <w:footnote w:type="continuationSeparator" w:id="0">
    <w:p w14:paraId="4F03A509" w14:textId="77777777" w:rsidR="00023355" w:rsidRDefault="00023355" w:rsidP="006E237B">
      <w:pPr>
        <w:spacing w:after="0" w:line="240" w:lineRule="auto"/>
      </w:pPr>
      <w:r>
        <w:continuationSeparator/>
      </w:r>
    </w:p>
  </w:footnote>
  <w:footnote w:type="continuationNotice" w:id="1">
    <w:p w14:paraId="60FA7206" w14:textId="77777777" w:rsidR="00023355" w:rsidRDefault="00023355">
      <w:pPr>
        <w:spacing w:after="0" w:line="240" w:lineRule="auto"/>
      </w:pPr>
    </w:p>
  </w:footnote>
  <w:footnote w:id="2">
    <w:p w14:paraId="0A48DC49" w14:textId="2A5ECB0B" w:rsidR="00C30B04" w:rsidRPr="00C251E7" w:rsidRDefault="00C30B04" w:rsidP="00317C89">
      <w:pPr>
        <w:pStyle w:val="Tekstprzypisudolnego"/>
        <w:spacing w:line="288" w:lineRule="auto"/>
        <w:rPr>
          <w:rFonts w:ascii="Open Sans" w:hAnsi="Open Sans" w:cs="Open Sans"/>
          <w:sz w:val="18"/>
          <w:szCs w:val="18"/>
        </w:rPr>
      </w:pPr>
      <w:r w:rsidRPr="00C251E7">
        <w:rPr>
          <w:rStyle w:val="Odwoanieprzypisudolnego"/>
          <w:rFonts w:ascii="Open Sans" w:hAnsi="Open Sans" w:cs="Open Sans"/>
          <w:sz w:val="18"/>
          <w:szCs w:val="18"/>
        </w:rPr>
        <w:footnoteRef/>
      </w:r>
      <w:r w:rsidRPr="00C251E7">
        <w:rPr>
          <w:rFonts w:ascii="Open Sans" w:hAnsi="Open Sans" w:cs="Open Sans"/>
          <w:sz w:val="18"/>
          <w:szCs w:val="18"/>
        </w:rPr>
        <w:t xml:space="preserve"> Obwieszczenie Ministra Rozwoju i Technologii z dnia 15 kwietnia 2022 r. w sprawie ogłoszenia jednolitego tekstu rozporządzenia Ministra Infrastruktury w sprawie warunków technicznych, jakim powinny odpowiadać budynki i ich usytuowanie (Dz.U. z dnia 9 czerwca 2022 r., poz.1225)</w:t>
      </w:r>
    </w:p>
  </w:footnote>
  <w:footnote w:id="3">
    <w:p w14:paraId="3C70326B" w14:textId="0C74B863" w:rsidR="00C30B04" w:rsidRPr="00C251E7" w:rsidRDefault="00C30B04" w:rsidP="00317C89">
      <w:pPr>
        <w:pStyle w:val="Tekstprzypisudolnego"/>
        <w:spacing w:line="288" w:lineRule="auto"/>
        <w:rPr>
          <w:rFonts w:ascii="Open Sans" w:hAnsi="Open Sans" w:cs="Open Sans"/>
        </w:rPr>
      </w:pPr>
      <w:r w:rsidRPr="00C251E7">
        <w:rPr>
          <w:rStyle w:val="Odwoanieprzypisudolnego"/>
          <w:rFonts w:ascii="Open Sans" w:hAnsi="Open Sans" w:cs="Open Sans"/>
          <w:sz w:val="18"/>
          <w:szCs w:val="18"/>
        </w:rPr>
        <w:footnoteRef/>
      </w:r>
      <w:r w:rsidRPr="00C251E7">
        <w:rPr>
          <w:rFonts w:ascii="Open Sans" w:hAnsi="Open Sans" w:cs="Open Sans"/>
          <w:sz w:val="18"/>
          <w:szCs w:val="18"/>
        </w:rPr>
        <w:t xml:space="preserve"> Obwieszczenie Ministra Rozwoju i Technologii z dnia 15 kwietnia 2022 r. w sprawie ogłoszenia jednolitego tekstu rozporządzenia Ministra Infrastruktury w sprawie warunków technicznych, jakim powinny odpowiadać budynki i ich usytuowanie (Dz.U. z dnia 9 czerwca 2022 r., poz.1225)</w:t>
      </w:r>
    </w:p>
  </w:footnote>
  <w:footnote w:id="4">
    <w:p w14:paraId="7D056359" w14:textId="54B3A6D8" w:rsidR="00C30B04" w:rsidRPr="00C251E7" w:rsidRDefault="00C30B04" w:rsidP="00317C89">
      <w:pPr>
        <w:pStyle w:val="Tekstprzypisudolnego"/>
        <w:spacing w:line="288" w:lineRule="auto"/>
        <w:rPr>
          <w:rFonts w:ascii="Open Sans" w:hAnsi="Open Sans" w:cs="Open Sans"/>
        </w:rPr>
      </w:pPr>
      <w:r w:rsidRPr="00C251E7">
        <w:rPr>
          <w:rStyle w:val="Odwoanieprzypisudolnego"/>
          <w:rFonts w:ascii="Open Sans" w:hAnsi="Open Sans" w:cs="Open Sans"/>
          <w:sz w:val="18"/>
          <w:szCs w:val="18"/>
        </w:rPr>
        <w:footnoteRef/>
      </w:r>
      <w:r w:rsidRPr="00C251E7">
        <w:rPr>
          <w:rFonts w:ascii="Open Sans" w:hAnsi="Open Sans" w:cs="Open Sans"/>
          <w:sz w:val="18"/>
          <w:szCs w:val="18"/>
        </w:rPr>
        <w:t xml:space="preserve"> Obwieszczenie Ministra Rozwoju i Technologii z dnia 15 kwietnia 2022 r. w sprawie ogłoszenia jednolitego tekstu rozporządzenia Ministra Infrastruktury w sprawie warunków technicznych, jakim powinny odpowiadać budynki i ich usytuowanie (Dz.U. z dnia 9 czerwca 2022 r., poz.1225)</w:t>
      </w:r>
    </w:p>
  </w:footnote>
  <w:footnote w:id="5">
    <w:p w14:paraId="6CED159D" w14:textId="77777777" w:rsidR="00814206" w:rsidRPr="00C251E7" w:rsidRDefault="00814206" w:rsidP="00E22F5B">
      <w:pPr>
        <w:pStyle w:val="Tekstprzypisudolnego"/>
        <w:spacing w:line="288" w:lineRule="auto"/>
        <w:rPr>
          <w:rFonts w:ascii="Open Sans" w:hAnsi="Open Sans" w:cs="Open Sans"/>
          <w:sz w:val="18"/>
          <w:szCs w:val="18"/>
        </w:rPr>
      </w:pPr>
      <w:r w:rsidRPr="00C251E7">
        <w:rPr>
          <w:rStyle w:val="Odwoanieprzypisudolnego"/>
          <w:rFonts w:ascii="Open Sans" w:hAnsi="Open Sans" w:cs="Open Sans"/>
          <w:sz w:val="18"/>
          <w:szCs w:val="18"/>
        </w:rPr>
        <w:footnoteRef/>
      </w:r>
      <w:r w:rsidRPr="00C251E7">
        <w:rPr>
          <w:rFonts w:ascii="Open Sans" w:hAnsi="Open Sans" w:cs="Open Sans"/>
          <w:sz w:val="18"/>
          <w:szCs w:val="18"/>
        </w:rPr>
        <w:t xml:space="preserve"> W instalacjach wentylacji mechanicznej ogólnej </w:t>
      </w:r>
      <w:r w:rsidRPr="00C251E7">
        <w:rPr>
          <w:rFonts w:ascii="Open Sans" w:hAnsi="Open Sans" w:cs="Open Sans"/>
          <w:sz w:val="18"/>
          <w:szCs w:val="18"/>
        </w:rPr>
        <w:t xml:space="preserve">nawiewno-wywiewnej lub klimatyzacji komfortowej o wydajności 500 m3/h i więcej należy stosować urządzenia do odzyskiwania ciepła z powietrza wywiewanego o sprawności temperaturowej co najmniej 50% lub recyrkulację, gdy jest to dopuszczalne. (Obwieszczenie </w:t>
      </w:r>
    </w:p>
    <w:p w14:paraId="29F1F0F2" w14:textId="5E632636" w:rsidR="00814206" w:rsidRDefault="00814206" w:rsidP="00E22F5B">
      <w:pPr>
        <w:pStyle w:val="Tekstprzypisudolnego"/>
        <w:spacing w:line="288" w:lineRule="auto"/>
      </w:pPr>
      <w:r w:rsidRPr="00C251E7">
        <w:rPr>
          <w:rFonts w:ascii="Open Sans" w:hAnsi="Open Sans" w:cs="Open Sans"/>
          <w:sz w:val="18"/>
          <w:szCs w:val="18"/>
        </w:rPr>
        <w:t>Ministra Rozwoju i Technologii z dnia 15 kwietnia 2022 r. w sprawie ogłoszenia jednolitego tekstu rozporządzenia Ministra Infrastruktury w sprawie warunków technicznych, jakim powinny odpowiadać budynki i ich usytuowanie (Dz.U. z dnia 9 czerwca 2022 r., poz.1225 - § 151. 1 Rozporządzenia).</w:t>
      </w:r>
    </w:p>
  </w:footnote>
  <w:footnote w:id="6">
    <w:p w14:paraId="5D4D2836" w14:textId="0D996B2C" w:rsidR="00814206" w:rsidRPr="00C251E7" w:rsidRDefault="00814206" w:rsidP="00E22F5B">
      <w:pPr>
        <w:pStyle w:val="Tekstprzypisudolnego"/>
        <w:spacing w:line="288" w:lineRule="auto"/>
        <w:rPr>
          <w:rFonts w:ascii="Open Sans" w:hAnsi="Open Sans" w:cs="Open Sans"/>
          <w:sz w:val="18"/>
          <w:szCs w:val="18"/>
        </w:rPr>
      </w:pPr>
      <w:r w:rsidRPr="00C251E7">
        <w:rPr>
          <w:rStyle w:val="Odwoanieprzypisudolnego"/>
          <w:rFonts w:ascii="Open Sans" w:hAnsi="Open Sans" w:cs="Open Sans"/>
          <w:sz w:val="18"/>
          <w:szCs w:val="18"/>
        </w:rPr>
        <w:footnoteRef/>
      </w:r>
      <w:r w:rsidRPr="00C251E7">
        <w:rPr>
          <w:rFonts w:ascii="Open Sans" w:hAnsi="Open Sans" w:cs="Open Sans"/>
          <w:sz w:val="18"/>
          <w:szCs w:val="18"/>
        </w:rPr>
        <w:t xml:space="preserve"> będącego członkiem ogólnokrajowego stowarzyszenia przyrodniczego; prace z zakresu termomodernizacji obiektów budowlanych muszą być prowadzone zgodnie z ustawą z dnia 16 kwietnia 2004 r. o ochronie przyrody (Dz. U. z 2013 r., poz. 627 z późn. zm.) oraz Rozporządzeniem Ministra Środowiska z dnia 6 października 2014 r. w sprawie ochrony gatunkowej zwierząt (Dz. U. z 2014 r., poz. 1348); prace należy wykonywać w szczególności z uwzględnieniem potrzeb i biologii ptaków i nietoperzy.</w:t>
      </w:r>
    </w:p>
  </w:footnote>
  <w:footnote w:id="7">
    <w:p w14:paraId="5B96559F" w14:textId="289722A5" w:rsidR="00EA2EA1" w:rsidRPr="00C251E7" w:rsidRDefault="00EA2EA1" w:rsidP="00E22F5B">
      <w:pPr>
        <w:pStyle w:val="Tekstprzypisudolnego"/>
        <w:spacing w:line="288" w:lineRule="auto"/>
        <w:rPr>
          <w:rFonts w:ascii="Open Sans" w:hAnsi="Open Sans" w:cs="Open Sans"/>
          <w:sz w:val="18"/>
          <w:szCs w:val="18"/>
        </w:rPr>
      </w:pPr>
      <w:r w:rsidRPr="00C251E7">
        <w:rPr>
          <w:rStyle w:val="Odwoanieprzypisudolnego"/>
          <w:rFonts w:ascii="Open Sans" w:hAnsi="Open Sans" w:cs="Open Sans"/>
          <w:sz w:val="18"/>
          <w:szCs w:val="18"/>
        </w:rPr>
        <w:footnoteRef/>
      </w:r>
      <w:r w:rsidRPr="00C251E7">
        <w:rPr>
          <w:rFonts w:ascii="Open Sans" w:hAnsi="Open Sans" w:cs="Open Sans"/>
          <w:sz w:val="18"/>
          <w:szCs w:val="18"/>
        </w:rPr>
        <w:t xml:space="preserve"> Obwieszczenie Ministra Rozwoju i Technologii z dnia 15 kwietnia 2022 r. w sprawie ogłoszenia jednolitego tekstu rozporządzenia Ministra Infrastruktury w sprawie warunków technicznych, jakim powinny odpowiadać budynki i ich usytuowanie (Dz.U. z dnia 9 czerwca 2022 r., poz.1225)</w:t>
      </w:r>
    </w:p>
  </w:footnote>
  <w:footnote w:id="8">
    <w:p w14:paraId="0507400D" w14:textId="7059C812" w:rsidR="00EA2EA1" w:rsidRPr="00C251E7" w:rsidRDefault="00EA2EA1" w:rsidP="00E22F5B">
      <w:pPr>
        <w:pStyle w:val="Tekstprzypisudolnego"/>
        <w:spacing w:line="288" w:lineRule="auto"/>
        <w:rPr>
          <w:rFonts w:ascii="Open Sans" w:hAnsi="Open Sans" w:cs="Open Sans"/>
          <w:sz w:val="18"/>
          <w:szCs w:val="18"/>
        </w:rPr>
      </w:pPr>
      <w:r w:rsidRPr="00C251E7">
        <w:rPr>
          <w:rStyle w:val="Odwoanieprzypisudolnego"/>
          <w:rFonts w:ascii="Open Sans" w:hAnsi="Open Sans" w:cs="Open Sans"/>
          <w:sz w:val="18"/>
          <w:szCs w:val="18"/>
        </w:rPr>
        <w:footnoteRef/>
      </w:r>
      <w:r w:rsidRPr="00C251E7">
        <w:rPr>
          <w:rFonts w:ascii="Open Sans" w:hAnsi="Open Sans" w:cs="Open Sans"/>
          <w:sz w:val="18"/>
          <w:szCs w:val="18"/>
        </w:rPr>
        <w:t xml:space="preserve"> RDOŚ wydaje zgodę i określa sposób i zakres kompensacji przyrodniczej, pozwalającej na zamknięcie otworów i szczelin poza sezonem rozrodczym ptaków i nietoperzy i poza okresem hibernacji nietoperzy przed podjęciem zasadniczych prac inwestycyjnych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2834" w14:textId="165DB084" w:rsidR="006E237B" w:rsidRDefault="006E237B">
    <w:pPr>
      <w:pStyle w:val="Nagwek"/>
    </w:pPr>
    <w:r>
      <w:rPr>
        <w:noProof/>
        <w:lang w:eastAsia="pl-PL"/>
      </w:rPr>
      <w:drawing>
        <wp:inline distT="0" distB="0" distL="0" distR="0" wp14:anchorId="234962AA" wp14:editId="7CF213EA">
          <wp:extent cx="5760720" cy="601345"/>
          <wp:effectExtent l="0" t="0" r="0" b="0"/>
          <wp:docPr id="3" name="Obraz 2" descr="Ciąg znaków FENIKS, RP, UE i NFOŚiGW">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Obraz 2" descr="Ciąg znaków FENIKS, RP, UE i NFOŚiGW">
                    <a:extLst>
                      <a:ext uri="{FF2B5EF4-FFF2-40B4-BE49-F238E27FC236}">
                        <a16:creationId xmlns:a16="http://schemas.microsoft.com/office/drawing/2014/main" id="{00000000-0008-0000-0000-0000030000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1345"/>
                  </a:xfrm>
                  <a:prstGeom prst="rect">
                    <a:avLst/>
                  </a:prstGeom>
                  <a:noFill/>
                </pic:spPr>
              </pic:pic>
            </a:graphicData>
          </a:graphic>
        </wp:inline>
      </w:drawing>
    </w:r>
  </w:p>
  <w:p w14:paraId="49FDD118" w14:textId="21B81A4D" w:rsidR="006E237B" w:rsidRDefault="006E237B" w:rsidP="00EF5D91">
    <w:pPr>
      <w:pStyle w:val="Nagwek"/>
      <w:spacing w:line="288" w:lineRule="auto"/>
      <w:jc w:val="center"/>
    </w:pPr>
    <w:r>
      <w:t>Ramowy Katalog Kosztów/Wydatków Kwalifikowanych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195"/>
    <w:multiLevelType w:val="hybridMultilevel"/>
    <w:tmpl w:val="F7B0DC20"/>
    <w:lvl w:ilvl="0" w:tplc="F25EB73A">
      <w:numFmt w:val="bullet"/>
      <w:lvlText w:val="•"/>
      <w:lvlJc w:val="left"/>
      <w:pPr>
        <w:ind w:left="1068" w:hanging="360"/>
      </w:pPr>
      <w:rPr>
        <w:rFonts w:ascii="Open Sans" w:eastAsiaTheme="minorHAnsi" w:hAnsi="Open Sans" w:cs="Open San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2ED5CAC"/>
    <w:multiLevelType w:val="hybridMultilevel"/>
    <w:tmpl w:val="98A45E7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07A02FC0"/>
    <w:multiLevelType w:val="hybridMultilevel"/>
    <w:tmpl w:val="AED46B9C"/>
    <w:lvl w:ilvl="0" w:tplc="D07E03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A30D3A"/>
    <w:multiLevelType w:val="multilevel"/>
    <w:tmpl w:val="F77253B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0C556E"/>
    <w:multiLevelType w:val="hybridMultilevel"/>
    <w:tmpl w:val="BD46BB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B4102"/>
    <w:multiLevelType w:val="hybridMultilevel"/>
    <w:tmpl w:val="A66C2066"/>
    <w:lvl w:ilvl="0" w:tplc="11B0FB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FD0B1B"/>
    <w:multiLevelType w:val="hybridMultilevel"/>
    <w:tmpl w:val="BF269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FD1EEB"/>
    <w:multiLevelType w:val="hybridMultilevel"/>
    <w:tmpl w:val="6B2A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30368E"/>
    <w:multiLevelType w:val="hybridMultilevel"/>
    <w:tmpl w:val="E4120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9E73DB"/>
    <w:multiLevelType w:val="hybridMultilevel"/>
    <w:tmpl w:val="6EFE9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C0379F"/>
    <w:multiLevelType w:val="hybridMultilevel"/>
    <w:tmpl w:val="0620608A"/>
    <w:lvl w:ilvl="0" w:tplc="11B0FB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E360E6"/>
    <w:multiLevelType w:val="hybridMultilevel"/>
    <w:tmpl w:val="29F4B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8B2E36"/>
    <w:multiLevelType w:val="hybridMultilevel"/>
    <w:tmpl w:val="58F2A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0D3E43"/>
    <w:multiLevelType w:val="hybridMultilevel"/>
    <w:tmpl w:val="2CEE2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302C4F"/>
    <w:multiLevelType w:val="hybridMultilevel"/>
    <w:tmpl w:val="9B2EE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0F28AE"/>
    <w:multiLevelType w:val="hybridMultilevel"/>
    <w:tmpl w:val="EFC2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A10F7D"/>
    <w:multiLevelType w:val="hybridMultilevel"/>
    <w:tmpl w:val="187256D0"/>
    <w:lvl w:ilvl="0" w:tplc="0415000F">
      <w:start w:val="1"/>
      <w:numFmt w:val="decimal"/>
      <w:lvlText w:val="%1."/>
      <w:lvlJc w:val="left"/>
      <w:pPr>
        <w:ind w:left="720" w:hanging="360"/>
      </w:pPr>
      <w:rPr>
        <w:rFonts w:hint="default"/>
      </w:rPr>
    </w:lvl>
    <w:lvl w:ilvl="1" w:tplc="7FAA041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7F2DC7"/>
    <w:multiLevelType w:val="hybridMultilevel"/>
    <w:tmpl w:val="9D16D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9A424F"/>
    <w:multiLevelType w:val="hybridMultilevel"/>
    <w:tmpl w:val="1FA424E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60E04D18"/>
    <w:multiLevelType w:val="hybridMultilevel"/>
    <w:tmpl w:val="9A2E6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665068"/>
    <w:multiLevelType w:val="hybridMultilevel"/>
    <w:tmpl w:val="98B85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005D41"/>
    <w:multiLevelType w:val="hybridMultilevel"/>
    <w:tmpl w:val="B69882A4"/>
    <w:lvl w:ilvl="0" w:tplc="7FAA0412">
      <w:start w:val="1"/>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7977A8"/>
    <w:multiLevelType w:val="hybridMultilevel"/>
    <w:tmpl w:val="2BBC4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1835D7"/>
    <w:multiLevelType w:val="hybridMultilevel"/>
    <w:tmpl w:val="A1BEA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0848172">
    <w:abstractNumId w:val="4"/>
  </w:num>
  <w:num w:numId="2" w16cid:durableId="76832670">
    <w:abstractNumId w:val="3"/>
  </w:num>
  <w:num w:numId="3" w16cid:durableId="1874801591">
    <w:abstractNumId w:val="8"/>
  </w:num>
  <w:num w:numId="4" w16cid:durableId="667944330">
    <w:abstractNumId w:val="11"/>
  </w:num>
  <w:num w:numId="5" w16cid:durableId="918949636">
    <w:abstractNumId w:val="16"/>
  </w:num>
  <w:num w:numId="6" w16cid:durableId="247538593">
    <w:abstractNumId w:val="7"/>
  </w:num>
  <w:num w:numId="7" w16cid:durableId="681010164">
    <w:abstractNumId w:val="20"/>
  </w:num>
  <w:num w:numId="8" w16cid:durableId="1667051934">
    <w:abstractNumId w:val="14"/>
  </w:num>
  <w:num w:numId="9" w16cid:durableId="1325400642">
    <w:abstractNumId w:val="15"/>
  </w:num>
  <w:num w:numId="10" w16cid:durableId="311176826">
    <w:abstractNumId w:val="12"/>
  </w:num>
  <w:num w:numId="11" w16cid:durableId="842429638">
    <w:abstractNumId w:val="9"/>
  </w:num>
  <w:num w:numId="12" w16cid:durableId="918245571">
    <w:abstractNumId w:val="6"/>
  </w:num>
  <w:num w:numId="13" w16cid:durableId="1494685182">
    <w:abstractNumId w:val="22"/>
  </w:num>
  <w:num w:numId="14" w16cid:durableId="1492522616">
    <w:abstractNumId w:val="13"/>
  </w:num>
  <w:num w:numId="15" w16cid:durableId="1788616701">
    <w:abstractNumId w:val="19"/>
  </w:num>
  <w:num w:numId="16" w16cid:durableId="705450826">
    <w:abstractNumId w:val="23"/>
  </w:num>
  <w:num w:numId="17" w16cid:durableId="87818659">
    <w:abstractNumId w:val="1"/>
  </w:num>
  <w:num w:numId="18" w16cid:durableId="748235110">
    <w:abstractNumId w:val="17"/>
  </w:num>
  <w:num w:numId="19" w16cid:durableId="2059931024">
    <w:abstractNumId w:val="21"/>
  </w:num>
  <w:num w:numId="20" w16cid:durableId="1358502238">
    <w:abstractNumId w:val="2"/>
  </w:num>
  <w:num w:numId="21" w16cid:durableId="447435940">
    <w:abstractNumId w:val="18"/>
  </w:num>
  <w:num w:numId="22" w16cid:durableId="853760936">
    <w:abstractNumId w:val="0"/>
  </w:num>
  <w:num w:numId="23" w16cid:durableId="481968546">
    <w:abstractNumId w:val="10"/>
  </w:num>
  <w:num w:numId="24" w16cid:durableId="981009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D7"/>
    <w:rsid w:val="00003406"/>
    <w:rsid w:val="0000686B"/>
    <w:rsid w:val="00007A5E"/>
    <w:rsid w:val="000177CC"/>
    <w:rsid w:val="00023355"/>
    <w:rsid w:val="00023A69"/>
    <w:rsid w:val="00030569"/>
    <w:rsid w:val="00041338"/>
    <w:rsid w:val="00072DB8"/>
    <w:rsid w:val="00080DB2"/>
    <w:rsid w:val="00091BA2"/>
    <w:rsid w:val="00092D15"/>
    <w:rsid w:val="00093832"/>
    <w:rsid w:val="000A69C6"/>
    <w:rsid w:val="000A69E9"/>
    <w:rsid w:val="000D10A2"/>
    <w:rsid w:val="000D4DA9"/>
    <w:rsid w:val="000E302C"/>
    <w:rsid w:val="000E5207"/>
    <w:rsid w:val="000E609A"/>
    <w:rsid w:val="000E63F0"/>
    <w:rsid w:val="000F16F7"/>
    <w:rsid w:val="000F37F3"/>
    <w:rsid w:val="000F3A3C"/>
    <w:rsid w:val="001137B9"/>
    <w:rsid w:val="0012507D"/>
    <w:rsid w:val="00134033"/>
    <w:rsid w:val="00157D25"/>
    <w:rsid w:val="001618A7"/>
    <w:rsid w:val="00163486"/>
    <w:rsid w:val="001636F4"/>
    <w:rsid w:val="00180B09"/>
    <w:rsid w:val="00187280"/>
    <w:rsid w:val="001877A4"/>
    <w:rsid w:val="001B18EE"/>
    <w:rsid w:val="001B5ACC"/>
    <w:rsid w:val="001C0F05"/>
    <w:rsid w:val="001C2EF1"/>
    <w:rsid w:val="001C5DCC"/>
    <w:rsid w:val="001D3695"/>
    <w:rsid w:val="001E3478"/>
    <w:rsid w:val="001F03E2"/>
    <w:rsid w:val="001F5AED"/>
    <w:rsid w:val="0020017B"/>
    <w:rsid w:val="002002D0"/>
    <w:rsid w:val="00200377"/>
    <w:rsid w:val="0020536E"/>
    <w:rsid w:val="00205AFF"/>
    <w:rsid w:val="00206C1D"/>
    <w:rsid w:val="00215334"/>
    <w:rsid w:val="00217456"/>
    <w:rsid w:val="0023183C"/>
    <w:rsid w:val="002338E8"/>
    <w:rsid w:val="002355A5"/>
    <w:rsid w:val="0024455C"/>
    <w:rsid w:val="002524B4"/>
    <w:rsid w:val="00254DD7"/>
    <w:rsid w:val="002571F9"/>
    <w:rsid w:val="002624B9"/>
    <w:rsid w:val="00262A0B"/>
    <w:rsid w:val="00264AD8"/>
    <w:rsid w:val="00273392"/>
    <w:rsid w:val="002766CA"/>
    <w:rsid w:val="00280D47"/>
    <w:rsid w:val="00285277"/>
    <w:rsid w:val="002942F7"/>
    <w:rsid w:val="002958EB"/>
    <w:rsid w:val="002A07BA"/>
    <w:rsid w:val="002A6C2F"/>
    <w:rsid w:val="002B55D4"/>
    <w:rsid w:val="002C258C"/>
    <w:rsid w:val="002D1BD6"/>
    <w:rsid w:val="002D1E4B"/>
    <w:rsid w:val="002D6F19"/>
    <w:rsid w:val="002E0DB5"/>
    <w:rsid w:val="002F6717"/>
    <w:rsid w:val="00311BA4"/>
    <w:rsid w:val="00317A70"/>
    <w:rsid w:val="00317C89"/>
    <w:rsid w:val="00326ADE"/>
    <w:rsid w:val="003278B7"/>
    <w:rsid w:val="003434F1"/>
    <w:rsid w:val="00353CE4"/>
    <w:rsid w:val="00355BFA"/>
    <w:rsid w:val="00360398"/>
    <w:rsid w:val="00367F51"/>
    <w:rsid w:val="0037354D"/>
    <w:rsid w:val="00375A8E"/>
    <w:rsid w:val="00376137"/>
    <w:rsid w:val="00393EFA"/>
    <w:rsid w:val="003967AF"/>
    <w:rsid w:val="003A6E16"/>
    <w:rsid w:val="003D21D1"/>
    <w:rsid w:val="003D2FD0"/>
    <w:rsid w:val="003D7102"/>
    <w:rsid w:val="003E5656"/>
    <w:rsid w:val="003E60BE"/>
    <w:rsid w:val="003E66E0"/>
    <w:rsid w:val="00400546"/>
    <w:rsid w:val="00405759"/>
    <w:rsid w:val="004205DB"/>
    <w:rsid w:val="004210C8"/>
    <w:rsid w:val="00427C30"/>
    <w:rsid w:val="00434D80"/>
    <w:rsid w:val="00437400"/>
    <w:rsid w:val="00453738"/>
    <w:rsid w:val="004614BF"/>
    <w:rsid w:val="004752BD"/>
    <w:rsid w:val="00483F00"/>
    <w:rsid w:val="0048D115"/>
    <w:rsid w:val="004A1AD2"/>
    <w:rsid w:val="004C2C7E"/>
    <w:rsid w:val="004C635B"/>
    <w:rsid w:val="004C6DCE"/>
    <w:rsid w:val="004C7698"/>
    <w:rsid w:val="004D1C2F"/>
    <w:rsid w:val="004D2AC5"/>
    <w:rsid w:val="004D4337"/>
    <w:rsid w:val="004E58FE"/>
    <w:rsid w:val="00501B74"/>
    <w:rsid w:val="00510D38"/>
    <w:rsid w:val="00512F25"/>
    <w:rsid w:val="00513642"/>
    <w:rsid w:val="0051485E"/>
    <w:rsid w:val="00517DE0"/>
    <w:rsid w:val="0052490E"/>
    <w:rsid w:val="00533A2F"/>
    <w:rsid w:val="005351FF"/>
    <w:rsid w:val="00544F49"/>
    <w:rsid w:val="00545C81"/>
    <w:rsid w:val="00575D8C"/>
    <w:rsid w:val="0058489E"/>
    <w:rsid w:val="005969DE"/>
    <w:rsid w:val="005A6088"/>
    <w:rsid w:val="005B217A"/>
    <w:rsid w:val="005B2DEB"/>
    <w:rsid w:val="005D035E"/>
    <w:rsid w:val="005E1086"/>
    <w:rsid w:val="005F1A12"/>
    <w:rsid w:val="005F6C38"/>
    <w:rsid w:val="00605E9F"/>
    <w:rsid w:val="00615C25"/>
    <w:rsid w:val="006210D4"/>
    <w:rsid w:val="00621F3B"/>
    <w:rsid w:val="006415DC"/>
    <w:rsid w:val="00654DFD"/>
    <w:rsid w:val="0065513B"/>
    <w:rsid w:val="0067036F"/>
    <w:rsid w:val="00676698"/>
    <w:rsid w:val="00680EA0"/>
    <w:rsid w:val="00682708"/>
    <w:rsid w:val="006A5F88"/>
    <w:rsid w:val="006B46D4"/>
    <w:rsid w:val="006D34F5"/>
    <w:rsid w:val="006D79AC"/>
    <w:rsid w:val="006E237B"/>
    <w:rsid w:val="006E3B5D"/>
    <w:rsid w:val="006F1F0E"/>
    <w:rsid w:val="007063D1"/>
    <w:rsid w:val="00707280"/>
    <w:rsid w:val="007105E9"/>
    <w:rsid w:val="00720ED8"/>
    <w:rsid w:val="0072196A"/>
    <w:rsid w:val="00723B52"/>
    <w:rsid w:val="007257EE"/>
    <w:rsid w:val="00727EFC"/>
    <w:rsid w:val="00733151"/>
    <w:rsid w:val="00735546"/>
    <w:rsid w:val="00737598"/>
    <w:rsid w:val="0074255A"/>
    <w:rsid w:val="00743593"/>
    <w:rsid w:val="00750A90"/>
    <w:rsid w:val="00751BC7"/>
    <w:rsid w:val="007570DB"/>
    <w:rsid w:val="007605FA"/>
    <w:rsid w:val="00762331"/>
    <w:rsid w:val="007727F5"/>
    <w:rsid w:val="00773793"/>
    <w:rsid w:val="00792D3A"/>
    <w:rsid w:val="00793A0E"/>
    <w:rsid w:val="007A45DE"/>
    <w:rsid w:val="007A70D6"/>
    <w:rsid w:val="007B04A8"/>
    <w:rsid w:val="007C6D51"/>
    <w:rsid w:val="007D5E97"/>
    <w:rsid w:val="007D5F42"/>
    <w:rsid w:val="007E12BE"/>
    <w:rsid w:val="007E2E52"/>
    <w:rsid w:val="007F39C6"/>
    <w:rsid w:val="007F4982"/>
    <w:rsid w:val="007F52F3"/>
    <w:rsid w:val="00800E46"/>
    <w:rsid w:val="008071A6"/>
    <w:rsid w:val="00814206"/>
    <w:rsid w:val="00830381"/>
    <w:rsid w:val="00835DC3"/>
    <w:rsid w:val="00843F20"/>
    <w:rsid w:val="00845E42"/>
    <w:rsid w:val="0085479A"/>
    <w:rsid w:val="00866C86"/>
    <w:rsid w:val="00870857"/>
    <w:rsid w:val="008720BC"/>
    <w:rsid w:val="00880058"/>
    <w:rsid w:val="0088432C"/>
    <w:rsid w:val="008902F3"/>
    <w:rsid w:val="00893FEA"/>
    <w:rsid w:val="00894317"/>
    <w:rsid w:val="00896FF2"/>
    <w:rsid w:val="008B0A2E"/>
    <w:rsid w:val="008C1B95"/>
    <w:rsid w:val="008C4213"/>
    <w:rsid w:val="008C57A1"/>
    <w:rsid w:val="008D217E"/>
    <w:rsid w:val="008E2ABB"/>
    <w:rsid w:val="008E4DE0"/>
    <w:rsid w:val="008E674D"/>
    <w:rsid w:val="00906463"/>
    <w:rsid w:val="00906F6C"/>
    <w:rsid w:val="0090709A"/>
    <w:rsid w:val="0091345D"/>
    <w:rsid w:val="009275F6"/>
    <w:rsid w:val="0093489B"/>
    <w:rsid w:val="00944D22"/>
    <w:rsid w:val="00974E21"/>
    <w:rsid w:val="00976DB8"/>
    <w:rsid w:val="00987D18"/>
    <w:rsid w:val="009927DC"/>
    <w:rsid w:val="00997DEC"/>
    <w:rsid w:val="009B05D7"/>
    <w:rsid w:val="009C13E5"/>
    <w:rsid w:val="009D1BF4"/>
    <w:rsid w:val="009E3DD9"/>
    <w:rsid w:val="009E706A"/>
    <w:rsid w:val="009F5FE1"/>
    <w:rsid w:val="00A128D8"/>
    <w:rsid w:val="00A14355"/>
    <w:rsid w:val="00A27929"/>
    <w:rsid w:val="00A301B6"/>
    <w:rsid w:val="00A32173"/>
    <w:rsid w:val="00A36653"/>
    <w:rsid w:val="00A44329"/>
    <w:rsid w:val="00A45322"/>
    <w:rsid w:val="00A63C98"/>
    <w:rsid w:val="00A67574"/>
    <w:rsid w:val="00A7669C"/>
    <w:rsid w:val="00A770A8"/>
    <w:rsid w:val="00A8261A"/>
    <w:rsid w:val="00A8734B"/>
    <w:rsid w:val="00AA0B39"/>
    <w:rsid w:val="00AB1EBA"/>
    <w:rsid w:val="00AB3874"/>
    <w:rsid w:val="00AC1666"/>
    <w:rsid w:val="00AC199F"/>
    <w:rsid w:val="00AC1B2B"/>
    <w:rsid w:val="00AC6248"/>
    <w:rsid w:val="00AD4709"/>
    <w:rsid w:val="00AD623F"/>
    <w:rsid w:val="00AF76D2"/>
    <w:rsid w:val="00B05B24"/>
    <w:rsid w:val="00B11DBD"/>
    <w:rsid w:val="00B17AA0"/>
    <w:rsid w:val="00B21ECA"/>
    <w:rsid w:val="00B2432E"/>
    <w:rsid w:val="00B32C97"/>
    <w:rsid w:val="00B3374C"/>
    <w:rsid w:val="00B36114"/>
    <w:rsid w:val="00B373D6"/>
    <w:rsid w:val="00B44851"/>
    <w:rsid w:val="00B4586E"/>
    <w:rsid w:val="00B4791D"/>
    <w:rsid w:val="00B71074"/>
    <w:rsid w:val="00B7277F"/>
    <w:rsid w:val="00B9524A"/>
    <w:rsid w:val="00B96FE5"/>
    <w:rsid w:val="00B973D4"/>
    <w:rsid w:val="00BA1C3C"/>
    <w:rsid w:val="00BB0066"/>
    <w:rsid w:val="00BB020E"/>
    <w:rsid w:val="00BB0B87"/>
    <w:rsid w:val="00BC04E1"/>
    <w:rsid w:val="00BC26DC"/>
    <w:rsid w:val="00BC7B5C"/>
    <w:rsid w:val="00BD10B8"/>
    <w:rsid w:val="00BE0C5E"/>
    <w:rsid w:val="00BE172E"/>
    <w:rsid w:val="00BE1A01"/>
    <w:rsid w:val="00BE1F9D"/>
    <w:rsid w:val="00BF6A63"/>
    <w:rsid w:val="00BF73A6"/>
    <w:rsid w:val="00C00126"/>
    <w:rsid w:val="00C0774B"/>
    <w:rsid w:val="00C11B5F"/>
    <w:rsid w:val="00C251E7"/>
    <w:rsid w:val="00C30B04"/>
    <w:rsid w:val="00C40C0E"/>
    <w:rsid w:val="00C41F83"/>
    <w:rsid w:val="00C43282"/>
    <w:rsid w:val="00C51694"/>
    <w:rsid w:val="00C52D89"/>
    <w:rsid w:val="00C53164"/>
    <w:rsid w:val="00C5619E"/>
    <w:rsid w:val="00C61657"/>
    <w:rsid w:val="00C70702"/>
    <w:rsid w:val="00C72D35"/>
    <w:rsid w:val="00C75146"/>
    <w:rsid w:val="00C7577F"/>
    <w:rsid w:val="00C90577"/>
    <w:rsid w:val="00C93205"/>
    <w:rsid w:val="00C95338"/>
    <w:rsid w:val="00CA211D"/>
    <w:rsid w:val="00CB7B52"/>
    <w:rsid w:val="00CC2425"/>
    <w:rsid w:val="00CC410F"/>
    <w:rsid w:val="00CC6D28"/>
    <w:rsid w:val="00CD094E"/>
    <w:rsid w:val="00CD0E06"/>
    <w:rsid w:val="00CD5120"/>
    <w:rsid w:val="00CE0EE2"/>
    <w:rsid w:val="00CF0D7A"/>
    <w:rsid w:val="00D05606"/>
    <w:rsid w:val="00D15A04"/>
    <w:rsid w:val="00D21279"/>
    <w:rsid w:val="00D2249E"/>
    <w:rsid w:val="00D2512A"/>
    <w:rsid w:val="00D261BC"/>
    <w:rsid w:val="00D42B7B"/>
    <w:rsid w:val="00D46A5D"/>
    <w:rsid w:val="00D46D4E"/>
    <w:rsid w:val="00D63164"/>
    <w:rsid w:val="00D6748F"/>
    <w:rsid w:val="00D735B7"/>
    <w:rsid w:val="00D76FCD"/>
    <w:rsid w:val="00D85D8E"/>
    <w:rsid w:val="00D92D75"/>
    <w:rsid w:val="00D956F6"/>
    <w:rsid w:val="00D97DEE"/>
    <w:rsid w:val="00DA3C07"/>
    <w:rsid w:val="00DA445F"/>
    <w:rsid w:val="00DB2F6E"/>
    <w:rsid w:val="00DB7682"/>
    <w:rsid w:val="00DC01BA"/>
    <w:rsid w:val="00DC0990"/>
    <w:rsid w:val="00DD1953"/>
    <w:rsid w:val="00DD4E07"/>
    <w:rsid w:val="00DD5399"/>
    <w:rsid w:val="00DD6030"/>
    <w:rsid w:val="00DE3134"/>
    <w:rsid w:val="00DE4B33"/>
    <w:rsid w:val="00DE72F6"/>
    <w:rsid w:val="00DF0670"/>
    <w:rsid w:val="00DF5D1E"/>
    <w:rsid w:val="00DF7947"/>
    <w:rsid w:val="00E004B9"/>
    <w:rsid w:val="00E07A4A"/>
    <w:rsid w:val="00E17255"/>
    <w:rsid w:val="00E1740D"/>
    <w:rsid w:val="00E22F5B"/>
    <w:rsid w:val="00E34E8E"/>
    <w:rsid w:val="00E41085"/>
    <w:rsid w:val="00E42B30"/>
    <w:rsid w:val="00E46FBE"/>
    <w:rsid w:val="00E52357"/>
    <w:rsid w:val="00E52A8E"/>
    <w:rsid w:val="00E532EE"/>
    <w:rsid w:val="00E67E1F"/>
    <w:rsid w:val="00E74ED2"/>
    <w:rsid w:val="00E77EB1"/>
    <w:rsid w:val="00E80A7A"/>
    <w:rsid w:val="00E821A1"/>
    <w:rsid w:val="00E84407"/>
    <w:rsid w:val="00EA2EA1"/>
    <w:rsid w:val="00EA3870"/>
    <w:rsid w:val="00EA72E4"/>
    <w:rsid w:val="00EB0B30"/>
    <w:rsid w:val="00EB126B"/>
    <w:rsid w:val="00EB48D7"/>
    <w:rsid w:val="00EC0162"/>
    <w:rsid w:val="00EC0C52"/>
    <w:rsid w:val="00EC1D10"/>
    <w:rsid w:val="00EC5534"/>
    <w:rsid w:val="00EC6F68"/>
    <w:rsid w:val="00ED2A40"/>
    <w:rsid w:val="00EE03B9"/>
    <w:rsid w:val="00EF0F43"/>
    <w:rsid w:val="00EF5D91"/>
    <w:rsid w:val="00F14941"/>
    <w:rsid w:val="00F2365C"/>
    <w:rsid w:val="00F26C17"/>
    <w:rsid w:val="00F30B85"/>
    <w:rsid w:val="00F32BE3"/>
    <w:rsid w:val="00F42B1D"/>
    <w:rsid w:val="00F57998"/>
    <w:rsid w:val="00F801AB"/>
    <w:rsid w:val="00F9353C"/>
    <w:rsid w:val="00F97A89"/>
    <w:rsid w:val="00FB510B"/>
    <w:rsid w:val="00FC15A0"/>
    <w:rsid w:val="00FC3DE3"/>
    <w:rsid w:val="00FC43AE"/>
    <w:rsid w:val="00FC64EC"/>
    <w:rsid w:val="00FE289E"/>
    <w:rsid w:val="00FF3704"/>
    <w:rsid w:val="00FF3880"/>
    <w:rsid w:val="00FF6493"/>
    <w:rsid w:val="00FF6AC0"/>
    <w:rsid w:val="00FF6D43"/>
    <w:rsid w:val="013B8355"/>
    <w:rsid w:val="05C92EFF"/>
    <w:rsid w:val="0B4CCE27"/>
    <w:rsid w:val="0BAD35F2"/>
    <w:rsid w:val="0D533ECC"/>
    <w:rsid w:val="10B0ADA8"/>
    <w:rsid w:val="1131D883"/>
    <w:rsid w:val="11922FDC"/>
    <w:rsid w:val="1293B121"/>
    <w:rsid w:val="12EA6D13"/>
    <w:rsid w:val="141A557C"/>
    <w:rsid w:val="158B2667"/>
    <w:rsid w:val="17632870"/>
    <w:rsid w:val="18100E54"/>
    <w:rsid w:val="18D36FFB"/>
    <w:rsid w:val="1B26501A"/>
    <w:rsid w:val="1F290D49"/>
    <w:rsid w:val="24CE84B9"/>
    <w:rsid w:val="2512EEBD"/>
    <w:rsid w:val="2663D02A"/>
    <w:rsid w:val="268BF14B"/>
    <w:rsid w:val="286F001F"/>
    <w:rsid w:val="291A17CC"/>
    <w:rsid w:val="2974C03A"/>
    <w:rsid w:val="299EA2BD"/>
    <w:rsid w:val="2A1A69AD"/>
    <w:rsid w:val="2BB7E768"/>
    <w:rsid w:val="2DFD3215"/>
    <w:rsid w:val="2FCF3C88"/>
    <w:rsid w:val="3069155F"/>
    <w:rsid w:val="321C1715"/>
    <w:rsid w:val="34905766"/>
    <w:rsid w:val="35611C1A"/>
    <w:rsid w:val="36E03069"/>
    <w:rsid w:val="378CBB4C"/>
    <w:rsid w:val="3BDEE679"/>
    <w:rsid w:val="3C8947E0"/>
    <w:rsid w:val="3D1411DD"/>
    <w:rsid w:val="3E25B2FC"/>
    <w:rsid w:val="3ED17C96"/>
    <w:rsid w:val="41ADA2B6"/>
    <w:rsid w:val="489B72AE"/>
    <w:rsid w:val="4AC36262"/>
    <w:rsid w:val="4C477C93"/>
    <w:rsid w:val="4EC1128F"/>
    <w:rsid w:val="50250066"/>
    <w:rsid w:val="5037F0C1"/>
    <w:rsid w:val="54EA55FE"/>
    <w:rsid w:val="598DEB3A"/>
    <w:rsid w:val="5C52EE0A"/>
    <w:rsid w:val="5F6283DF"/>
    <w:rsid w:val="6117B092"/>
    <w:rsid w:val="61A8314B"/>
    <w:rsid w:val="6440AB16"/>
    <w:rsid w:val="66A84496"/>
    <w:rsid w:val="66BC42CC"/>
    <w:rsid w:val="6797DFCC"/>
    <w:rsid w:val="6A801459"/>
    <w:rsid w:val="6C4B6921"/>
    <w:rsid w:val="6C535E3C"/>
    <w:rsid w:val="6F855E28"/>
    <w:rsid w:val="7168BAE2"/>
    <w:rsid w:val="7212CD2E"/>
    <w:rsid w:val="74BAC6A5"/>
    <w:rsid w:val="74F82B48"/>
    <w:rsid w:val="7704605C"/>
    <w:rsid w:val="7719F709"/>
    <w:rsid w:val="78B31239"/>
    <w:rsid w:val="79CEDF3C"/>
    <w:rsid w:val="79F73F16"/>
    <w:rsid w:val="7C16B179"/>
    <w:rsid w:val="7E042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873E"/>
  <w15:chartTrackingRefBased/>
  <w15:docId w15:val="{77984F3B-1E1E-4477-ACC7-3CDAEDBF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5D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23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237B"/>
  </w:style>
  <w:style w:type="paragraph" w:styleId="Stopka">
    <w:name w:val="footer"/>
    <w:basedOn w:val="Normalny"/>
    <w:link w:val="StopkaZnak"/>
    <w:uiPriority w:val="99"/>
    <w:unhideWhenUsed/>
    <w:rsid w:val="006E23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237B"/>
  </w:style>
  <w:style w:type="paragraph" w:styleId="Akapitzlist">
    <w:name w:val="List Paragraph"/>
    <w:aliases w:val="lp1,Preambuła,Tytuły,opis dzialania,K-P_odwolanie,Akapit z listą mon"/>
    <w:basedOn w:val="Normalny"/>
    <w:link w:val="AkapitzlistZnak"/>
    <w:uiPriority w:val="34"/>
    <w:qFormat/>
    <w:rsid w:val="00944D22"/>
    <w:pPr>
      <w:ind w:left="720"/>
      <w:contextualSpacing/>
    </w:pPr>
  </w:style>
  <w:style w:type="character" w:styleId="Hipercze">
    <w:name w:val="Hyperlink"/>
    <w:basedOn w:val="Domylnaczcionkaakapitu"/>
    <w:uiPriority w:val="99"/>
    <w:unhideWhenUsed/>
    <w:rsid w:val="00510D38"/>
    <w:rPr>
      <w:color w:val="0563C1" w:themeColor="hyperlink"/>
      <w:u w:val="single"/>
    </w:rPr>
  </w:style>
  <w:style w:type="character" w:customStyle="1" w:styleId="Nierozpoznanawzmianka1">
    <w:name w:val="Nierozpoznana wzmianka1"/>
    <w:basedOn w:val="Domylnaczcionkaakapitu"/>
    <w:uiPriority w:val="99"/>
    <w:semiHidden/>
    <w:unhideWhenUsed/>
    <w:rsid w:val="00510D38"/>
    <w:rPr>
      <w:color w:val="605E5C"/>
      <w:shd w:val="clear" w:color="auto" w:fill="E1DFDD"/>
    </w:rPr>
  </w:style>
  <w:style w:type="paragraph" w:styleId="Tekstprzypisudolnego">
    <w:name w:val="footnote text"/>
    <w:basedOn w:val="Normalny"/>
    <w:link w:val="TekstprzypisudolnegoZnak"/>
    <w:uiPriority w:val="99"/>
    <w:semiHidden/>
    <w:unhideWhenUsed/>
    <w:rsid w:val="008142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14206"/>
    <w:rPr>
      <w:sz w:val="20"/>
      <w:szCs w:val="20"/>
    </w:rPr>
  </w:style>
  <w:style w:type="character" w:styleId="Odwoanieprzypisudolnego">
    <w:name w:val="footnote reference"/>
    <w:basedOn w:val="Domylnaczcionkaakapitu"/>
    <w:uiPriority w:val="99"/>
    <w:semiHidden/>
    <w:unhideWhenUsed/>
    <w:rsid w:val="00814206"/>
    <w:rPr>
      <w:vertAlign w:val="superscript"/>
    </w:rPr>
  </w:style>
  <w:style w:type="character" w:customStyle="1" w:styleId="Nierozpoznanawzmianka2">
    <w:name w:val="Nierozpoznana wzmianka2"/>
    <w:basedOn w:val="Domylnaczcionkaakapitu"/>
    <w:uiPriority w:val="99"/>
    <w:semiHidden/>
    <w:unhideWhenUsed/>
    <w:rsid w:val="007257EE"/>
    <w:rPr>
      <w:color w:val="605E5C"/>
      <w:shd w:val="clear" w:color="auto" w:fill="E1DFDD"/>
    </w:rPr>
  </w:style>
  <w:style w:type="character" w:styleId="UyteHipercze">
    <w:name w:val="FollowedHyperlink"/>
    <w:basedOn w:val="Domylnaczcionkaakapitu"/>
    <w:uiPriority w:val="99"/>
    <w:semiHidden/>
    <w:unhideWhenUsed/>
    <w:rsid w:val="007257EE"/>
    <w:rPr>
      <w:color w:val="954F72" w:themeColor="followedHyperlink"/>
      <w:u w:val="single"/>
    </w:rPr>
  </w:style>
  <w:style w:type="character" w:styleId="Odwoaniedokomentarza">
    <w:name w:val="annotation reference"/>
    <w:basedOn w:val="Domylnaczcionkaakapitu"/>
    <w:uiPriority w:val="99"/>
    <w:semiHidden/>
    <w:unhideWhenUsed/>
    <w:rsid w:val="007A70D6"/>
    <w:rPr>
      <w:sz w:val="16"/>
      <w:szCs w:val="16"/>
    </w:rPr>
  </w:style>
  <w:style w:type="paragraph" w:styleId="Tekstkomentarza">
    <w:name w:val="annotation text"/>
    <w:basedOn w:val="Normalny"/>
    <w:link w:val="TekstkomentarzaZnak"/>
    <w:uiPriority w:val="99"/>
    <w:unhideWhenUsed/>
    <w:rsid w:val="007A70D6"/>
    <w:pPr>
      <w:spacing w:line="240" w:lineRule="auto"/>
    </w:pPr>
    <w:rPr>
      <w:sz w:val="20"/>
      <w:szCs w:val="20"/>
    </w:rPr>
  </w:style>
  <w:style w:type="character" w:customStyle="1" w:styleId="TekstkomentarzaZnak">
    <w:name w:val="Tekst komentarza Znak"/>
    <w:basedOn w:val="Domylnaczcionkaakapitu"/>
    <w:link w:val="Tekstkomentarza"/>
    <w:uiPriority w:val="99"/>
    <w:rsid w:val="007A70D6"/>
    <w:rPr>
      <w:sz w:val="20"/>
      <w:szCs w:val="20"/>
    </w:rPr>
  </w:style>
  <w:style w:type="paragraph" w:styleId="Tematkomentarza">
    <w:name w:val="annotation subject"/>
    <w:basedOn w:val="Tekstkomentarza"/>
    <w:next w:val="Tekstkomentarza"/>
    <w:link w:val="TematkomentarzaZnak"/>
    <w:uiPriority w:val="99"/>
    <w:semiHidden/>
    <w:unhideWhenUsed/>
    <w:rsid w:val="007A70D6"/>
    <w:rPr>
      <w:b/>
      <w:bCs/>
    </w:rPr>
  </w:style>
  <w:style w:type="character" w:customStyle="1" w:styleId="TematkomentarzaZnak">
    <w:name w:val="Temat komentarza Znak"/>
    <w:basedOn w:val="TekstkomentarzaZnak"/>
    <w:link w:val="Tematkomentarza"/>
    <w:uiPriority w:val="99"/>
    <w:semiHidden/>
    <w:rsid w:val="007A70D6"/>
    <w:rPr>
      <w:b/>
      <w:bCs/>
      <w:sz w:val="20"/>
      <w:szCs w:val="20"/>
    </w:rPr>
  </w:style>
  <w:style w:type="paragraph" w:styleId="Poprawka">
    <w:name w:val="Revision"/>
    <w:hidden/>
    <w:uiPriority w:val="99"/>
    <w:semiHidden/>
    <w:rsid w:val="007A70D6"/>
    <w:pPr>
      <w:spacing w:after="0" w:line="240" w:lineRule="auto"/>
    </w:pPr>
  </w:style>
  <w:style w:type="paragraph" w:styleId="Tekstdymka">
    <w:name w:val="Balloon Text"/>
    <w:basedOn w:val="Normalny"/>
    <w:link w:val="TekstdymkaZnak"/>
    <w:uiPriority w:val="99"/>
    <w:semiHidden/>
    <w:unhideWhenUsed/>
    <w:rsid w:val="002571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1F9"/>
    <w:rPr>
      <w:rFonts w:ascii="Segoe UI" w:hAnsi="Segoe UI" w:cs="Segoe UI"/>
      <w:sz w:val="18"/>
      <w:szCs w:val="18"/>
    </w:rPr>
  </w:style>
  <w:style w:type="character" w:customStyle="1" w:styleId="AkapitzlistZnak">
    <w:name w:val="Akapit z listą Znak"/>
    <w:aliases w:val="lp1 Znak,Preambuła Znak,Tytuły Znak,opis dzialania Znak,K-P_odwolanie Znak,Akapit z listą mon Znak"/>
    <w:link w:val="Akapitzlist"/>
    <w:uiPriority w:val="34"/>
    <w:locked/>
    <w:rsid w:val="009E706A"/>
  </w:style>
  <w:style w:type="character" w:customStyle="1" w:styleId="Nagwek1Znak">
    <w:name w:val="Nagłówek 1 Znak"/>
    <w:basedOn w:val="Domylnaczcionkaakapitu"/>
    <w:link w:val="Nagwek1"/>
    <w:uiPriority w:val="9"/>
    <w:rsid w:val="00EF5D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3493">
      <w:bodyDiv w:val="1"/>
      <w:marLeft w:val="0"/>
      <w:marRight w:val="0"/>
      <w:marTop w:val="0"/>
      <w:marBottom w:val="0"/>
      <w:divBdr>
        <w:top w:val="none" w:sz="0" w:space="0" w:color="auto"/>
        <w:left w:val="none" w:sz="0" w:space="0" w:color="auto"/>
        <w:bottom w:val="none" w:sz="0" w:space="0" w:color="auto"/>
        <w:right w:val="none" w:sz="0" w:space="0" w:color="auto"/>
      </w:divBdr>
    </w:div>
    <w:div w:id="20159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planodbudowy/dnsh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funduszmodernizacyjny/renowacja-z-gwarancja-oszczednosci-epc-energy-performance-contract-plus-nabor-i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klimat/wytyczne-do-umow-o-poprawe-efektywnosci-energetycznej-ep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B58675D2A0254293EEABE80F99FB86" ma:contentTypeVersion="3" ma:contentTypeDescription="Utwórz nowy dokument." ma:contentTypeScope="" ma:versionID="b3ff6d102ab4d7ffe8e600f0f93cd7aa">
  <xsd:schema xmlns:xsd="http://www.w3.org/2001/XMLSchema" xmlns:xs="http://www.w3.org/2001/XMLSchema" xmlns:p="http://schemas.microsoft.com/office/2006/metadata/properties" xmlns:ns2="82ee1216-ef73-46c9-bef4-25ce3b039e88" targetNamespace="http://schemas.microsoft.com/office/2006/metadata/properties" ma:root="true" ma:fieldsID="9ccbc191c36dac433ebddb096e036a2c" ns2:_="">
    <xsd:import namespace="82ee1216-ef73-46c9-bef4-25ce3b039e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e1216-ef73-46c9-bef4-25ce3b039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C52A75-D9AA-4EE4-990B-3D249DD98CD9}">
  <ds:schemaRefs>
    <ds:schemaRef ds:uri="http://schemas.openxmlformats.org/officeDocument/2006/bibliography"/>
  </ds:schemaRefs>
</ds:datastoreItem>
</file>

<file path=customXml/itemProps2.xml><?xml version="1.0" encoding="utf-8"?>
<ds:datastoreItem xmlns:ds="http://schemas.openxmlformats.org/officeDocument/2006/customXml" ds:itemID="{96A692E2-DA7F-4DBB-8AA4-90A1DC2422CB}">
  <ds:schemaRefs>
    <ds:schemaRef ds:uri="http://schemas.microsoft.com/sharepoint/v3/contenttype/forms"/>
  </ds:schemaRefs>
</ds:datastoreItem>
</file>

<file path=customXml/itemProps3.xml><?xml version="1.0" encoding="utf-8"?>
<ds:datastoreItem xmlns:ds="http://schemas.openxmlformats.org/officeDocument/2006/customXml" ds:itemID="{0BD19FDF-A985-4D5A-B56A-DD8F14629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e1216-ef73-46c9-bef4-25ce3b039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92570F-443A-418F-9245-707B98C5A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9318</Words>
  <Characters>55913</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Regulaminu Wytyczne do realizacji w formule ESCO_EPC_FEnIKS</dc:title>
  <dc:subject/>
  <dc:creator>Obłękowski Piotr</dc:creator>
  <cp:keywords/>
  <dc:description/>
  <cp:lastModifiedBy>Borowska Katarzyna</cp:lastModifiedBy>
  <cp:revision>24</cp:revision>
  <dcterms:created xsi:type="dcterms:W3CDTF">2025-04-23T06:18:00Z</dcterms:created>
  <dcterms:modified xsi:type="dcterms:W3CDTF">2025-04-29T08:10:00Z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0x010100A2B58675D2A0254293EEABE80F99FB86</vt:lpwstr>
  </property>
</Properties>
</file>