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B778DF" w:rsidRDefault="008824D9" w:rsidP="008824D9">
      <w:pPr>
        <w:spacing w:after="19" w:line="240" w:lineRule="auto"/>
        <w:ind w:right="2"/>
        <w:rPr>
          <w:rStyle w:val="Wyrnieniedelikatne"/>
        </w:rPr>
      </w:pPr>
      <w:bookmarkStart w:id="0" w:name="_GoBack"/>
      <w:bookmarkEnd w:id="0"/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670DDD83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="00725A7A">
        <w:rPr>
          <w:rFonts w:eastAsia="Times New Roman" w:cstheme="minorHAnsi"/>
          <w:lang w:eastAsia="pl-PL"/>
        </w:rPr>
        <w:t xml:space="preserve"> </w:t>
      </w:r>
      <w:r w:rsidRPr="008824D9">
        <w:rPr>
          <w:rFonts w:eastAsia="Times New Roman" w:cstheme="minorHAnsi"/>
          <w:lang w:eastAsia="pl-PL"/>
        </w:rPr>
        <w:t xml:space="preserve">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5BBD9B9A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140754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telefonicznie na nr </w:t>
      </w:r>
      <w:r w:rsidR="005B36D3">
        <w:rPr>
          <w:rFonts w:eastAsia="Times New Roman" w:cstheme="minorHAnsi"/>
          <w:lang w:eastAsia="pl-PL"/>
        </w:rPr>
        <w:t>577 53 75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180F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3341C8E3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 xml:space="preserve">CLB </w:t>
    </w:r>
    <w:r w:rsidR="00137E3A">
      <w:rPr>
        <w:rFonts w:ascii="Calibri" w:eastAsia="Times New Roman" w:hAnsi="Calibri" w:cs="Times New Roman"/>
        <w:lang w:eastAsia="pl-PL"/>
      </w:rPr>
      <w:t>Nowy Sącz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37E3A"/>
    <w:rsid w:val="00180F07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5B36D3"/>
    <w:rsid w:val="00725A7A"/>
    <w:rsid w:val="007724F5"/>
    <w:rsid w:val="007E1588"/>
    <w:rsid w:val="00804B7A"/>
    <w:rsid w:val="008530C4"/>
    <w:rsid w:val="008824D9"/>
    <w:rsid w:val="008C6366"/>
    <w:rsid w:val="008C6E56"/>
    <w:rsid w:val="009718F8"/>
    <w:rsid w:val="00A01558"/>
    <w:rsid w:val="00A76C0E"/>
    <w:rsid w:val="00AC46FC"/>
    <w:rsid w:val="00B33116"/>
    <w:rsid w:val="00B34C0B"/>
    <w:rsid w:val="00B53726"/>
    <w:rsid w:val="00B778DF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Wyrnieniedelikatne">
    <w:name w:val="Subtle Emphasis"/>
    <w:basedOn w:val="Domylnaczcionkaakapitu"/>
    <w:uiPriority w:val="19"/>
    <w:qFormat/>
    <w:rsid w:val="00B778DF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Marta Werner</cp:lastModifiedBy>
  <cp:revision>10</cp:revision>
  <dcterms:created xsi:type="dcterms:W3CDTF">2025-01-22T09:22:00Z</dcterms:created>
  <dcterms:modified xsi:type="dcterms:W3CDTF">2026-04-08T13:17:00Z</dcterms:modified>
</cp:coreProperties>
</file>