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3AAD" w14:textId="75B26DA5" w:rsidR="00326994" w:rsidRDefault="002012C8" w:rsidP="002012C8">
      <w:pPr>
        <w:rPr>
          <w:rFonts w:ascii="Verdana" w:hAnsi="Verdana"/>
          <w:color w:val="ED7D31" w:themeColor="accent2"/>
          <w:sz w:val="16"/>
          <w:szCs w:val="16"/>
        </w:rPr>
      </w:pPr>
      <w:bookmarkStart w:id="0" w:name="_Hlk192496791"/>
      <w:bookmarkEnd w:id="0"/>
      <w:r>
        <w:rPr>
          <w:noProof/>
          <w:lang w:eastAsia="pl-PL"/>
        </w:rPr>
        <w:drawing>
          <wp:anchor distT="0" distB="0" distL="0" distR="0" simplePos="0" relativeHeight="251636224" behindDoc="0" locked="0" layoutInCell="1" allowOverlap="1" wp14:anchorId="2A902DB2" wp14:editId="725B20C0">
            <wp:simplePos x="0" y="0"/>
            <wp:positionH relativeFrom="page">
              <wp:posOffset>770890</wp:posOffset>
            </wp:positionH>
            <wp:positionV relativeFrom="paragraph">
              <wp:posOffset>-381765</wp:posOffset>
            </wp:positionV>
            <wp:extent cx="2093205" cy="777587"/>
            <wp:effectExtent l="0" t="0" r="2540" b="3810"/>
            <wp:wrapNone/>
            <wp:docPr id="3" name="image2.png" descr="Obraz zawierający czarne, ciemność&#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Obraz zawierający czarne, ciemność&#10;&#10;Zawartość wygenerowana przez sztuczną inteligencję może być niepoprawna."/>
                    <pic:cNvPicPr/>
                  </pic:nvPicPr>
                  <pic:blipFill>
                    <a:blip r:embed="rId8" cstate="print"/>
                    <a:stretch>
                      <a:fillRect/>
                    </a:stretch>
                  </pic:blipFill>
                  <pic:spPr>
                    <a:xfrm>
                      <a:off x="0" y="0"/>
                      <a:ext cx="2093205" cy="77758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lang w:eastAsia="pl-PL"/>
        </w:rPr>
        <w:drawing>
          <wp:anchor distT="0" distB="0" distL="114300" distR="114300" simplePos="0" relativeHeight="251640320" behindDoc="0" locked="0" layoutInCell="1" allowOverlap="1" wp14:anchorId="7684B76F" wp14:editId="12E0B9C0">
            <wp:simplePos x="0" y="0"/>
            <wp:positionH relativeFrom="column">
              <wp:posOffset>4387445</wp:posOffset>
            </wp:positionH>
            <wp:positionV relativeFrom="paragraph">
              <wp:posOffset>-365125</wp:posOffset>
            </wp:positionV>
            <wp:extent cx="1410970" cy="368300"/>
            <wp:effectExtent l="0" t="0" r="0" b="0"/>
            <wp:wrapTopAndBottom/>
            <wp:docPr id="1" name="image1.png" descr="Obraz zawierający Czcionka, Grafika, tekst, typograf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Czcionka, Grafika, tekst, typografia&#10;&#10;Zawartość wygenerowana przez sztuczną inteligencję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970" cy="368300"/>
                    </a:xfrm>
                    <a:prstGeom prst="rect">
                      <a:avLst/>
                    </a:prstGeom>
                  </pic:spPr>
                </pic:pic>
              </a:graphicData>
            </a:graphic>
          </wp:anchor>
        </w:drawing>
      </w:r>
    </w:p>
    <w:p w14:paraId="48C89313" w14:textId="1D12D007" w:rsidR="002012C8" w:rsidRPr="00EE07CB" w:rsidRDefault="002012C8" w:rsidP="00EE07CB">
      <w:pPr>
        <w:jc w:val="right"/>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3632" behindDoc="0" locked="0" layoutInCell="1" allowOverlap="1" wp14:anchorId="745CFF78" wp14:editId="353F6980">
                <wp:simplePos x="0" y="0"/>
                <wp:positionH relativeFrom="column">
                  <wp:posOffset>-116901</wp:posOffset>
                </wp:positionH>
                <wp:positionV relativeFrom="paragraph">
                  <wp:posOffset>216535</wp:posOffset>
                </wp:positionV>
                <wp:extent cx="5960125" cy="21590"/>
                <wp:effectExtent l="0" t="0" r="21590" b="35560"/>
                <wp:wrapNone/>
                <wp:docPr id="1915478644" name="Łącznik prosty 2"/>
                <wp:cNvGraphicFramePr/>
                <a:graphic xmlns:a="http://schemas.openxmlformats.org/drawingml/2006/main">
                  <a:graphicData uri="http://schemas.microsoft.com/office/word/2010/wordprocessingShape">
                    <wps:wsp>
                      <wps:cNvCnPr/>
                      <wps:spPr>
                        <a:xfrm flipV="1">
                          <a:off x="0" y="0"/>
                          <a:ext cx="5960125" cy="21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4907C" id="Łącznik prosty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7.05pt" to="460.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oDwAEAAOIDAAAOAAAAZHJzL2Uyb0RvYy54bWysU01v2zAMvQ/ofxB0X2wHSNEacXpo0V2K&#10;reg+7qpMxQL0BUmLnX8/ik6cYhsGbNhFMCW+R75Hens3WcMOEJP2ruPNquYMnPS9dvuOf/3y+P6G&#10;s5SF64XxDjp+hMTvdlfvtmNoYe0Hb3qIDElcasfQ8SHn0FZVkgNYkVY+gMNH5aMVGcO4r/ooRmS3&#10;plrX9XU1+tiH6CWkhLcP8yPfEb9SIPMnpRJkZjqOvWU6I52v5ax2W9HuowiDlqc2xD90YYV2WHSh&#10;ehBZsO9R/0JltYw+eZVX0tvKK6UlkAZU09Q/qfk8iACkBc1JYbEp/T9a+fFw754j2jCG1KbwHIuK&#10;SUXLlNHhG86UdGGnbCLbjottMGUm8XJze1036w1nEt/WzeaWbK1mmkIXYsofwFtWPjputCuqRCsO&#10;TyljaUw9p5Rr48qZvNH9ozaGgrIPcG8iOwicZJ6aMjnEvcnCqCCrixD6ykcDM+sLKKZ7bHiWRDt2&#10;4RRSgstnXuMwu8AUdrAAa2r7j8BTfoEC7d/fgBcEVfYuL2CrnY+/q36xQs35Zwdm3cWCV98facRk&#10;DS4SOXda+rKpb2OCX37N3Q8AAAD//wMAUEsDBBQABgAIAAAAIQANWEWK4QAAAAkBAAAPAAAAZHJz&#10;L2Rvd25yZXYueG1sTI/BTsMwDIbvSLxDZCRuW9oyYJSmE0LigDSNse0wbllj2kLjlCTdyttjTnC0&#10;/en39xeL0XbiiD60jhSk0wQEUuVMS7WC3fZpMgcRoiajO0eo4BsDLMrzs0Lnxp3oFY+bWAsOoZBr&#10;BU2MfS5lqBq0Okxdj8S3d+etjjz6WhqvTxxuO5klyY20uiX+0OgeHxusPjeDVbBPn7/WVf+x3r5U&#10;yze/jKsVxkGpy4vx4R5ExDH+wfCrz+pQstPBDWSC6BRM0vmMUQVXsxQEA3dZkoE48OL2GmRZyP8N&#10;yh8AAAD//wMAUEsBAi0AFAAGAAgAAAAhALaDOJL+AAAA4QEAABMAAAAAAAAAAAAAAAAAAAAAAFtD&#10;b250ZW50X1R5cGVzXS54bWxQSwECLQAUAAYACAAAACEAOP0h/9YAAACUAQAACwAAAAAAAAAAAAAA&#10;AAAvAQAAX3JlbHMvLnJlbHNQSwECLQAUAAYACAAAACEA6g66A8ABAADiAwAADgAAAAAAAAAAAAAA&#10;AAAuAgAAZHJzL2Uyb0RvYy54bWxQSwECLQAUAAYACAAAACEADVhFiuEAAAAJAQAADwAAAAAAAAAA&#10;AAAAAAAaBAAAZHJzL2Rvd25yZXYueG1sUEsFBgAAAAAEAAQA8wAAACgFAAAAAA==&#10;" strokecolor="black [3213]" strokeweight=".5pt">
                <v:stroke joinstyle="miter"/>
              </v:line>
            </w:pict>
          </mc:Fallback>
        </mc:AlternateContent>
      </w:r>
      <w:r w:rsidRPr="002012C8">
        <w:rPr>
          <w:rFonts w:ascii="Verdana" w:hAnsi="Verdana"/>
          <w:sz w:val="18"/>
          <w:szCs w:val="18"/>
        </w:rPr>
        <w:t>Zestawienie – N</w:t>
      </w:r>
      <w:r w:rsidR="00EE07CB">
        <w:rPr>
          <w:rFonts w:ascii="Verdana" w:hAnsi="Verdana"/>
          <w:sz w:val="18"/>
          <w:szCs w:val="18"/>
        </w:rPr>
        <w:t>e</w:t>
      </w:r>
      <w:r w:rsidRPr="002012C8">
        <w:rPr>
          <w:rFonts w:ascii="Verdana" w:hAnsi="Verdana"/>
          <w:sz w:val="18"/>
          <w:szCs w:val="18"/>
        </w:rPr>
        <w:t xml:space="preserve"> bis in idem</w:t>
      </w:r>
    </w:p>
    <w:p w14:paraId="1B87B9AF" w14:textId="77777777" w:rsidR="00EE07CB" w:rsidRDefault="00EE07CB" w:rsidP="00F1211B">
      <w:pPr>
        <w:jc w:val="right"/>
        <w:rPr>
          <w:rFonts w:ascii="Verdana" w:hAnsi="Verdana"/>
          <w:color w:val="ED7D31" w:themeColor="accent2"/>
          <w:sz w:val="16"/>
          <w:szCs w:val="16"/>
        </w:rPr>
      </w:pPr>
    </w:p>
    <w:p w14:paraId="5369BFE9" w14:textId="291638DB" w:rsidR="00F1211B" w:rsidRPr="00A756D3" w:rsidRDefault="008C6712" w:rsidP="00A756D3">
      <w:pPr>
        <w:jc w:val="right"/>
        <w:rPr>
          <w:rFonts w:ascii="Verdana" w:hAnsi="Verdana"/>
          <w:color w:val="ED7D31" w:themeColor="accent2"/>
          <w:sz w:val="16"/>
          <w:szCs w:val="16"/>
        </w:rPr>
      </w:pPr>
      <w:r>
        <w:rPr>
          <w:rFonts w:ascii="Verdana" w:hAnsi="Verdana"/>
          <w:color w:val="ED7D31" w:themeColor="accent2"/>
          <w:sz w:val="16"/>
          <w:szCs w:val="16"/>
        </w:rPr>
        <w:t>Wrzesień 2022 r.</w:t>
      </w:r>
      <w:r w:rsidR="00F1211B" w:rsidRPr="00816D61">
        <w:rPr>
          <w:rFonts w:ascii="Verdana" w:hAnsi="Verdana"/>
          <w:color w:val="ED7D31" w:themeColor="accent2"/>
          <w:sz w:val="16"/>
          <w:szCs w:val="16"/>
        </w:rPr>
        <w:br/>
      </w:r>
      <w:r w:rsidR="00EE514E" w:rsidRPr="00816D61">
        <w:rPr>
          <w:rFonts w:ascii="Verdana" w:hAnsi="Verdana"/>
          <w:color w:val="ED7D31" w:themeColor="accent2"/>
          <w:sz w:val="16"/>
          <w:szCs w:val="16"/>
        </w:rPr>
        <w:t>Poniższe z</w:t>
      </w:r>
      <w:r w:rsidR="00B60ACA" w:rsidRPr="00816D61">
        <w:rPr>
          <w:rFonts w:ascii="Verdana" w:hAnsi="Verdana"/>
          <w:color w:val="ED7D31" w:themeColor="accent2"/>
          <w:sz w:val="16"/>
          <w:szCs w:val="16"/>
        </w:rPr>
        <w:t xml:space="preserve">estawienie nie jest wiążące dla Trybunału </w:t>
      </w:r>
      <w:r w:rsidR="00663974">
        <w:rPr>
          <w:rFonts w:ascii="Verdana" w:hAnsi="Verdana"/>
          <w:color w:val="ED7D31" w:themeColor="accent2"/>
          <w:sz w:val="16"/>
          <w:szCs w:val="16"/>
        </w:rPr>
        <w:t xml:space="preserve">i </w:t>
      </w:r>
      <w:r w:rsidR="00EE514E" w:rsidRPr="00816D61">
        <w:rPr>
          <w:rFonts w:ascii="Verdana" w:hAnsi="Verdana"/>
          <w:color w:val="ED7D31" w:themeColor="accent2"/>
          <w:sz w:val="16"/>
          <w:szCs w:val="16"/>
        </w:rPr>
        <w:t xml:space="preserve">nie jest </w:t>
      </w:r>
      <w:r w:rsidR="00B60ACA" w:rsidRPr="00816D61">
        <w:rPr>
          <w:rFonts w:ascii="Verdana" w:hAnsi="Verdana"/>
          <w:color w:val="ED7D31" w:themeColor="accent2"/>
          <w:sz w:val="16"/>
          <w:szCs w:val="16"/>
        </w:rPr>
        <w:t>wyczerpujące</w:t>
      </w:r>
    </w:p>
    <w:p w14:paraId="08BA6A25" w14:textId="643787D2" w:rsidR="00EE07CB" w:rsidRPr="00590FCF" w:rsidRDefault="00EE07CB" w:rsidP="00EE07CB">
      <w:pPr>
        <w:spacing w:after="19"/>
        <w:ind w:right="862"/>
        <w:jc w:val="both"/>
        <w:rPr>
          <w:color w:val="0070C0"/>
          <w:sz w:val="48"/>
          <w:lang w:val="pl"/>
        </w:rPr>
      </w:pPr>
      <w:r w:rsidRPr="00590FCF">
        <w:rPr>
          <w:color w:val="0070C0"/>
          <w:sz w:val="48"/>
          <w:lang w:val="pl"/>
        </w:rPr>
        <w:t>Zakaz po</w:t>
      </w:r>
      <w:r w:rsidR="00196CF8" w:rsidRPr="00590FCF">
        <w:rPr>
          <w:color w:val="0070C0"/>
          <w:sz w:val="48"/>
          <w:lang w:val="pl"/>
        </w:rPr>
        <w:t>nownego sądzenia lub</w:t>
      </w:r>
      <w:r w:rsidRPr="00590FCF">
        <w:rPr>
          <w:color w:val="0070C0"/>
          <w:sz w:val="48"/>
          <w:lang w:val="pl"/>
        </w:rPr>
        <w:t xml:space="preserve"> karania (zasada </w:t>
      </w:r>
      <w:r w:rsidRPr="00590FCF">
        <w:rPr>
          <w:i/>
          <w:iCs/>
          <w:color w:val="0070C0"/>
          <w:sz w:val="48"/>
          <w:lang w:val="pl"/>
        </w:rPr>
        <w:t>ne bis in idem)</w:t>
      </w:r>
      <w:r w:rsidRPr="00590FCF">
        <w:rPr>
          <w:color w:val="0070C0"/>
          <w:sz w:val="48"/>
          <w:lang w:val="pl"/>
        </w:rPr>
        <w:t xml:space="preserve"> </w:t>
      </w:r>
    </w:p>
    <w:p w14:paraId="5F50D0A8" w14:textId="416280B8" w:rsidR="00A756D3" w:rsidRDefault="00663974" w:rsidP="00593FCF">
      <w:pPr>
        <w:pStyle w:val="Tekstpodstawowy"/>
        <w:ind w:left="28" w:right="25"/>
        <w:rPr>
          <w:b/>
          <w:bCs/>
        </w:rPr>
      </w:pPr>
      <w:r w:rsidRPr="00590FCF">
        <w:rPr>
          <w:noProof/>
          <w:color w:val="0070C0"/>
          <w:sz w:val="6"/>
          <w:lang w:eastAsia="pl-PL"/>
        </w:rPr>
        <mc:AlternateContent>
          <mc:Choice Requires="wpg">
            <w:drawing>
              <wp:anchor distT="0" distB="0" distL="114300" distR="114300" simplePos="0" relativeHeight="251668480" behindDoc="1" locked="0" layoutInCell="1" allowOverlap="1" wp14:anchorId="5D99EDA5" wp14:editId="081682DA">
                <wp:simplePos x="0" y="0"/>
                <wp:positionH relativeFrom="margin">
                  <wp:posOffset>3175</wp:posOffset>
                </wp:positionH>
                <wp:positionV relativeFrom="paragraph">
                  <wp:posOffset>-6985</wp:posOffset>
                </wp:positionV>
                <wp:extent cx="5768340" cy="0"/>
                <wp:effectExtent l="0" t="19050" r="22860" b="19050"/>
                <wp:wrapTight wrapText="bothSides">
                  <wp:wrapPolygon edited="0">
                    <wp:start x="0" y="-1"/>
                    <wp:lineTo x="0" y="-1"/>
                    <wp:lineTo x="21614" y="-1"/>
                    <wp:lineTo x="21614" y="-1"/>
                    <wp:lineTo x="0" y="-1"/>
                  </wp:wrapPolygon>
                </wp:wrapTight>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0"/>
                          <a:chOff x="-104" y="30"/>
                          <a:chExt cx="9084" cy="0"/>
                        </a:xfrm>
                      </wpg:grpSpPr>
                      <wps:wsp>
                        <wps:cNvPr id="25" name="Line 18"/>
                        <wps:cNvCnPr>
                          <a:cxnSpLocks noChangeShapeType="1"/>
                        </wps:cNvCnPr>
                        <wps:spPr bwMode="auto">
                          <a:xfrm>
                            <a:off x="-104"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F218D54" id="Group 17" o:spid="_x0000_s1026" style="position:absolute;margin-left:.25pt;margin-top:-.55pt;width:454.2pt;height:0;z-index:-251648000;mso-position-horizontal-relative:margin" coordorigin="-104,30" coordsize="9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mJgIAALYEAAAOAAAAZHJzL2Uyb0RvYy54bWykVNuO2yAQfa/Uf0C8b2xnL3WtOKsqyeYl&#10;bSPt9gMmGNuoGBCQOPn7DtibRLuqKm1lCQFzO3MO49njsZPkwK0TWpU0m6SUcMV0JVRT0l8vTzc5&#10;Jc6DqkBqxUt64o4+zj9/mvWm4FPdallxSzCJckVvStp6b4okcazlHbiJNlyhsda2A49H2ySVhR6z&#10;dzKZpulD0mtbGasZdw5vl4ORzmP+uubM/6xrxz2RJUVsPq42rruwJvMZFI0F0wo2woAPoOhAKCx6&#10;TrUED2RvxbtUnWBWO137CdNdoutaMB57wG6y9E03a6v3JvbSFH1jzjQhtW94+nBa9uOwtubZbO2A&#10;HrcbzX475CXpTVNc28O5GZzJrv+uK9QT9l7Hxo+17UIKbIkcI7+nM7/86AnDy/svD/ntHcrALjbW&#10;okAh4iZL7yhBw+2oCmtXY9zXNEfTOSiBYqgWEY6IguL4hNyFJfd/LD23YHgk3wUWtpaIqqTTe0oU&#10;dNj5RihOsjy8oFAZXRZqYJEd1cgiUXrRgmp4TPZyMhiXhQhEfhUSDg4l+Cer7zh6ZfZvDEFhrPNr&#10;rjsSNiWViDrqBYeN8wHJxSXIp/STkBLvoZCK9KhGnqVpjHBaiipYg9HZZreQlhwAB2v1LXyxL7Rc&#10;u4WiS3Dt4BdNw8jhy1ZVLNNyqFbj3oOQwx5hSTXyFKgZSN7p6rS1r/yh2OMrxeGInYyDHKbv+hy9&#10;Lr+b+R8AAAD//wMAUEsDBBQABgAIAAAAIQCkB0yu2wAAAAYBAAAPAAAAZHJzL2Rvd25yZXYueG1s&#10;TI7NasJAFIX3hb7DcIXudDItFo2ZiEjblRSqhdLdNXNNgpk7ITMm8e07pQu7PD+c82Xr0Taip87X&#10;jjWoWQKCuHCm5lLD5+F1ugDhA7LBxjFpuJKHdX5/l2Fq3MAf1O9DKeII+xQ1VCG0qZS+qMiin7mW&#10;OGYn11kMUXalNB0Ocdw28jFJnqXFmuNDhS1tKyrO+4vV8DbgsHlSL/3ufNpevw/z96+dIq0fJuNm&#10;BSLQGG5l+MWP6JBHpqO7sPGi0TCPPQ1TpUDEdJksliCOf4bMM/kfP/8BAAD//wMAUEsBAi0AFAAG&#10;AAgAAAAhALaDOJL+AAAA4QEAABMAAAAAAAAAAAAAAAAAAAAAAFtDb250ZW50X1R5cGVzXS54bWxQ&#10;SwECLQAUAAYACAAAACEAOP0h/9YAAACUAQAACwAAAAAAAAAAAAAAAAAvAQAAX3JlbHMvLnJlbHNQ&#10;SwECLQAUAAYACAAAACEAkI1LpiYCAAC2BAAADgAAAAAAAAAAAAAAAAAuAgAAZHJzL2Uyb0RvYy54&#10;bWxQSwECLQAUAAYACAAAACEApAdMrtsAAAAGAQAADwAAAAAAAAAAAAAAAACABAAAZHJzL2Rvd25y&#10;ZXYueG1sUEsFBgAAAAAEAAQA8wAAAIgFAAAAAA==&#10;">
                <v:line id="Line 18" o:spid="_x0000_s1027" style="position:absolute;visibility:visible;mso-wrap-style:square" from="-104,30" to="89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P5wwAAANsAAAAPAAAAZHJzL2Rvd25yZXYueG1sRI9PawIx&#10;FMTvBb9DeIK3mlWw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WC9T+cMAAADbAAAADwAA&#10;AAAAAAAAAAAAAAAHAgAAZHJzL2Rvd25yZXYueG1sUEsFBgAAAAADAAMAtwAAAPcCAAAAAA==&#10;" strokecolor="#eaeaea" strokeweight="3pt"/>
                <w10:wrap type="tight" anchorx="margin"/>
              </v:group>
            </w:pict>
          </mc:Fallback>
        </mc:AlternateContent>
      </w:r>
      <w:r w:rsidR="00A756D3" w:rsidRPr="007B2603">
        <w:rPr>
          <w:noProof/>
          <w:color w:val="0070C0"/>
          <w:lang w:eastAsia="pl-PL" w:bidi="ar-SA"/>
        </w:rPr>
        <mc:AlternateContent>
          <mc:Choice Requires="wps">
            <w:drawing>
              <wp:anchor distT="0" distB="0" distL="0" distR="0" simplePos="0" relativeHeight="251674112" behindDoc="1" locked="0" layoutInCell="1" allowOverlap="1" wp14:anchorId="5B58053B" wp14:editId="1808F0A0">
                <wp:simplePos x="0" y="0"/>
                <wp:positionH relativeFrom="margin">
                  <wp:posOffset>-18445</wp:posOffset>
                </wp:positionH>
                <wp:positionV relativeFrom="paragraph">
                  <wp:posOffset>145185</wp:posOffset>
                </wp:positionV>
                <wp:extent cx="5790374" cy="2225040"/>
                <wp:effectExtent l="0" t="0" r="20320" b="22860"/>
                <wp:wrapNone/>
                <wp:docPr id="19940964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374" cy="2225040"/>
                        </a:xfrm>
                        <a:prstGeom prst="rect">
                          <a:avLst/>
                        </a:prstGeom>
                        <a:solidFill>
                          <a:srgbClr val="F3F3F3"/>
                        </a:solidFill>
                        <a:ln w="9525">
                          <a:solidFill>
                            <a:srgbClr val="000000"/>
                          </a:solidFill>
                          <a:prstDash val="solid"/>
                          <a:miter lim="800000"/>
                          <a:headEnd/>
                          <a:tailEnd/>
                        </a:ln>
                      </wps:spPr>
                      <wps:txbx>
                        <w:txbxContent>
                          <w:p w14:paraId="3771DF38" w14:textId="77777777" w:rsidR="00196CF8" w:rsidRDefault="00196CF8" w:rsidP="00196CF8">
                            <w:pPr>
                              <w:pStyle w:val="Tekstpodstawowy"/>
                              <w:ind w:right="2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053B" id="_x0000_t202" coordsize="21600,21600" o:spt="202" path="m,l,21600r21600,l21600,xe">
                <v:stroke joinstyle="miter"/>
                <v:path gradientshapeok="t" o:connecttype="rect"/>
              </v:shapetype>
              <v:shape id="Text Box 11" o:spid="_x0000_s1026" type="#_x0000_t202" style="position:absolute;left:0;text-align:left;margin-left:-1.45pt;margin-top:11.45pt;width:455.95pt;height:175.2pt;z-index:-251642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1EGwIAADUEAAAOAAAAZHJzL2Uyb0RvYy54bWysU21v0zAQ/o7Ef7D8nSbNVrZFS6fRUoQ0&#10;XqTBD3Acp7FwfObsNim/nrPTdmjAF0QiWWf77rm75x7f3o29YXuFXoOt+HyWc6ashEbbbcW/ftm8&#10;uubMB2EbYcCqih+U53fLly9uB1eqAjowjUJGINaXg6t4F4Irs8zLTvXCz8ApS5ctYC8CbXGbNSgG&#10;Qu9NVuT562wAbByCVN7T6Xq65MuE37ZKhk9t61VgpuJUW0grprWOa7a8FeUWheu0PJYh/qGKXmhL&#10;Sc9QaxEE26H+DarXEsFDG2YS+gzaVkuVeqBu5vmzbh474VTqhcjx7kyT/3+w8uP+0X1GFsY3MNIA&#10;UxPePYD85pmFVSfsVt0jwtAp0VDieaQsG5wvj6GRal/6CFIPH6ChIYtdgAQ0tthHVqhPRug0gMOZ&#10;dDUGJulwcXWTX1xdcibpriiKRX6ZxpKJ8hTu0Id3CnoWjYojTTXBi/2DD7EcUZ5cYjYPRjcbbUza&#10;4LZeGWR7QQrYXMQ/dfDMzVg2VPxmUSwmBv4KkafvTxCxhLXw3ZQqFTHJq9eBNG50X/Hrc7QoI6Fv&#10;bZMUGIQ2k029GHtkOJI60RvGeiTHyHQNzYG4Rpi0TG+PjA7wB2cD6bji/vtOoOLMvLc0ryj6k4En&#10;oz4ZwkoKrXjgbDJXYXocO4d62xHypAgL9zTTVie2n6o41knaTEM4vqMo/l/3yevptS9/AgAA//8D&#10;AFBLAwQUAAYACAAAACEAMNFDj94AAAAJAQAADwAAAGRycy9kb3ducmV2LnhtbEyPwU7DMBBE70j8&#10;g7VI3FqbRAokxKmqSnBBjdSWD3DjJYkar0PstuHv2Z7gtBrNaPZNuZrdIC44hd6ThqelAoHUeNtT&#10;q+Hz8LZ4ARGiIWsGT6jhBwOsqvu70hTWX2mHl31sBZdQKIyGLsaxkDI0HToTln5EYu/LT85EllMr&#10;7WSuXO4GmSiVSWd64g+dGXHTYXPan50G9ZFlOe2+t5tTug1Yr+v3bKy1fnyY168gIs7xLww3fEaH&#10;ipmO/kw2iEHDIsk5qSG5XfZzlfO2o4b0OU1BVqX8v6D6BQAA//8DAFBLAQItABQABgAIAAAAIQC2&#10;gziS/gAAAOEBAAATAAAAAAAAAAAAAAAAAAAAAABbQ29udGVudF9UeXBlc10ueG1sUEsBAi0AFAAG&#10;AAgAAAAhADj9If/WAAAAlAEAAAsAAAAAAAAAAAAAAAAALwEAAF9yZWxzLy5yZWxzUEsBAi0AFAAG&#10;AAgAAAAhAMaMbUQbAgAANQQAAA4AAAAAAAAAAAAAAAAALgIAAGRycy9lMm9Eb2MueG1sUEsBAi0A&#10;FAAGAAgAAAAhADDRQ4/eAAAACQEAAA8AAAAAAAAAAAAAAAAAdQQAAGRycy9kb3ducmV2LnhtbFBL&#10;BQYAAAAABAAEAPMAAACABQAAAAA=&#10;" fillcolor="#f3f3f3">
                <v:textbox inset="0,0,0,0">
                  <w:txbxContent>
                    <w:p w14:paraId="3771DF38" w14:textId="77777777" w:rsidR="00196CF8" w:rsidRDefault="00196CF8" w:rsidP="00196CF8">
                      <w:pPr>
                        <w:pStyle w:val="Tekstpodstawowy"/>
                        <w:ind w:right="25"/>
                      </w:pPr>
                    </w:p>
                  </w:txbxContent>
                </v:textbox>
                <w10:wrap anchorx="margin"/>
              </v:shape>
            </w:pict>
          </mc:Fallback>
        </mc:AlternateContent>
      </w:r>
    </w:p>
    <w:p w14:paraId="5C1FEC6B" w14:textId="06CC1015" w:rsidR="00593FCF" w:rsidRPr="00196CF8" w:rsidRDefault="00593FCF" w:rsidP="00593FCF">
      <w:pPr>
        <w:pStyle w:val="Tekstpodstawowy"/>
        <w:ind w:left="28" w:right="25"/>
        <w:rPr>
          <w:color w:val="0070C0"/>
        </w:rPr>
      </w:pPr>
      <w:r w:rsidRPr="00196CF8">
        <w:rPr>
          <w:b/>
          <w:bCs/>
        </w:rPr>
        <w:t>A</w:t>
      </w:r>
      <w:r>
        <w:rPr>
          <w:b/>
          <w:bCs/>
        </w:rPr>
        <w:t xml:space="preserve">rtykuł 4 </w:t>
      </w:r>
      <w:r w:rsidRPr="005D02B1">
        <w:t>(</w:t>
      </w:r>
      <w:r w:rsidRPr="00196CF8">
        <w:t>Zakaz ponownego sądzenia lub karania</w:t>
      </w:r>
      <w:r w:rsidRPr="005D02B1">
        <w:t xml:space="preserve">) </w:t>
      </w:r>
      <w:r>
        <w:rPr>
          <w:b/>
          <w:bCs/>
        </w:rPr>
        <w:t xml:space="preserve">Protokołu </w:t>
      </w:r>
      <w:r w:rsidR="00E97A36">
        <w:rPr>
          <w:b/>
          <w:bCs/>
        </w:rPr>
        <w:t>nr</w:t>
      </w:r>
      <w:r>
        <w:rPr>
          <w:b/>
          <w:bCs/>
        </w:rPr>
        <w:t xml:space="preserve"> 7 do </w:t>
      </w:r>
      <w:hyperlink r:id="rId10" w:history="1">
        <w:r w:rsidRPr="00590FCF">
          <w:rPr>
            <w:rStyle w:val="Hipercze"/>
            <w:b/>
            <w:bCs/>
            <w:color w:val="0070C0"/>
          </w:rPr>
          <w:t>Europejskiej Konwencji Praw Człowieka</w:t>
        </w:r>
        <w:r w:rsidRPr="00590FCF">
          <w:rPr>
            <w:rStyle w:val="Odwoanieprzypisudolnego"/>
            <w:b/>
            <w:bCs/>
            <w:color w:val="0070C0"/>
            <w:u w:val="single"/>
          </w:rPr>
          <w:footnoteReference w:id="1"/>
        </w:r>
        <w:r w:rsidRPr="00590FCF">
          <w:rPr>
            <w:rStyle w:val="Hipercze"/>
            <w:b/>
            <w:bCs/>
            <w:color w:val="0070C0"/>
          </w:rPr>
          <w:t>:</w:t>
        </w:r>
      </w:hyperlink>
      <w:r w:rsidRPr="00196CF8">
        <w:rPr>
          <w:b/>
          <w:bCs/>
          <w:color w:val="0070C0"/>
        </w:rPr>
        <w:t xml:space="preserve"> </w:t>
      </w:r>
    </w:p>
    <w:p w14:paraId="4FBDA275" w14:textId="145713C8" w:rsidR="00593FCF" w:rsidRDefault="00593FCF" w:rsidP="00593FCF">
      <w:pPr>
        <w:pStyle w:val="Tekstpodstawowy"/>
        <w:ind w:left="0" w:right="25"/>
      </w:pPr>
      <w:r>
        <w:t>„1.</w:t>
      </w:r>
      <w:r w:rsidRPr="00196CF8">
        <w:t>Nikt nie może być ponownie sądzony lub ukarany w postępowaniu przed sądem tego</w:t>
      </w:r>
      <w:r>
        <w:t xml:space="preserve"> </w:t>
      </w:r>
      <w:r w:rsidRPr="00196CF8">
        <w:t>samego Państwa za przestępstwo, za które został uprzednio skazany prawomocnym wyrokiem lub uniewinniony zgodnie z ustawą i zasadami postępowania karnego tego Państwa.</w:t>
      </w:r>
    </w:p>
    <w:p w14:paraId="390E3753" w14:textId="77777777" w:rsidR="00593FCF" w:rsidRDefault="00593FCF" w:rsidP="00593FCF">
      <w:pPr>
        <w:pStyle w:val="Tekstpodstawowy"/>
        <w:ind w:left="0" w:right="25"/>
      </w:pPr>
    </w:p>
    <w:p w14:paraId="716D364D" w14:textId="77777777" w:rsidR="00593FCF" w:rsidRDefault="00593FCF" w:rsidP="00593FCF">
      <w:pPr>
        <w:pStyle w:val="Tekstpodstawowy"/>
        <w:ind w:left="0" w:right="25"/>
      </w:pPr>
      <w:r>
        <w:t xml:space="preserve">2. </w:t>
      </w:r>
      <w:r w:rsidRPr="00196CF8">
        <w:t>Postanowienia poprzedniego ustępu nie stoją na przeszkodzie wznowieniu postępowania zgodnie z ustawą i zasadami postępowania karnego danego Państwa, jeśli wyjdą na jaw nowo odkryte fakty lub jeśli w poprzednim postępowaniu popełniono poważną pomyłkę, która mogła mieć wpływ na wynik sprawy.</w:t>
      </w:r>
    </w:p>
    <w:p w14:paraId="05C92F4C" w14:textId="7505E43C" w:rsidR="00593FCF" w:rsidRDefault="00593FCF" w:rsidP="00593FCF">
      <w:pPr>
        <w:pStyle w:val="Tekstpodstawowy"/>
        <w:ind w:left="0" w:right="25"/>
      </w:pPr>
    </w:p>
    <w:p w14:paraId="77F1B609" w14:textId="74C085D0" w:rsidR="00A756D3" w:rsidRDefault="00593FCF" w:rsidP="00A756D3">
      <w:pPr>
        <w:pStyle w:val="Tekstpodstawowy"/>
        <w:ind w:left="0" w:right="25"/>
      </w:pPr>
      <w:r>
        <w:t>3.</w:t>
      </w:r>
      <w:r w:rsidRPr="00196CF8">
        <w:t>Żadne z postanowień niniejszego artykułu nie może być uchylone na podstawie artykułu 15 Konwencji.</w:t>
      </w:r>
      <w:r>
        <w:t>”</w:t>
      </w:r>
    </w:p>
    <w:p w14:paraId="0F8CCCFD" w14:textId="77777777" w:rsidR="00A756D3" w:rsidRPr="00A756D3" w:rsidRDefault="00A756D3" w:rsidP="00A756D3">
      <w:pPr>
        <w:pStyle w:val="Tekstpodstawowy"/>
        <w:ind w:left="0" w:right="25"/>
      </w:pPr>
    </w:p>
    <w:p w14:paraId="06704CBB" w14:textId="3D70CB9C" w:rsidR="00593FCF" w:rsidRPr="00663974" w:rsidRDefault="00663974" w:rsidP="00593FCF">
      <w:pPr>
        <w:rPr>
          <w:color w:val="0070C0"/>
          <w:sz w:val="20"/>
          <w:szCs w:val="20"/>
        </w:rPr>
      </w:pPr>
      <w:r>
        <w:rPr>
          <w:noProof/>
          <w:sz w:val="20"/>
          <w:szCs w:val="20"/>
        </w:rPr>
        <mc:AlternateContent>
          <mc:Choice Requires="wps">
            <w:drawing>
              <wp:anchor distT="0" distB="0" distL="114300" distR="114300" simplePos="0" relativeHeight="251649024" behindDoc="1" locked="0" layoutInCell="0" allowOverlap="1" wp14:anchorId="68B09A5F" wp14:editId="450D0675">
                <wp:simplePos x="0" y="0"/>
                <wp:positionH relativeFrom="column">
                  <wp:posOffset>2540</wp:posOffset>
                </wp:positionH>
                <wp:positionV relativeFrom="paragraph">
                  <wp:posOffset>310070</wp:posOffset>
                </wp:positionV>
                <wp:extent cx="576834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prstDash val="solid"/>
                          <a:miter lim="800000"/>
                          <a:headEnd/>
                          <a:tailEnd/>
                        </a:ln>
                      </wps:spPr>
                      <wps:bodyPr/>
                    </wps:wsp>
                  </a:graphicData>
                </a:graphic>
              </wp:anchor>
            </w:drawing>
          </mc:Choice>
          <mc:Fallback>
            <w:pict>
              <v:line w14:anchorId="284F6D61" id="Shape 2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pt,24.4pt" to="454.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XdrwEAAHQDAAAOAAAAZHJzL2Uyb0RvYy54bWysU01vEzEQvSPxHyzfyW4DlO0qmx4awqWC&#10;SoUfMLG9WQt/yWOym3/P2JukLXCq8MHyfD2/eR6vbidr2EFF1N51/GpRc6ac8FK7fcd/fN++azjD&#10;BE6C8U51/KiQ367fvlmNoVVLP3gjVWQE4rAdQ8eHlEJbVSgGZQEXPihHwd5HC4nMuK9khJHQramW&#10;dX1djT7KEL1QiOTdzEG+Lvh9r0T61veoEjMdJ26p7LHsu7xX6xW0+whh0OJEA17BwoJ2dOkFagMJ&#10;2K+o/4KyWkSPvk8L4W3l+14LVXqgbq7qP7p5HCCo0guJg+EiE/4/WPH1cOceYqYuJvcY7r34iSRK&#10;NQZsL8FsYJjTpj7anE7c2VSEPF6EVFNigpwfP1037z+Q3uIcq6A9F4aI6YvyluVDx412uUdo4XCP&#10;KV8N7Tklu9EbLbfamGLE/e7ORHYAes9tWfkJqeRFmnFspGlslk1ToF8E8TnGTVn/wsgcNoDDfFdB&#10;mKfF6kQja7TteFPnNbsHBfKzk2WgEmgzn4mZcSc5ZwWzljsvjw/xLDM9bWnhNIZ5dp7bpfrps6x/&#10;AwAA//8DAFBLAwQUAAYACAAAACEAIwzXAtcAAAAGAQAADwAAAGRycy9kb3ducmV2LnhtbEyOQU/D&#10;MAyF70j8h8iTuLF0gFApTSdUiQPi1MBlN6/x2orGqZpsK/8eTxzgYtl+T+995XbxozrRHIfABjbr&#10;DBRxG9zAnYHPj9fbHFRMyA7HwGTgmyJsq+urEgsXztzQyaZOSQjHAg30KU2F1rHtyWNch4lYtEOY&#10;PSY55067Gc8S7kd9l2WP2uPA0tDjRHVP7Zc9eul9f9vptrG8w7qu7YFsk98PxtyslpdnUImW9GeG&#10;C76gQyVM+3BkF9Vo4EF8MnPhF/Upuyz734euSv0fv/oBAAD//wMAUEsBAi0AFAAGAAgAAAAhALaD&#10;OJL+AAAA4QEAABMAAAAAAAAAAAAAAAAAAAAAAFtDb250ZW50X1R5cGVzXS54bWxQSwECLQAUAAYA&#10;CAAAACEAOP0h/9YAAACUAQAACwAAAAAAAAAAAAAAAAAvAQAAX3JlbHMvLnJlbHNQSwECLQAUAAYA&#10;CAAAACEAt+vV3a8BAAB0AwAADgAAAAAAAAAAAAAAAAAuAgAAZHJzL2Uyb0RvYy54bWxQSwECLQAU&#10;AAYACAAAACEAIwzXAtcAAAAGAQAADwAAAAAAAAAAAAAAAAAJBAAAZHJzL2Rvd25yZXYueG1sUEsF&#10;BgAAAAAEAAQA8wAAAA0FAAAAAA==&#10;" o:allowincell="f" filled="t" strokecolor="#999" strokeweight="1.44pt">
                <v:stroke joinstyle="miter"/>
                <o:lock v:ext="edit" shapetype="f"/>
              </v:line>
            </w:pict>
          </mc:Fallback>
        </mc:AlternateContent>
      </w:r>
      <w:r w:rsidR="00593FCF" w:rsidRPr="00663974">
        <w:rPr>
          <w:rFonts w:ascii="Verdana" w:eastAsia="Verdana" w:hAnsi="Verdana" w:cs="Verdana"/>
          <w:color w:val="0070C0"/>
          <w:sz w:val="28"/>
          <w:szCs w:val="28"/>
        </w:rPr>
        <w:t>Zakres</w:t>
      </w:r>
    </w:p>
    <w:p w14:paraId="1D3C49B9" w14:textId="1F529026" w:rsidR="00593FCF" w:rsidRDefault="00593FCF" w:rsidP="00593FCF">
      <w:pPr>
        <w:spacing w:line="20" w:lineRule="exact"/>
        <w:rPr>
          <w:sz w:val="20"/>
          <w:szCs w:val="20"/>
        </w:rPr>
      </w:pPr>
    </w:p>
    <w:p w14:paraId="090A7A58" w14:textId="3830E10F" w:rsidR="00A756D3" w:rsidRDefault="00A756D3" w:rsidP="00590FCF">
      <w:pPr>
        <w:spacing w:after="0" w:line="267" w:lineRule="auto"/>
        <w:ind w:right="840"/>
        <w:jc w:val="both"/>
        <w:rPr>
          <w:rFonts w:ascii="Verdana" w:eastAsia="Verdana" w:hAnsi="Verdana" w:cs="Verdana"/>
          <w:i/>
          <w:iCs/>
          <w:color w:val="3B3838" w:themeColor="background2" w:themeShade="40"/>
          <w:sz w:val="24"/>
          <w:szCs w:val="24"/>
        </w:rPr>
      </w:pPr>
      <w:r w:rsidRPr="00912A93">
        <w:rPr>
          <w:rFonts w:ascii="Verdana" w:eastAsia="Verdana" w:hAnsi="Verdana" w:cs="Verdana"/>
          <w:i/>
          <w:iCs/>
          <w:color w:val="3B3838" w:themeColor="background2" w:themeShade="40"/>
          <w:sz w:val="24"/>
          <w:szCs w:val="24"/>
        </w:rPr>
        <w:t xml:space="preserve">Artykuł 4 Protokołu </w:t>
      </w:r>
      <w:r w:rsidR="00E97A36" w:rsidRPr="00912A93">
        <w:rPr>
          <w:rFonts w:ascii="Verdana" w:eastAsia="Verdana" w:hAnsi="Verdana" w:cs="Verdana"/>
          <w:i/>
          <w:iCs/>
          <w:color w:val="3B3838" w:themeColor="background2" w:themeShade="40"/>
          <w:sz w:val="24"/>
          <w:szCs w:val="24"/>
        </w:rPr>
        <w:t>nr</w:t>
      </w:r>
      <w:r w:rsidRPr="00912A93">
        <w:rPr>
          <w:rFonts w:ascii="Verdana" w:eastAsia="Verdana" w:hAnsi="Verdana" w:cs="Verdana"/>
          <w:i/>
          <w:iCs/>
          <w:color w:val="3B3838" w:themeColor="background2" w:themeShade="40"/>
          <w:sz w:val="24"/>
          <w:szCs w:val="24"/>
        </w:rPr>
        <w:t xml:space="preserve"> 7 ogranicza zakres gwarancji przyznanych w związku z przestępstwami na cele Konwencji.</w:t>
      </w:r>
    </w:p>
    <w:p w14:paraId="48769933" w14:textId="77777777" w:rsidR="00663974" w:rsidRPr="00663974" w:rsidRDefault="00663974" w:rsidP="00590FCF">
      <w:pPr>
        <w:spacing w:after="0" w:line="267" w:lineRule="auto"/>
        <w:ind w:right="840"/>
        <w:jc w:val="both"/>
        <w:rPr>
          <w:rFonts w:ascii="Verdana" w:eastAsia="Verdana" w:hAnsi="Verdana" w:cs="Verdana"/>
          <w:i/>
          <w:iCs/>
          <w:color w:val="3B3838" w:themeColor="background2" w:themeShade="40"/>
          <w:sz w:val="16"/>
          <w:szCs w:val="16"/>
        </w:rPr>
      </w:pPr>
    </w:p>
    <w:p w14:paraId="436A6D99" w14:textId="02ACA149" w:rsidR="00A756D3" w:rsidRPr="00912A93" w:rsidRDefault="00A756D3" w:rsidP="00590FCF">
      <w:pPr>
        <w:spacing w:after="0" w:line="267" w:lineRule="auto"/>
        <w:jc w:val="both"/>
        <w:rPr>
          <w:rFonts w:ascii="Verdana" w:eastAsia="Verdana" w:hAnsi="Verdana" w:cs="Verdana"/>
          <w:i/>
          <w:iCs/>
          <w:color w:val="3B3838" w:themeColor="background2" w:themeShade="40"/>
          <w:sz w:val="24"/>
          <w:szCs w:val="24"/>
        </w:rPr>
      </w:pPr>
      <w:r w:rsidRPr="00912A93">
        <w:rPr>
          <w:rFonts w:ascii="Verdana" w:eastAsia="Verdana" w:hAnsi="Verdana" w:cs="Verdana"/>
          <w:color w:val="3B3838" w:themeColor="background2" w:themeShade="40"/>
          <w:sz w:val="20"/>
          <w:szCs w:val="20"/>
        </w:rPr>
        <w:t>Utrwalona linia orzecznicza Trybunału wskazuje na trzy kryteria, powszechnie znane jako „kryteria Engela”</w:t>
      </w:r>
      <w:r w:rsidRPr="00912A93">
        <w:rPr>
          <w:rFonts w:ascii="Verdana" w:eastAsia="Verdana" w:hAnsi="Verdana" w:cs="Verdana"/>
          <w:color w:val="3B3838" w:themeColor="background2" w:themeShade="40"/>
          <w:sz w:val="20"/>
          <w:szCs w:val="20"/>
          <w:vertAlign w:val="superscript"/>
        </w:rPr>
        <w:footnoteReference w:id="2"/>
      </w:r>
      <w:r w:rsidRPr="00912A93">
        <w:rPr>
          <w:rFonts w:ascii="Verdana" w:eastAsia="Verdana" w:hAnsi="Verdana" w:cs="Verdana"/>
          <w:color w:val="3B3838" w:themeColor="background2" w:themeShade="40"/>
          <w:sz w:val="20"/>
          <w:szCs w:val="20"/>
        </w:rPr>
        <w:t>, które powinny zostać wzięte pod uwagę przy ocenie czy doszło do „oskarżenia w sprawie karnej” (Artykuł 6</w:t>
      </w:r>
      <w:r w:rsidR="00B14E3D" w:rsidRPr="00912A93">
        <w:rPr>
          <w:rFonts w:ascii="Verdana" w:eastAsia="Verdana" w:hAnsi="Verdana" w:cs="Verdana"/>
          <w:color w:val="3B3838" w:themeColor="background2" w:themeShade="40"/>
          <w:sz w:val="20"/>
          <w:szCs w:val="20"/>
        </w:rPr>
        <w:t xml:space="preserve"> (prawo do rzetelnego procesu) </w:t>
      </w:r>
      <w:r w:rsidRPr="00912A93">
        <w:rPr>
          <w:rFonts w:ascii="Verdana" w:eastAsia="Verdana" w:hAnsi="Verdana" w:cs="Verdana"/>
          <w:color w:val="3B3838" w:themeColor="background2" w:themeShade="40"/>
          <w:sz w:val="20"/>
          <w:szCs w:val="20"/>
        </w:rPr>
        <w:t>Konwencji</w:t>
      </w:r>
      <w:r w:rsidR="00B14E3D" w:rsidRPr="00912A93">
        <w:rPr>
          <w:rFonts w:ascii="Verdana" w:eastAsia="Verdana" w:hAnsi="Verdana" w:cs="Verdana"/>
          <w:color w:val="3B3838" w:themeColor="background2" w:themeShade="40"/>
          <w:sz w:val="20"/>
          <w:szCs w:val="20"/>
        </w:rPr>
        <w:t>).</w:t>
      </w:r>
      <w:r w:rsidRPr="00912A93">
        <w:rPr>
          <w:rFonts w:ascii="Verdana" w:eastAsia="Verdana" w:hAnsi="Verdana" w:cs="Verdana"/>
          <w:color w:val="3B3838" w:themeColor="background2" w:themeShade="40"/>
          <w:sz w:val="20"/>
          <w:szCs w:val="20"/>
        </w:rPr>
        <w:t xml:space="preserve"> Pierwszym kryterium jest prawna kwalifikacja przestępstwa na gruncie prawa krajowego, drugim – sam charakter przestępstwa, a trzecim – stopień uciążliwości kary, która może zostać wymierzona. Drugie oraz trzecie kryterium są alternatywne, nie muszą być one być brane pod uwagę kumulatywne. Niemniej nie eliminuje to możliwości ich kumulatywnego zastosowania, gdy oddzielna analiza każdego z kryteriów nie </w:t>
      </w:r>
      <w:r w:rsidR="00B14E3D" w:rsidRPr="00912A93">
        <w:rPr>
          <w:rFonts w:ascii="Verdana" w:eastAsia="Verdana" w:hAnsi="Verdana" w:cs="Verdana"/>
          <w:color w:val="3B3838" w:themeColor="background2" w:themeShade="40"/>
          <w:sz w:val="20"/>
          <w:szCs w:val="20"/>
        </w:rPr>
        <w:t>pozwala osiągnąć jasnej</w:t>
      </w:r>
      <w:r w:rsidRPr="00912A93">
        <w:rPr>
          <w:rFonts w:ascii="Verdana" w:eastAsia="Verdana" w:hAnsi="Verdana" w:cs="Verdana"/>
          <w:color w:val="3B3838" w:themeColor="background2" w:themeShade="40"/>
          <w:sz w:val="20"/>
          <w:szCs w:val="20"/>
        </w:rPr>
        <w:t xml:space="preserve"> konkluzji co do wystąpienia oskarżenia w sprawie karnej. Idea kary z </w:t>
      </w:r>
      <w:r w:rsidR="00B14E3D" w:rsidRPr="00912A93">
        <w:rPr>
          <w:rFonts w:ascii="Verdana" w:eastAsia="Verdana" w:hAnsi="Verdana" w:cs="Verdana"/>
          <w:color w:val="3B3838" w:themeColor="background2" w:themeShade="40"/>
          <w:sz w:val="20"/>
          <w:szCs w:val="20"/>
        </w:rPr>
        <w:t>art. </w:t>
      </w:r>
      <w:r w:rsidR="001B43B9" w:rsidRPr="00912A93">
        <w:rPr>
          <w:rFonts w:ascii="Verdana" w:eastAsia="Verdana" w:hAnsi="Verdana" w:cs="Verdana"/>
          <w:color w:val="3B3838" w:themeColor="background2" w:themeShade="40"/>
          <w:sz w:val="20"/>
          <w:szCs w:val="20"/>
        </w:rPr>
        <w:t>7 Konwencji</w:t>
      </w:r>
      <w:r w:rsidRPr="00912A93">
        <w:rPr>
          <w:rFonts w:ascii="Verdana" w:eastAsia="Verdana" w:hAnsi="Verdana" w:cs="Verdana"/>
          <w:color w:val="3B3838" w:themeColor="background2" w:themeShade="40"/>
          <w:sz w:val="20"/>
          <w:szCs w:val="20"/>
        </w:rPr>
        <w:t xml:space="preserve"> (zakaz karania bez podstawy prawnej) jest identyczna. </w:t>
      </w:r>
    </w:p>
    <w:p w14:paraId="53C3C32F" w14:textId="77777777" w:rsidR="008948F1" w:rsidRPr="00816D61" w:rsidRDefault="008948F1" w:rsidP="00590FCF">
      <w:pPr>
        <w:spacing w:after="0" w:line="239" w:lineRule="auto"/>
        <w:ind w:right="640"/>
        <w:jc w:val="both"/>
        <w:rPr>
          <w:rFonts w:ascii="Verdana" w:eastAsia="Verdana" w:hAnsi="Verdana" w:cs="Arial"/>
          <w:sz w:val="16"/>
          <w:szCs w:val="16"/>
          <w:lang w:eastAsia="pl-PL"/>
        </w:rPr>
      </w:pPr>
    </w:p>
    <w:p w14:paraId="50775552" w14:textId="441B19CA" w:rsidR="006E23A1" w:rsidRDefault="00F137AF" w:rsidP="006E23A1">
      <w:pPr>
        <w:spacing w:after="0"/>
        <w:rPr>
          <w:rFonts w:ascii="Verdana" w:hAnsi="Verdana"/>
          <w:b/>
          <w:sz w:val="16"/>
          <w:szCs w:val="16"/>
          <w:u w:val="single"/>
        </w:rPr>
      </w:pPr>
      <w:r w:rsidRPr="00590FCF">
        <w:rPr>
          <w:rFonts w:ascii="Verdana" w:hAnsi="Verdana"/>
          <w:b/>
          <w:color w:val="0070C0"/>
          <w:sz w:val="20"/>
          <w:szCs w:val="20"/>
          <w:u w:val="single"/>
        </w:rPr>
        <w:t xml:space="preserve">Maszni </w:t>
      </w:r>
      <w:hyperlink r:id="rId11" w:history="1">
        <w:r w:rsidRPr="00590FCF">
          <w:rPr>
            <w:rStyle w:val="Hipercze"/>
            <w:rFonts w:ascii="Verdana" w:hAnsi="Verdana"/>
            <w:b/>
            <w:color w:val="0070C0"/>
            <w:sz w:val="20"/>
            <w:szCs w:val="20"/>
          </w:rPr>
          <w:t>przeciwko</w:t>
        </w:r>
      </w:hyperlink>
      <w:r w:rsidRPr="00590FCF">
        <w:rPr>
          <w:rFonts w:ascii="Verdana" w:hAnsi="Verdana"/>
          <w:b/>
          <w:color w:val="0070C0"/>
          <w:sz w:val="20"/>
          <w:szCs w:val="20"/>
          <w:u w:val="single"/>
        </w:rPr>
        <w:t xml:space="preserve"> Rumuni</w:t>
      </w:r>
      <w:r w:rsidR="00CF41EE" w:rsidRPr="00816D61">
        <w:rPr>
          <w:rFonts w:ascii="Verdana" w:hAnsi="Verdana"/>
          <w:b/>
          <w:sz w:val="16"/>
          <w:szCs w:val="16"/>
          <w:u w:val="single"/>
        </w:rPr>
        <w:br/>
      </w:r>
      <w:r w:rsidRPr="00030950">
        <w:rPr>
          <w:rFonts w:ascii="Verdana" w:hAnsi="Verdana"/>
          <w:color w:val="767171" w:themeColor="background2" w:themeShade="80"/>
          <w:sz w:val="18"/>
          <w:szCs w:val="18"/>
        </w:rPr>
        <w:t>21 września 2006</w:t>
      </w:r>
      <w:r w:rsidR="00AA04BF" w:rsidRPr="00030950">
        <w:rPr>
          <w:rFonts w:ascii="Verdana" w:hAnsi="Verdana"/>
          <w:color w:val="767171" w:themeColor="background2" w:themeShade="80"/>
          <w:sz w:val="18"/>
          <w:szCs w:val="18"/>
        </w:rPr>
        <w:t xml:space="preserve"> r.</w:t>
      </w:r>
    </w:p>
    <w:p w14:paraId="2EE9C64D" w14:textId="0D110B4D" w:rsidR="00B66536" w:rsidRPr="006E23A1" w:rsidRDefault="006E23A1" w:rsidP="006E23A1">
      <w:pPr>
        <w:spacing w:after="0"/>
        <w:jc w:val="both"/>
        <w:rPr>
          <w:rFonts w:ascii="Verdana" w:hAnsi="Verdana"/>
          <w:b/>
          <w:sz w:val="16"/>
          <w:szCs w:val="16"/>
          <w:u w:val="single"/>
        </w:rPr>
      </w:pPr>
      <w:r w:rsidRPr="006E23A1">
        <w:rPr>
          <w:rFonts w:ascii="Verdana" w:hAnsi="Verdana"/>
          <w:sz w:val="20"/>
          <w:szCs w:val="20"/>
        </w:rPr>
        <w:t xml:space="preserve">Po pozbawieniu uprawnień do kierowania pojazdami skarżący został zatrzymany w czerwcu 1997 r., gdy prowadził swój pojazd, posiadając sfałszowane prawo jazdy. Sądzony przez sąd wojskowy, został uznany za winnego przestępstw, w tym podżegania do fałszerstwa i posługiwania się sfałszowanymi dokumentami, i otrzymał wyrok jednego </w:t>
      </w:r>
      <w:r w:rsidRPr="006E23A1">
        <w:rPr>
          <w:rFonts w:ascii="Verdana" w:hAnsi="Verdana"/>
          <w:sz w:val="20"/>
          <w:szCs w:val="20"/>
        </w:rPr>
        <w:lastRenderedPageBreak/>
        <w:t>roku i czterech miesięcy pozbawienia wolności w zawieszeniu. Jego prawo jazdy zostało następnie cofnięte na tej podstawie, że został prawomocnie skazany za wykroczenie drogowe. W kwietniu 2002 r. zdał egzamin uprawniający go do uzyskania nowego prawa jazdy.</w:t>
      </w:r>
      <w:r>
        <w:rPr>
          <w:rFonts w:ascii="Verdana" w:hAnsi="Verdana"/>
          <w:sz w:val="20"/>
          <w:szCs w:val="20"/>
        </w:rPr>
        <w:t xml:space="preserve"> </w:t>
      </w:r>
      <w:r w:rsidR="007A1E7D" w:rsidRPr="006E23A1">
        <w:rPr>
          <w:rFonts w:ascii="Verdana" w:hAnsi="Verdana"/>
          <w:sz w:val="20"/>
          <w:szCs w:val="20"/>
        </w:rPr>
        <w:t xml:space="preserve">Skarżący zarzucał, w szczególności, że </w:t>
      </w:r>
      <w:r w:rsidR="00BB4B96" w:rsidRPr="006E23A1">
        <w:rPr>
          <w:rFonts w:ascii="Verdana" w:hAnsi="Verdana"/>
          <w:sz w:val="20"/>
          <w:szCs w:val="20"/>
        </w:rPr>
        <w:t xml:space="preserve">odebranie mu </w:t>
      </w:r>
      <w:r w:rsidR="00641011" w:rsidRPr="006E23A1">
        <w:rPr>
          <w:rFonts w:ascii="Verdana" w:hAnsi="Verdana"/>
          <w:sz w:val="20"/>
          <w:szCs w:val="20"/>
        </w:rPr>
        <w:t>prawa jazdy było równe z ponownym</w:t>
      </w:r>
      <w:r w:rsidR="00956932" w:rsidRPr="006E23A1">
        <w:rPr>
          <w:rFonts w:ascii="Verdana" w:hAnsi="Verdana"/>
          <w:sz w:val="20"/>
          <w:szCs w:val="20"/>
        </w:rPr>
        <w:t xml:space="preserve"> skazaniem go za ten sam czyn, za który został skazany przez sąd wojskowy, tj. za przestępstwo drogowe</w:t>
      </w:r>
      <w:r w:rsidR="00641011" w:rsidRPr="006E23A1">
        <w:rPr>
          <w:rFonts w:ascii="Verdana" w:hAnsi="Verdana"/>
          <w:sz w:val="20"/>
          <w:szCs w:val="20"/>
        </w:rPr>
        <w:t xml:space="preserve">. </w:t>
      </w:r>
    </w:p>
    <w:p w14:paraId="59693FFA" w14:textId="3FAB135C" w:rsidR="00641011" w:rsidRPr="00590FCF" w:rsidRDefault="00641011" w:rsidP="00B66536">
      <w:pPr>
        <w:jc w:val="both"/>
        <w:rPr>
          <w:rFonts w:ascii="Verdana" w:hAnsi="Verdana"/>
          <w:b/>
          <w:color w:val="0070C0"/>
          <w:sz w:val="20"/>
          <w:szCs w:val="20"/>
        </w:rPr>
      </w:pPr>
      <w:r w:rsidRPr="00590FCF">
        <w:rPr>
          <w:rFonts w:ascii="Verdana" w:hAnsi="Verdana"/>
          <w:color w:val="0070C0"/>
          <w:sz w:val="20"/>
          <w:szCs w:val="20"/>
        </w:rPr>
        <w:t>Trybunał zauważył, w szcz</w:t>
      </w:r>
      <w:r w:rsidR="00871FC3" w:rsidRPr="00590FCF">
        <w:rPr>
          <w:rFonts w:ascii="Verdana" w:hAnsi="Verdana"/>
          <w:color w:val="0070C0"/>
          <w:sz w:val="20"/>
          <w:szCs w:val="20"/>
        </w:rPr>
        <w:t>ególności, że chociaż na gruncie</w:t>
      </w:r>
      <w:r w:rsidRPr="00590FCF">
        <w:rPr>
          <w:rFonts w:ascii="Verdana" w:hAnsi="Verdana"/>
          <w:color w:val="0070C0"/>
          <w:sz w:val="20"/>
          <w:szCs w:val="20"/>
        </w:rPr>
        <w:t xml:space="preserve"> prawa rumuńskiego, </w:t>
      </w:r>
      <w:r w:rsidR="00BB4B96" w:rsidRPr="00590FCF">
        <w:rPr>
          <w:rFonts w:ascii="Verdana" w:hAnsi="Verdana"/>
          <w:color w:val="0070C0"/>
          <w:sz w:val="20"/>
          <w:szCs w:val="20"/>
        </w:rPr>
        <w:t>odebranie</w:t>
      </w:r>
      <w:r w:rsidRPr="00590FCF">
        <w:rPr>
          <w:rFonts w:ascii="Verdana" w:hAnsi="Verdana"/>
          <w:color w:val="0070C0"/>
          <w:sz w:val="20"/>
          <w:szCs w:val="20"/>
        </w:rPr>
        <w:t xml:space="preserve"> prawa jazdy s</w:t>
      </w:r>
      <w:r w:rsidR="00871FC3" w:rsidRPr="00590FCF">
        <w:rPr>
          <w:rFonts w:ascii="Verdana" w:hAnsi="Verdana"/>
          <w:color w:val="0070C0"/>
          <w:sz w:val="20"/>
          <w:szCs w:val="20"/>
        </w:rPr>
        <w:t xml:space="preserve">tanowiło środek administracyjny, </w:t>
      </w:r>
      <w:r w:rsidR="00E7776E" w:rsidRPr="00590FCF">
        <w:rPr>
          <w:rFonts w:ascii="Verdana" w:hAnsi="Verdana"/>
          <w:color w:val="0070C0"/>
          <w:sz w:val="20"/>
          <w:szCs w:val="20"/>
        </w:rPr>
        <w:t xml:space="preserve">to jego </w:t>
      </w:r>
      <w:r w:rsidR="00956932" w:rsidRPr="00590FCF">
        <w:rPr>
          <w:rFonts w:ascii="Verdana" w:hAnsi="Verdana"/>
          <w:color w:val="0070C0"/>
          <w:sz w:val="20"/>
          <w:szCs w:val="20"/>
        </w:rPr>
        <w:t>uciążliwość</w:t>
      </w:r>
      <w:r w:rsidR="00E7776E" w:rsidRPr="00590FCF">
        <w:rPr>
          <w:rFonts w:ascii="Verdana" w:hAnsi="Verdana"/>
          <w:color w:val="0070C0"/>
          <w:sz w:val="20"/>
          <w:szCs w:val="20"/>
        </w:rPr>
        <w:t xml:space="preserve"> nadała mu karny i odstraszający charakter, co uczyniło porównywalnym do sankcji karnej. Ścisłe powiązanie pomiędzy dwoma karami </w:t>
      </w:r>
      <w:r w:rsidR="00956932" w:rsidRPr="00590FCF">
        <w:rPr>
          <w:rFonts w:ascii="Verdana" w:hAnsi="Verdana"/>
          <w:color w:val="0070C0"/>
          <w:sz w:val="20"/>
          <w:szCs w:val="20"/>
        </w:rPr>
        <w:t>nałożonymi</w:t>
      </w:r>
      <w:r w:rsidR="00E7776E" w:rsidRPr="00590FCF">
        <w:rPr>
          <w:rFonts w:ascii="Verdana" w:hAnsi="Verdana"/>
          <w:color w:val="0070C0"/>
          <w:sz w:val="20"/>
          <w:szCs w:val="20"/>
        </w:rPr>
        <w:t xml:space="preserve"> na </w:t>
      </w:r>
      <w:r w:rsidR="00956932" w:rsidRPr="00590FCF">
        <w:rPr>
          <w:rFonts w:ascii="Verdana" w:hAnsi="Verdana"/>
          <w:color w:val="0070C0"/>
          <w:sz w:val="20"/>
          <w:szCs w:val="20"/>
        </w:rPr>
        <w:t>skarżącego</w:t>
      </w:r>
      <w:r w:rsidR="00E7776E" w:rsidRPr="00590FCF">
        <w:rPr>
          <w:rFonts w:ascii="Verdana" w:hAnsi="Verdana"/>
          <w:color w:val="0070C0"/>
          <w:sz w:val="20"/>
          <w:szCs w:val="20"/>
        </w:rPr>
        <w:t xml:space="preserve">, doprowadziło Trybunał do konkluzji, że cofnięcie prawa jazdy okazało się </w:t>
      </w:r>
      <w:r w:rsidR="00915384" w:rsidRPr="00590FCF">
        <w:rPr>
          <w:rFonts w:ascii="Verdana" w:hAnsi="Verdana"/>
          <w:color w:val="0070C0"/>
          <w:sz w:val="20"/>
          <w:szCs w:val="20"/>
        </w:rPr>
        <w:t>karą towarzyszącą i stanowią</w:t>
      </w:r>
      <w:r w:rsidR="00C3337A" w:rsidRPr="00590FCF">
        <w:rPr>
          <w:rFonts w:ascii="Verdana" w:hAnsi="Verdana"/>
          <w:color w:val="0070C0"/>
          <w:sz w:val="20"/>
          <w:szCs w:val="20"/>
        </w:rPr>
        <w:t xml:space="preserve">cą integralną część skazania. </w:t>
      </w:r>
      <w:r w:rsidR="00915384" w:rsidRPr="00590FCF">
        <w:rPr>
          <w:rFonts w:ascii="Verdana" w:hAnsi="Verdana"/>
          <w:color w:val="0070C0"/>
          <w:sz w:val="20"/>
          <w:szCs w:val="20"/>
        </w:rPr>
        <w:t xml:space="preserve">Uznał zatem, że </w:t>
      </w:r>
      <w:r w:rsidR="00915384" w:rsidRPr="00590FCF">
        <w:rPr>
          <w:rFonts w:ascii="Verdana" w:hAnsi="Verdana"/>
          <w:b/>
          <w:color w:val="0070C0"/>
          <w:sz w:val="20"/>
          <w:szCs w:val="20"/>
        </w:rPr>
        <w:t xml:space="preserve">nie doszło do naruszenia art. 4 Protokołu </w:t>
      </w:r>
      <w:r w:rsidR="00E97A36">
        <w:rPr>
          <w:rFonts w:ascii="Verdana" w:hAnsi="Verdana"/>
          <w:b/>
          <w:color w:val="0070C0"/>
          <w:sz w:val="20"/>
          <w:szCs w:val="20"/>
        </w:rPr>
        <w:t>nr</w:t>
      </w:r>
      <w:r w:rsidR="00915384" w:rsidRPr="00590FCF">
        <w:rPr>
          <w:rFonts w:ascii="Verdana" w:hAnsi="Verdana"/>
          <w:b/>
          <w:color w:val="0070C0"/>
          <w:sz w:val="20"/>
          <w:szCs w:val="20"/>
        </w:rPr>
        <w:t xml:space="preserve"> 7. </w:t>
      </w:r>
    </w:p>
    <w:p w14:paraId="35C84904" w14:textId="134AD541" w:rsidR="00915384" w:rsidRPr="00030950" w:rsidRDefault="008B0AE6" w:rsidP="008B0AE6">
      <w:pPr>
        <w:spacing w:after="0"/>
        <w:rPr>
          <w:rFonts w:ascii="Verdana" w:hAnsi="Verdana"/>
          <w:b/>
          <w:sz w:val="18"/>
          <w:szCs w:val="18"/>
          <w:u w:val="single"/>
        </w:rPr>
      </w:pPr>
      <w:hyperlink r:id="rId12" w:history="1">
        <w:r w:rsidRPr="00590FCF">
          <w:rPr>
            <w:rStyle w:val="Hipercze"/>
            <w:rFonts w:ascii="Verdana" w:hAnsi="Verdana"/>
            <w:b/>
            <w:bCs/>
            <w:color w:val="0070C0"/>
            <w:sz w:val="20"/>
            <w:szCs w:val="20"/>
          </w:rPr>
          <w:t>Storbråten</w:t>
        </w:r>
        <w:r w:rsidRPr="00590FCF">
          <w:rPr>
            <w:rStyle w:val="Hipercze"/>
            <w:rFonts w:ascii="Verdana" w:hAnsi="Verdana"/>
            <w:b/>
            <w:bCs/>
            <w:i/>
            <w:iCs/>
            <w:color w:val="0070C0"/>
            <w:sz w:val="20"/>
            <w:szCs w:val="20"/>
          </w:rPr>
          <w:t xml:space="preserve"> </w:t>
        </w:r>
        <w:r w:rsidR="00915384" w:rsidRPr="00590FCF">
          <w:rPr>
            <w:rStyle w:val="Hipercze"/>
            <w:rFonts w:ascii="Verdana" w:hAnsi="Verdana"/>
            <w:b/>
            <w:color w:val="0070C0"/>
            <w:sz w:val="20"/>
            <w:szCs w:val="20"/>
          </w:rPr>
          <w:t>przeciwko Norwegii</w:t>
        </w:r>
      </w:hyperlink>
      <w:r w:rsidR="00915384" w:rsidRPr="00590FCF">
        <w:rPr>
          <w:rFonts w:ascii="Verdana" w:hAnsi="Verdana"/>
          <w:b/>
          <w:color w:val="0070C0"/>
          <w:sz w:val="20"/>
          <w:szCs w:val="20"/>
          <w:u w:val="single"/>
        </w:rPr>
        <w:t xml:space="preserve"> oraz Mjelde przeciwko Norwegii</w:t>
      </w:r>
      <w:r w:rsidR="00CF41EE" w:rsidRPr="00590FCF">
        <w:rPr>
          <w:rFonts w:ascii="Verdana" w:hAnsi="Verdana"/>
          <w:b/>
          <w:color w:val="0070C0"/>
          <w:sz w:val="20"/>
          <w:szCs w:val="20"/>
          <w:u w:val="single"/>
        </w:rPr>
        <w:br/>
      </w:r>
      <w:r w:rsidR="00CF41EE" w:rsidRPr="00030950">
        <w:rPr>
          <w:rFonts w:ascii="Verdana" w:hAnsi="Verdana"/>
          <w:color w:val="767171" w:themeColor="background2" w:themeShade="80"/>
          <w:sz w:val="18"/>
          <w:szCs w:val="18"/>
        </w:rPr>
        <w:t>1 lutego 2007 (decyzja</w:t>
      </w:r>
      <w:r w:rsidR="00915384" w:rsidRPr="00030950">
        <w:rPr>
          <w:rFonts w:ascii="Verdana" w:hAnsi="Verdana"/>
          <w:color w:val="767171" w:themeColor="background2" w:themeShade="80"/>
          <w:sz w:val="18"/>
          <w:szCs w:val="18"/>
        </w:rPr>
        <w:t xml:space="preserve"> w sprawie dopuszczalności)</w:t>
      </w:r>
    </w:p>
    <w:p w14:paraId="5FA5E735" w14:textId="30BA7CE4" w:rsidR="00915384" w:rsidRPr="006E23A1" w:rsidRDefault="00915384" w:rsidP="008B0AE6">
      <w:pPr>
        <w:spacing w:after="0"/>
        <w:jc w:val="both"/>
        <w:rPr>
          <w:rFonts w:ascii="Verdana" w:hAnsi="Verdana"/>
          <w:sz w:val="20"/>
          <w:szCs w:val="20"/>
        </w:rPr>
      </w:pPr>
      <w:r w:rsidRPr="006E23A1">
        <w:rPr>
          <w:rFonts w:ascii="Verdana" w:hAnsi="Verdana"/>
          <w:sz w:val="20"/>
          <w:szCs w:val="20"/>
        </w:rPr>
        <w:t xml:space="preserve">Oboje skarżących </w:t>
      </w:r>
      <w:r w:rsidR="00503DB4" w:rsidRPr="006E23A1">
        <w:rPr>
          <w:rFonts w:ascii="Verdana" w:hAnsi="Verdana"/>
          <w:sz w:val="20"/>
          <w:szCs w:val="20"/>
        </w:rPr>
        <w:t xml:space="preserve">zostało wyłączonych </w:t>
      </w:r>
      <w:r w:rsidR="00BB4B96" w:rsidRPr="006E23A1">
        <w:rPr>
          <w:rFonts w:ascii="Verdana" w:hAnsi="Verdana"/>
          <w:sz w:val="20"/>
          <w:szCs w:val="20"/>
        </w:rPr>
        <w:t xml:space="preserve">na dwa lata </w:t>
      </w:r>
      <w:r w:rsidR="00503DB4" w:rsidRPr="006E23A1">
        <w:rPr>
          <w:rFonts w:ascii="Verdana" w:hAnsi="Verdana"/>
          <w:sz w:val="20"/>
          <w:szCs w:val="20"/>
        </w:rPr>
        <w:t xml:space="preserve">z możliwości zakładania spółek kapitałowych </w:t>
      </w:r>
      <w:r w:rsidR="0017556A">
        <w:rPr>
          <w:rFonts w:ascii="Verdana" w:hAnsi="Verdana"/>
          <w:sz w:val="20"/>
          <w:szCs w:val="20"/>
        </w:rPr>
        <w:t xml:space="preserve">i </w:t>
      </w:r>
      <w:r w:rsidR="00503DB4" w:rsidRPr="006E23A1">
        <w:rPr>
          <w:rFonts w:ascii="Verdana" w:hAnsi="Verdana"/>
          <w:sz w:val="20"/>
          <w:szCs w:val="20"/>
        </w:rPr>
        <w:t>sprawowania funkcji dyrektorskich w takich spółkach, ze względu na niepowodzeni</w:t>
      </w:r>
      <w:r w:rsidR="00BB4B96" w:rsidRPr="006E23A1">
        <w:rPr>
          <w:rFonts w:ascii="Verdana" w:hAnsi="Verdana"/>
          <w:sz w:val="20"/>
          <w:szCs w:val="20"/>
        </w:rPr>
        <w:t>a</w:t>
      </w:r>
      <w:r w:rsidR="00503DB4" w:rsidRPr="006E23A1">
        <w:rPr>
          <w:rFonts w:ascii="Verdana" w:hAnsi="Verdana"/>
          <w:sz w:val="20"/>
          <w:szCs w:val="20"/>
        </w:rPr>
        <w:t xml:space="preserve"> </w:t>
      </w:r>
      <w:r w:rsidR="00C3337A" w:rsidRPr="006E23A1">
        <w:rPr>
          <w:rFonts w:ascii="Verdana" w:hAnsi="Verdana"/>
          <w:sz w:val="20"/>
          <w:szCs w:val="20"/>
        </w:rPr>
        <w:t>przedsię</w:t>
      </w:r>
      <w:r w:rsidR="00BB4B96" w:rsidRPr="006E23A1">
        <w:rPr>
          <w:rFonts w:ascii="Verdana" w:hAnsi="Verdana"/>
          <w:sz w:val="20"/>
          <w:szCs w:val="20"/>
        </w:rPr>
        <w:t>wzięć biznesowych</w:t>
      </w:r>
      <w:r w:rsidR="00C3337A" w:rsidRPr="006E23A1">
        <w:rPr>
          <w:rFonts w:ascii="Verdana" w:hAnsi="Verdana"/>
          <w:sz w:val="20"/>
          <w:szCs w:val="20"/>
        </w:rPr>
        <w:t>, w które</w:t>
      </w:r>
      <w:r w:rsidR="00503DB4" w:rsidRPr="006E23A1">
        <w:rPr>
          <w:rFonts w:ascii="Verdana" w:hAnsi="Verdana"/>
          <w:sz w:val="20"/>
          <w:szCs w:val="20"/>
        </w:rPr>
        <w:t xml:space="preserve"> byli zaangażowani. Zakaz</w:t>
      </w:r>
      <w:r w:rsidR="001A174A" w:rsidRPr="006E23A1">
        <w:rPr>
          <w:rFonts w:ascii="Verdana" w:hAnsi="Verdana"/>
          <w:sz w:val="20"/>
          <w:szCs w:val="20"/>
        </w:rPr>
        <w:t>y</w:t>
      </w:r>
      <w:r w:rsidR="00503DB4" w:rsidRPr="006E23A1">
        <w:rPr>
          <w:rFonts w:ascii="Verdana" w:hAnsi="Verdana"/>
          <w:sz w:val="20"/>
          <w:szCs w:val="20"/>
        </w:rPr>
        <w:t xml:space="preserve"> został</w:t>
      </w:r>
      <w:r w:rsidR="001E15B8" w:rsidRPr="006E23A1">
        <w:rPr>
          <w:rFonts w:ascii="Verdana" w:hAnsi="Verdana"/>
          <w:sz w:val="20"/>
          <w:szCs w:val="20"/>
        </w:rPr>
        <w:t>y ustanowione</w:t>
      </w:r>
      <w:r w:rsidR="00503DB4" w:rsidRPr="006E23A1">
        <w:rPr>
          <w:rFonts w:ascii="Verdana" w:hAnsi="Verdana"/>
          <w:sz w:val="20"/>
          <w:szCs w:val="20"/>
        </w:rPr>
        <w:t xml:space="preserve"> na gruncie </w:t>
      </w:r>
      <w:r w:rsidR="001A174A" w:rsidRPr="006E23A1">
        <w:rPr>
          <w:rFonts w:ascii="Verdana" w:hAnsi="Verdana"/>
          <w:sz w:val="20"/>
          <w:szCs w:val="20"/>
        </w:rPr>
        <w:t>prawa upadłościowego</w:t>
      </w:r>
      <w:r w:rsidR="00C3337A" w:rsidRPr="006E23A1">
        <w:rPr>
          <w:rFonts w:ascii="Verdana" w:hAnsi="Verdana"/>
          <w:sz w:val="20"/>
          <w:szCs w:val="20"/>
        </w:rPr>
        <w:t>,</w:t>
      </w:r>
      <w:r w:rsidR="001E15B8" w:rsidRPr="006E23A1">
        <w:rPr>
          <w:rFonts w:ascii="Verdana" w:hAnsi="Verdana"/>
          <w:sz w:val="20"/>
          <w:szCs w:val="20"/>
        </w:rPr>
        <w:t xml:space="preserve"> wobec tego, że byli oni niezdolni do działania oraz że występowały uzasadnione podstawy do podejrze</w:t>
      </w:r>
      <w:r w:rsidR="0017556A">
        <w:rPr>
          <w:rFonts w:ascii="Verdana" w:hAnsi="Verdana"/>
          <w:sz w:val="20"/>
          <w:szCs w:val="20"/>
        </w:rPr>
        <w:t>wa</w:t>
      </w:r>
      <w:r w:rsidR="001E15B8" w:rsidRPr="006E23A1">
        <w:rPr>
          <w:rFonts w:ascii="Verdana" w:hAnsi="Verdana"/>
          <w:sz w:val="20"/>
          <w:szCs w:val="20"/>
        </w:rPr>
        <w:t>nia</w:t>
      </w:r>
      <w:r w:rsidR="00C3337A" w:rsidRPr="006E23A1">
        <w:rPr>
          <w:rFonts w:ascii="Verdana" w:hAnsi="Verdana"/>
          <w:sz w:val="20"/>
          <w:szCs w:val="20"/>
        </w:rPr>
        <w:t xml:space="preserve"> ich o popełnienie</w:t>
      </w:r>
      <w:r w:rsidR="001E15B8" w:rsidRPr="006E23A1">
        <w:rPr>
          <w:rFonts w:ascii="Verdana" w:hAnsi="Verdana"/>
          <w:sz w:val="20"/>
          <w:szCs w:val="20"/>
        </w:rPr>
        <w:t xml:space="preserve"> przestępstw w związku z </w:t>
      </w:r>
      <w:r w:rsidR="00FD7F6A" w:rsidRPr="006E23A1">
        <w:rPr>
          <w:rFonts w:ascii="Verdana" w:hAnsi="Verdana"/>
          <w:sz w:val="20"/>
          <w:szCs w:val="20"/>
        </w:rPr>
        <w:t>upadłością</w:t>
      </w:r>
      <w:r w:rsidR="001E15B8" w:rsidRPr="006E23A1">
        <w:rPr>
          <w:rFonts w:ascii="Verdana" w:hAnsi="Verdana"/>
          <w:sz w:val="20"/>
          <w:szCs w:val="20"/>
        </w:rPr>
        <w:t>. Oboje zostali następnie skazani za przestępstwa związane z b</w:t>
      </w:r>
      <w:r w:rsidR="00C3337A" w:rsidRPr="006E23A1">
        <w:rPr>
          <w:rFonts w:ascii="Verdana" w:hAnsi="Verdana"/>
          <w:sz w:val="20"/>
          <w:szCs w:val="20"/>
        </w:rPr>
        <w:t>ankructwem. Skarżący podkreśl</w:t>
      </w:r>
      <w:r w:rsidR="00A54047" w:rsidRPr="006E23A1">
        <w:rPr>
          <w:rFonts w:ascii="Verdana" w:hAnsi="Verdana"/>
          <w:sz w:val="20"/>
          <w:szCs w:val="20"/>
        </w:rPr>
        <w:t>i</w:t>
      </w:r>
      <w:r w:rsidR="00C3337A" w:rsidRPr="006E23A1">
        <w:rPr>
          <w:rFonts w:ascii="Verdana" w:hAnsi="Verdana"/>
          <w:sz w:val="20"/>
          <w:szCs w:val="20"/>
        </w:rPr>
        <w:t>li</w:t>
      </w:r>
      <w:r w:rsidR="001E15B8" w:rsidRPr="006E23A1">
        <w:rPr>
          <w:rFonts w:ascii="Verdana" w:hAnsi="Verdana"/>
          <w:sz w:val="20"/>
          <w:szCs w:val="20"/>
        </w:rPr>
        <w:t xml:space="preserve">, że </w:t>
      </w:r>
      <w:r w:rsidR="00A54047" w:rsidRPr="006E23A1">
        <w:rPr>
          <w:rFonts w:ascii="Verdana" w:hAnsi="Verdana"/>
          <w:sz w:val="20"/>
          <w:szCs w:val="20"/>
        </w:rPr>
        <w:t xml:space="preserve">nakaz </w:t>
      </w:r>
      <w:r w:rsidR="00C3337A" w:rsidRPr="006E23A1">
        <w:rPr>
          <w:rFonts w:ascii="Verdana" w:hAnsi="Verdana"/>
          <w:sz w:val="20"/>
          <w:szCs w:val="20"/>
        </w:rPr>
        <w:t xml:space="preserve">ich </w:t>
      </w:r>
      <w:r w:rsidR="001B43B9" w:rsidRPr="006E23A1">
        <w:rPr>
          <w:rFonts w:ascii="Verdana" w:hAnsi="Verdana"/>
          <w:sz w:val="20"/>
          <w:szCs w:val="20"/>
        </w:rPr>
        <w:t xml:space="preserve">wyłączenia </w:t>
      </w:r>
      <w:r w:rsidR="00663974" w:rsidRPr="006E23A1">
        <w:rPr>
          <w:rFonts w:ascii="Verdana" w:hAnsi="Verdana"/>
          <w:sz w:val="20"/>
          <w:szCs w:val="20"/>
        </w:rPr>
        <w:t>zakazuje, na</w:t>
      </w:r>
      <w:r w:rsidR="00C3337A" w:rsidRPr="006E23A1">
        <w:rPr>
          <w:rFonts w:ascii="Verdana" w:hAnsi="Verdana"/>
          <w:sz w:val="20"/>
          <w:szCs w:val="20"/>
        </w:rPr>
        <w:t xml:space="preserve"> podstawie </w:t>
      </w:r>
      <w:r w:rsidR="00C3337A" w:rsidRPr="006E23A1">
        <w:rPr>
          <w:rFonts w:ascii="Verdana" w:hAnsi="Verdana"/>
          <w:i/>
          <w:sz w:val="20"/>
          <w:szCs w:val="20"/>
        </w:rPr>
        <w:t xml:space="preserve">ne bis in idem, </w:t>
      </w:r>
      <w:r w:rsidR="00C3337A" w:rsidRPr="006E23A1">
        <w:rPr>
          <w:rFonts w:ascii="Verdana" w:hAnsi="Verdana"/>
          <w:sz w:val="20"/>
          <w:szCs w:val="20"/>
        </w:rPr>
        <w:t xml:space="preserve">prowadzenia </w:t>
      </w:r>
      <w:r w:rsidR="00A54047" w:rsidRPr="006E23A1">
        <w:rPr>
          <w:rFonts w:ascii="Verdana" w:hAnsi="Verdana"/>
          <w:sz w:val="20"/>
          <w:szCs w:val="20"/>
        </w:rPr>
        <w:t xml:space="preserve">kolejnych </w:t>
      </w:r>
      <w:r w:rsidR="00C3337A" w:rsidRPr="006E23A1">
        <w:rPr>
          <w:rFonts w:ascii="Verdana" w:hAnsi="Verdana"/>
          <w:sz w:val="20"/>
          <w:szCs w:val="20"/>
        </w:rPr>
        <w:t>postępowań odnoszących się do tych samych kwestii.</w:t>
      </w:r>
    </w:p>
    <w:p w14:paraId="7AA3C467" w14:textId="1453BE0B" w:rsidR="00C45D61" w:rsidRPr="00590FCF" w:rsidRDefault="009F1C56" w:rsidP="008B0AE6">
      <w:pPr>
        <w:spacing w:after="0"/>
        <w:jc w:val="both"/>
        <w:rPr>
          <w:rFonts w:ascii="Verdana" w:hAnsi="Verdana"/>
          <w:color w:val="0070C0"/>
          <w:sz w:val="20"/>
          <w:szCs w:val="20"/>
        </w:rPr>
      </w:pPr>
      <w:r w:rsidRPr="00590FCF">
        <w:rPr>
          <w:rFonts w:ascii="Verdana" w:hAnsi="Verdana"/>
          <w:color w:val="0070C0"/>
          <w:sz w:val="20"/>
          <w:szCs w:val="20"/>
        </w:rPr>
        <w:t xml:space="preserve">Trybunał stwierdził, że skargi są </w:t>
      </w:r>
      <w:r w:rsidRPr="00590FCF">
        <w:rPr>
          <w:rFonts w:ascii="Verdana" w:hAnsi="Verdana"/>
          <w:b/>
          <w:color w:val="0070C0"/>
          <w:sz w:val="20"/>
          <w:szCs w:val="20"/>
        </w:rPr>
        <w:t>niedopuszczaln</w:t>
      </w:r>
      <w:r w:rsidR="000E5D31" w:rsidRPr="00590FCF">
        <w:rPr>
          <w:rFonts w:ascii="Verdana" w:hAnsi="Verdana"/>
          <w:b/>
          <w:color w:val="0070C0"/>
          <w:sz w:val="20"/>
          <w:szCs w:val="20"/>
        </w:rPr>
        <w:t>e</w:t>
      </w:r>
      <w:r w:rsidR="0017556A" w:rsidRPr="00590FCF">
        <w:rPr>
          <w:rFonts w:ascii="Verdana" w:hAnsi="Verdana"/>
          <w:b/>
          <w:color w:val="0070C0"/>
          <w:sz w:val="20"/>
          <w:szCs w:val="20"/>
        </w:rPr>
        <w:t xml:space="preserve"> </w:t>
      </w:r>
      <w:r w:rsidR="0017556A" w:rsidRPr="00590FCF">
        <w:rPr>
          <w:rFonts w:ascii="Verdana" w:hAnsi="Verdana"/>
          <w:color w:val="0070C0"/>
          <w:sz w:val="20"/>
          <w:szCs w:val="20"/>
        </w:rPr>
        <w:t>jako w sposób oczywisty nieuzasadnione</w:t>
      </w:r>
      <w:r w:rsidRPr="00590FCF">
        <w:rPr>
          <w:rFonts w:ascii="Verdana" w:hAnsi="Verdana"/>
          <w:color w:val="0070C0"/>
          <w:sz w:val="20"/>
          <w:szCs w:val="20"/>
        </w:rPr>
        <w:t>, uz</w:t>
      </w:r>
      <w:r w:rsidR="000E5D31" w:rsidRPr="00590FCF">
        <w:rPr>
          <w:rFonts w:ascii="Verdana" w:hAnsi="Verdana"/>
          <w:color w:val="0070C0"/>
          <w:sz w:val="20"/>
          <w:szCs w:val="20"/>
        </w:rPr>
        <w:t>na</w:t>
      </w:r>
      <w:r w:rsidR="0017556A" w:rsidRPr="00590FCF">
        <w:rPr>
          <w:rFonts w:ascii="Verdana" w:hAnsi="Verdana"/>
          <w:color w:val="0070C0"/>
          <w:sz w:val="20"/>
          <w:szCs w:val="20"/>
        </w:rPr>
        <w:t>jąc</w:t>
      </w:r>
      <w:r w:rsidRPr="00590FCF">
        <w:rPr>
          <w:rFonts w:ascii="Verdana" w:hAnsi="Verdana"/>
          <w:color w:val="0070C0"/>
          <w:sz w:val="20"/>
          <w:szCs w:val="20"/>
        </w:rPr>
        <w:t>, że nałożenie zakazów prowadzenia działalności gospodarczej nie stanowiło</w:t>
      </w:r>
      <w:r w:rsidR="000E5D31" w:rsidRPr="00590FCF">
        <w:rPr>
          <w:rFonts w:ascii="Verdana" w:hAnsi="Verdana"/>
          <w:color w:val="0070C0"/>
          <w:sz w:val="20"/>
          <w:szCs w:val="20"/>
        </w:rPr>
        <w:t xml:space="preserve"> w sprawie </w:t>
      </w:r>
      <w:r w:rsidR="00AA04BF" w:rsidRPr="00590FCF">
        <w:rPr>
          <w:rFonts w:ascii="Verdana" w:hAnsi="Verdana"/>
          <w:color w:val="0070C0"/>
          <w:sz w:val="20"/>
          <w:szCs w:val="20"/>
        </w:rPr>
        <w:t>skarżących</w:t>
      </w:r>
      <w:r w:rsidRPr="00590FCF">
        <w:rPr>
          <w:rFonts w:ascii="Verdana" w:hAnsi="Verdana"/>
          <w:color w:val="0070C0"/>
          <w:sz w:val="20"/>
          <w:szCs w:val="20"/>
        </w:rPr>
        <w:t xml:space="preserve"> </w:t>
      </w:r>
      <w:r w:rsidR="00AA04BF" w:rsidRPr="00590FCF">
        <w:rPr>
          <w:rFonts w:ascii="Verdana" w:hAnsi="Verdana"/>
          <w:color w:val="0070C0"/>
          <w:sz w:val="20"/>
          <w:szCs w:val="20"/>
        </w:rPr>
        <w:t>kwestii</w:t>
      </w:r>
      <w:r w:rsidRPr="00590FCF">
        <w:rPr>
          <w:rFonts w:ascii="Verdana" w:hAnsi="Verdana"/>
          <w:color w:val="0070C0"/>
          <w:sz w:val="20"/>
          <w:szCs w:val="20"/>
        </w:rPr>
        <w:t xml:space="preserve"> „karnej” </w:t>
      </w:r>
      <w:r w:rsidR="000E5D31" w:rsidRPr="00590FCF">
        <w:rPr>
          <w:rFonts w:ascii="Verdana" w:hAnsi="Verdana"/>
          <w:color w:val="0070C0"/>
          <w:sz w:val="20"/>
          <w:szCs w:val="20"/>
        </w:rPr>
        <w:t xml:space="preserve">w rozumieniu art. 4 Protokołu </w:t>
      </w:r>
      <w:r w:rsidR="00E97A36">
        <w:rPr>
          <w:rFonts w:ascii="Verdana" w:hAnsi="Verdana"/>
          <w:color w:val="0070C0"/>
          <w:sz w:val="20"/>
          <w:szCs w:val="20"/>
        </w:rPr>
        <w:t>nr</w:t>
      </w:r>
      <w:r w:rsidR="000E5D31" w:rsidRPr="00590FCF">
        <w:rPr>
          <w:rFonts w:ascii="Verdana" w:hAnsi="Verdana"/>
          <w:color w:val="0070C0"/>
          <w:sz w:val="20"/>
          <w:szCs w:val="20"/>
        </w:rPr>
        <w:t xml:space="preserve"> 7</w:t>
      </w:r>
      <w:r w:rsidRPr="00590FCF">
        <w:rPr>
          <w:rFonts w:ascii="Verdana" w:hAnsi="Verdana"/>
          <w:color w:val="0070C0"/>
          <w:sz w:val="20"/>
          <w:szCs w:val="20"/>
        </w:rPr>
        <w:t>. Trybunał zauważył, w szczegó</w:t>
      </w:r>
      <w:r w:rsidR="00F519FC" w:rsidRPr="00590FCF">
        <w:rPr>
          <w:rFonts w:ascii="Verdana" w:hAnsi="Verdana"/>
          <w:color w:val="0070C0"/>
          <w:sz w:val="20"/>
          <w:szCs w:val="20"/>
        </w:rPr>
        <w:t>lności, że warunek „uzasadnionych podstaw</w:t>
      </w:r>
      <w:r w:rsidRPr="00590FCF">
        <w:rPr>
          <w:rFonts w:ascii="Verdana" w:hAnsi="Verdana"/>
          <w:color w:val="0070C0"/>
          <w:sz w:val="20"/>
          <w:szCs w:val="20"/>
        </w:rPr>
        <w:t xml:space="preserve"> do </w:t>
      </w:r>
      <w:r w:rsidR="00F519FC" w:rsidRPr="00590FCF">
        <w:rPr>
          <w:rFonts w:ascii="Verdana" w:hAnsi="Verdana"/>
          <w:color w:val="0070C0"/>
          <w:sz w:val="20"/>
          <w:szCs w:val="20"/>
        </w:rPr>
        <w:t xml:space="preserve">podejrzeń” </w:t>
      </w:r>
      <w:r w:rsidRPr="00590FCF">
        <w:rPr>
          <w:rFonts w:ascii="Verdana" w:hAnsi="Verdana"/>
          <w:color w:val="0070C0"/>
          <w:sz w:val="20"/>
          <w:szCs w:val="20"/>
        </w:rPr>
        <w:t>nie po</w:t>
      </w:r>
      <w:r w:rsidR="00DE560E" w:rsidRPr="00590FCF">
        <w:rPr>
          <w:rFonts w:ascii="Verdana" w:hAnsi="Verdana"/>
          <w:color w:val="0070C0"/>
          <w:sz w:val="20"/>
          <w:szCs w:val="20"/>
        </w:rPr>
        <w:t>zbawił zakazów prowadzenia działal</w:t>
      </w:r>
      <w:r w:rsidRPr="00590FCF">
        <w:rPr>
          <w:rFonts w:ascii="Verdana" w:hAnsi="Verdana"/>
          <w:color w:val="0070C0"/>
          <w:sz w:val="20"/>
          <w:szCs w:val="20"/>
        </w:rPr>
        <w:t>ności gospodarczej ich zasadniczo regulacyjnego charakteru. Co więcej</w:t>
      </w:r>
      <w:r w:rsidR="0017556A" w:rsidRPr="00590FCF">
        <w:rPr>
          <w:rFonts w:ascii="Verdana" w:hAnsi="Verdana"/>
          <w:color w:val="0070C0"/>
          <w:sz w:val="20"/>
          <w:szCs w:val="20"/>
        </w:rPr>
        <w:t>,</w:t>
      </w:r>
      <w:r w:rsidRPr="00590FCF">
        <w:rPr>
          <w:rFonts w:ascii="Verdana" w:hAnsi="Verdana"/>
          <w:color w:val="0070C0"/>
          <w:sz w:val="20"/>
          <w:szCs w:val="20"/>
        </w:rPr>
        <w:t xml:space="preserve"> </w:t>
      </w:r>
      <w:r w:rsidR="00F519FC" w:rsidRPr="00590FCF">
        <w:rPr>
          <w:rFonts w:ascii="Verdana" w:hAnsi="Verdana"/>
          <w:color w:val="0070C0"/>
          <w:sz w:val="20"/>
          <w:szCs w:val="20"/>
        </w:rPr>
        <w:t>głównym</w:t>
      </w:r>
      <w:r w:rsidRPr="00590FCF">
        <w:rPr>
          <w:rFonts w:ascii="Verdana" w:hAnsi="Verdana"/>
          <w:color w:val="0070C0"/>
          <w:sz w:val="20"/>
          <w:szCs w:val="20"/>
        </w:rPr>
        <w:t xml:space="preserve"> celem ustanowienia zakazu była</w:t>
      </w:r>
      <w:r w:rsidR="00F519FC" w:rsidRPr="00590FCF">
        <w:rPr>
          <w:rFonts w:ascii="Verdana" w:hAnsi="Verdana"/>
          <w:color w:val="0070C0"/>
          <w:sz w:val="20"/>
          <w:szCs w:val="20"/>
        </w:rPr>
        <w:t xml:space="preserve"> jego funkcja</w:t>
      </w:r>
      <w:r w:rsidRPr="00590FCF">
        <w:rPr>
          <w:rFonts w:ascii="Verdana" w:hAnsi="Verdana"/>
          <w:color w:val="0070C0"/>
          <w:sz w:val="20"/>
          <w:szCs w:val="20"/>
        </w:rPr>
        <w:t xml:space="preserve"> prewencyjna, a mianowicie ochrona udziałowców, kredytodawców oraz społeczeństwa jako ogółu przed </w:t>
      </w:r>
      <w:r w:rsidR="00F519FC" w:rsidRPr="00590FCF">
        <w:rPr>
          <w:rFonts w:ascii="Verdana" w:hAnsi="Verdana"/>
          <w:color w:val="0070C0"/>
          <w:sz w:val="20"/>
          <w:szCs w:val="20"/>
        </w:rPr>
        <w:t>narażeniem na</w:t>
      </w:r>
      <w:r w:rsidR="008B35CB" w:rsidRPr="00590FCF">
        <w:rPr>
          <w:rFonts w:ascii="Verdana" w:hAnsi="Verdana"/>
          <w:color w:val="0070C0"/>
          <w:sz w:val="20"/>
          <w:szCs w:val="20"/>
        </w:rPr>
        <w:t xml:space="preserve"> nadmierne ryzyko strat oraz złego gospodarowania zasobami, jeżeli nieuczciwa i nieodpowiedzialna osoba kontynuowałaby </w:t>
      </w:r>
      <w:r w:rsidR="001B43B9" w:rsidRPr="00590FCF">
        <w:rPr>
          <w:rFonts w:ascii="Verdana" w:hAnsi="Verdana"/>
          <w:color w:val="0070C0"/>
          <w:sz w:val="20"/>
          <w:szCs w:val="20"/>
        </w:rPr>
        <w:t>działalność pod</w:t>
      </w:r>
      <w:r w:rsidR="008B35CB" w:rsidRPr="00590FCF">
        <w:rPr>
          <w:rFonts w:ascii="Verdana" w:hAnsi="Verdana"/>
          <w:color w:val="0070C0"/>
          <w:sz w:val="20"/>
          <w:szCs w:val="20"/>
        </w:rPr>
        <w:t xml:space="preserve"> parasolem spółki z ograniczoną odpowiedzialnością. Zatem miała ona pomocniczą rolę w stosunku do ścigania przestępstw i wydawania wyroków skazujących w późniejszym etapie postępowania. </w:t>
      </w:r>
      <w:r w:rsidR="00C45D61" w:rsidRPr="00590FCF">
        <w:rPr>
          <w:rFonts w:ascii="Verdana" w:hAnsi="Verdana"/>
          <w:color w:val="0070C0"/>
          <w:sz w:val="20"/>
          <w:szCs w:val="20"/>
        </w:rPr>
        <w:t xml:space="preserve"> W odniesieniu </w:t>
      </w:r>
      <w:r w:rsidR="001B43B9" w:rsidRPr="00590FCF">
        <w:rPr>
          <w:rFonts w:ascii="Verdana" w:hAnsi="Verdana"/>
          <w:color w:val="0070C0"/>
          <w:sz w:val="20"/>
          <w:szCs w:val="20"/>
        </w:rPr>
        <w:t>do charakteru</w:t>
      </w:r>
      <w:r w:rsidR="00C45D61" w:rsidRPr="00590FCF">
        <w:rPr>
          <w:rFonts w:ascii="Verdana" w:hAnsi="Verdana"/>
          <w:color w:val="0070C0"/>
          <w:sz w:val="20"/>
          <w:szCs w:val="20"/>
        </w:rPr>
        <w:t xml:space="preserve"> i stopienia surowości tego środka, zakaz prowadzenia działalności gospodarczej wiązał się z zakazem zakładania lub zarządzania nową spółką z ograniczoną odpowiedzialnością na czas określony, nie był on generalnym zakazem prowadzenia działalności gospodarczej.  Charakter sankcji nie był zatem na tyle surowy, by doprowadzić sprawę do sfery „karnej”. Trybunał zauważył, że oba środki (wyłączenie i ściganie) służyły innym celom i różniły się pod względem istotnych elementów. </w:t>
      </w:r>
    </w:p>
    <w:p w14:paraId="77B28FB0" w14:textId="15DC4AE4" w:rsidR="00EE514E" w:rsidRDefault="00EE514E" w:rsidP="008B0AE6">
      <w:pPr>
        <w:spacing w:after="0"/>
        <w:jc w:val="both"/>
        <w:rPr>
          <w:rFonts w:ascii="Verdana" w:hAnsi="Verdana"/>
          <w:sz w:val="20"/>
          <w:szCs w:val="20"/>
        </w:rPr>
      </w:pPr>
      <w:r w:rsidRPr="006E23A1">
        <w:rPr>
          <w:rFonts w:ascii="Verdana" w:hAnsi="Verdana"/>
          <w:i/>
          <w:sz w:val="20"/>
          <w:szCs w:val="20"/>
        </w:rPr>
        <w:t>Zob</w:t>
      </w:r>
      <w:r w:rsidR="00590FCF">
        <w:rPr>
          <w:rFonts w:ascii="Verdana" w:hAnsi="Verdana"/>
          <w:i/>
          <w:sz w:val="20"/>
          <w:szCs w:val="20"/>
        </w:rPr>
        <w:t>. także</w:t>
      </w:r>
      <w:r w:rsidRPr="006E23A1">
        <w:rPr>
          <w:rFonts w:ascii="Verdana" w:hAnsi="Verdana"/>
          <w:i/>
          <w:sz w:val="20"/>
          <w:szCs w:val="20"/>
        </w:rPr>
        <w:t xml:space="preserve">: </w:t>
      </w:r>
      <w:r w:rsidRPr="00590FCF">
        <w:rPr>
          <w:rFonts w:ascii="Verdana" w:hAnsi="Verdana"/>
          <w:b/>
          <w:color w:val="0070C0"/>
          <w:sz w:val="20"/>
          <w:szCs w:val="20"/>
          <w:u w:val="single"/>
        </w:rPr>
        <w:t xml:space="preserve">Haarvig </w:t>
      </w:r>
      <w:hyperlink r:id="rId13" w:history="1">
        <w:r w:rsidRPr="00590FCF">
          <w:rPr>
            <w:rStyle w:val="Hipercze"/>
            <w:rFonts w:ascii="Verdana" w:hAnsi="Verdana"/>
            <w:b/>
            <w:color w:val="0070C0"/>
            <w:sz w:val="20"/>
            <w:szCs w:val="20"/>
          </w:rPr>
          <w:t>przeciwko</w:t>
        </w:r>
      </w:hyperlink>
      <w:r w:rsidRPr="00590FCF">
        <w:rPr>
          <w:rFonts w:ascii="Verdana" w:hAnsi="Verdana"/>
          <w:b/>
          <w:color w:val="0070C0"/>
          <w:sz w:val="20"/>
          <w:szCs w:val="20"/>
          <w:u w:val="single"/>
        </w:rPr>
        <w:t xml:space="preserve"> Norwegii</w:t>
      </w:r>
      <w:r w:rsidRPr="00590FCF">
        <w:rPr>
          <w:rFonts w:ascii="Verdana" w:hAnsi="Verdana"/>
          <w:color w:val="0070C0"/>
          <w:sz w:val="20"/>
          <w:szCs w:val="20"/>
        </w:rPr>
        <w:t xml:space="preserve">, </w:t>
      </w:r>
      <w:r w:rsidR="00CF41EE" w:rsidRPr="006E23A1">
        <w:rPr>
          <w:rFonts w:ascii="Verdana" w:hAnsi="Verdana"/>
          <w:sz w:val="20"/>
          <w:szCs w:val="20"/>
        </w:rPr>
        <w:t xml:space="preserve">decyzja w sprawie </w:t>
      </w:r>
      <w:r w:rsidRPr="006E23A1">
        <w:rPr>
          <w:rFonts w:ascii="Verdana" w:hAnsi="Verdana"/>
          <w:sz w:val="20"/>
          <w:szCs w:val="20"/>
        </w:rPr>
        <w:t xml:space="preserve">dopuszczalności z </w:t>
      </w:r>
      <w:r w:rsidR="00590FCF">
        <w:rPr>
          <w:rFonts w:ascii="Verdana" w:hAnsi="Verdana"/>
          <w:sz w:val="20"/>
          <w:szCs w:val="20"/>
        </w:rPr>
        <w:t xml:space="preserve">dnia </w:t>
      </w:r>
      <w:r w:rsidRPr="006E23A1">
        <w:rPr>
          <w:rFonts w:ascii="Verdana" w:hAnsi="Verdana"/>
          <w:sz w:val="20"/>
          <w:szCs w:val="20"/>
        </w:rPr>
        <w:t xml:space="preserve">11 grudnia 2007 r. </w:t>
      </w:r>
    </w:p>
    <w:p w14:paraId="193E742A" w14:textId="77777777" w:rsidR="008B0AE6" w:rsidRPr="00590FCF" w:rsidRDefault="008B0AE6" w:rsidP="008B0AE6">
      <w:pPr>
        <w:spacing w:after="0"/>
        <w:jc w:val="both"/>
        <w:rPr>
          <w:rFonts w:ascii="Verdana" w:hAnsi="Verdana"/>
          <w:color w:val="0070C0"/>
          <w:sz w:val="20"/>
          <w:szCs w:val="20"/>
        </w:rPr>
      </w:pPr>
    </w:p>
    <w:p w14:paraId="183F3EE9" w14:textId="13EC32E1" w:rsidR="00EE514E" w:rsidRPr="006E23A1" w:rsidRDefault="00EE514E" w:rsidP="008B0AE6">
      <w:pPr>
        <w:spacing w:after="0"/>
        <w:rPr>
          <w:rFonts w:ascii="Verdana" w:hAnsi="Verdana"/>
          <w:b/>
          <w:sz w:val="20"/>
          <w:szCs w:val="20"/>
          <w:u w:val="single"/>
        </w:rPr>
      </w:pPr>
      <w:hyperlink r:id="rId14" w:history="1">
        <w:r w:rsidRPr="00590FCF">
          <w:rPr>
            <w:rStyle w:val="Hipercze"/>
            <w:rFonts w:ascii="Verdana" w:hAnsi="Verdana"/>
            <w:b/>
            <w:color w:val="0070C0"/>
            <w:sz w:val="20"/>
            <w:szCs w:val="20"/>
          </w:rPr>
          <w:t>Paksas przeciwko Litwie</w:t>
        </w:r>
      </w:hyperlink>
      <w:r w:rsidR="00CF41EE" w:rsidRPr="006E23A1">
        <w:rPr>
          <w:rFonts w:ascii="Verdana" w:hAnsi="Verdana"/>
          <w:b/>
          <w:sz w:val="20"/>
          <w:szCs w:val="20"/>
          <w:u w:val="single"/>
        </w:rPr>
        <w:br/>
      </w:r>
      <w:r w:rsidRPr="00030950">
        <w:rPr>
          <w:rFonts w:ascii="Verdana" w:hAnsi="Verdana"/>
          <w:color w:val="767171" w:themeColor="background2" w:themeShade="80"/>
          <w:sz w:val="18"/>
          <w:szCs w:val="18"/>
        </w:rPr>
        <w:t>6 stycznia 2011 r. (Wielka Izba)</w:t>
      </w:r>
    </w:p>
    <w:p w14:paraId="4D5D40BE" w14:textId="77777777" w:rsidR="00EE514E" w:rsidRPr="006E23A1" w:rsidRDefault="00EE514E" w:rsidP="008B0AE6">
      <w:pPr>
        <w:spacing w:after="0"/>
        <w:jc w:val="both"/>
        <w:rPr>
          <w:rFonts w:ascii="Verdana" w:hAnsi="Verdana"/>
          <w:sz w:val="20"/>
          <w:szCs w:val="20"/>
        </w:rPr>
      </w:pPr>
      <w:r w:rsidRPr="006E23A1">
        <w:rPr>
          <w:rFonts w:ascii="Verdana" w:hAnsi="Verdana"/>
          <w:sz w:val="20"/>
          <w:szCs w:val="20"/>
        </w:rPr>
        <w:t xml:space="preserve">Skarżący, były prezydent Litwy, został usunięty ze stanowiska przez parlament na skutek przeprowadzenia procedury </w:t>
      </w:r>
      <w:r w:rsidRPr="006E23A1">
        <w:rPr>
          <w:rFonts w:ascii="Verdana" w:hAnsi="Verdana"/>
          <w:i/>
          <w:sz w:val="20"/>
          <w:szCs w:val="20"/>
        </w:rPr>
        <w:t>impeachmentu</w:t>
      </w:r>
      <w:r w:rsidRPr="006E23A1">
        <w:rPr>
          <w:rFonts w:ascii="Verdana" w:hAnsi="Verdana"/>
          <w:sz w:val="20"/>
          <w:szCs w:val="20"/>
        </w:rPr>
        <w:t>, za rażące naruszenie Konstytucji oraz załamanie przysięgi konstytucyjnej. Zostało również wszczęte przeciwko niemu postępowanie karne</w:t>
      </w:r>
      <w:r w:rsidR="00C45D61" w:rsidRPr="006E23A1">
        <w:rPr>
          <w:rFonts w:ascii="Verdana" w:hAnsi="Verdana"/>
          <w:sz w:val="20"/>
          <w:szCs w:val="20"/>
        </w:rPr>
        <w:t>, pod zarzutem ujawnienia</w:t>
      </w:r>
      <w:r w:rsidR="000E3DB9" w:rsidRPr="006E23A1">
        <w:rPr>
          <w:rFonts w:ascii="Verdana" w:hAnsi="Verdana"/>
          <w:sz w:val="20"/>
          <w:szCs w:val="20"/>
        </w:rPr>
        <w:t xml:space="preserve"> </w:t>
      </w:r>
      <w:r w:rsidR="00C45D61" w:rsidRPr="006E23A1">
        <w:rPr>
          <w:rFonts w:ascii="Verdana" w:hAnsi="Verdana"/>
          <w:sz w:val="20"/>
          <w:szCs w:val="20"/>
        </w:rPr>
        <w:t xml:space="preserve">informacji kwalifikowanych jako </w:t>
      </w:r>
      <w:r w:rsidR="000E3DB9" w:rsidRPr="006E23A1">
        <w:rPr>
          <w:rFonts w:ascii="Verdana" w:hAnsi="Verdana"/>
          <w:sz w:val="20"/>
          <w:szCs w:val="20"/>
        </w:rPr>
        <w:t xml:space="preserve">tajemnica państwowa, jednak </w:t>
      </w:r>
      <w:r w:rsidR="00C45D61" w:rsidRPr="006E23A1">
        <w:rPr>
          <w:rFonts w:ascii="Verdana" w:hAnsi="Verdana"/>
          <w:sz w:val="20"/>
          <w:szCs w:val="20"/>
        </w:rPr>
        <w:t>ostatecznie</w:t>
      </w:r>
      <w:r w:rsidR="000E3DB9" w:rsidRPr="006E23A1">
        <w:rPr>
          <w:rFonts w:ascii="Verdana" w:hAnsi="Verdana"/>
          <w:sz w:val="20"/>
          <w:szCs w:val="20"/>
        </w:rPr>
        <w:t xml:space="preserve"> </w:t>
      </w:r>
      <w:r w:rsidR="00C45D61" w:rsidRPr="006E23A1">
        <w:rPr>
          <w:rFonts w:ascii="Verdana" w:hAnsi="Verdana"/>
          <w:sz w:val="20"/>
          <w:szCs w:val="20"/>
        </w:rPr>
        <w:t>został</w:t>
      </w:r>
      <w:r w:rsidR="000E3DB9" w:rsidRPr="006E23A1">
        <w:rPr>
          <w:rFonts w:ascii="Verdana" w:hAnsi="Verdana"/>
          <w:sz w:val="20"/>
          <w:szCs w:val="20"/>
        </w:rPr>
        <w:t xml:space="preserve"> uniewinniony. Skarżący zarzucał, między innymi, </w:t>
      </w:r>
      <w:r w:rsidR="000E3DB9" w:rsidRPr="006E23A1">
        <w:rPr>
          <w:rFonts w:ascii="Verdana" w:hAnsi="Verdana"/>
          <w:sz w:val="20"/>
          <w:szCs w:val="20"/>
        </w:rPr>
        <w:lastRenderedPageBreak/>
        <w:t xml:space="preserve">że procedura </w:t>
      </w:r>
      <w:r w:rsidR="000E3DB9" w:rsidRPr="006E23A1">
        <w:rPr>
          <w:rFonts w:ascii="Verdana" w:hAnsi="Verdana"/>
          <w:i/>
          <w:sz w:val="20"/>
          <w:szCs w:val="20"/>
        </w:rPr>
        <w:t>impeachmentu</w:t>
      </w:r>
      <w:r w:rsidR="000E3DB9" w:rsidRPr="006E23A1">
        <w:rPr>
          <w:rFonts w:ascii="Verdana" w:hAnsi="Verdana"/>
          <w:sz w:val="20"/>
          <w:szCs w:val="20"/>
        </w:rPr>
        <w:t xml:space="preserve">, a następnie prowadzone przeciwko niemu postępowanie karne doprowadziło do dwukrotnego sądzenia za to samo </w:t>
      </w:r>
      <w:r w:rsidR="00C45D61" w:rsidRPr="006E23A1">
        <w:rPr>
          <w:rFonts w:ascii="Verdana" w:hAnsi="Verdana"/>
          <w:sz w:val="20"/>
          <w:szCs w:val="20"/>
        </w:rPr>
        <w:t>przestępstwo</w:t>
      </w:r>
      <w:r w:rsidR="000E3DB9" w:rsidRPr="006E23A1">
        <w:rPr>
          <w:rFonts w:ascii="Verdana" w:hAnsi="Verdana"/>
          <w:sz w:val="20"/>
          <w:szCs w:val="20"/>
        </w:rPr>
        <w:t xml:space="preserve">. </w:t>
      </w:r>
    </w:p>
    <w:p w14:paraId="0D899989" w14:textId="143ECFC7" w:rsidR="000E3DB9" w:rsidRPr="00590FCF" w:rsidRDefault="00C45D61" w:rsidP="008B0AE6">
      <w:pPr>
        <w:spacing w:after="0"/>
        <w:jc w:val="both"/>
        <w:rPr>
          <w:rFonts w:ascii="Verdana" w:hAnsi="Verdana" w:cs="Calibri"/>
          <w:color w:val="0070C0"/>
          <w:sz w:val="20"/>
          <w:szCs w:val="20"/>
        </w:rPr>
      </w:pPr>
      <w:r w:rsidRPr="00590FCF">
        <w:rPr>
          <w:rFonts w:ascii="Verdana" w:hAnsi="Verdana"/>
          <w:color w:val="0070C0"/>
          <w:sz w:val="20"/>
          <w:szCs w:val="20"/>
        </w:rPr>
        <w:t xml:space="preserve">Trybunał, zgodnie z art. 35 </w:t>
      </w:r>
      <w:r w:rsidR="000E3DB9" w:rsidRPr="00590FCF">
        <w:rPr>
          <w:rFonts w:ascii="Verdana" w:hAnsi="Verdana"/>
          <w:color w:val="0070C0"/>
          <w:sz w:val="20"/>
          <w:szCs w:val="20"/>
        </w:rPr>
        <w:t>Konwencji</w:t>
      </w:r>
      <w:r w:rsidRPr="00590FCF">
        <w:rPr>
          <w:rFonts w:ascii="Verdana" w:hAnsi="Verdana"/>
          <w:color w:val="0070C0"/>
          <w:sz w:val="20"/>
          <w:szCs w:val="20"/>
        </w:rPr>
        <w:t xml:space="preserve"> (</w:t>
      </w:r>
      <w:r w:rsidR="00AA4C05" w:rsidRPr="00590FCF">
        <w:rPr>
          <w:rFonts w:ascii="Verdana" w:hAnsi="Verdana"/>
          <w:color w:val="0070C0"/>
          <w:sz w:val="20"/>
          <w:szCs w:val="20"/>
        </w:rPr>
        <w:t>warunki</w:t>
      </w:r>
      <w:r w:rsidRPr="00590FCF">
        <w:rPr>
          <w:rFonts w:ascii="Verdana" w:hAnsi="Verdana"/>
          <w:color w:val="0070C0"/>
          <w:sz w:val="20"/>
          <w:szCs w:val="20"/>
        </w:rPr>
        <w:t xml:space="preserve"> dopuszczalności)</w:t>
      </w:r>
      <w:r w:rsidR="000E3DB9" w:rsidRPr="00590FCF">
        <w:rPr>
          <w:rFonts w:ascii="Verdana" w:hAnsi="Verdana"/>
          <w:color w:val="0070C0"/>
          <w:sz w:val="20"/>
          <w:szCs w:val="20"/>
        </w:rPr>
        <w:t xml:space="preserve">, uznał tę część skargi za </w:t>
      </w:r>
      <w:r w:rsidR="000E3DB9" w:rsidRPr="00590FCF">
        <w:rPr>
          <w:rFonts w:ascii="Verdana" w:hAnsi="Verdana"/>
          <w:b/>
          <w:color w:val="0070C0"/>
          <w:sz w:val="20"/>
          <w:szCs w:val="20"/>
        </w:rPr>
        <w:t>niedopuszczalną</w:t>
      </w:r>
      <w:r w:rsidR="000E3DB9" w:rsidRPr="00590FCF">
        <w:rPr>
          <w:rFonts w:ascii="Verdana" w:hAnsi="Verdana"/>
          <w:color w:val="0070C0"/>
          <w:sz w:val="20"/>
          <w:szCs w:val="20"/>
        </w:rPr>
        <w:t xml:space="preserve"> ze względu</w:t>
      </w:r>
      <w:r w:rsidR="00BF2BAE" w:rsidRPr="00590FCF">
        <w:rPr>
          <w:rFonts w:ascii="Verdana" w:hAnsi="Verdana"/>
          <w:color w:val="0070C0"/>
          <w:sz w:val="20"/>
          <w:szCs w:val="20"/>
        </w:rPr>
        <w:t xml:space="preserve"> na brak zgodności z</w:t>
      </w:r>
      <w:r w:rsidR="000E3DB9" w:rsidRPr="00590FCF">
        <w:rPr>
          <w:rFonts w:ascii="Verdana" w:hAnsi="Verdana"/>
          <w:color w:val="0070C0"/>
          <w:sz w:val="20"/>
          <w:szCs w:val="20"/>
        </w:rPr>
        <w:t xml:space="preserve"> </w:t>
      </w:r>
      <w:r w:rsidRPr="00590FCF">
        <w:rPr>
          <w:rFonts w:ascii="Verdana" w:hAnsi="Verdana"/>
          <w:i/>
          <w:color w:val="0070C0"/>
          <w:sz w:val="20"/>
          <w:szCs w:val="20"/>
        </w:rPr>
        <w:t>ratione materie</w:t>
      </w:r>
      <w:r w:rsidR="000E3DB9" w:rsidRPr="00590FCF">
        <w:rPr>
          <w:rFonts w:ascii="Verdana" w:hAnsi="Verdana"/>
          <w:i/>
          <w:color w:val="0070C0"/>
          <w:sz w:val="20"/>
          <w:szCs w:val="20"/>
        </w:rPr>
        <w:t xml:space="preserve"> </w:t>
      </w:r>
      <w:r w:rsidR="00433CE9" w:rsidRPr="00590FCF">
        <w:rPr>
          <w:rFonts w:ascii="Verdana" w:hAnsi="Verdana"/>
          <w:color w:val="0070C0"/>
          <w:sz w:val="20"/>
          <w:szCs w:val="20"/>
        </w:rPr>
        <w:t>(w odniesieniu do przedmiotu</w:t>
      </w:r>
      <w:r w:rsidR="00BF2BAE" w:rsidRPr="00590FCF">
        <w:rPr>
          <w:rFonts w:ascii="Verdana" w:hAnsi="Verdana"/>
          <w:color w:val="0070C0"/>
          <w:sz w:val="20"/>
          <w:szCs w:val="20"/>
        </w:rPr>
        <w:t xml:space="preserve"> skargi</w:t>
      </w:r>
      <w:r w:rsidR="00433CE9" w:rsidRPr="00590FCF">
        <w:rPr>
          <w:rFonts w:ascii="Verdana" w:hAnsi="Verdana"/>
          <w:color w:val="0070C0"/>
          <w:sz w:val="20"/>
          <w:szCs w:val="20"/>
        </w:rPr>
        <w:t>)</w:t>
      </w:r>
      <w:r w:rsidR="0096577C" w:rsidRPr="00590FCF">
        <w:rPr>
          <w:rFonts w:ascii="Verdana" w:hAnsi="Verdana"/>
          <w:color w:val="0070C0"/>
          <w:sz w:val="20"/>
          <w:szCs w:val="20"/>
        </w:rPr>
        <w:t xml:space="preserve"> z postanowieniami Konwencji. Trybunał zauważył w szczególności, że postępowania przed Trybunałem Konstytucyjnym odnosiły się </w:t>
      </w:r>
      <w:r w:rsidR="00BF2BAE" w:rsidRPr="00590FCF">
        <w:rPr>
          <w:rFonts w:ascii="Verdana" w:hAnsi="Verdana"/>
          <w:color w:val="0070C0"/>
          <w:sz w:val="20"/>
          <w:szCs w:val="20"/>
        </w:rPr>
        <w:t>do zgodności z Konstytucją oraz dekretem obywatelskim, wdrożonym</w:t>
      </w:r>
      <w:r w:rsidR="0096577C" w:rsidRPr="00590FCF">
        <w:rPr>
          <w:rFonts w:ascii="Verdana" w:hAnsi="Verdana"/>
          <w:color w:val="0070C0"/>
          <w:sz w:val="20"/>
          <w:szCs w:val="20"/>
        </w:rPr>
        <w:t xml:space="preserve"> przez </w:t>
      </w:r>
      <w:r w:rsidR="00BF2BAE" w:rsidRPr="00590FCF">
        <w:rPr>
          <w:rFonts w:ascii="Verdana" w:hAnsi="Verdana"/>
          <w:color w:val="0070C0"/>
          <w:sz w:val="20"/>
          <w:szCs w:val="20"/>
        </w:rPr>
        <w:t>skarżącego na</w:t>
      </w:r>
      <w:r w:rsidR="0096577C" w:rsidRPr="00590FCF">
        <w:rPr>
          <w:rFonts w:ascii="Verdana" w:hAnsi="Verdana"/>
          <w:color w:val="0070C0"/>
          <w:sz w:val="20"/>
          <w:szCs w:val="20"/>
        </w:rPr>
        <w:t xml:space="preserve"> mocy jego prezydenckich uprawnień, zaś drugi</w:t>
      </w:r>
      <w:r w:rsidR="00BF2BAE" w:rsidRPr="00590FCF">
        <w:rPr>
          <w:rFonts w:ascii="Verdana" w:hAnsi="Verdana"/>
          <w:color w:val="0070C0"/>
          <w:sz w:val="20"/>
          <w:szCs w:val="20"/>
        </w:rPr>
        <w:t>e</w:t>
      </w:r>
      <w:r w:rsidR="0096577C" w:rsidRPr="00590FCF">
        <w:rPr>
          <w:rFonts w:ascii="Verdana" w:hAnsi="Verdana"/>
          <w:color w:val="0070C0"/>
          <w:sz w:val="20"/>
          <w:szCs w:val="20"/>
        </w:rPr>
        <w:t xml:space="preserve"> postępowania miały na celu </w:t>
      </w:r>
      <w:r w:rsidR="00BF2BAE" w:rsidRPr="00590FCF">
        <w:rPr>
          <w:rFonts w:ascii="Verdana" w:hAnsi="Verdana"/>
          <w:color w:val="0070C0"/>
          <w:sz w:val="20"/>
          <w:szCs w:val="20"/>
        </w:rPr>
        <w:t>upewnienie się</w:t>
      </w:r>
      <w:r w:rsidR="00590FCF" w:rsidRPr="00590FCF">
        <w:rPr>
          <w:rFonts w:ascii="Verdana" w:hAnsi="Verdana"/>
          <w:color w:val="0070C0"/>
          <w:sz w:val="20"/>
          <w:szCs w:val="20"/>
        </w:rPr>
        <w:t>,</w:t>
      </w:r>
      <w:r w:rsidR="0096577C" w:rsidRPr="00590FCF">
        <w:rPr>
          <w:rFonts w:ascii="Verdana" w:hAnsi="Verdana"/>
          <w:color w:val="0070C0"/>
          <w:sz w:val="20"/>
          <w:szCs w:val="20"/>
        </w:rPr>
        <w:t xml:space="preserve"> czy dopuścił się on r</w:t>
      </w:r>
      <w:r w:rsidR="00BF2BAE" w:rsidRPr="00590FCF">
        <w:rPr>
          <w:rFonts w:ascii="Verdana" w:hAnsi="Verdana"/>
          <w:color w:val="0070C0"/>
          <w:sz w:val="20"/>
          <w:szCs w:val="20"/>
        </w:rPr>
        <w:t>ażącego naruszenia Konstytucji</w:t>
      </w:r>
      <w:r w:rsidR="0096577C" w:rsidRPr="00590FCF">
        <w:rPr>
          <w:rFonts w:ascii="Verdana" w:hAnsi="Verdana"/>
          <w:color w:val="0070C0"/>
          <w:sz w:val="20"/>
          <w:szCs w:val="20"/>
        </w:rPr>
        <w:t xml:space="preserve"> oraz czy złamał przysięgę konstytucyjną. Zdaniem Trybunału, kwestionowane postępowania nie dotyczyły ustalenia praw lub obowiązków</w:t>
      </w:r>
      <w:r w:rsidR="00BF2BAE" w:rsidRPr="00590FCF">
        <w:rPr>
          <w:rFonts w:ascii="Verdana" w:hAnsi="Verdana"/>
          <w:color w:val="0070C0"/>
          <w:sz w:val="20"/>
          <w:szCs w:val="20"/>
        </w:rPr>
        <w:t xml:space="preserve"> skarżącego</w:t>
      </w:r>
      <w:r w:rsidR="0096577C" w:rsidRPr="00590FCF">
        <w:rPr>
          <w:rFonts w:ascii="Verdana" w:hAnsi="Verdana"/>
          <w:color w:val="0070C0"/>
          <w:sz w:val="20"/>
          <w:szCs w:val="20"/>
        </w:rPr>
        <w:t xml:space="preserve"> albo ustalenia </w:t>
      </w:r>
      <w:r w:rsidR="00D63F9C" w:rsidRPr="00590FCF">
        <w:rPr>
          <w:rFonts w:ascii="Verdana" w:hAnsi="Verdana"/>
          <w:color w:val="0070C0"/>
          <w:sz w:val="20"/>
          <w:szCs w:val="20"/>
        </w:rPr>
        <w:t xml:space="preserve">czy doszło do „oskarżenia w sprawie karnej” </w:t>
      </w:r>
      <w:r w:rsidR="0096577C" w:rsidRPr="00590FCF">
        <w:rPr>
          <w:rFonts w:ascii="Verdana" w:hAnsi="Verdana"/>
          <w:color w:val="0070C0"/>
          <w:sz w:val="20"/>
          <w:szCs w:val="20"/>
        </w:rPr>
        <w:t>przec</w:t>
      </w:r>
      <w:r w:rsidR="00D63F9C" w:rsidRPr="00590FCF">
        <w:rPr>
          <w:rFonts w:ascii="Verdana" w:hAnsi="Verdana"/>
          <w:color w:val="0070C0"/>
          <w:sz w:val="20"/>
          <w:szCs w:val="20"/>
        </w:rPr>
        <w:t>iwko niemu w rozumieniu art. 6 ust.</w:t>
      </w:r>
      <w:r w:rsidR="0096577C" w:rsidRPr="00590FCF">
        <w:rPr>
          <w:rFonts w:ascii="Verdana" w:hAnsi="Verdana"/>
          <w:color w:val="0070C0"/>
          <w:sz w:val="20"/>
          <w:szCs w:val="20"/>
        </w:rPr>
        <w:t xml:space="preserve"> 1 </w:t>
      </w:r>
      <w:r w:rsidRPr="00590FCF">
        <w:rPr>
          <w:rFonts w:ascii="Verdana" w:hAnsi="Verdana"/>
          <w:color w:val="0070C0"/>
          <w:sz w:val="20"/>
          <w:szCs w:val="20"/>
        </w:rPr>
        <w:t>Konwencji</w:t>
      </w:r>
      <w:r w:rsidR="00D63F9C" w:rsidRPr="00590FCF">
        <w:rPr>
          <w:rFonts w:ascii="Verdana" w:hAnsi="Verdana"/>
          <w:color w:val="0070C0"/>
          <w:sz w:val="20"/>
          <w:szCs w:val="20"/>
        </w:rPr>
        <w:t xml:space="preserve"> (prawo do rzetelnego procesu sądowego)</w:t>
      </w:r>
      <w:r w:rsidR="0096577C" w:rsidRPr="00590FCF">
        <w:rPr>
          <w:rFonts w:ascii="Verdana" w:hAnsi="Verdana"/>
          <w:color w:val="0070C0"/>
          <w:sz w:val="20"/>
          <w:szCs w:val="20"/>
        </w:rPr>
        <w:t xml:space="preserve">; nie został on też </w:t>
      </w:r>
      <w:r w:rsidR="00D63F9C" w:rsidRPr="00590FCF">
        <w:rPr>
          <w:rFonts w:ascii="Verdana" w:hAnsi="Verdana"/>
          <w:color w:val="0070C0"/>
          <w:sz w:val="20"/>
          <w:szCs w:val="20"/>
        </w:rPr>
        <w:t>„</w:t>
      </w:r>
      <w:r w:rsidR="0096577C" w:rsidRPr="00590FCF">
        <w:rPr>
          <w:rFonts w:ascii="Verdana" w:hAnsi="Verdana"/>
          <w:color w:val="0070C0"/>
          <w:sz w:val="20"/>
          <w:szCs w:val="20"/>
        </w:rPr>
        <w:t>skazany</w:t>
      </w:r>
      <w:r w:rsidR="00D63F9C" w:rsidRPr="00590FCF">
        <w:rPr>
          <w:rFonts w:ascii="Verdana" w:hAnsi="Verdana"/>
          <w:color w:val="0070C0"/>
          <w:sz w:val="20"/>
          <w:szCs w:val="20"/>
        </w:rPr>
        <w:t>”</w:t>
      </w:r>
      <w:r w:rsidR="0096577C" w:rsidRPr="00590FCF">
        <w:rPr>
          <w:rFonts w:ascii="Verdana" w:hAnsi="Verdana"/>
          <w:color w:val="0070C0"/>
          <w:sz w:val="20"/>
          <w:szCs w:val="20"/>
        </w:rPr>
        <w:t xml:space="preserve">, </w:t>
      </w:r>
      <w:r w:rsidR="00D63F9C" w:rsidRPr="00590FCF">
        <w:rPr>
          <w:rFonts w:ascii="Verdana" w:hAnsi="Verdana"/>
          <w:color w:val="0070C0"/>
          <w:sz w:val="20"/>
          <w:szCs w:val="20"/>
        </w:rPr>
        <w:t>„</w:t>
      </w:r>
      <w:r w:rsidR="0096577C" w:rsidRPr="00590FCF">
        <w:rPr>
          <w:rFonts w:ascii="Verdana" w:hAnsi="Verdana"/>
          <w:color w:val="0070C0"/>
          <w:sz w:val="20"/>
          <w:szCs w:val="20"/>
        </w:rPr>
        <w:t>sądzony lub karany</w:t>
      </w:r>
      <w:r w:rsidR="00D63F9C" w:rsidRPr="00590FCF">
        <w:rPr>
          <w:rFonts w:ascii="Verdana" w:hAnsi="Verdana"/>
          <w:color w:val="0070C0"/>
          <w:sz w:val="20"/>
          <w:szCs w:val="20"/>
        </w:rPr>
        <w:t>…</w:t>
      </w:r>
      <w:r w:rsidR="0096577C" w:rsidRPr="00590FCF">
        <w:rPr>
          <w:rFonts w:ascii="Verdana" w:hAnsi="Verdana"/>
          <w:color w:val="0070C0"/>
          <w:sz w:val="20"/>
          <w:szCs w:val="20"/>
        </w:rPr>
        <w:t xml:space="preserve"> w postępowaniu karnym</w:t>
      </w:r>
      <w:r w:rsidR="00D63F9C" w:rsidRPr="00590FCF">
        <w:rPr>
          <w:rFonts w:ascii="Verdana" w:hAnsi="Verdana"/>
          <w:color w:val="0070C0"/>
          <w:sz w:val="20"/>
          <w:szCs w:val="20"/>
        </w:rPr>
        <w:t>”</w:t>
      </w:r>
      <w:r w:rsidR="0096577C" w:rsidRPr="00590FCF">
        <w:rPr>
          <w:rFonts w:ascii="Verdana" w:hAnsi="Verdana"/>
          <w:color w:val="0070C0"/>
          <w:sz w:val="20"/>
          <w:szCs w:val="20"/>
        </w:rPr>
        <w:t xml:space="preserve">, w rozumieniu art. 4 </w:t>
      </w:r>
      <w:r w:rsidR="00D63F9C" w:rsidRPr="00590FCF">
        <w:rPr>
          <w:rFonts w:ascii="Verdana" w:hAnsi="Verdana" w:cs="Calibri"/>
          <w:color w:val="0070C0"/>
          <w:sz w:val="20"/>
          <w:szCs w:val="20"/>
        </w:rPr>
        <w:t xml:space="preserve">ust. 1 Protokołu </w:t>
      </w:r>
      <w:r w:rsidR="00E97A36">
        <w:rPr>
          <w:rFonts w:ascii="Verdana" w:hAnsi="Verdana"/>
          <w:color w:val="0070C0"/>
          <w:sz w:val="20"/>
          <w:szCs w:val="20"/>
        </w:rPr>
        <w:t>nr</w:t>
      </w:r>
      <w:r w:rsidR="00D63F9C" w:rsidRPr="00590FCF">
        <w:rPr>
          <w:rFonts w:ascii="Verdana" w:hAnsi="Verdana"/>
          <w:color w:val="0070C0"/>
          <w:sz w:val="20"/>
          <w:szCs w:val="20"/>
        </w:rPr>
        <w:t> </w:t>
      </w:r>
      <w:r w:rsidR="0096577C" w:rsidRPr="00590FCF">
        <w:rPr>
          <w:rFonts w:ascii="Verdana" w:hAnsi="Verdana"/>
          <w:color w:val="0070C0"/>
          <w:sz w:val="20"/>
          <w:szCs w:val="20"/>
        </w:rPr>
        <w:t>7</w:t>
      </w:r>
      <w:r w:rsidR="0096577C" w:rsidRPr="00590FCF">
        <w:rPr>
          <w:rFonts w:ascii="Verdana" w:hAnsi="Verdana" w:cs="Calibri"/>
          <w:color w:val="0070C0"/>
          <w:sz w:val="20"/>
          <w:szCs w:val="20"/>
        </w:rPr>
        <w:t xml:space="preserve">. </w:t>
      </w:r>
    </w:p>
    <w:p w14:paraId="2C8DAA85" w14:textId="77777777" w:rsidR="00590FCF" w:rsidRDefault="00590FCF" w:rsidP="008B0AE6">
      <w:pPr>
        <w:spacing w:after="0"/>
        <w:rPr>
          <w:rFonts w:ascii="Verdana" w:hAnsi="Verdana" w:cs="Calibri"/>
          <w:b/>
          <w:color w:val="2E74B5" w:themeColor="accent1" w:themeShade="BF"/>
          <w:sz w:val="20"/>
          <w:szCs w:val="20"/>
          <w:u w:val="single"/>
        </w:rPr>
      </w:pPr>
    </w:p>
    <w:p w14:paraId="72D3CE72" w14:textId="05608DDF" w:rsidR="0096577C" w:rsidRPr="006E23A1" w:rsidRDefault="0096577C" w:rsidP="008B0AE6">
      <w:pPr>
        <w:spacing w:after="0"/>
        <w:rPr>
          <w:rFonts w:ascii="Verdana" w:hAnsi="Verdana" w:cs="Calibri"/>
          <w:b/>
          <w:sz w:val="20"/>
          <w:szCs w:val="20"/>
          <w:u w:val="single"/>
        </w:rPr>
      </w:pPr>
      <w:hyperlink r:id="rId15" w:history="1">
        <w:r w:rsidRPr="00030950">
          <w:rPr>
            <w:rStyle w:val="Hipercze"/>
            <w:rFonts w:ascii="Verdana" w:hAnsi="Verdana" w:cs="Calibri"/>
            <w:b/>
            <w:color w:val="0070C0"/>
            <w:sz w:val="20"/>
            <w:szCs w:val="20"/>
          </w:rPr>
          <w:t>Kurdov i Ivanov przeciwko Bułgarii</w:t>
        </w:r>
      </w:hyperlink>
      <w:r w:rsidR="00121B53" w:rsidRPr="006E23A1">
        <w:rPr>
          <w:rFonts w:ascii="Verdana" w:hAnsi="Verdana" w:cs="Calibri"/>
          <w:b/>
          <w:sz w:val="20"/>
          <w:szCs w:val="20"/>
          <w:u w:val="single"/>
        </w:rPr>
        <w:br/>
      </w:r>
      <w:r w:rsidRPr="00030950">
        <w:rPr>
          <w:rFonts w:ascii="Verdana" w:hAnsi="Verdana" w:cs="Calibri"/>
          <w:color w:val="767171" w:themeColor="background2" w:themeShade="80"/>
          <w:sz w:val="18"/>
          <w:szCs w:val="18"/>
        </w:rPr>
        <w:t>31 maja 2011</w:t>
      </w:r>
      <w:r w:rsidR="00AA4C05" w:rsidRPr="00030950">
        <w:rPr>
          <w:rFonts w:ascii="Verdana" w:hAnsi="Verdana" w:cs="Calibri"/>
          <w:color w:val="767171" w:themeColor="background2" w:themeShade="80"/>
          <w:sz w:val="18"/>
          <w:szCs w:val="18"/>
        </w:rPr>
        <w:t xml:space="preserve"> </w:t>
      </w:r>
      <w:r w:rsidR="00164883" w:rsidRPr="00030950">
        <w:rPr>
          <w:rFonts w:ascii="Verdana" w:hAnsi="Verdana" w:cs="Calibri"/>
          <w:color w:val="767171" w:themeColor="background2" w:themeShade="80"/>
          <w:sz w:val="18"/>
          <w:szCs w:val="18"/>
        </w:rPr>
        <w:t>r.</w:t>
      </w:r>
      <w:r w:rsidRPr="006E23A1">
        <w:rPr>
          <w:rFonts w:ascii="Verdana" w:hAnsi="Verdana" w:cs="Calibri"/>
          <w:b/>
          <w:sz w:val="20"/>
          <w:szCs w:val="20"/>
          <w:u w:val="single"/>
        </w:rPr>
        <w:t xml:space="preserve"> </w:t>
      </w:r>
    </w:p>
    <w:p w14:paraId="42A3D5AA" w14:textId="4285237A" w:rsidR="0096577C" w:rsidRPr="006E23A1" w:rsidRDefault="00164883" w:rsidP="008B0AE6">
      <w:pPr>
        <w:spacing w:after="0"/>
        <w:jc w:val="both"/>
        <w:rPr>
          <w:rFonts w:ascii="Verdana" w:hAnsi="Verdana" w:cs="Calibri"/>
          <w:sz w:val="20"/>
          <w:szCs w:val="20"/>
        </w:rPr>
      </w:pPr>
      <w:r w:rsidRPr="006E23A1">
        <w:rPr>
          <w:rFonts w:ascii="Verdana" w:hAnsi="Verdana" w:cs="Calibri"/>
          <w:sz w:val="20"/>
          <w:szCs w:val="20"/>
        </w:rPr>
        <w:t>W 1995 r.</w:t>
      </w:r>
      <w:r w:rsidR="0096577C" w:rsidRPr="006E23A1">
        <w:rPr>
          <w:rFonts w:ascii="Verdana" w:hAnsi="Verdana" w:cs="Calibri"/>
          <w:sz w:val="20"/>
          <w:szCs w:val="20"/>
        </w:rPr>
        <w:t xml:space="preserve">, skarżący będący zatrudnieni przez bułgarską kolej państwową, wykonywali prace spawalnicze wagonu. Podczas wykonywania </w:t>
      </w:r>
      <w:r w:rsidR="00AA4C05" w:rsidRPr="006E23A1">
        <w:rPr>
          <w:rFonts w:ascii="Verdana" w:hAnsi="Verdana" w:cs="Calibri"/>
          <w:sz w:val="20"/>
          <w:szCs w:val="20"/>
        </w:rPr>
        <w:t>tej</w:t>
      </w:r>
      <w:r w:rsidR="0096577C" w:rsidRPr="006E23A1">
        <w:rPr>
          <w:rFonts w:ascii="Verdana" w:hAnsi="Verdana" w:cs="Calibri"/>
          <w:sz w:val="20"/>
          <w:szCs w:val="20"/>
        </w:rPr>
        <w:t xml:space="preserve"> pracy, zawartość wagonu zaczęła się palić. W stosunku do pierwszego skarżącego zostało wszczęte postępowanie administracyjne ze względu na niezastosowanie się </w:t>
      </w:r>
      <w:r w:rsidR="002A5BAC" w:rsidRPr="006E23A1">
        <w:rPr>
          <w:rFonts w:ascii="Verdana" w:hAnsi="Verdana" w:cs="Calibri"/>
          <w:sz w:val="20"/>
          <w:szCs w:val="20"/>
        </w:rPr>
        <w:t xml:space="preserve">przez niego do zasad bezpieczeństwa, w następstwie czego musiał zapłacić 150 lew bułgarskich. Następnie </w:t>
      </w:r>
      <w:r w:rsidR="008A114B" w:rsidRPr="006E23A1">
        <w:rPr>
          <w:rFonts w:ascii="Verdana" w:hAnsi="Verdana" w:cs="Calibri"/>
          <w:sz w:val="20"/>
          <w:szCs w:val="20"/>
        </w:rPr>
        <w:t>przeciwko</w:t>
      </w:r>
      <w:r w:rsidR="002A5BAC" w:rsidRPr="006E23A1">
        <w:rPr>
          <w:rFonts w:ascii="Verdana" w:hAnsi="Verdana" w:cs="Calibri"/>
          <w:sz w:val="20"/>
          <w:szCs w:val="20"/>
        </w:rPr>
        <w:t xml:space="preserve"> obu </w:t>
      </w:r>
      <w:r w:rsidR="00D63F9C" w:rsidRPr="006E23A1">
        <w:rPr>
          <w:rFonts w:ascii="Verdana" w:hAnsi="Verdana" w:cs="Calibri"/>
          <w:sz w:val="20"/>
          <w:szCs w:val="20"/>
        </w:rPr>
        <w:t xml:space="preserve">skarżącym w latach 1998-2004 </w:t>
      </w:r>
      <w:r w:rsidR="002A5BAC" w:rsidRPr="006E23A1">
        <w:rPr>
          <w:rFonts w:ascii="Verdana" w:hAnsi="Verdana" w:cs="Calibri"/>
          <w:sz w:val="20"/>
          <w:szCs w:val="20"/>
        </w:rPr>
        <w:t>toczyło się postępowanie karne za celowe podłożenie ognia pod przedmioty wartoś</w:t>
      </w:r>
      <w:r w:rsidR="00D63F9C" w:rsidRPr="006E23A1">
        <w:rPr>
          <w:rFonts w:ascii="Verdana" w:hAnsi="Verdana" w:cs="Calibri"/>
          <w:sz w:val="20"/>
          <w:szCs w:val="20"/>
        </w:rPr>
        <w:t xml:space="preserve">ciowe. Pierwszy skarżący zarzucał w stosunku do </w:t>
      </w:r>
      <w:r w:rsidR="00030950">
        <w:rPr>
          <w:rFonts w:ascii="Verdana" w:hAnsi="Verdana" w:cs="Calibri"/>
          <w:sz w:val="20"/>
          <w:szCs w:val="20"/>
        </w:rPr>
        <w:t>niego</w:t>
      </w:r>
      <w:r w:rsidR="00D63F9C" w:rsidRPr="006E23A1">
        <w:rPr>
          <w:rFonts w:ascii="Verdana" w:hAnsi="Verdana" w:cs="Calibri"/>
          <w:sz w:val="20"/>
          <w:szCs w:val="20"/>
        </w:rPr>
        <w:t>,</w:t>
      </w:r>
      <w:r w:rsidR="002A5BAC" w:rsidRPr="006E23A1">
        <w:rPr>
          <w:rFonts w:ascii="Verdana" w:hAnsi="Verdana" w:cs="Calibri"/>
          <w:sz w:val="20"/>
          <w:szCs w:val="20"/>
        </w:rPr>
        <w:t xml:space="preserve"> w</w:t>
      </w:r>
      <w:r w:rsidR="00D63F9C" w:rsidRPr="006E23A1">
        <w:rPr>
          <w:rFonts w:ascii="Verdana" w:hAnsi="Verdana" w:cs="Calibri"/>
          <w:sz w:val="20"/>
          <w:szCs w:val="20"/>
        </w:rPr>
        <w:t xml:space="preserve"> szczególności, naruszenie zakazu</w:t>
      </w:r>
      <w:r w:rsidR="002A5BAC" w:rsidRPr="006E23A1">
        <w:rPr>
          <w:rFonts w:ascii="Verdana" w:hAnsi="Verdana" w:cs="Calibri"/>
          <w:sz w:val="20"/>
          <w:szCs w:val="20"/>
        </w:rPr>
        <w:t xml:space="preserve"> ponownego sądzenia lub</w:t>
      </w:r>
      <w:r w:rsidR="00121B53" w:rsidRPr="006E23A1">
        <w:rPr>
          <w:rFonts w:ascii="Verdana" w:hAnsi="Verdana" w:cs="Calibri"/>
          <w:sz w:val="20"/>
          <w:szCs w:val="20"/>
        </w:rPr>
        <w:t xml:space="preserve"> karania.</w:t>
      </w:r>
    </w:p>
    <w:p w14:paraId="2248A41D" w14:textId="0080B818" w:rsidR="002A5BAC" w:rsidRPr="00030950" w:rsidRDefault="002A5BAC" w:rsidP="008B0AE6">
      <w:pPr>
        <w:spacing w:after="0"/>
        <w:jc w:val="both"/>
        <w:rPr>
          <w:rFonts w:ascii="Verdana" w:hAnsi="Verdana" w:cs="Calibri"/>
          <w:color w:val="0070C0"/>
          <w:sz w:val="20"/>
          <w:szCs w:val="20"/>
        </w:rPr>
      </w:pPr>
      <w:r w:rsidRPr="00030950">
        <w:rPr>
          <w:rFonts w:ascii="Verdana" w:hAnsi="Verdana" w:cs="Calibri"/>
          <w:color w:val="0070C0"/>
          <w:sz w:val="20"/>
          <w:szCs w:val="20"/>
        </w:rPr>
        <w:t xml:space="preserve">Trybunał orzekł, że nie </w:t>
      </w:r>
      <w:r w:rsidRPr="00030950">
        <w:rPr>
          <w:rFonts w:ascii="Verdana" w:hAnsi="Verdana" w:cs="Calibri"/>
          <w:b/>
          <w:color w:val="0070C0"/>
          <w:sz w:val="20"/>
          <w:szCs w:val="20"/>
        </w:rPr>
        <w:t xml:space="preserve">doszło do naruszenia art. 4 </w:t>
      </w:r>
      <w:r w:rsidR="00030950">
        <w:rPr>
          <w:rFonts w:ascii="Verdana" w:hAnsi="Verdana" w:cs="Calibri"/>
          <w:b/>
          <w:color w:val="0070C0"/>
          <w:sz w:val="20"/>
          <w:szCs w:val="20"/>
        </w:rPr>
        <w:t>P</w:t>
      </w:r>
      <w:r w:rsidR="008A114B" w:rsidRPr="00030950">
        <w:rPr>
          <w:rFonts w:ascii="Verdana" w:hAnsi="Verdana" w:cs="Calibri"/>
          <w:b/>
          <w:color w:val="0070C0"/>
          <w:sz w:val="20"/>
          <w:szCs w:val="20"/>
        </w:rPr>
        <w:t>rotokołu</w:t>
      </w:r>
      <w:r w:rsidR="00D63F9C" w:rsidRPr="00030950">
        <w:rPr>
          <w:rFonts w:ascii="Verdana" w:hAnsi="Verdana" w:cs="Calibri"/>
          <w:b/>
          <w:color w:val="0070C0"/>
          <w:sz w:val="20"/>
          <w:szCs w:val="20"/>
        </w:rPr>
        <w:t xml:space="preserve"> </w:t>
      </w:r>
      <w:r w:rsidR="00E97A36">
        <w:rPr>
          <w:rFonts w:ascii="Verdana" w:hAnsi="Verdana" w:cs="Calibri"/>
          <w:b/>
          <w:color w:val="0070C0"/>
          <w:sz w:val="20"/>
          <w:szCs w:val="20"/>
        </w:rPr>
        <w:t>nr</w:t>
      </w:r>
      <w:r w:rsidRPr="00030950">
        <w:rPr>
          <w:rFonts w:ascii="Verdana" w:hAnsi="Verdana" w:cs="Calibri"/>
          <w:b/>
          <w:color w:val="0070C0"/>
          <w:sz w:val="20"/>
          <w:szCs w:val="20"/>
        </w:rPr>
        <w:t xml:space="preserve"> 7</w:t>
      </w:r>
      <w:r w:rsidRPr="00030950">
        <w:rPr>
          <w:rFonts w:ascii="Verdana" w:hAnsi="Verdana" w:cs="Calibri"/>
          <w:color w:val="0070C0"/>
          <w:sz w:val="20"/>
          <w:szCs w:val="20"/>
        </w:rPr>
        <w:t xml:space="preserve">. W </w:t>
      </w:r>
      <w:r w:rsidR="00030950">
        <w:rPr>
          <w:rFonts w:ascii="Verdana" w:hAnsi="Verdana" w:cs="Calibri"/>
          <w:color w:val="0070C0"/>
          <w:sz w:val="20"/>
          <w:szCs w:val="20"/>
        </w:rPr>
        <w:t>tej</w:t>
      </w:r>
      <w:r w:rsidRPr="00030950">
        <w:rPr>
          <w:rFonts w:ascii="Verdana" w:hAnsi="Verdana" w:cs="Calibri"/>
          <w:color w:val="0070C0"/>
          <w:sz w:val="20"/>
          <w:szCs w:val="20"/>
        </w:rPr>
        <w:t xml:space="preserve"> sprawie zauważył</w:t>
      </w:r>
      <w:r w:rsidR="00D63F9C" w:rsidRPr="00030950">
        <w:rPr>
          <w:rFonts w:ascii="Verdana" w:hAnsi="Verdana" w:cs="Calibri"/>
          <w:color w:val="0070C0"/>
          <w:sz w:val="20"/>
          <w:szCs w:val="20"/>
        </w:rPr>
        <w:t>,</w:t>
      </w:r>
      <w:r w:rsidRPr="00030950">
        <w:rPr>
          <w:rFonts w:ascii="Verdana" w:hAnsi="Verdana" w:cs="Calibri"/>
          <w:color w:val="0070C0"/>
          <w:sz w:val="20"/>
          <w:szCs w:val="20"/>
        </w:rPr>
        <w:t xml:space="preserve"> w szczególności, że postępowanie administracyjne toczące si</w:t>
      </w:r>
      <w:r w:rsidR="008A114B" w:rsidRPr="00030950">
        <w:rPr>
          <w:rFonts w:ascii="Verdana" w:hAnsi="Verdana" w:cs="Calibri"/>
          <w:color w:val="0070C0"/>
          <w:sz w:val="20"/>
          <w:szCs w:val="20"/>
        </w:rPr>
        <w:t>ę przeciwko pierwszemu skarżącemu, którego</w:t>
      </w:r>
      <w:r w:rsidRPr="00030950">
        <w:rPr>
          <w:rFonts w:ascii="Verdana" w:hAnsi="Verdana" w:cs="Calibri"/>
          <w:color w:val="0070C0"/>
          <w:sz w:val="20"/>
          <w:szCs w:val="20"/>
        </w:rPr>
        <w:t xml:space="preserve"> efektem była grzywna w </w:t>
      </w:r>
      <w:r w:rsidR="008A114B" w:rsidRPr="00030950">
        <w:rPr>
          <w:rFonts w:ascii="Verdana" w:hAnsi="Verdana" w:cs="Calibri"/>
          <w:color w:val="0070C0"/>
          <w:sz w:val="20"/>
          <w:szCs w:val="20"/>
        </w:rPr>
        <w:t xml:space="preserve">wysokości 150 lew bułgarskich, nie </w:t>
      </w:r>
      <w:r w:rsidRPr="00030950">
        <w:rPr>
          <w:rFonts w:ascii="Verdana" w:hAnsi="Verdana" w:cs="Calibri"/>
          <w:color w:val="0070C0"/>
          <w:sz w:val="20"/>
          <w:szCs w:val="20"/>
        </w:rPr>
        <w:t>spełniało przesłanek do uznania</w:t>
      </w:r>
      <w:r w:rsidR="00D63F9C" w:rsidRPr="00030950">
        <w:rPr>
          <w:rFonts w:ascii="Verdana" w:hAnsi="Verdana" w:cs="Calibri"/>
          <w:color w:val="0070C0"/>
          <w:sz w:val="20"/>
          <w:szCs w:val="20"/>
        </w:rPr>
        <w:t>,</w:t>
      </w:r>
      <w:r w:rsidRPr="00030950">
        <w:rPr>
          <w:rFonts w:ascii="Verdana" w:hAnsi="Verdana" w:cs="Calibri"/>
          <w:color w:val="0070C0"/>
          <w:sz w:val="20"/>
          <w:szCs w:val="20"/>
        </w:rPr>
        <w:t xml:space="preserve"> że doszło do oskarżenia w sprawie karnej. W związku z tym, wszczęcie postępowania karnego po nałożeniu grzywny w trybie administracyjnym przeciwko temu samemu skarżącemu nie n</w:t>
      </w:r>
      <w:r w:rsidR="00D63F9C" w:rsidRPr="00030950">
        <w:rPr>
          <w:rFonts w:ascii="Verdana" w:hAnsi="Verdana" w:cs="Calibri"/>
          <w:color w:val="0070C0"/>
          <w:sz w:val="20"/>
          <w:szCs w:val="20"/>
        </w:rPr>
        <w:t>aruszał</w:t>
      </w:r>
      <w:r w:rsidR="00AA4C05" w:rsidRPr="00030950">
        <w:rPr>
          <w:rFonts w:ascii="Verdana" w:hAnsi="Verdana" w:cs="Calibri"/>
          <w:color w:val="0070C0"/>
          <w:sz w:val="20"/>
          <w:szCs w:val="20"/>
        </w:rPr>
        <w:t>o</w:t>
      </w:r>
      <w:r w:rsidR="00D63F9C" w:rsidRPr="00030950">
        <w:rPr>
          <w:rFonts w:ascii="Verdana" w:hAnsi="Verdana" w:cs="Calibri"/>
          <w:color w:val="0070C0"/>
          <w:sz w:val="20"/>
          <w:szCs w:val="20"/>
        </w:rPr>
        <w:t xml:space="preserve"> zasady </w:t>
      </w:r>
      <w:r w:rsidR="00D63F9C" w:rsidRPr="00030950">
        <w:rPr>
          <w:rFonts w:ascii="Verdana" w:hAnsi="Verdana" w:cs="Calibri"/>
          <w:i/>
          <w:color w:val="0070C0"/>
          <w:sz w:val="20"/>
          <w:szCs w:val="20"/>
        </w:rPr>
        <w:t>ne bis in idem</w:t>
      </w:r>
      <w:r w:rsidRPr="00030950">
        <w:rPr>
          <w:rFonts w:ascii="Verdana" w:hAnsi="Verdana" w:cs="Calibri"/>
          <w:color w:val="0070C0"/>
          <w:sz w:val="20"/>
          <w:szCs w:val="20"/>
        </w:rPr>
        <w:t xml:space="preserve">.  </w:t>
      </w:r>
    </w:p>
    <w:p w14:paraId="3934EFE4" w14:textId="3569BAC3" w:rsidR="00030950" w:rsidRPr="00030950" w:rsidRDefault="00030950" w:rsidP="00030950">
      <w:pPr>
        <w:spacing w:after="0"/>
        <w:jc w:val="both"/>
        <w:rPr>
          <w:rStyle w:val="Hipercze"/>
          <w:rFonts w:ascii="Verdana" w:hAnsi="Verdana" w:cs="Calibri"/>
          <w:sz w:val="20"/>
          <w:szCs w:val="20"/>
        </w:rPr>
      </w:pPr>
      <w:r>
        <w:rPr>
          <w:rFonts w:ascii="Verdana" w:hAnsi="Verdana" w:cs="Calibri"/>
          <w:b/>
          <w:color w:val="2E74B5" w:themeColor="accent1" w:themeShade="BF"/>
          <w:sz w:val="20"/>
          <w:szCs w:val="20"/>
          <w:u w:val="single"/>
        </w:rPr>
        <w:fldChar w:fldCharType="begin"/>
      </w:r>
      <w:r>
        <w:rPr>
          <w:rFonts w:ascii="Verdana" w:hAnsi="Verdana" w:cs="Calibri"/>
          <w:b/>
          <w:color w:val="2E74B5" w:themeColor="accent1" w:themeShade="BF"/>
          <w:sz w:val="20"/>
          <w:szCs w:val="20"/>
          <w:u w:val="single"/>
        </w:rPr>
        <w:instrText>HYPERLINK "https://hudoc.echr.coe.int/eng-press?i=003-5546146-6986603"</w:instrText>
      </w:r>
      <w:r>
        <w:rPr>
          <w:rFonts w:ascii="Verdana" w:hAnsi="Verdana" w:cs="Calibri"/>
          <w:b/>
          <w:color w:val="2E74B5" w:themeColor="accent1" w:themeShade="BF"/>
          <w:sz w:val="20"/>
          <w:szCs w:val="20"/>
          <w:u w:val="single"/>
        </w:rPr>
      </w:r>
      <w:r>
        <w:rPr>
          <w:rFonts w:ascii="Verdana" w:hAnsi="Verdana" w:cs="Calibri"/>
          <w:b/>
          <w:color w:val="2E74B5" w:themeColor="accent1" w:themeShade="BF"/>
          <w:sz w:val="20"/>
          <w:szCs w:val="20"/>
          <w:u w:val="single"/>
        </w:rPr>
        <w:fldChar w:fldCharType="separate"/>
      </w:r>
    </w:p>
    <w:p w14:paraId="57CCBFB4" w14:textId="0ECED3BF" w:rsidR="008A114B" w:rsidRPr="006E23A1" w:rsidRDefault="002A5BAC" w:rsidP="00030950">
      <w:pPr>
        <w:spacing w:after="0"/>
        <w:jc w:val="both"/>
        <w:rPr>
          <w:rFonts w:ascii="Verdana" w:hAnsi="Verdana" w:cs="Calibri"/>
          <w:sz w:val="20"/>
          <w:szCs w:val="20"/>
        </w:rPr>
      </w:pPr>
      <w:r w:rsidRPr="000A2CE9">
        <w:rPr>
          <w:rStyle w:val="Hipercze"/>
          <w:rFonts w:ascii="Verdana" w:hAnsi="Verdana" w:cs="Calibri"/>
          <w:b/>
          <w:color w:val="0070C0"/>
          <w:sz w:val="20"/>
          <w:szCs w:val="20"/>
        </w:rPr>
        <w:t>A</w:t>
      </w:r>
      <w:r w:rsidR="00D63F9C" w:rsidRPr="000A2CE9">
        <w:rPr>
          <w:rStyle w:val="Hipercze"/>
          <w:rFonts w:ascii="Verdana" w:hAnsi="Verdana" w:cs="Calibri"/>
          <w:b/>
          <w:color w:val="0070C0"/>
          <w:sz w:val="20"/>
          <w:szCs w:val="20"/>
        </w:rPr>
        <w:t>.</w:t>
      </w:r>
      <w:r w:rsidRPr="000A2CE9">
        <w:rPr>
          <w:rStyle w:val="Hipercze"/>
          <w:rFonts w:ascii="Verdana" w:hAnsi="Verdana" w:cs="Calibri"/>
          <w:b/>
          <w:color w:val="0070C0"/>
          <w:sz w:val="20"/>
          <w:szCs w:val="20"/>
        </w:rPr>
        <w:t xml:space="preserve"> i</w:t>
      </w:r>
      <w:r w:rsidR="008A114B" w:rsidRPr="000A2CE9">
        <w:rPr>
          <w:rStyle w:val="Hipercze"/>
          <w:rFonts w:ascii="Verdana" w:hAnsi="Verdana" w:cs="Calibri"/>
          <w:b/>
          <w:color w:val="0070C0"/>
          <w:sz w:val="20"/>
          <w:szCs w:val="20"/>
        </w:rPr>
        <w:t xml:space="preserve"> B</w:t>
      </w:r>
      <w:r w:rsidR="00D63F9C" w:rsidRPr="000A2CE9">
        <w:rPr>
          <w:rStyle w:val="Hipercze"/>
          <w:rFonts w:ascii="Verdana" w:hAnsi="Verdana" w:cs="Calibri"/>
          <w:b/>
          <w:color w:val="0070C0"/>
          <w:sz w:val="20"/>
          <w:szCs w:val="20"/>
        </w:rPr>
        <w:t>.</w:t>
      </w:r>
      <w:r w:rsidR="008A114B" w:rsidRPr="000A2CE9">
        <w:rPr>
          <w:rStyle w:val="Hipercze"/>
          <w:rFonts w:ascii="Verdana" w:hAnsi="Verdana" w:cs="Calibri"/>
          <w:b/>
          <w:color w:val="0070C0"/>
          <w:sz w:val="20"/>
          <w:szCs w:val="20"/>
        </w:rPr>
        <w:t xml:space="preserve"> przeciwko Norwegii (skargi </w:t>
      </w:r>
      <w:r w:rsidR="00E97A36">
        <w:rPr>
          <w:rStyle w:val="Hipercze"/>
          <w:rFonts w:ascii="Verdana" w:hAnsi="Verdana" w:cs="Calibri"/>
          <w:b/>
          <w:color w:val="0070C0"/>
          <w:sz w:val="20"/>
          <w:szCs w:val="20"/>
        </w:rPr>
        <w:t>nr</w:t>
      </w:r>
      <w:r w:rsidR="008A114B" w:rsidRPr="000A2CE9">
        <w:rPr>
          <w:rStyle w:val="Hipercze"/>
          <w:rFonts w:ascii="Verdana" w:hAnsi="Verdana" w:cs="Calibri"/>
          <w:b/>
          <w:color w:val="0070C0"/>
          <w:sz w:val="20"/>
          <w:szCs w:val="20"/>
        </w:rPr>
        <w:t xml:space="preserve"> 24130/11 oraz 29758/1</w:t>
      </w:r>
      <w:r w:rsidR="008A114B" w:rsidRPr="000A2CE9">
        <w:rPr>
          <w:rStyle w:val="Hipercze"/>
          <w:rFonts w:ascii="Verdana" w:hAnsi="Verdana" w:cs="Calibri"/>
          <w:color w:val="0070C0"/>
          <w:sz w:val="20"/>
          <w:szCs w:val="20"/>
        </w:rPr>
        <w:t>)</w:t>
      </w:r>
      <w:r w:rsidR="00030950">
        <w:rPr>
          <w:rFonts w:ascii="Verdana" w:hAnsi="Verdana" w:cs="Calibri"/>
          <w:b/>
          <w:color w:val="2E74B5" w:themeColor="accent1" w:themeShade="BF"/>
          <w:sz w:val="20"/>
          <w:szCs w:val="20"/>
          <w:u w:val="single"/>
        </w:rPr>
        <w:fldChar w:fldCharType="end"/>
      </w:r>
      <w:r w:rsidR="001F440C" w:rsidRPr="006E23A1">
        <w:rPr>
          <w:rFonts w:ascii="Verdana" w:hAnsi="Verdana" w:cs="Calibri"/>
          <w:sz w:val="20"/>
          <w:szCs w:val="20"/>
        </w:rPr>
        <w:t xml:space="preserve"> </w:t>
      </w:r>
      <w:r w:rsidR="008A114B" w:rsidRPr="006E23A1">
        <w:rPr>
          <w:rFonts w:ascii="Verdana" w:hAnsi="Verdana" w:cs="Calibri"/>
          <w:color w:val="767171" w:themeColor="background2" w:themeShade="80"/>
          <w:sz w:val="20"/>
          <w:szCs w:val="20"/>
        </w:rPr>
        <w:t>(zobacz również</w:t>
      </w:r>
      <w:r w:rsidR="00030950">
        <w:rPr>
          <w:rFonts w:ascii="Verdana" w:hAnsi="Verdana" w:cs="Calibri"/>
          <w:color w:val="767171" w:themeColor="background2" w:themeShade="80"/>
          <w:sz w:val="20"/>
          <w:szCs w:val="20"/>
        </w:rPr>
        <w:t xml:space="preserve"> </w:t>
      </w:r>
      <w:r w:rsidR="008A114B" w:rsidRPr="006E23A1">
        <w:rPr>
          <w:rFonts w:ascii="Verdana" w:hAnsi="Verdana" w:cs="Calibri"/>
          <w:color w:val="767171" w:themeColor="background2" w:themeShade="80"/>
          <w:sz w:val="20"/>
          <w:szCs w:val="20"/>
        </w:rPr>
        <w:t>poniżej</w:t>
      </w:r>
      <w:r w:rsidR="00030950">
        <w:rPr>
          <w:rFonts w:ascii="Verdana" w:hAnsi="Verdana" w:cs="Calibri"/>
          <w:color w:val="767171" w:themeColor="background2" w:themeShade="80"/>
          <w:sz w:val="20"/>
          <w:szCs w:val="20"/>
        </w:rPr>
        <w:t> </w:t>
      </w:r>
      <w:r w:rsidR="008A114B" w:rsidRPr="006E23A1">
        <w:rPr>
          <w:rFonts w:ascii="Verdana" w:hAnsi="Verdana" w:cs="Calibri"/>
          <w:color w:val="767171" w:themeColor="background2" w:themeShade="80"/>
          <w:sz w:val="20"/>
          <w:szCs w:val="20"/>
        </w:rPr>
        <w:t>–</w:t>
      </w:r>
      <w:r w:rsidR="00030950">
        <w:rPr>
          <w:rFonts w:ascii="Verdana" w:hAnsi="Verdana" w:cs="Calibri"/>
          <w:color w:val="767171" w:themeColor="background2" w:themeShade="80"/>
          <w:sz w:val="20"/>
          <w:szCs w:val="20"/>
        </w:rPr>
        <w:t> </w:t>
      </w:r>
      <w:r w:rsidR="008A114B" w:rsidRPr="006E23A1">
        <w:rPr>
          <w:rFonts w:ascii="Verdana" w:hAnsi="Verdana" w:cs="Calibri"/>
          <w:color w:val="767171" w:themeColor="background2" w:themeShade="80"/>
          <w:sz w:val="20"/>
          <w:szCs w:val="20"/>
        </w:rPr>
        <w:t>„definicja</w:t>
      </w:r>
      <w:r w:rsidR="00030950">
        <w:rPr>
          <w:rFonts w:ascii="Verdana" w:hAnsi="Verdana" w:cs="Calibri"/>
          <w:color w:val="767171" w:themeColor="background2" w:themeShade="80"/>
          <w:sz w:val="20"/>
          <w:szCs w:val="20"/>
        </w:rPr>
        <w:t> </w:t>
      </w:r>
      <w:r w:rsidR="008A114B" w:rsidRPr="006E23A1">
        <w:rPr>
          <w:rFonts w:ascii="Verdana" w:hAnsi="Verdana" w:cs="Calibri"/>
          <w:i/>
          <w:color w:val="767171" w:themeColor="background2" w:themeShade="80"/>
          <w:sz w:val="20"/>
          <w:szCs w:val="20"/>
        </w:rPr>
        <w:t>idem</w:t>
      </w:r>
      <w:r w:rsidR="008A114B" w:rsidRPr="006E23A1">
        <w:rPr>
          <w:rFonts w:ascii="Verdana" w:hAnsi="Verdana" w:cs="Calibri"/>
          <w:color w:val="767171" w:themeColor="background2" w:themeShade="80"/>
          <w:sz w:val="20"/>
          <w:szCs w:val="20"/>
        </w:rPr>
        <w:t>”</w:t>
      </w:r>
      <w:r w:rsidR="001F440C" w:rsidRPr="006E23A1">
        <w:rPr>
          <w:rFonts w:ascii="Verdana" w:hAnsi="Verdana" w:cs="Calibri"/>
          <w:color w:val="767171" w:themeColor="background2" w:themeShade="80"/>
          <w:sz w:val="20"/>
          <w:szCs w:val="20"/>
        </w:rPr>
        <w:t>)</w:t>
      </w:r>
      <w:r w:rsidR="001F440C" w:rsidRPr="006E23A1">
        <w:rPr>
          <w:rFonts w:ascii="Verdana" w:hAnsi="Verdana" w:cs="Calibri"/>
          <w:sz w:val="20"/>
          <w:szCs w:val="20"/>
        </w:rPr>
        <w:br/>
      </w:r>
      <w:r w:rsidR="001F440C" w:rsidRPr="00030950">
        <w:rPr>
          <w:rFonts w:ascii="Verdana" w:hAnsi="Verdana" w:cs="Calibri"/>
          <w:color w:val="767171" w:themeColor="background2" w:themeShade="80"/>
          <w:sz w:val="18"/>
          <w:szCs w:val="18"/>
        </w:rPr>
        <w:t>15 listopada 2016</w:t>
      </w:r>
      <w:r w:rsidR="008A114B" w:rsidRPr="00030950">
        <w:rPr>
          <w:rFonts w:ascii="Verdana" w:hAnsi="Verdana" w:cs="Calibri"/>
          <w:color w:val="767171" w:themeColor="background2" w:themeShade="80"/>
          <w:sz w:val="18"/>
          <w:szCs w:val="18"/>
        </w:rPr>
        <w:t xml:space="preserve"> </w:t>
      </w:r>
      <w:r w:rsidR="00AA4C05" w:rsidRPr="00030950">
        <w:rPr>
          <w:rFonts w:ascii="Verdana" w:hAnsi="Verdana" w:cs="Calibri"/>
          <w:color w:val="767171" w:themeColor="background2" w:themeShade="80"/>
          <w:sz w:val="18"/>
          <w:szCs w:val="18"/>
        </w:rPr>
        <w:t xml:space="preserve">r. </w:t>
      </w:r>
      <w:r w:rsidR="008A114B" w:rsidRPr="00030950">
        <w:rPr>
          <w:rFonts w:ascii="Verdana" w:hAnsi="Verdana" w:cs="Calibri"/>
          <w:color w:val="767171" w:themeColor="background2" w:themeShade="80"/>
          <w:sz w:val="18"/>
          <w:szCs w:val="18"/>
        </w:rPr>
        <w:t>(Wielka Izba)</w:t>
      </w:r>
    </w:p>
    <w:p w14:paraId="64E34E0E" w14:textId="1D6EA12A" w:rsidR="00957C5E" w:rsidRPr="006E23A1" w:rsidRDefault="00030950" w:rsidP="008B0AE6">
      <w:pPr>
        <w:spacing w:after="0"/>
        <w:jc w:val="both"/>
        <w:rPr>
          <w:rFonts w:ascii="Verdana" w:hAnsi="Verdana" w:cs="Calibri"/>
          <w:sz w:val="20"/>
          <w:szCs w:val="20"/>
        </w:rPr>
      </w:pPr>
      <w:r>
        <w:rPr>
          <w:rFonts w:ascii="Verdana" w:hAnsi="Verdana" w:cs="Calibri"/>
          <w:sz w:val="20"/>
          <w:szCs w:val="20"/>
        </w:rPr>
        <w:t xml:space="preserve">Sprawa ta </w:t>
      </w:r>
      <w:r w:rsidR="008A114B" w:rsidRPr="006E23A1">
        <w:rPr>
          <w:rFonts w:ascii="Verdana" w:hAnsi="Verdana" w:cs="Calibri"/>
          <w:sz w:val="20"/>
          <w:szCs w:val="20"/>
        </w:rPr>
        <w:t xml:space="preserve">dotyczyła dwóch podatników, którzy </w:t>
      </w:r>
      <w:r w:rsidR="00D63F9C" w:rsidRPr="006E23A1">
        <w:rPr>
          <w:rFonts w:ascii="Verdana" w:hAnsi="Verdana" w:cs="Calibri"/>
          <w:sz w:val="20"/>
          <w:szCs w:val="20"/>
        </w:rPr>
        <w:t>podnosili</w:t>
      </w:r>
      <w:r w:rsidR="008A114B" w:rsidRPr="006E23A1">
        <w:rPr>
          <w:rFonts w:ascii="Verdana" w:hAnsi="Verdana" w:cs="Calibri"/>
          <w:sz w:val="20"/>
          <w:szCs w:val="20"/>
        </w:rPr>
        <w:t xml:space="preserve">, że dwukrotnie toczyło się wobec nich postępowanie oraz że dwukrotnie zostali ukarani – w postępowaniu administracyjnym oraz karnym – za to samo przestępstwo. Skarżący </w:t>
      </w:r>
      <w:r w:rsidR="001B43B9" w:rsidRPr="006E23A1">
        <w:rPr>
          <w:rFonts w:ascii="Verdana" w:hAnsi="Verdana" w:cs="Calibri"/>
          <w:sz w:val="20"/>
          <w:szCs w:val="20"/>
        </w:rPr>
        <w:t>zarzucali, zwłaszcza</w:t>
      </w:r>
      <w:r w:rsidR="008A114B" w:rsidRPr="006E23A1">
        <w:rPr>
          <w:rFonts w:ascii="Verdana" w:hAnsi="Verdana" w:cs="Calibri"/>
          <w:sz w:val="20"/>
          <w:szCs w:val="20"/>
        </w:rPr>
        <w:t xml:space="preserve"> że byli przesłuchiwani przez prokuratora, jako osoby podejrzane, a na</w:t>
      </w:r>
      <w:r w:rsidR="00D63F9C" w:rsidRPr="006E23A1">
        <w:rPr>
          <w:rFonts w:ascii="Verdana" w:hAnsi="Verdana" w:cs="Calibri"/>
          <w:sz w:val="20"/>
          <w:szCs w:val="20"/>
        </w:rPr>
        <w:t>stępnie zostali postawieni</w:t>
      </w:r>
      <w:r w:rsidR="008A114B" w:rsidRPr="006E23A1">
        <w:rPr>
          <w:rFonts w:ascii="Verdana" w:hAnsi="Verdana" w:cs="Calibri"/>
          <w:sz w:val="20"/>
          <w:szCs w:val="20"/>
        </w:rPr>
        <w:t xml:space="preserve"> w stan oskarże</w:t>
      </w:r>
      <w:r w:rsidR="00D63F9C" w:rsidRPr="006E23A1">
        <w:rPr>
          <w:rFonts w:ascii="Verdana" w:hAnsi="Verdana" w:cs="Calibri"/>
          <w:sz w:val="20"/>
          <w:szCs w:val="20"/>
        </w:rPr>
        <w:t xml:space="preserve">nia, organy podatkowe nałożyły </w:t>
      </w:r>
      <w:r w:rsidR="008A114B" w:rsidRPr="006E23A1">
        <w:rPr>
          <w:rFonts w:ascii="Verdana" w:hAnsi="Verdana" w:cs="Calibri"/>
          <w:sz w:val="20"/>
          <w:szCs w:val="20"/>
        </w:rPr>
        <w:t>n</w:t>
      </w:r>
      <w:r w:rsidR="00D63F9C" w:rsidRPr="006E23A1">
        <w:rPr>
          <w:rFonts w:ascii="Verdana" w:hAnsi="Verdana" w:cs="Calibri"/>
          <w:sz w:val="20"/>
          <w:szCs w:val="20"/>
        </w:rPr>
        <w:t>a</w:t>
      </w:r>
      <w:r w:rsidR="008A114B" w:rsidRPr="006E23A1">
        <w:rPr>
          <w:rFonts w:ascii="Verdana" w:hAnsi="Verdana" w:cs="Calibri"/>
          <w:sz w:val="20"/>
          <w:szCs w:val="20"/>
        </w:rPr>
        <w:t xml:space="preserve"> nich kary pieniężne, które zapłacili, </w:t>
      </w:r>
      <w:r w:rsidR="00D63F9C" w:rsidRPr="006E23A1">
        <w:rPr>
          <w:rFonts w:ascii="Verdana" w:hAnsi="Verdana" w:cs="Calibri"/>
          <w:sz w:val="20"/>
          <w:szCs w:val="20"/>
        </w:rPr>
        <w:t xml:space="preserve">oraz że </w:t>
      </w:r>
      <w:r w:rsidR="008A114B" w:rsidRPr="006E23A1">
        <w:rPr>
          <w:rFonts w:ascii="Verdana" w:hAnsi="Verdana" w:cs="Calibri"/>
          <w:sz w:val="20"/>
          <w:szCs w:val="20"/>
        </w:rPr>
        <w:t>zostali</w:t>
      </w:r>
      <w:r w:rsidR="00D63F9C" w:rsidRPr="006E23A1">
        <w:rPr>
          <w:rFonts w:ascii="Verdana" w:hAnsi="Verdana" w:cs="Calibri"/>
          <w:sz w:val="20"/>
          <w:szCs w:val="20"/>
        </w:rPr>
        <w:t xml:space="preserve"> osądzeni i</w:t>
      </w:r>
      <w:r w:rsidR="008A114B" w:rsidRPr="006E23A1">
        <w:rPr>
          <w:rFonts w:ascii="Verdana" w:hAnsi="Verdana" w:cs="Calibri"/>
          <w:sz w:val="20"/>
          <w:szCs w:val="20"/>
        </w:rPr>
        <w:t xml:space="preserve"> </w:t>
      </w:r>
      <w:r w:rsidR="00D63F9C" w:rsidRPr="006E23A1">
        <w:rPr>
          <w:rFonts w:ascii="Verdana" w:hAnsi="Verdana" w:cs="Calibri"/>
          <w:sz w:val="20"/>
          <w:szCs w:val="20"/>
        </w:rPr>
        <w:t>skazani w postępowaniu karnym</w:t>
      </w:r>
      <w:r w:rsidR="00957C5E" w:rsidRPr="006E23A1">
        <w:rPr>
          <w:rFonts w:ascii="Verdana" w:hAnsi="Verdana" w:cs="Calibri"/>
          <w:sz w:val="20"/>
          <w:szCs w:val="20"/>
        </w:rPr>
        <w:t xml:space="preserve">. </w:t>
      </w:r>
    </w:p>
    <w:p w14:paraId="7F365DFA" w14:textId="1472CAF4" w:rsidR="00B22028" w:rsidRPr="00F728DE" w:rsidRDefault="00957C5E" w:rsidP="008B0AE6">
      <w:pPr>
        <w:spacing w:after="0"/>
        <w:jc w:val="both"/>
        <w:rPr>
          <w:rFonts w:ascii="Verdana" w:hAnsi="Verdana" w:cs="Calibri"/>
          <w:color w:val="0070C0"/>
          <w:sz w:val="20"/>
          <w:szCs w:val="20"/>
        </w:rPr>
      </w:pPr>
      <w:r w:rsidRPr="00F728DE">
        <w:rPr>
          <w:rFonts w:ascii="Verdana" w:hAnsi="Verdana" w:cs="Calibri"/>
          <w:color w:val="0070C0"/>
          <w:sz w:val="20"/>
          <w:szCs w:val="20"/>
        </w:rPr>
        <w:t xml:space="preserve">W przedmiotowej sprawie, Wielka Izba orzekła, że </w:t>
      </w:r>
      <w:r w:rsidRPr="00F728DE">
        <w:rPr>
          <w:rFonts w:ascii="Verdana" w:hAnsi="Verdana" w:cs="Calibri"/>
          <w:b/>
          <w:color w:val="0070C0"/>
          <w:sz w:val="20"/>
          <w:szCs w:val="20"/>
        </w:rPr>
        <w:t>nie doszło do naruszenia art. 4 do Prot</w:t>
      </w:r>
      <w:r w:rsidR="00A634FF" w:rsidRPr="00F728DE">
        <w:rPr>
          <w:rFonts w:ascii="Verdana" w:hAnsi="Verdana" w:cs="Calibri"/>
          <w:b/>
          <w:color w:val="0070C0"/>
          <w:sz w:val="20"/>
          <w:szCs w:val="20"/>
        </w:rPr>
        <w:t xml:space="preserve">okołu </w:t>
      </w:r>
      <w:r w:rsidR="00E97A36">
        <w:rPr>
          <w:rFonts w:ascii="Verdana" w:hAnsi="Verdana" w:cs="Calibri"/>
          <w:b/>
          <w:color w:val="0070C0"/>
          <w:sz w:val="20"/>
          <w:szCs w:val="20"/>
        </w:rPr>
        <w:t>nr</w:t>
      </w:r>
      <w:r w:rsidRPr="00F728DE">
        <w:rPr>
          <w:rFonts w:ascii="Verdana" w:hAnsi="Verdana" w:cs="Calibri"/>
          <w:b/>
          <w:color w:val="0070C0"/>
          <w:sz w:val="20"/>
          <w:szCs w:val="20"/>
        </w:rPr>
        <w:t xml:space="preserve"> 7</w:t>
      </w:r>
      <w:r w:rsidR="00A634FF" w:rsidRPr="00F728DE">
        <w:rPr>
          <w:rFonts w:ascii="Verdana" w:hAnsi="Verdana" w:cs="Calibri"/>
          <w:color w:val="0070C0"/>
          <w:sz w:val="20"/>
          <w:szCs w:val="20"/>
        </w:rPr>
        <w:t xml:space="preserve"> (zob</w:t>
      </w:r>
      <w:r w:rsidRPr="00F728DE">
        <w:rPr>
          <w:rFonts w:ascii="Verdana" w:hAnsi="Verdana" w:cs="Calibri"/>
          <w:color w:val="0070C0"/>
          <w:sz w:val="20"/>
          <w:szCs w:val="20"/>
        </w:rPr>
        <w:t xml:space="preserve">acz poniżej, pod </w:t>
      </w:r>
      <w:r w:rsidR="00A634FF" w:rsidRPr="00F728DE">
        <w:rPr>
          <w:rFonts w:ascii="Verdana" w:hAnsi="Verdana" w:cs="Calibri"/>
          <w:color w:val="0070C0"/>
          <w:sz w:val="20"/>
          <w:szCs w:val="20"/>
        </w:rPr>
        <w:t>„Definicja</w:t>
      </w:r>
      <w:r w:rsidRPr="00F728DE">
        <w:rPr>
          <w:rFonts w:ascii="Verdana" w:hAnsi="Verdana" w:cs="Calibri"/>
          <w:color w:val="0070C0"/>
          <w:sz w:val="20"/>
          <w:szCs w:val="20"/>
        </w:rPr>
        <w:t xml:space="preserve"> </w:t>
      </w:r>
      <w:r w:rsidRPr="00F728DE">
        <w:rPr>
          <w:rFonts w:ascii="Verdana" w:hAnsi="Verdana" w:cs="Calibri"/>
          <w:i/>
          <w:color w:val="0070C0"/>
          <w:sz w:val="20"/>
          <w:szCs w:val="20"/>
        </w:rPr>
        <w:t>idem</w:t>
      </w:r>
      <w:r w:rsidR="00A634FF" w:rsidRPr="00F728DE">
        <w:rPr>
          <w:rFonts w:ascii="Verdana" w:hAnsi="Verdana" w:cs="Calibri"/>
          <w:i/>
          <w:color w:val="0070C0"/>
          <w:sz w:val="20"/>
          <w:szCs w:val="20"/>
        </w:rPr>
        <w:t>”</w:t>
      </w:r>
      <w:r w:rsidRPr="00F728DE">
        <w:rPr>
          <w:rFonts w:ascii="Verdana" w:hAnsi="Verdana" w:cs="Calibri"/>
          <w:color w:val="0070C0"/>
          <w:sz w:val="20"/>
          <w:szCs w:val="20"/>
        </w:rPr>
        <w:t>). Zasadniczo, w odniesieniu do pytania czy pierwsze postępowania były postępowaniami karnymi, Wielka Izba zwróciła uwagę, że wyrok z 10 lute</w:t>
      </w:r>
      <w:r w:rsidR="00A634FF" w:rsidRPr="00F728DE">
        <w:rPr>
          <w:rFonts w:ascii="Verdana" w:hAnsi="Verdana" w:cs="Calibri"/>
          <w:color w:val="0070C0"/>
          <w:sz w:val="20"/>
          <w:szCs w:val="20"/>
        </w:rPr>
        <w:t>g</w:t>
      </w:r>
      <w:r w:rsidRPr="00F728DE">
        <w:rPr>
          <w:rFonts w:ascii="Verdana" w:hAnsi="Verdana" w:cs="Calibri"/>
          <w:color w:val="0070C0"/>
          <w:sz w:val="20"/>
          <w:szCs w:val="20"/>
        </w:rPr>
        <w:t xml:space="preserve">o 2009 r., w sprawie </w:t>
      </w:r>
      <w:r w:rsidRPr="001B43B9">
        <w:rPr>
          <w:rFonts w:ascii="Verdana" w:hAnsi="Verdana" w:cs="Calibri"/>
          <w:i/>
          <w:iCs/>
          <w:color w:val="0070C0"/>
          <w:sz w:val="20"/>
          <w:szCs w:val="20"/>
        </w:rPr>
        <w:t>Sergey</w:t>
      </w:r>
      <w:r w:rsidR="007B0723" w:rsidRPr="001B43B9">
        <w:rPr>
          <w:rFonts w:ascii="Verdana" w:hAnsi="Verdana" w:cs="Calibri"/>
          <w:i/>
          <w:iCs/>
          <w:color w:val="0070C0"/>
          <w:sz w:val="20"/>
          <w:szCs w:val="20"/>
        </w:rPr>
        <w:t>a</w:t>
      </w:r>
      <w:r w:rsidRPr="001B43B9">
        <w:rPr>
          <w:rFonts w:ascii="Verdana" w:hAnsi="Verdana" w:cs="Calibri"/>
          <w:i/>
          <w:iCs/>
          <w:color w:val="0070C0"/>
          <w:sz w:val="20"/>
          <w:szCs w:val="20"/>
        </w:rPr>
        <w:t xml:space="preserve"> Zolotukhin</w:t>
      </w:r>
      <w:r w:rsidR="007B0723" w:rsidRPr="001B43B9">
        <w:rPr>
          <w:rFonts w:ascii="Verdana" w:hAnsi="Verdana" w:cs="Calibri"/>
          <w:i/>
          <w:iCs/>
          <w:color w:val="0070C0"/>
          <w:sz w:val="20"/>
          <w:szCs w:val="20"/>
        </w:rPr>
        <w:t>a</w:t>
      </w:r>
      <w:r w:rsidR="008A114B" w:rsidRPr="00F728DE">
        <w:rPr>
          <w:rFonts w:ascii="Verdana" w:hAnsi="Verdana" w:cs="Calibri"/>
          <w:color w:val="0070C0"/>
          <w:sz w:val="20"/>
          <w:szCs w:val="20"/>
        </w:rPr>
        <w:t xml:space="preserve"> </w:t>
      </w:r>
      <w:r w:rsidR="00A634FF" w:rsidRPr="00F728DE">
        <w:rPr>
          <w:rFonts w:ascii="Verdana" w:hAnsi="Verdana" w:cs="Calibri"/>
          <w:color w:val="0070C0"/>
          <w:sz w:val="20"/>
          <w:szCs w:val="20"/>
        </w:rPr>
        <w:t>nie był</w:t>
      </w:r>
      <w:r w:rsidR="0013727B" w:rsidRPr="00F728DE">
        <w:rPr>
          <w:rFonts w:ascii="Verdana" w:hAnsi="Verdana" w:cs="Calibri"/>
          <w:color w:val="0070C0"/>
          <w:sz w:val="20"/>
          <w:szCs w:val="20"/>
        </w:rPr>
        <w:t xml:space="preserve"> w tej kwestii klarowny. </w:t>
      </w:r>
      <w:r w:rsidR="00B22028" w:rsidRPr="00F728DE">
        <w:rPr>
          <w:rFonts w:ascii="Verdana" w:hAnsi="Verdana" w:cs="Calibri"/>
          <w:color w:val="0070C0"/>
          <w:sz w:val="20"/>
          <w:szCs w:val="20"/>
        </w:rPr>
        <w:t xml:space="preserve">W związku z tym należało przyjąć, że w wyroku tym Trybunał celowo wybrał kryteria Engela (zob. powyżej) jako wzorcowy sprawdzian dla ustalenia, czy dane postępowanie było „karne” w rozumieniu art. 4 Protokołu </w:t>
      </w:r>
      <w:r w:rsidR="00E97A36">
        <w:rPr>
          <w:rFonts w:ascii="Verdana" w:hAnsi="Verdana" w:cs="Calibri"/>
          <w:color w:val="0070C0"/>
          <w:sz w:val="20"/>
          <w:szCs w:val="20"/>
        </w:rPr>
        <w:t>nr</w:t>
      </w:r>
      <w:r w:rsidR="00B22028" w:rsidRPr="00F728DE">
        <w:rPr>
          <w:rFonts w:ascii="Verdana" w:hAnsi="Verdana" w:cs="Calibri"/>
          <w:color w:val="0070C0"/>
          <w:sz w:val="20"/>
          <w:szCs w:val="20"/>
        </w:rPr>
        <w:t xml:space="preserve"> 7. Odejście przez Wielką Izbę od tej analizy w niniejszej sprawie wydaje się nieuzasadnione, ponieważ w rzeczywistości istniały istotne względy przemawiające za takim wyborem.</w:t>
      </w:r>
      <w:r w:rsidR="00B62AA1">
        <w:rPr>
          <w:rFonts w:ascii="Verdana" w:hAnsi="Verdana" w:cs="Calibri"/>
          <w:color w:val="0070C0"/>
          <w:sz w:val="20"/>
          <w:szCs w:val="20"/>
        </w:rPr>
        <w:t xml:space="preserve"> </w:t>
      </w:r>
      <w:r w:rsidR="00B22028" w:rsidRPr="00F728DE">
        <w:rPr>
          <w:rFonts w:ascii="Verdana" w:hAnsi="Verdana" w:cs="Calibri"/>
          <w:color w:val="0070C0"/>
          <w:sz w:val="20"/>
          <w:szCs w:val="20"/>
        </w:rPr>
        <w:t xml:space="preserve">W tym względzie Wielka Izba zauważyła, że zasada </w:t>
      </w:r>
      <w:r w:rsidR="00B22028" w:rsidRPr="00F728DE">
        <w:rPr>
          <w:rFonts w:ascii="Verdana" w:hAnsi="Verdana" w:cs="Calibri"/>
          <w:i/>
          <w:color w:val="0070C0"/>
          <w:sz w:val="20"/>
          <w:szCs w:val="20"/>
        </w:rPr>
        <w:t>n</w:t>
      </w:r>
      <w:r w:rsidR="002D2D65" w:rsidRPr="00F728DE">
        <w:rPr>
          <w:rFonts w:ascii="Verdana" w:hAnsi="Verdana" w:cs="Calibri"/>
          <w:i/>
          <w:color w:val="0070C0"/>
          <w:sz w:val="20"/>
          <w:szCs w:val="20"/>
        </w:rPr>
        <w:t>e</w:t>
      </w:r>
      <w:r w:rsidR="00B22028" w:rsidRPr="00F728DE">
        <w:rPr>
          <w:rFonts w:ascii="Verdana" w:hAnsi="Verdana" w:cs="Calibri"/>
          <w:i/>
          <w:color w:val="0070C0"/>
          <w:sz w:val="20"/>
          <w:szCs w:val="20"/>
        </w:rPr>
        <w:t xml:space="preserve"> bis in idem</w:t>
      </w:r>
      <w:r w:rsidR="00B22028" w:rsidRPr="00F728DE">
        <w:rPr>
          <w:rFonts w:ascii="Verdana" w:hAnsi="Verdana" w:cs="Calibri"/>
          <w:color w:val="0070C0"/>
          <w:sz w:val="20"/>
          <w:szCs w:val="20"/>
        </w:rPr>
        <w:t xml:space="preserve"> dotyczy przede wszystkim rzetelnego procesu sądowego, co jest przedmiotem art. 6 Konwencji (prawo do </w:t>
      </w:r>
      <w:r w:rsidR="00B22028" w:rsidRPr="00F728DE">
        <w:rPr>
          <w:rFonts w:ascii="Verdana" w:hAnsi="Verdana" w:cs="Calibri"/>
          <w:color w:val="0070C0"/>
          <w:sz w:val="20"/>
          <w:szCs w:val="20"/>
        </w:rPr>
        <w:lastRenderedPageBreak/>
        <w:t xml:space="preserve">rzetelnego procesu sądowego), i w mniejszym stopniu dotyczy istoty prawa karnego niż art. 7 Konwencji (zakaz karania bez podstawy prawnej). Stwierdził, że bardziej </w:t>
      </w:r>
      <w:r w:rsidR="00560113" w:rsidRPr="00F728DE">
        <w:rPr>
          <w:rFonts w:ascii="Verdana" w:hAnsi="Verdana" w:cs="Calibri"/>
          <w:color w:val="0070C0"/>
          <w:sz w:val="20"/>
          <w:szCs w:val="20"/>
        </w:rPr>
        <w:t xml:space="preserve">odpowiednie </w:t>
      </w:r>
      <w:r w:rsidR="00582A32" w:rsidRPr="00F728DE">
        <w:rPr>
          <w:rFonts w:ascii="Verdana" w:hAnsi="Verdana" w:cs="Calibri"/>
          <w:color w:val="0070C0"/>
          <w:sz w:val="20"/>
          <w:szCs w:val="20"/>
        </w:rPr>
        <w:t xml:space="preserve">dla </w:t>
      </w:r>
      <w:r w:rsidR="00B22028" w:rsidRPr="00F728DE">
        <w:rPr>
          <w:rFonts w:ascii="Verdana" w:hAnsi="Verdana" w:cs="Calibri"/>
          <w:color w:val="0070C0"/>
          <w:sz w:val="20"/>
          <w:szCs w:val="20"/>
        </w:rPr>
        <w:t>spójnoś</w:t>
      </w:r>
      <w:r w:rsidR="00C91DDC" w:rsidRPr="00F728DE">
        <w:rPr>
          <w:rFonts w:ascii="Verdana" w:hAnsi="Verdana" w:cs="Calibri"/>
          <w:color w:val="0070C0"/>
          <w:sz w:val="20"/>
          <w:szCs w:val="20"/>
        </w:rPr>
        <w:t>ci</w:t>
      </w:r>
      <w:r w:rsidR="00B22028" w:rsidRPr="00F728DE">
        <w:rPr>
          <w:rFonts w:ascii="Verdana" w:hAnsi="Verdana" w:cs="Calibri"/>
          <w:color w:val="0070C0"/>
          <w:sz w:val="20"/>
          <w:szCs w:val="20"/>
        </w:rPr>
        <w:t xml:space="preserve"> interpretacji Konwencji jako całości</w:t>
      </w:r>
      <w:r w:rsidR="00560113" w:rsidRPr="00F728DE">
        <w:rPr>
          <w:rFonts w:ascii="Verdana" w:hAnsi="Verdana" w:cs="Calibri"/>
          <w:color w:val="0070C0"/>
          <w:sz w:val="20"/>
          <w:szCs w:val="20"/>
        </w:rPr>
        <w:t xml:space="preserve"> jest to, że za</w:t>
      </w:r>
      <w:r w:rsidR="00B22028" w:rsidRPr="00F728DE">
        <w:rPr>
          <w:rFonts w:ascii="Verdana" w:hAnsi="Verdana" w:cs="Calibri"/>
          <w:color w:val="0070C0"/>
          <w:sz w:val="20"/>
          <w:szCs w:val="20"/>
        </w:rPr>
        <w:t xml:space="preserve">stosowanie </w:t>
      </w:r>
      <w:r w:rsidR="00560113" w:rsidRPr="00F728DE">
        <w:rPr>
          <w:rFonts w:ascii="Verdana" w:hAnsi="Verdana" w:cs="Calibri"/>
          <w:color w:val="0070C0"/>
          <w:sz w:val="20"/>
          <w:szCs w:val="20"/>
        </w:rPr>
        <w:t xml:space="preserve">tej </w:t>
      </w:r>
      <w:r w:rsidR="00B22028" w:rsidRPr="00F728DE">
        <w:rPr>
          <w:rFonts w:ascii="Verdana" w:hAnsi="Verdana" w:cs="Calibri"/>
          <w:color w:val="0070C0"/>
          <w:sz w:val="20"/>
          <w:szCs w:val="20"/>
        </w:rPr>
        <w:t xml:space="preserve">zasady </w:t>
      </w:r>
      <w:r w:rsidR="00560113" w:rsidRPr="00F728DE">
        <w:rPr>
          <w:rFonts w:ascii="Verdana" w:hAnsi="Verdana" w:cs="Calibri"/>
          <w:color w:val="0070C0"/>
          <w:sz w:val="20"/>
          <w:szCs w:val="20"/>
        </w:rPr>
        <w:t xml:space="preserve">podlega </w:t>
      </w:r>
      <w:r w:rsidR="00B22028" w:rsidRPr="00F728DE">
        <w:rPr>
          <w:rFonts w:ascii="Verdana" w:hAnsi="Verdana" w:cs="Calibri"/>
          <w:color w:val="0070C0"/>
          <w:sz w:val="20"/>
          <w:szCs w:val="20"/>
        </w:rPr>
        <w:t xml:space="preserve">tym samym, </w:t>
      </w:r>
      <w:r w:rsidR="00560113" w:rsidRPr="00F728DE">
        <w:rPr>
          <w:rFonts w:ascii="Verdana" w:hAnsi="Verdana" w:cs="Calibri"/>
          <w:color w:val="0070C0"/>
          <w:sz w:val="20"/>
          <w:szCs w:val="20"/>
        </w:rPr>
        <w:t>bardziej precyzyjnym</w:t>
      </w:r>
      <w:r w:rsidR="00582A32" w:rsidRPr="00F728DE">
        <w:rPr>
          <w:rFonts w:ascii="Verdana" w:hAnsi="Verdana" w:cs="Calibri"/>
          <w:color w:val="0070C0"/>
          <w:sz w:val="20"/>
          <w:szCs w:val="20"/>
        </w:rPr>
        <w:t xml:space="preserve"> kryteri</w:t>
      </w:r>
      <w:r w:rsidR="00560113" w:rsidRPr="00F728DE">
        <w:rPr>
          <w:rFonts w:ascii="Verdana" w:hAnsi="Verdana" w:cs="Calibri"/>
          <w:color w:val="0070C0"/>
          <w:sz w:val="20"/>
          <w:szCs w:val="20"/>
        </w:rPr>
        <w:t>om</w:t>
      </w:r>
      <w:r w:rsidR="00582A32" w:rsidRPr="00F728DE">
        <w:rPr>
          <w:rFonts w:ascii="Verdana" w:hAnsi="Verdana" w:cs="Calibri"/>
          <w:color w:val="0070C0"/>
          <w:sz w:val="20"/>
          <w:szCs w:val="20"/>
        </w:rPr>
        <w:t>, tzn. kryteri</w:t>
      </w:r>
      <w:r w:rsidR="00F728DE" w:rsidRPr="00F728DE">
        <w:rPr>
          <w:rFonts w:ascii="Verdana" w:hAnsi="Verdana" w:cs="Calibri"/>
          <w:color w:val="0070C0"/>
          <w:sz w:val="20"/>
          <w:szCs w:val="20"/>
        </w:rPr>
        <w:t>om</w:t>
      </w:r>
      <w:r w:rsidR="00B22028" w:rsidRPr="00F728DE">
        <w:rPr>
          <w:rFonts w:ascii="Verdana" w:hAnsi="Verdana" w:cs="Calibri"/>
          <w:color w:val="0070C0"/>
          <w:sz w:val="20"/>
          <w:szCs w:val="20"/>
        </w:rPr>
        <w:t xml:space="preserve"> Engel</w:t>
      </w:r>
      <w:r w:rsidR="00582A32" w:rsidRPr="00F728DE">
        <w:rPr>
          <w:rFonts w:ascii="Verdana" w:hAnsi="Verdana" w:cs="Calibri"/>
          <w:color w:val="0070C0"/>
          <w:sz w:val="20"/>
          <w:szCs w:val="20"/>
        </w:rPr>
        <w:t>a</w:t>
      </w:r>
      <w:r w:rsidR="00B22028" w:rsidRPr="00F728DE">
        <w:rPr>
          <w:rFonts w:ascii="Verdana" w:hAnsi="Verdana" w:cs="Calibri"/>
          <w:color w:val="0070C0"/>
          <w:sz w:val="20"/>
          <w:szCs w:val="20"/>
        </w:rPr>
        <w:t>. W niniejszej sprawie Wielka Izba zbadała na podstawie kryteriów Engela, czy postępowanie w sprawie nałożenia na skarżąc</w:t>
      </w:r>
      <w:r w:rsidR="00B62AA1">
        <w:rPr>
          <w:rFonts w:ascii="Verdana" w:hAnsi="Verdana" w:cs="Calibri"/>
          <w:color w:val="0070C0"/>
          <w:sz w:val="20"/>
          <w:szCs w:val="20"/>
        </w:rPr>
        <w:t>ych</w:t>
      </w:r>
      <w:r w:rsidR="00B22028" w:rsidRPr="00F728DE">
        <w:rPr>
          <w:rFonts w:ascii="Verdana" w:hAnsi="Verdana" w:cs="Calibri"/>
          <w:color w:val="0070C0"/>
          <w:sz w:val="20"/>
          <w:szCs w:val="20"/>
        </w:rPr>
        <w:t xml:space="preserve"> ka</w:t>
      </w:r>
      <w:r w:rsidR="00582A32" w:rsidRPr="00F728DE">
        <w:rPr>
          <w:rFonts w:ascii="Verdana" w:hAnsi="Verdana" w:cs="Calibri"/>
          <w:color w:val="0070C0"/>
          <w:sz w:val="20"/>
          <w:szCs w:val="20"/>
        </w:rPr>
        <w:t xml:space="preserve">ry 30% podatku można uznać za „karne” w rozumieniu art. 4 Protokołu </w:t>
      </w:r>
      <w:r w:rsidR="00E97A36">
        <w:rPr>
          <w:rFonts w:ascii="Verdana" w:hAnsi="Verdana" w:cs="Calibri"/>
          <w:color w:val="0070C0"/>
          <w:sz w:val="20"/>
          <w:szCs w:val="20"/>
        </w:rPr>
        <w:t>nr</w:t>
      </w:r>
      <w:r w:rsidR="00B22028" w:rsidRPr="00F728DE">
        <w:rPr>
          <w:rFonts w:ascii="Verdana" w:hAnsi="Verdana" w:cs="Calibri"/>
          <w:color w:val="0070C0"/>
          <w:sz w:val="20"/>
          <w:szCs w:val="20"/>
        </w:rPr>
        <w:t xml:space="preserve"> 7. W tym względzie </w:t>
      </w:r>
      <w:r w:rsidR="00560113" w:rsidRPr="00F728DE">
        <w:rPr>
          <w:rFonts w:ascii="Verdana" w:hAnsi="Verdana" w:cs="Calibri"/>
          <w:color w:val="0070C0"/>
          <w:sz w:val="20"/>
          <w:szCs w:val="20"/>
        </w:rPr>
        <w:t>zauważył</w:t>
      </w:r>
      <w:r w:rsidR="00B22028" w:rsidRPr="00F728DE">
        <w:rPr>
          <w:rFonts w:ascii="Verdana" w:hAnsi="Verdana" w:cs="Calibri"/>
          <w:color w:val="0070C0"/>
          <w:sz w:val="20"/>
          <w:szCs w:val="20"/>
        </w:rPr>
        <w:t>, że w porównywalnych sprawach dotyczących Szwecji</w:t>
      </w:r>
      <w:r w:rsidR="00582A32" w:rsidRPr="00F728DE">
        <w:rPr>
          <w:rFonts w:ascii="Verdana" w:hAnsi="Verdana" w:cs="Calibri"/>
          <w:color w:val="0070C0"/>
          <w:sz w:val="20"/>
          <w:szCs w:val="20"/>
        </w:rPr>
        <w:t>, Trybunał stwierdzał, że</w:t>
      </w:r>
      <w:r w:rsidR="00B22028" w:rsidRPr="00F728DE">
        <w:rPr>
          <w:rFonts w:ascii="Verdana" w:hAnsi="Verdana" w:cs="Calibri"/>
          <w:color w:val="0070C0"/>
          <w:sz w:val="20"/>
          <w:szCs w:val="20"/>
        </w:rPr>
        <w:t xml:space="preserve"> </w:t>
      </w:r>
      <w:r w:rsidR="00582A32" w:rsidRPr="00F728DE">
        <w:rPr>
          <w:rFonts w:ascii="Verdana" w:hAnsi="Verdana" w:cs="Calibri"/>
          <w:color w:val="0070C0"/>
          <w:sz w:val="20"/>
          <w:szCs w:val="20"/>
        </w:rPr>
        <w:t>postępowania</w:t>
      </w:r>
      <w:r w:rsidR="00B22028" w:rsidRPr="00F728DE">
        <w:rPr>
          <w:rFonts w:ascii="Verdana" w:hAnsi="Verdana" w:cs="Calibri"/>
          <w:color w:val="0070C0"/>
          <w:sz w:val="20"/>
          <w:szCs w:val="20"/>
        </w:rPr>
        <w:t xml:space="preserve"> ma</w:t>
      </w:r>
      <w:r w:rsidR="00582A32" w:rsidRPr="00F728DE">
        <w:rPr>
          <w:rFonts w:ascii="Verdana" w:hAnsi="Verdana" w:cs="Calibri"/>
          <w:color w:val="0070C0"/>
          <w:sz w:val="20"/>
          <w:szCs w:val="20"/>
        </w:rPr>
        <w:t>ją charakter „karny”</w:t>
      </w:r>
      <w:r w:rsidR="00B22028" w:rsidRPr="00F728DE">
        <w:rPr>
          <w:rFonts w:ascii="Verdana" w:hAnsi="Verdana" w:cs="Calibri"/>
          <w:color w:val="0070C0"/>
          <w:sz w:val="20"/>
          <w:szCs w:val="20"/>
        </w:rPr>
        <w:t xml:space="preserve">, nie tylko w rozumieniu art. 6 </w:t>
      </w:r>
      <w:r w:rsidR="00582A32" w:rsidRPr="00F728DE">
        <w:rPr>
          <w:rFonts w:ascii="Verdana" w:hAnsi="Verdana" w:cs="Calibri"/>
          <w:color w:val="0070C0"/>
          <w:sz w:val="20"/>
          <w:szCs w:val="20"/>
        </w:rPr>
        <w:t>K</w:t>
      </w:r>
      <w:r w:rsidR="00B22028" w:rsidRPr="00F728DE">
        <w:rPr>
          <w:rFonts w:ascii="Verdana" w:hAnsi="Verdana" w:cs="Calibri"/>
          <w:color w:val="0070C0"/>
          <w:sz w:val="20"/>
          <w:szCs w:val="20"/>
        </w:rPr>
        <w:t>onwencji</w:t>
      </w:r>
      <w:r w:rsidR="00582A32" w:rsidRPr="00F728DE">
        <w:rPr>
          <w:rFonts w:ascii="Verdana" w:hAnsi="Verdana" w:cs="Calibri"/>
          <w:color w:val="0070C0"/>
          <w:sz w:val="20"/>
          <w:szCs w:val="20"/>
        </w:rPr>
        <w:t xml:space="preserve"> (prawo do rzetelnego procesu sądowego)</w:t>
      </w:r>
      <w:r w:rsidR="00B22028" w:rsidRPr="00F728DE">
        <w:rPr>
          <w:rFonts w:ascii="Verdana" w:hAnsi="Verdana" w:cs="Calibri"/>
          <w:color w:val="0070C0"/>
          <w:sz w:val="20"/>
          <w:szCs w:val="20"/>
        </w:rPr>
        <w:t>, a</w:t>
      </w:r>
      <w:r w:rsidR="00582A32" w:rsidRPr="00F728DE">
        <w:rPr>
          <w:rFonts w:ascii="Verdana" w:hAnsi="Verdana" w:cs="Calibri"/>
          <w:color w:val="0070C0"/>
          <w:sz w:val="20"/>
          <w:szCs w:val="20"/>
        </w:rPr>
        <w:t xml:space="preserve">le również w rozumieniu art. 4 Protokołu </w:t>
      </w:r>
      <w:r w:rsidR="00E97A36">
        <w:rPr>
          <w:rFonts w:ascii="Verdana" w:hAnsi="Verdana" w:cs="Calibri"/>
          <w:color w:val="0070C0"/>
          <w:sz w:val="20"/>
          <w:szCs w:val="20"/>
        </w:rPr>
        <w:t>nr</w:t>
      </w:r>
      <w:r w:rsidR="00B22028" w:rsidRPr="00F728DE">
        <w:rPr>
          <w:rFonts w:ascii="Verdana" w:hAnsi="Verdana" w:cs="Calibri"/>
          <w:color w:val="0070C0"/>
          <w:sz w:val="20"/>
          <w:szCs w:val="20"/>
        </w:rPr>
        <w:t xml:space="preserve"> 7. W tym kontekście Wielka Izba nie widziała powodu, aby kwestionować ustalenie Sądu Najwyższego Norwegii, zgodnie z którym postępowanie, w którym na pierwszego skarżącego została nałożona zwykła kara podatkowa w wy</w:t>
      </w:r>
      <w:r w:rsidR="00582A32" w:rsidRPr="00F728DE">
        <w:rPr>
          <w:rFonts w:ascii="Verdana" w:hAnsi="Verdana" w:cs="Calibri"/>
          <w:color w:val="0070C0"/>
          <w:sz w:val="20"/>
          <w:szCs w:val="20"/>
        </w:rPr>
        <w:t>sokości 30 %, dotyczyło sprawy „karnej”</w:t>
      </w:r>
      <w:r w:rsidR="00B22028" w:rsidRPr="00F728DE">
        <w:rPr>
          <w:rFonts w:ascii="Verdana" w:hAnsi="Verdana" w:cs="Calibri"/>
          <w:color w:val="0070C0"/>
          <w:sz w:val="20"/>
          <w:szCs w:val="20"/>
        </w:rPr>
        <w:t xml:space="preserve"> w autonomicznym rozumieniu art. 4 protokołu </w:t>
      </w:r>
      <w:r w:rsidR="00E97A36">
        <w:rPr>
          <w:rFonts w:ascii="Verdana" w:hAnsi="Verdana" w:cs="Calibri"/>
          <w:color w:val="0070C0"/>
          <w:sz w:val="20"/>
          <w:szCs w:val="20"/>
        </w:rPr>
        <w:t>nr</w:t>
      </w:r>
      <w:r w:rsidR="00B22028" w:rsidRPr="00F728DE">
        <w:rPr>
          <w:rFonts w:ascii="Verdana" w:hAnsi="Verdana" w:cs="Calibri"/>
          <w:color w:val="0070C0"/>
          <w:sz w:val="20"/>
          <w:szCs w:val="20"/>
        </w:rPr>
        <w:t xml:space="preserve"> 7. </w:t>
      </w:r>
    </w:p>
    <w:p w14:paraId="3A6EB8FE" w14:textId="77777777" w:rsidR="00F728DE" w:rsidRDefault="00F728DE" w:rsidP="008B0AE6">
      <w:pPr>
        <w:spacing w:after="0"/>
        <w:jc w:val="both"/>
        <w:rPr>
          <w:rFonts w:ascii="Verdana" w:hAnsi="Verdana" w:cs="Calibri"/>
          <w:i/>
          <w:sz w:val="20"/>
          <w:szCs w:val="20"/>
        </w:rPr>
      </w:pPr>
    </w:p>
    <w:p w14:paraId="4BB2D40B" w14:textId="62150D71" w:rsidR="000A2CE9" w:rsidRPr="006E23A1" w:rsidRDefault="000A2CE9" w:rsidP="000A2CE9">
      <w:pPr>
        <w:spacing w:after="0"/>
        <w:rPr>
          <w:rFonts w:ascii="Verdana" w:hAnsi="Verdana" w:cs="Calibri"/>
          <w:b/>
          <w:sz w:val="20"/>
          <w:szCs w:val="20"/>
          <w:u w:val="single"/>
        </w:rPr>
      </w:pPr>
      <w:hyperlink r:id="rId16" w:history="1">
        <w:r w:rsidRPr="000A2CE9">
          <w:rPr>
            <w:rStyle w:val="Hipercze"/>
            <w:rFonts w:ascii="Verdana" w:hAnsi="Verdana" w:cs="Calibri"/>
            <w:b/>
            <w:bCs/>
            <w:color w:val="0070C0"/>
            <w:sz w:val="20"/>
            <w:szCs w:val="20"/>
          </w:rPr>
          <w:t xml:space="preserve">Seražin </w:t>
        </w:r>
        <w:r w:rsidRPr="000A2CE9">
          <w:rPr>
            <w:rStyle w:val="Hipercze"/>
            <w:rFonts w:ascii="Verdana" w:hAnsi="Verdana" w:cs="Calibri"/>
            <w:b/>
            <w:color w:val="0070C0"/>
            <w:sz w:val="20"/>
            <w:szCs w:val="20"/>
          </w:rPr>
          <w:t>przeciwko Chorwacji</w:t>
        </w:r>
      </w:hyperlink>
      <w:r w:rsidRPr="006E23A1">
        <w:rPr>
          <w:rFonts w:ascii="Verdana" w:hAnsi="Verdana" w:cs="Calibri"/>
          <w:b/>
          <w:sz w:val="20"/>
          <w:szCs w:val="20"/>
          <w:u w:val="single"/>
        </w:rPr>
        <w:br/>
      </w:r>
      <w:r>
        <w:rPr>
          <w:rFonts w:ascii="Verdana" w:hAnsi="Verdana" w:cs="Calibri"/>
          <w:color w:val="767171" w:themeColor="background2" w:themeShade="80"/>
          <w:sz w:val="18"/>
          <w:szCs w:val="18"/>
        </w:rPr>
        <w:t>9 października 2018 r. (decyzja w sprawie dopuszczalności)</w:t>
      </w:r>
    </w:p>
    <w:p w14:paraId="0DDC7D1D" w14:textId="77777777" w:rsidR="004C3736" w:rsidRPr="004C3736" w:rsidRDefault="004C3736" w:rsidP="004C3736">
      <w:pPr>
        <w:spacing w:after="0"/>
        <w:jc w:val="both"/>
        <w:rPr>
          <w:rFonts w:ascii="Verdana" w:hAnsi="Verdana" w:cs="Calibri"/>
          <w:sz w:val="20"/>
          <w:szCs w:val="20"/>
        </w:rPr>
      </w:pPr>
      <w:r w:rsidRPr="004C3736">
        <w:rPr>
          <w:rFonts w:ascii="Verdana" w:hAnsi="Verdana" w:cs="Calibri"/>
          <w:sz w:val="20"/>
          <w:szCs w:val="20"/>
        </w:rPr>
        <w:t>Sprawa ta dotyczyła środków stosowanych w Chorwacji w celu zwalczania chuligaństwa. Skarżący zarzucił, że był dwukrotnie ścigany i skazany za zakłócenie porządku podczas meczu piłki nożnej w 2012 r., najpierw w postępowaniu w sprawie drobnego wykroczenia, a następnie w postępowaniu zakazującym mu udziału w wydarzeniach sportowych.</w:t>
      </w:r>
    </w:p>
    <w:p w14:paraId="683C656E" w14:textId="26030DB6" w:rsidR="004C3736" w:rsidRDefault="004C3736" w:rsidP="004C3736">
      <w:pPr>
        <w:spacing w:after="0"/>
        <w:jc w:val="both"/>
        <w:rPr>
          <w:rFonts w:ascii="Verdana" w:hAnsi="Verdana" w:cs="Calibri"/>
          <w:color w:val="0070C0"/>
          <w:sz w:val="20"/>
          <w:szCs w:val="20"/>
        </w:rPr>
      </w:pPr>
      <w:r w:rsidRPr="004C3736">
        <w:rPr>
          <w:rFonts w:ascii="Verdana" w:hAnsi="Verdana" w:cs="Calibri"/>
          <w:color w:val="0070C0"/>
          <w:sz w:val="20"/>
          <w:szCs w:val="20"/>
        </w:rPr>
        <w:t xml:space="preserve">Trybunał uznał skargę za niedopuszczalną, stwierdzając, że art. 4 Protokołu </w:t>
      </w:r>
      <w:r w:rsidR="00E97A36">
        <w:rPr>
          <w:rFonts w:ascii="Verdana" w:hAnsi="Verdana" w:cs="Calibri"/>
          <w:color w:val="0070C0"/>
          <w:sz w:val="20"/>
          <w:szCs w:val="20"/>
        </w:rPr>
        <w:t>nr</w:t>
      </w:r>
      <w:r w:rsidRPr="004C3736">
        <w:rPr>
          <w:rFonts w:ascii="Verdana" w:hAnsi="Verdana" w:cs="Calibri"/>
          <w:color w:val="0070C0"/>
          <w:sz w:val="20"/>
          <w:szCs w:val="20"/>
        </w:rPr>
        <w:t xml:space="preserve"> 7 nie ma zastosowania w sprawie skarżącego, ponieważ nie postawiono mu zarzutów karnych w drugim postępowaniu. Środek zastosowany w tym postępowaniu nie obejmował grzywny ani pozbawienia go wolności i zasadniczo miał na celu powstrzymanie go od dalszego stosowania przemocy, a nie ukaranie go po raz drugi za przestępstwo chuligaństwa.</w:t>
      </w:r>
    </w:p>
    <w:p w14:paraId="5B9532D6" w14:textId="0EEFF311" w:rsidR="004C3736" w:rsidRPr="004C3736" w:rsidRDefault="004C3736" w:rsidP="004C3736">
      <w:pPr>
        <w:spacing w:after="0"/>
        <w:jc w:val="both"/>
        <w:rPr>
          <w:rFonts w:ascii="Verdana" w:hAnsi="Verdana" w:cs="Calibri"/>
          <w:sz w:val="20"/>
          <w:szCs w:val="20"/>
        </w:rPr>
      </w:pPr>
      <w:r w:rsidRPr="004C3736">
        <w:rPr>
          <w:rFonts w:ascii="Verdana" w:hAnsi="Verdana" w:cs="Calibri"/>
          <w:i/>
          <w:iCs/>
          <w:sz w:val="20"/>
          <w:szCs w:val="20"/>
          <w:lang w:val="pl"/>
        </w:rPr>
        <w:t>Zob. także</w:t>
      </w:r>
      <w:r w:rsidRPr="004C3736">
        <w:rPr>
          <w:rFonts w:ascii="Verdana" w:hAnsi="Verdana" w:cs="Calibri"/>
          <w:sz w:val="20"/>
          <w:szCs w:val="20"/>
          <w:lang w:val="pl"/>
        </w:rPr>
        <w:t xml:space="preserve">: </w:t>
      </w:r>
      <w:hyperlink r:id="rId17" w:history="1">
        <w:r w:rsidRPr="006A00C1">
          <w:rPr>
            <w:rStyle w:val="Hipercze"/>
            <w:rFonts w:ascii="Verdana" w:hAnsi="Verdana" w:cs="Calibri"/>
            <w:b/>
            <w:bCs/>
            <w:i/>
            <w:iCs/>
            <w:sz w:val="20"/>
            <w:szCs w:val="20"/>
          </w:rPr>
          <w:t>Matijašic</w:t>
        </w:r>
        <w:r w:rsidRPr="006A00C1">
          <w:rPr>
            <w:rStyle w:val="Hipercze"/>
            <w:rFonts w:ascii="Verdana" w:hAnsi="Verdana" w:cs="Calibri"/>
            <w:b/>
            <w:bCs/>
            <w:i/>
            <w:iCs/>
            <w:sz w:val="20"/>
            <w:szCs w:val="20"/>
            <w:lang w:val="pl"/>
          </w:rPr>
          <w:t xml:space="preserve"> przeciwko Chorwacji</w:t>
        </w:r>
      </w:hyperlink>
      <w:r w:rsidRPr="004C3736">
        <w:rPr>
          <w:rFonts w:ascii="Verdana" w:hAnsi="Verdana" w:cs="Calibri"/>
          <w:b/>
          <w:bCs/>
          <w:i/>
          <w:iCs/>
          <w:sz w:val="20"/>
          <w:szCs w:val="20"/>
          <w:lang w:val="pl"/>
        </w:rPr>
        <w:t>,</w:t>
      </w:r>
      <w:r w:rsidRPr="004C3736">
        <w:rPr>
          <w:rFonts w:ascii="Verdana" w:hAnsi="Verdana" w:cs="Calibri"/>
          <w:sz w:val="20"/>
          <w:szCs w:val="20"/>
          <w:lang w:val="pl"/>
        </w:rPr>
        <w:t xml:space="preserve"> </w:t>
      </w:r>
      <w:r>
        <w:rPr>
          <w:rFonts w:ascii="Verdana" w:hAnsi="Verdana" w:cs="Calibri"/>
          <w:sz w:val="20"/>
          <w:szCs w:val="20"/>
          <w:lang w:val="pl"/>
        </w:rPr>
        <w:t>decyzja w sprawie dopuszczalności</w:t>
      </w:r>
      <w:r w:rsidRPr="004C3736">
        <w:rPr>
          <w:rFonts w:ascii="Verdana" w:hAnsi="Verdana" w:cs="Calibri"/>
          <w:sz w:val="20"/>
          <w:szCs w:val="20"/>
          <w:lang w:val="pl"/>
        </w:rPr>
        <w:t xml:space="preserve"> z dnia </w:t>
      </w:r>
      <w:r>
        <w:rPr>
          <w:rFonts w:ascii="Verdana" w:hAnsi="Verdana" w:cs="Calibri"/>
          <w:sz w:val="20"/>
          <w:szCs w:val="20"/>
          <w:lang w:val="pl"/>
        </w:rPr>
        <w:t>8</w:t>
      </w:r>
      <w:r w:rsidRPr="004C3736">
        <w:rPr>
          <w:rFonts w:ascii="Verdana" w:hAnsi="Verdana" w:cs="Calibri"/>
          <w:sz w:val="20"/>
          <w:szCs w:val="20"/>
          <w:lang w:val="pl"/>
        </w:rPr>
        <w:t xml:space="preserve"> </w:t>
      </w:r>
      <w:r>
        <w:rPr>
          <w:rFonts w:ascii="Verdana" w:hAnsi="Verdana" w:cs="Calibri"/>
          <w:sz w:val="20"/>
          <w:szCs w:val="20"/>
          <w:lang w:val="pl"/>
        </w:rPr>
        <w:t>czerwca</w:t>
      </w:r>
      <w:r w:rsidRPr="004C3736">
        <w:rPr>
          <w:rFonts w:ascii="Verdana" w:hAnsi="Verdana" w:cs="Calibri"/>
          <w:sz w:val="20"/>
          <w:szCs w:val="20"/>
          <w:lang w:val="pl"/>
        </w:rPr>
        <w:t xml:space="preserve"> </w:t>
      </w:r>
      <w:r>
        <w:rPr>
          <w:rFonts w:ascii="Verdana" w:hAnsi="Verdana" w:cs="Calibri"/>
          <w:sz w:val="20"/>
          <w:szCs w:val="20"/>
          <w:lang w:val="pl"/>
        </w:rPr>
        <w:t>2021</w:t>
      </w:r>
      <w:r w:rsidRPr="004C3736">
        <w:rPr>
          <w:rFonts w:ascii="Verdana" w:hAnsi="Verdana" w:cs="Calibri"/>
          <w:sz w:val="20"/>
          <w:szCs w:val="20"/>
          <w:lang w:val="pl"/>
        </w:rPr>
        <w:t xml:space="preserve"> r.</w:t>
      </w:r>
      <w:r>
        <w:rPr>
          <w:rFonts w:ascii="Verdana" w:hAnsi="Verdana" w:cs="Calibri"/>
          <w:sz w:val="20"/>
          <w:szCs w:val="20"/>
          <w:lang w:val="pl"/>
        </w:rPr>
        <w:t>, dotycząca zakazu prowadzenia pojazdów przez skarżącego w związku z ilością uzbieranych przez niego punktów karnych.</w:t>
      </w:r>
    </w:p>
    <w:p w14:paraId="700C0BE4" w14:textId="77777777" w:rsidR="004C3736" w:rsidRDefault="004C3736" w:rsidP="004C3736">
      <w:pPr>
        <w:spacing w:after="0"/>
        <w:jc w:val="both"/>
        <w:rPr>
          <w:rFonts w:ascii="Verdana" w:hAnsi="Verdana" w:cs="Calibri"/>
          <w:sz w:val="20"/>
          <w:szCs w:val="20"/>
        </w:rPr>
      </w:pPr>
    </w:p>
    <w:p w14:paraId="1A5496AE" w14:textId="382981BB" w:rsidR="006A00C1" w:rsidRPr="006E23A1" w:rsidRDefault="006A00C1" w:rsidP="006A00C1">
      <w:pPr>
        <w:spacing w:after="0"/>
        <w:rPr>
          <w:rFonts w:ascii="Verdana" w:hAnsi="Verdana" w:cs="Calibri"/>
          <w:b/>
          <w:sz w:val="20"/>
          <w:szCs w:val="20"/>
          <w:u w:val="single"/>
        </w:rPr>
      </w:pPr>
      <w:hyperlink r:id="rId18" w:history="1">
        <w:r w:rsidRPr="006A00C1">
          <w:rPr>
            <w:rStyle w:val="Hipercze"/>
            <w:rFonts w:ascii="Verdana" w:hAnsi="Verdana" w:cs="Calibri"/>
            <w:b/>
            <w:bCs/>
            <w:sz w:val="20"/>
            <w:szCs w:val="20"/>
          </w:rPr>
          <w:t xml:space="preserve">Prina </w:t>
        </w:r>
        <w:r w:rsidRPr="006A00C1">
          <w:rPr>
            <w:rStyle w:val="Hipercze"/>
            <w:rFonts w:ascii="Verdana" w:hAnsi="Verdana" w:cs="Calibri"/>
            <w:b/>
            <w:sz w:val="20"/>
            <w:szCs w:val="20"/>
          </w:rPr>
          <w:t>przeciwko Rumunii</w:t>
        </w:r>
      </w:hyperlink>
      <w:r w:rsidRPr="006E23A1">
        <w:rPr>
          <w:rFonts w:ascii="Verdana" w:hAnsi="Verdana" w:cs="Calibri"/>
          <w:b/>
          <w:sz w:val="20"/>
          <w:szCs w:val="20"/>
          <w:u w:val="single"/>
        </w:rPr>
        <w:br/>
      </w:r>
      <w:r>
        <w:rPr>
          <w:rFonts w:ascii="Verdana" w:hAnsi="Verdana" w:cs="Calibri"/>
          <w:color w:val="767171" w:themeColor="background2" w:themeShade="80"/>
          <w:sz w:val="18"/>
          <w:szCs w:val="18"/>
        </w:rPr>
        <w:t>8 września 2020 r. (decyzja w sprawie dopuszczalności)</w:t>
      </w:r>
    </w:p>
    <w:p w14:paraId="56197139" w14:textId="77777777" w:rsidR="006A00C1" w:rsidRPr="006A00C1" w:rsidRDefault="006A00C1" w:rsidP="006A00C1">
      <w:pPr>
        <w:spacing w:after="0"/>
        <w:jc w:val="both"/>
        <w:rPr>
          <w:rFonts w:ascii="Verdana" w:hAnsi="Verdana" w:cs="Calibri"/>
          <w:sz w:val="20"/>
          <w:szCs w:val="20"/>
        </w:rPr>
      </w:pPr>
      <w:r w:rsidRPr="006A00C1">
        <w:rPr>
          <w:rFonts w:ascii="Verdana" w:hAnsi="Verdana" w:cs="Calibri"/>
          <w:sz w:val="20"/>
          <w:szCs w:val="20"/>
        </w:rPr>
        <w:t xml:space="preserve">Sprawa ta dotyczyła dwóch kar nałożonych na skarżącego za czyny rzekomo popełnione w charakterze kierownika miejskiego wydziału technicznego: grzywny administracyjnej za „kilka naruszeń związanych z finansami” zasad udzielania zamówień publicznych oraz kary pozbawienia wolności w zawieszeniu za nadużycie władzy. Skarżący zarzucił, że był dwukrotnie ścigany i karany za to samo przestępstwo, z naruszeniem zasady </w:t>
      </w:r>
      <w:r w:rsidRPr="006A00C1">
        <w:rPr>
          <w:rFonts w:ascii="Verdana" w:hAnsi="Verdana" w:cs="Calibri"/>
          <w:i/>
          <w:iCs/>
          <w:sz w:val="20"/>
          <w:szCs w:val="20"/>
        </w:rPr>
        <w:t>ne bis in idem.</w:t>
      </w:r>
    </w:p>
    <w:p w14:paraId="0539ED63" w14:textId="7539612D" w:rsidR="006A00C1" w:rsidRPr="006A00C1" w:rsidRDefault="006A00C1" w:rsidP="006A00C1">
      <w:pPr>
        <w:spacing w:after="0"/>
        <w:jc w:val="both"/>
        <w:rPr>
          <w:rFonts w:ascii="Verdana" w:hAnsi="Verdana" w:cs="Calibri"/>
          <w:color w:val="0070C0"/>
          <w:sz w:val="20"/>
          <w:szCs w:val="20"/>
        </w:rPr>
      </w:pPr>
      <w:r w:rsidRPr="006A00C1">
        <w:rPr>
          <w:rFonts w:ascii="Verdana" w:hAnsi="Verdana" w:cs="Calibri"/>
          <w:color w:val="0070C0"/>
          <w:sz w:val="20"/>
          <w:szCs w:val="20"/>
        </w:rPr>
        <w:t xml:space="preserve">Trybunał uznał skargę za niedopuszczalną, stwierdzając, że art. 4 Protokołu </w:t>
      </w:r>
      <w:r w:rsidR="00E97A36">
        <w:rPr>
          <w:rFonts w:ascii="Verdana" w:hAnsi="Verdana" w:cs="Calibri"/>
          <w:color w:val="0070C0"/>
          <w:sz w:val="20"/>
          <w:szCs w:val="20"/>
        </w:rPr>
        <w:t>nr</w:t>
      </w:r>
      <w:r w:rsidRPr="006A00C1">
        <w:rPr>
          <w:rFonts w:ascii="Verdana" w:hAnsi="Verdana" w:cs="Calibri"/>
          <w:color w:val="0070C0"/>
          <w:sz w:val="20"/>
          <w:szCs w:val="20"/>
        </w:rPr>
        <w:t xml:space="preserve"> 7 nie miał zastosowania w niniejszej sprawie. Trybunał powtórzył w szczególności, że art. 4 ust. 1 Protokołu </w:t>
      </w:r>
      <w:r w:rsidR="00E97A36">
        <w:rPr>
          <w:rFonts w:ascii="Verdana" w:hAnsi="Verdana" w:cs="Calibri"/>
          <w:color w:val="0070C0"/>
          <w:sz w:val="20"/>
          <w:szCs w:val="20"/>
        </w:rPr>
        <w:t>nr</w:t>
      </w:r>
      <w:r w:rsidRPr="006A00C1">
        <w:rPr>
          <w:rFonts w:ascii="Verdana" w:hAnsi="Verdana" w:cs="Calibri"/>
          <w:color w:val="0070C0"/>
          <w:sz w:val="20"/>
          <w:szCs w:val="20"/>
        </w:rPr>
        <w:t xml:space="preserve"> 7 określa trzy elementy prawa do niebycia sądzonym lub karanym dwukrotnie (ne bis in idem): dwa postępowania muszą mieć charakter „karny”; muszą dotyczyć tych samych faktów; oraz musi nastąpić powielenie postępowania. W sprawie skarżącego, zauważając, że nałożona na niego grzywna nie mogła zostać zastąpiona karą pozbawienia wolności w przypadku jej niezapłacenia lub spowodować wpisu do rejestru karnego, Trybunał stwierdził, że przedmiotowa grzywna nie była sankcją „karną” w rozumieniu jego orzecznictwa.</w:t>
      </w:r>
    </w:p>
    <w:p w14:paraId="3CB7650D" w14:textId="77777777" w:rsidR="006175B6" w:rsidRDefault="006175B6" w:rsidP="006175B6">
      <w:pPr>
        <w:spacing w:after="0"/>
        <w:jc w:val="both"/>
        <w:rPr>
          <w:rFonts w:ascii="Verdana" w:hAnsi="Verdana" w:cs="Calibri"/>
          <w:sz w:val="20"/>
          <w:szCs w:val="20"/>
        </w:rPr>
      </w:pPr>
    </w:p>
    <w:p w14:paraId="62AC82BB" w14:textId="3F35C5ED" w:rsidR="006175B6" w:rsidRPr="006E23A1" w:rsidRDefault="006175B6" w:rsidP="006175B6">
      <w:pPr>
        <w:spacing w:after="0"/>
        <w:rPr>
          <w:rFonts w:ascii="Verdana" w:hAnsi="Verdana" w:cs="Calibri"/>
          <w:b/>
          <w:sz w:val="20"/>
          <w:szCs w:val="20"/>
          <w:u w:val="single"/>
        </w:rPr>
      </w:pPr>
      <w:hyperlink r:id="rId19" w:history="1">
        <w:r w:rsidRPr="006175B6">
          <w:rPr>
            <w:rStyle w:val="Hipercze"/>
            <w:rFonts w:ascii="Verdana" w:hAnsi="Verdana" w:cs="Calibri"/>
            <w:b/>
            <w:bCs/>
            <w:sz w:val="20"/>
            <w:szCs w:val="20"/>
          </w:rPr>
          <w:t xml:space="preserve">Faller </w:t>
        </w:r>
        <w:r w:rsidRPr="006175B6">
          <w:rPr>
            <w:rStyle w:val="Hipercze"/>
            <w:rFonts w:ascii="Verdana" w:hAnsi="Verdana" w:cs="Calibri"/>
            <w:b/>
            <w:sz w:val="20"/>
            <w:szCs w:val="20"/>
          </w:rPr>
          <w:t>przeciwko Francji oraz Steinmetz przeciwko Francji</w:t>
        </w:r>
      </w:hyperlink>
      <w:r w:rsidRPr="006E23A1">
        <w:rPr>
          <w:rFonts w:ascii="Verdana" w:hAnsi="Verdana" w:cs="Calibri"/>
          <w:b/>
          <w:sz w:val="20"/>
          <w:szCs w:val="20"/>
          <w:u w:val="single"/>
        </w:rPr>
        <w:br/>
      </w:r>
      <w:r>
        <w:rPr>
          <w:rFonts w:ascii="Verdana" w:hAnsi="Verdana" w:cs="Calibri"/>
          <w:color w:val="767171" w:themeColor="background2" w:themeShade="80"/>
          <w:sz w:val="18"/>
          <w:szCs w:val="18"/>
        </w:rPr>
        <w:t>29 września 2020 r. (decyzja Komitetu w sprawie dopuszczalności)</w:t>
      </w:r>
    </w:p>
    <w:p w14:paraId="408D4EF9" w14:textId="77777777" w:rsidR="006175B6" w:rsidRPr="006175B6" w:rsidRDefault="006175B6" w:rsidP="006175B6">
      <w:pPr>
        <w:spacing w:after="0"/>
        <w:jc w:val="both"/>
        <w:rPr>
          <w:rFonts w:ascii="Verdana" w:hAnsi="Verdana" w:cs="Calibri"/>
          <w:sz w:val="20"/>
          <w:szCs w:val="20"/>
        </w:rPr>
      </w:pPr>
      <w:r w:rsidRPr="006175B6">
        <w:rPr>
          <w:rFonts w:ascii="Verdana" w:hAnsi="Verdana" w:cs="Calibri"/>
          <w:sz w:val="20"/>
          <w:szCs w:val="20"/>
        </w:rPr>
        <w:t>Skarżący, dwaj lekarze, skarżyli się, że zostali skazani w 2014 roku przez sąd apelacyjny za oszustwo w związku z czynami, za które zostali już ukarani w 2009 roku.</w:t>
      </w:r>
    </w:p>
    <w:p w14:paraId="038A7E7A" w14:textId="226901C9" w:rsidR="00F728DE" w:rsidRPr="006175B6" w:rsidRDefault="006175B6" w:rsidP="006175B6">
      <w:pPr>
        <w:spacing w:after="0"/>
        <w:jc w:val="both"/>
        <w:rPr>
          <w:rFonts w:ascii="Verdana" w:hAnsi="Verdana" w:cs="Calibri"/>
          <w:iCs/>
          <w:color w:val="0070C0"/>
          <w:sz w:val="20"/>
          <w:szCs w:val="20"/>
        </w:rPr>
      </w:pPr>
      <w:r w:rsidRPr="006175B6">
        <w:rPr>
          <w:rFonts w:ascii="Verdana" w:hAnsi="Verdana" w:cs="Calibri"/>
          <w:color w:val="0070C0"/>
          <w:sz w:val="20"/>
          <w:szCs w:val="20"/>
        </w:rPr>
        <w:lastRenderedPageBreak/>
        <w:t xml:space="preserve">Trybunał uznał skargi za niedopuszczalne. Trybunał zauważył w szczególności, że decyzja z 2009 r. wydana przeciwko skarżącym przez komisję dyscyplinarną Krajowej Rady Lekarskiej (wydział ubezpieczeń społecznych) za wykroczenie zawodowe w leczeniu pacjentów w ramach systemów zabezpieczenia społecznego, zgodnie z Kodeksem Ubezpieczeń Społecznych, nie była "skazaniem" za "przestępstwo" w rozumieniu art. 4 Protokołu </w:t>
      </w:r>
      <w:r w:rsidR="00E97A36">
        <w:rPr>
          <w:rFonts w:ascii="Verdana" w:hAnsi="Verdana" w:cs="Calibri"/>
          <w:color w:val="0070C0"/>
          <w:sz w:val="20"/>
          <w:szCs w:val="20"/>
        </w:rPr>
        <w:t>nr</w:t>
      </w:r>
      <w:r w:rsidRPr="006175B6">
        <w:rPr>
          <w:rFonts w:ascii="Verdana" w:hAnsi="Verdana" w:cs="Calibri"/>
          <w:color w:val="0070C0"/>
          <w:sz w:val="20"/>
          <w:szCs w:val="20"/>
        </w:rPr>
        <w:t xml:space="preserve"> 7 do Konwencji, a zatem artykuł ten nie miał zastosowania.</w:t>
      </w:r>
    </w:p>
    <w:p w14:paraId="14F91D3C" w14:textId="77777777" w:rsidR="00F728DE" w:rsidRPr="00912A93" w:rsidRDefault="00F728DE" w:rsidP="008B0AE6">
      <w:pPr>
        <w:spacing w:after="0"/>
        <w:jc w:val="both"/>
        <w:rPr>
          <w:rFonts w:ascii="Verdana" w:hAnsi="Verdana" w:cs="Calibri"/>
          <w:i/>
          <w:color w:val="3B3838" w:themeColor="background2" w:themeShade="40"/>
          <w:sz w:val="20"/>
          <w:szCs w:val="20"/>
        </w:rPr>
      </w:pPr>
    </w:p>
    <w:p w14:paraId="282AD0C8" w14:textId="2175A55E" w:rsidR="006175B6" w:rsidRDefault="00957C5E" w:rsidP="006175B6">
      <w:pPr>
        <w:spacing w:after="0"/>
        <w:jc w:val="both"/>
        <w:rPr>
          <w:rFonts w:ascii="Verdana" w:hAnsi="Verdana" w:cs="Calibri"/>
          <w:i/>
          <w:color w:val="3B3838" w:themeColor="background2" w:themeShade="40"/>
          <w:sz w:val="24"/>
          <w:szCs w:val="24"/>
        </w:rPr>
      </w:pPr>
      <w:r w:rsidRPr="00912A93">
        <w:rPr>
          <w:rFonts w:ascii="Verdana" w:hAnsi="Verdana" w:cs="Calibri"/>
          <w:i/>
          <w:color w:val="3B3838" w:themeColor="background2" w:themeShade="40"/>
          <w:sz w:val="24"/>
          <w:szCs w:val="24"/>
        </w:rPr>
        <w:t xml:space="preserve">Artykuł 4 Protokołu </w:t>
      </w:r>
      <w:r w:rsidR="00E97A36" w:rsidRPr="00912A93">
        <w:rPr>
          <w:rFonts w:ascii="Verdana" w:hAnsi="Verdana" w:cs="Calibri"/>
          <w:i/>
          <w:color w:val="3B3838" w:themeColor="background2" w:themeShade="40"/>
          <w:sz w:val="24"/>
          <w:szCs w:val="24"/>
        </w:rPr>
        <w:t>nr</w:t>
      </w:r>
      <w:r w:rsidRPr="00912A93">
        <w:rPr>
          <w:rFonts w:ascii="Verdana" w:hAnsi="Verdana" w:cs="Calibri"/>
          <w:i/>
          <w:color w:val="3B3838" w:themeColor="background2" w:themeShade="40"/>
          <w:sz w:val="24"/>
          <w:szCs w:val="24"/>
        </w:rPr>
        <w:t xml:space="preserve"> 7 ma zastosowanie tylko przed sądami w tym samym państwie. </w:t>
      </w:r>
    </w:p>
    <w:p w14:paraId="639216E7" w14:textId="77777777" w:rsidR="00912A93" w:rsidRPr="00912A93" w:rsidRDefault="00912A93" w:rsidP="006175B6">
      <w:pPr>
        <w:spacing w:after="0"/>
        <w:jc w:val="both"/>
        <w:rPr>
          <w:rFonts w:ascii="Verdana" w:hAnsi="Verdana" w:cs="Calibri"/>
          <w:i/>
          <w:color w:val="3B3838" w:themeColor="background2" w:themeShade="40"/>
          <w:sz w:val="24"/>
          <w:szCs w:val="24"/>
        </w:rPr>
      </w:pPr>
    </w:p>
    <w:p w14:paraId="6068034E" w14:textId="2E63BECE" w:rsidR="00957C5E" w:rsidRPr="006E23A1" w:rsidRDefault="00957C5E" w:rsidP="008B0AE6">
      <w:pPr>
        <w:spacing w:after="0"/>
        <w:rPr>
          <w:rFonts w:ascii="Verdana" w:hAnsi="Verdana" w:cs="Calibri"/>
          <w:b/>
          <w:sz w:val="20"/>
          <w:szCs w:val="20"/>
          <w:u w:val="single"/>
        </w:rPr>
      </w:pPr>
      <w:hyperlink r:id="rId20" w:history="1">
        <w:r w:rsidRPr="006175B6">
          <w:rPr>
            <w:rStyle w:val="Hipercze"/>
            <w:rFonts w:ascii="Verdana" w:hAnsi="Verdana" w:cs="Calibri"/>
            <w:b/>
            <w:color w:val="0070C0"/>
            <w:sz w:val="20"/>
            <w:szCs w:val="20"/>
          </w:rPr>
          <w:t>B</w:t>
        </w:r>
        <w:r w:rsidR="006175B6" w:rsidRPr="006175B6">
          <w:rPr>
            <w:rStyle w:val="Hipercze"/>
            <w:rFonts w:ascii="Verdana" w:hAnsi="Verdana" w:cs="Calibri"/>
            <w:b/>
            <w:color w:val="0070C0"/>
            <w:sz w:val="20"/>
            <w:szCs w:val="20"/>
          </w:rPr>
          <w:t>ö</w:t>
        </w:r>
        <w:r w:rsidRPr="006175B6">
          <w:rPr>
            <w:rStyle w:val="Hipercze"/>
            <w:rFonts w:ascii="Verdana" w:hAnsi="Verdana" w:cs="Calibri"/>
            <w:b/>
            <w:color w:val="0070C0"/>
            <w:sz w:val="20"/>
            <w:szCs w:val="20"/>
          </w:rPr>
          <w:t>heim przeciwko Włochom</w:t>
        </w:r>
      </w:hyperlink>
      <w:r w:rsidR="001F440C" w:rsidRPr="006E23A1">
        <w:rPr>
          <w:rFonts w:ascii="Verdana" w:hAnsi="Verdana" w:cs="Calibri"/>
          <w:b/>
          <w:sz w:val="20"/>
          <w:szCs w:val="20"/>
          <w:u w:val="single"/>
        </w:rPr>
        <w:br/>
      </w:r>
      <w:r w:rsidR="001F440C" w:rsidRPr="00036A41">
        <w:rPr>
          <w:rFonts w:ascii="Verdana" w:hAnsi="Verdana" w:cs="Calibri"/>
          <w:color w:val="767171" w:themeColor="background2" w:themeShade="80"/>
          <w:sz w:val="18"/>
          <w:szCs w:val="18"/>
        </w:rPr>
        <w:t>22 maja 2007</w:t>
      </w:r>
      <w:r w:rsidR="00065254" w:rsidRPr="00036A41">
        <w:rPr>
          <w:rFonts w:ascii="Verdana" w:hAnsi="Verdana" w:cs="Calibri"/>
          <w:color w:val="767171" w:themeColor="background2" w:themeShade="80"/>
          <w:sz w:val="18"/>
          <w:szCs w:val="18"/>
        </w:rPr>
        <w:t xml:space="preserve"> r.</w:t>
      </w:r>
      <w:r w:rsidR="001F440C" w:rsidRPr="00036A41">
        <w:rPr>
          <w:rFonts w:ascii="Verdana" w:hAnsi="Verdana" w:cs="Calibri"/>
          <w:color w:val="767171" w:themeColor="background2" w:themeShade="80"/>
          <w:sz w:val="18"/>
          <w:szCs w:val="18"/>
        </w:rPr>
        <w:t xml:space="preserve"> </w:t>
      </w:r>
      <w:r w:rsidRPr="00036A41">
        <w:rPr>
          <w:rFonts w:ascii="Verdana" w:hAnsi="Verdana" w:cs="Calibri"/>
          <w:color w:val="767171" w:themeColor="background2" w:themeShade="80"/>
          <w:sz w:val="18"/>
          <w:szCs w:val="18"/>
        </w:rPr>
        <w:t>(</w:t>
      </w:r>
      <w:r w:rsidR="001F440C" w:rsidRPr="00036A41">
        <w:rPr>
          <w:rFonts w:ascii="Verdana" w:hAnsi="Verdana" w:cs="Calibri"/>
          <w:color w:val="767171" w:themeColor="background2" w:themeShade="80"/>
          <w:sz w:val="18"/>
          <w:szCs w:val="18"/>
        </w:rPr>
        <w:t>decyzja w sprawie dopuszczalności</w:t>
      </w:r>
      <w:r w:rsidRPr="00036A41">
        <w:rPr>
          <w:rFonts w:ascii="Verdana" w:hAnsi="Verdana" w:cs="Calibri"/>
          <w:color w:val="767171" w:themeColor="background2" w:themeShade="80"/>
          <w:sz w:val="18"/>
          <w:szCs w:val="18"/>
        </w:rPr>
        <w:t>)</w:t>
      </w:r>
    </w:p>
    <w:p w14:paraId="1153B915" w14:textId="77777777" w:rsidR="001F440C" w:rsidRPr="006E23A1" w:rsidRDefault="00957C5E" w:rsidP="008B0AE6">
      <w:pPr>
        <w:spacing w:after="0"/>
        <w:jc w:val="both"/>
        <w:rPr>
          <w:rFonts w:ascii="Verdana" w:hAnsi="Verdana" w:cs="Calibri"/>
          <w:sz w:val="20"/>
          <w:szCs w:val="20"/>
        </w:rPr>
      </w:pPr>
      <w:r w:rsidRPr="006E23A1">
        <w:rPr>
          <w:rFonts w:ascii="Verdana" w:hAnsi="Verdana" w:cs="Calibri"/>
          <w:sz w:val="20"/>
          <w:szCs w:val="20"/>
        </w:rPr>
        <w:t xml:space="preserve">Skarżący utrzymywał, że został dwukrotnie </w:t>
      </w:r>
      <w:r w:rsidR="00B364F4" w:rsidRPr="006E23A1">
        <w:rPr>
          <w:rFonts w:ascii="Verdana" w:hAnsi="Verdana" w:cs="Calibri"/>
          <w:sz w:val="20"/>
          <w:szCs w:val="20"/>
        </w:rPr>
        <w:t xml:space="preserve">sądzony w oparciu o te same zdarzenia przez niemiecki oraz włoski sąd. </w:t>
      </w:r>
      <w:r w:rsidR="00195A4D" w:rsidRPr="006E23A1">
        <w:rPr>
          <w:rFonts w:ascii="Verdana" w:hAnsi="Verdana" w:cs="Calibri"/>
          <w:sz w:val="20"/>
          <w:szCs w:val="20"/>
        </w:rPr>
        <w:t>Zarzucał naruszenie zakazu</w:t>
      </w:r>
      <w:r w:rsidR="001F440C" w:rsidRPr="006E23A1">
        <w:rPr>
          <w:rFonts w:ascii="Verdana" w:hAnsi="Verdana" w:cs="Calibri"/>
          <w:sz w:val="20"/>
          <w:szCs w:val="20"/>
        </w:rPr>
        <w:t xml:space="preserve"> </w:t>
      </w:r>
      <w:r w:rsidR="001F440C" w:rsidRPr="006E23A1">
        <w:rPr>
          <w:rFonts w:ascii="Verdana" w:hAnsi="Verdana" w:cs="Calibri"/>
          <w:i/>
          <w:sz w:val="20"/>
          <w:szCs w:val="20"/>
        </w:rPr>
        <w:t>ne bis in idem</w:t>
      </w:r>
      <w:r w:rsidR="00195A4D" w:rsidRPr="006E23A1">
        <w:rPr>
          <w:rFonts w:ascii="Verdana" w:hAnsi="Verdana" w:cs="Calibri"/>
          <w:sz w:val="20"/>
          <w:szCs w:val="20"/>
        </w:rPr>
        <w:t xml:space="preserve">. </w:t>
      </w:r>
    </w:p>
    <w:p w14:paraId="53F003C3" w14:textId="785C4D41" w:rsidR="00195A4D" w:rsidRDefault="00195A4D" w:rsidP="008B0AE6">
      <w:pPr>
        <w:spacing w:after="0"/>
        <w:jc w:val="both"/>
        <w:rPr>
          <w:rFonts w:ascii="Verdana" w:hAnsi="Verdana" w:cs="Calibri"/>
          <w:color w:val="0070C0"/>
          <w:sz w:val="20"/>
          <w:szCs w:val="20"/>
        </w:rPr>
      </w:pPr>
      <w:r w:rsidRPr="006175B6">
        <w:rPr>
          <w:rFonts w:ascii="Verdana" w:hAnsi="Verdana" w:cs="Calibri"/>
          <w:color w:val="0070C0"/>
          <w:sz w:val="20"/>
          <w:szCs w:val="20"/>
        </w:rPr>
        <w:t xml:space="preserve">Trybunał uznał tę </w:t>
      </w:r>
      <w:r w:rsidR="00582A32" w:rsidRPr="006175B6">
        <w:rPr>
          <w:rFonts w:ascii="Verdana" w:hAnsi="Verdana" w:cs="Calibri"/>
          <w:color w:val="0070C0"/>
          <w:sz w:val="20"/>
          <w:szCs w:val="20"/>
        </w:rPr>
        <w:t xml:space="preserve">część skargi za </w:t>
      </w:r>
      <w:r w:rsidR="00582A32" w:rsidRPr="006175B6">
        <w:rPr>
          <w:rFonts w:ascii="Verdana" w:hAnsi="Verdana" w:cs="Calibri"/>
          <w:b/>
          <w:color w:val="0070C0"/>
          <w:sz w:val="20"/>
          <w:szCs w:val="20"/>
        </w:rPr>
        <w:t>niedopuszczalną</w:t>
      </w:r>
      <w:r w:rsidRPr="006175B6">
        <w:rPr>
          <w:rFonts w:ascii="Verdana" w:hAnsi="Verdana" w:cs="Calibri"/>
          <w:color w:val="0070C0"/>
          <w:sz w:val="20"/>
          <w:szCs w:val="20"/>
        </w:rPr>
        <w:t xml:space="preserve"> </w:t>
      </w:r>
      <w:r w:rsidR="006175B6">
        <w:rPr>
          <w:rFonts w:ascii="Verdana" w:hAnsi="Verdana" w:cs="Calibri"/>
          <w:color w:val="0070C0"/>
          <w:sz w:val="20"/>
          <w:szCs w:val="20"/>
        </w:rPr>
        <w:t>jako w sposób oczywisty nieuzasadnioną</w:t>
      </w:r>
      <w:r w:rsidRPr="006175B6">
        <w:rPr>
          <w:rFonts w:ascii="Verdana" w:hAnsi="Verdana" w:cs="Calibri"/>
          <w:color w:val="0070C0"/>
          <w:sz w:val="20"/>
          <w:szCs w:val="20"/>
        </w:rPr>
        <w:t xml:space="preserve">. Podkreślił, w </w:t>
      </w:r>
      <w:r w:rsidR="00582A32" w:rsidRPr="006175B6">
        <w:rPr>
          <w:rFonts w:ascii="Verdana" w:hAnsi="Verdana" w:cs="Calibri"/>
          <w:color w:val="0070C0"/>
          <w:sz w:val="20"/>
          <w:szCs w:val="20"/>
        </w:rPr>
        <w:t>szczególności, że</w:t>
      </w:r>
      <w:r w:rsidRPr="006175B6">
        <w:rPr>
          <w:rFonts w:ascii="Verdana" w:hAnsi="Verdana" w:cs="Calibri"/>
          <w:color w:val="0070C0"/>
          <w:sz w:val="20"/>
          <w:szCs w:val="20"/>
        </w:rPr>
        <w:t xml:space="preserve"> art. 4 </w:t>
      </w:r>
      <w:r w:rsidR="00582A32" w:rsidRPr="006175B6">
        <w:rPr>
          <w:rFonts w:ascii="Verdana" w:hAnsi="Verdana" w:cs="Calibri"/>
          <w:color w:val="0070C0"/>
          <w:sz w:val="20"/>
          <w:szCs w:val="20"/>
        </w:rPr>
        <w:t xml:space="preserve">Protokołu </w:t>
      </w:r>
      <w:r w:rsidR="008118E9">
        <w:rPr>
          <w:rFonts w:ascii="Verdana" w:hAnsi="Verdana" w:cs="Calibri"/>
          <w:color w:val="0070C0"/>
          <w:sz w:val="20"/>
          <w:szCs w:val="20"/>
        </w:rPr>
        <w:t>n</w:t>
      </w:r>
      <w:r w:rsidR="00E97A36">
        <w:rPr>
          <w:rFonts w:ascii="Verdana" w:hAnsi="Verdana" w:cs="Calibri"/>
          <w:color w:val="0070C0"/>
          <w:sz w:val="20"/>
          <w:szCs w:val="20"/>
        </w:rPr>
        <w:t>r</w:t>
      </w:r>
      <w:r w:rsidR="001F440C" w:rsidRPr="006175B6">
        <w:rPr>
          <w:rFonts w:ascii="Verdana" w:hAnsi="Verdana" w:cs="Calibri"/>
          <w:color w:val="0070C0"/>
          <w:sz w:val="20"/>
          <w:szCs w:val="20"/>
        </w:rPr>
        <w:t xml:space="preserve"> 7 ma zastosowanie</w:t>
      </w:r>
      <w:r w:rsidRPr="006175B6">
        <w:rPr>
          <w:rFonts w:ascii="Verdana" w:hAnsi="Verdana" w:cs="Calibri"/>
          <w:color w:val="0070C0"/>
          <w:sz w:val="20"/>
          <w:szCs w:val="20"/>
        </w:rPr>
        <w:t xml:space="preserve"> tylko do sądów w tym sa</w:t>
      </w:r>
      <w:r w:rsidR="001F440C" w:rsidRPr="006175B6">
        <w:rPr>
          <w:rFonts w:ascii="Verdana" w:hAnsi="Verdana" w:cs="Calibri"/>
          <w:color w:val="0070C0"/>
          <w:sz w:val="20"/>
          <w:szCs w:val="20"/>
        </w:rPr>
        <w:t>mym państwie. W niniejszej sprawie postępowania karne toczyły</w:t>
      </w:r>
      <w:r w:rsidRPr="006175B6">
        <w:rPr>
          <w:rFonts w:ascii="Verdana" w:hAnsi="Verdana" w:cs="Calibri"/>
          <w:color w:val="0070C0"/>
          <w:sz w:val="20"/>
          <w:szCs w:val="20"/>
        </w:rPr>
        <w:t xml:space="preserve"> się przeciwko skarżącemu </w:t>
      </w:r>
      <w:r w:rsidR="001F440C" w:rsidRPr="006175B6">
        <w:rPr>
          <w:rFonts w:ascii="Verdana" w:hAnsi="Verdana" w:cs="Calibri"/>
          <w:color w:val="0070C0"/>
          <w:sz w:val="20"/>
          <w:szCs w:val="20"/>
        </w:rPr>
        <w:t>w dwóch różnych państwach</w:t>
      </w:r>
      <w:r w:rsidRPr="006175B6">
        <w:rPr>
          <w:rFonts w:ascii="Verdana" w:hAnsi="Verdana" w:cs="Calibri"/>
          <w:color w:val="0070C0"/>
          <w:sz w:val="20"/>
          <w:szCs w:val="20"/>
        </w:rPr>
        <w:t xml:space="preserve">, a mianowicie we Włoszech oraz w Niemczech. </w:t>
      </w:r>
    </w:p>
    <w:p w14:paraId="18BE29F5" w14:textId="77777777" w:rsidR="006175B6" w:rsidRPr="006175B6" w:rsidRDefault="006175B6" w:rsidP="008B0AE6">
      <w:pPr>
        <w:spacing w:after="0"/>
        <w:jc w:val="both"/>
        <w:rPr>
          <w:rFonts w:ascii="Verdana" w:hAnsi="Verdana" w:cs="Calibri"/>
          <w:color w:val="0070C0"/>
          <w:sz w:val="20"/>
          <w:szCs w:val="20"/>
        </w:rPr>
      </w:pPr>
    </w:p>
    <w:p w14:paraId="39CD4554" w14:textId="64B4C693" w:rsidR="00195A4D" w:rsidRPr="006E23A1" w:rsidRDefault="00195A4D" w:rsidP="008B0AE6">
      <w:pPr>
        <w:spacing w:after="0"/>
        <w:rPr>
          <w:rFonts w:ascii="Verdana" w:hAnsi="Verdana" w:cs="Calibri"/>
          <w:sz w:val="20"/>
          <w:szCs w:val="20"/>
        </w:rPr>
      </w:pPr>
      <w:hyperlink r:id="rId21" w:history="1">
        <w:r w:rsidRPr="00036A41">
          <w:rPr>
            <w:rStyle w:val="Hipercze"/>
            <w:rFonts w:ascii="Verdana" w:hAnsi="Verdana" w:cs="Calibri"/>
            <w:b/>
            <w:sz w:val="20"/>
            <w:szCs w:val="20"/>
          </w:rPr>
          <w:t>Trabelsi przeciwko Belgii</w:t>
        </w:r>
      </w:hyperlink>
      <w:r w:rsidR="001F440C" w:rsidRPr="006E23A1">
        <w:rPr>
          <w:rFonts w:ascii="Verdana" w:hAnsi="Verdana" w:cs="Calibri"/>
          <w:sz w:val="20"/>
          <w:szCs w:val="20"/>
        </w:rPr>
        <w:br/>
      </w:r>
      <w:r w:rsidR="001F440C" w:rsidRPr="00036A41">
        <w:rPr>
          <w:rFonts w:ascii="Verdana" w:hAnsi="Verdana" w:cs="Calibri"/>
          <w:color w:val="767171" w:themeColor="background2" w:themeShade="80"/>
          <w:sz w:val="18"/>
          <w:szCs w:val="18"/>
        </w:rPr>
        <w:t>4 września 2014</w:t>
      </w:r>
      <w:r w:rsidRPr="00036A41">
        <w:rPr>
          <w:rFonts w:ascii="Verdana" w:hAnsi="Verdana" w:cs="Calibri"/>
          <w:color w:val="767171" w:themeColor="background2" w:themeShade="80"/>
          <w:sz w:val="18"/>
          <w:szCs w:val="18"/>
        </w:rPr>
        <w:t xml:space="preserve"> </w:t>
      </w:r>
      <w:r w:rsidR="00065254" w:rsidRPr="00036A41">
        <w:rPr>
          <w:rFonts w:ascii="Verdana" w:hAnsi="Verdana" w:cs="Calibri"/>
          <w:color w:val="767171" w:themeColor="background2" w:themeShade="80"/>
          <w:sz w:val="18"/>
          <w:szCs w:val="18"/>
        </w:rPr>
        <w:t>r.</w:t>
      </w:r>
    </w:p>
    <w:p w14:paraId="12E97A2A" w14:textId="3BCEE80B" w:rsidR="00195A4D" w:rsidRPr="006E23A1" w:rsidRDefault="00036A41" w:rsidP="008B0AE6">
      <w:pPr>
        <w:spacing w:after="0"/>
        <w:jc w:val="both"/>
        <w:rPr>
          <w:rFonts w:ascii="Verdana" w:hAnsi="Verdana" w:cs="Calibri"/>
          <w:sz w:val="20"/>
          <w:szCs w:val="20"/>
        </w:rPr>
      </w:pPr>
      <w:r>
        <w:rPr>
          <w:rFonts w:ascii="Verdana" w:hAnsi="Verdana" w:cs="Calibri"/>
          <w:sz w:val="20"/>
          <w:szCs w:val="20"/>
        </w:rPr>
        <w:t>S</w:t>
      </w:r>
      <w:r w:rsidR="00582A32" w:rsidRPr="006E23A1">
        <w:rPr>
          <w:rFonts w:ascii="Verdana" w:hAnsi="Verdana" w:cs="Calibri"/>
          <w:sz w:val="20"/>
          <w:szCs w:val="20"/>
        </w:rPr>
        <w:t>prawa dotyczyła ekstradycji</w:t>
      </w:r>
      <w:r w:rsidR="001F440C" w:rsidRPr="006E23A1">
        <w:rPr>
          <w:rFonts w:ascii="Verdana" w:hAnsi="Verdana" w:cs="Calibri"/>
          <w:sz w:val="20"/>
          <w:szCs w:val="20"/>
        </w:rPr>
        <w:t xml:space="preserve"> obywatela tunezyjskiego z Belgii do Stanów Zjednoczonych</w:t>
      </w:r>
      <w:r w:rsidR="00195A4D" w:rsidRPr="006E23A1">
        <w:rPr>
          <w:rFonts w:ascii="Verdana" w:hAnsi="Verdana" w:cs="Calibri"/>
          <w:sz w:val="20"/>
          <w:szCs w:val="20"/>
        </w:rPr>
        <w:t xml:space="preserve">, gdzie </w:t>
      </w:r>
      <w:r w:rsidR="00582A32" w:rsidRPr="006E23A1">
        <w:rPr>
          <w:rFonts w:ascii="Verdana" w:hAnsi="Verdana" w:cs="Calibri"/>
          <w:sz w:val="20"/>
          <w:szCs w:val="20"/>
        </w:rPr>
        <w:t>został oskarżony o przestępstwo</w:t>
      </w:r>
      <w:r w:rsidR="00195A4D" w:rsidRPr="006E23A1">
        <w:rPr>
          <w:rFonts w:ascii="Verdana" w:hAnsi="Verdana" w:cs="Calibri"/>
          <w:sz w:val="20"/>
          <w:szCs w:val="20"/>
        </w:rPr>
        <w:t xml:space="preserve"> terroryzmu oraz groziła mu kara dożywotniego pozbawienia wolności. </w:t>
      </w:r>
      <w:r w:rsidR="00376D97" w:rsidRPr="006E23A1">
        <w:rPr>
          <w:rFonts w:ascii="Verdana" w:hAnsi="Verdana" w:cs="Calibri"/>
          <w:sz w:val="20"/>
          <w:szCs w:val="20"/>
        </w:rPr>
        <w:t>Skarżący</w:t>
      </w:r>
      <w:r w:rsidR="00195A4D" w:rsidRPr="006E23A1">
        <w:rPr>
          <w:rFonts w:ascii="Verdana" w:hAnsi="Verdana" w:cs="Calibri"/>
          <w:sz w:val="20"/>
          <w:szCs w:val="20"/>
        </w:rPr>
        <w:t xml:space="preserve"> podnosił między innymi, że jego ekstrady</w:t>
      </w:r>
      <w:r w:rsidR="00582A32" w:rsidRPr="006E23A1">
        <w:rPr>
          <w:rFonts w:ascii="Verdana" w:hAnsi="Verdana" w:cs="Calibri"/>
          <w:sz w:val="20"/>
          <w:szCs w:val="20"/>
        </w:rPr>
        <w:t xml:space="preserve">cja naruszyła art. 4 Protokołu </w:t>
      </w:r>
      <w:r w:rsidR="00E97A36">
        <w:rPr>
          <w:rFonts w:ascii="Verdana" w:hAnsi="Verdana" w:cs="Calibri"/>
          <w:sz w:val="20"/>
          <w:szCs w:val="20"/>
        </w:rPr>
        <w:t>nr</w:t>
      </w:r>
      <w:r w:rsidR="00195A4D" w:rsidRPr="006E23A1">
        <w:rPr>
          <w:rFonts w:ascii="Verdana" w:hAnsi="Verdana" w:cs="Calibri"/>
          <w:sz w:val="20"/>
          <w:szCs w:val="20"/>
        </w:rPr>
        <w:t xml:space="preserve"> 7. </w:t>
      </w:r>
    </w:p>
    <w:p w14:paraId="22005E26" w14:textId="6BA5D80C" w:rsidR="00195A4D" w:rsidRPr="00036A41" w:rsidRDefault="00195A4D" w:rsidP="008B0AE6">
      <w:pPr>
        <w:spacing w:after="0"/>
        <w:jc w:val="both"/>
        <w:rPr>
          <w:rFonts w:ascii="Verdana" w:hAnsi="Verdana" w:cs="Calibri"/>
          <w:color w:val="0070C0"/>
          <w:sz w:val="20"/>
          <w:szCs w:val="20"/>
        </w:rPr>
      </w:pPr>
      <w:r w:rsidRPr="00036A41">
        <w:rPr>
          <w:rFonts w:ascii="Verdana" w:hAnsi="Verdana" w:cs="Calibri"/>
          <w:color w:val="0070C0"/>
          <w:sz w:val="20"/>
          <w:szCs w:val="20"/>
        </w:rPr>
        <w:t>W wyroku</w:t>
      </w:r>
      <w:r w:rsidR="00376D97" w:rsidRPr="00036A41">
        <w:rPr>
          <w:rFonts w:ascii="Verdana" w:hAnsi="Verdana" w:cs="Calibri"/>
          <w:color w:val="0070C0"/>
          <w:sz w:val="20"/>
          <w:szCs w:val="20"/>
        </w:rPr>
        <w:t xml:space="preserve"> tym</w:t>
      </w:r>
      <w:r w:rsidRPr="00036A41">
        <w:rPr>
          <w:rFonts w:ascii="Verdana" w:hAnsi="Verdana" w:cs="Calibri"/>
          <w:color w:val="0070C0"/>
          <w:sz w:val="20"/>
          <w:szCs w:val="20"/>
        </w:rPr>
        <w:t xml:space="preserve"> Trybunał </w:t>
      </w:r>
      <w:r w:rsidR="00376D97" w:rsidRPr="00036A41">
        <w:rPr>
          <w:rFonts w:ascii="Verdana" w:hAnsi="Verdana" w:cs="Calibri"/>
          <w:color w:val="0070C0"/>
          <w:sz w:val="20"/>
          <w:szCs w:val="20"/>
        </w:rPr>
        <w:t>przy</w:t>
      </w:r>
      <w:r w:rsidR="00582A32" w:rsidRPr="00036A41">
        <w:rPr>
          <w:rFonts w:ascii="Verdana" w:hAnsi="Verdana" w:cs="Calibri"/>
          <w:color w:val="0070C0"/>
          <w:sz w:val="20"/>
          <w:szCs w:val="20"/>
        </w:rPr>
        <w:t xml:space="preserve">pomniał </w:t>
      </w:r>
      <w:r w:rsidR="00376D97" w:rsidRPr="00036A41">
        <w:rPr>
          <w:rFonts w:ascii="Verdana" w:hAnsi="Verdana" w:cs="Calibri"/>
          <w:color w:val="0070C0"/>
          <w:sz w:val="20"/>
          <w:szCs w:val="20"/>
        </w:rPr>
        <w:t>swoją linię orzec</w:t>
      </w:r>
      <w:r w:rsidR="00582A32" w:rsidRPr="00036A41">
        <w:rPr>
          <w:rFonts w:ascii="Verdana" w:hAnsi="Verdana" w:cs="Calibri"/>
          <w:color w:val="0070C0"/>
          <w:sz w:val="20"/>
          <w:szCs w:val="20"/>
        </w:rPr>
        <w:t xml:space="preserve">zniczą, zgodnie z którą </w:t>
      </w:r>
      <w:r w:rsidR="00036A41" w:rsidRPr="00036A41">
        <w:rPr>
          <w:rFonts w:ascii="Verdana" w:hAnsi="Verdana" w:cs="Calibri"/>
          <w:color w:val="0070C0"/>
          <w:sz w:val="20"/>
          <w:szCs w:val="20"/>
        </w:rPr>
        <w:t>art</w:t>
      </w:r>
      <w:r w:rsidR="00582A32" w:rsidRPr="00036A41">
        <w:rPr>
          <w:rFonts w:ascii="Verdana" w:hAnsi="Verdana" w:cs="Calibri"/>
          <w:color w:val="0070C0"/>
          <w:sz w:val="20"/>
          <w:szCs w:val="20"/>
        </w:rPr>
        <w:t>. 4 P</w:t>
      </w:r>
      <w:r w:rsidR="00376D97" w:rsidRPr="00036A41">
        <w:rPr>
          <w:rFonts w:ascii="Verdana" w:hAnsi="Verdana" w:cs="Calibri"/>
          <w:color w:val="0070C0"/>
          <w:sz w:val="20"/>
          <w:szCs w:val="20"/>
        </w:rPr>
        <w:t>rotokołu</w:t>
      </w:r>
      <w:r w:rsidR="00582A32" w:rsidRPr="00036A41">
        <w:rPr>
          <w:rFonts w:ascii="Verdana" w:hAnsi="Verdana" w:cs="Calibri"/>
          <w:color w:val="0070C0"/>
          <w:sz w:val="20"/>
          <w:szCs w:val="20"/>
        </w:rPr>
        <w:t xml:space="preserve"> </w:t>
      </w:r>
      <w:r w:rsidR="008118E9">
        <w:rPr>
          <w:rFonts w:ascii="Verdana" w:hAnsi="Verdana" w:cs="Calibri"/>
          <w:color w:val="0070C0"/>
          <w:sz w:val="20"/>
          <w:szCs w:val="20"/>
        </w:rPr>
        <w:t>n</w:t>
      </w:r>
      <w:r w:rsidR="00E97A36">
        <w:rPr>
          <w:rFonts w:ascii="Verdana" w:hAnsi="Verdana" w:cs="Calibri"/>
          <w:color w:val="0070C0"/>
          <w:sz w:val="20"/>
          <w:szCs w:val="20"/>
        </w:rPr>
        <w:t>r</w:t>
      </w:r>
      <w:r w:rsidR="00376D97" w:rsidRPr="00036A41">
        <w:rPr>
          <w:rFonts w:ascii="Verdana" w:hAnsi="Verdana" w:cs="Calibri"/>
          <w:color w:val="0070C0"/>
          <w:sz w:val="20"/>
          <w:szCs w:val="20"/>
        </w:rPr>
        <w:t xml:space="preserve"> 7 nie zabezpiecza zakazu ponownego karania i sądze</w:t>
      </w:r>
      <w:r w:rsidR="00582A32" w:rsidRPr="00036A41">
        <w:rPr>
          <w:rFonts w:ascii="Verdana" w:hAnsi="Verdana" w:cs="Calibri"/>
          <w:color w:val="0070C0"/>
          <w:sz w:val="20"/>
          <w:szCs w:val="20"/>
        </w:rPr>
        <w:t xml:space="preserve">nia w odniesieniu do ścigania oraz </w:t>
      </w:r>
      <w:r w:rsidR="00376D97" w:rsidRPr="00036A41">
        <w:rPr>
          <w:rFonts w:ascii="Verdana" w:hAnsi="Verdana" w:cs="Calibri"/>
          <w:color w:val="0070C0"/>
          <w:sz w:val="20"/>
          <w:szCs w:val="20"/>
        </w:rPr>
        <w:t xml:space="preserve">wyroków skazujących </w:t>
      </w:r>
      <w:r w:rsidR="00582A32" w:rsidRPr="00036A41">
        <w:rPr>
          <w:rFonts w:ascii="Verdana" w:hAnsi="Verdana" w:cs="Calibri"/>
          <w:color w:val="0070C0"/>
          <w:sz w:val="20"/>
          <w:szCs w:val="20"/>
        </w:rPr>
        <w:t xml:space="preserve">zapadających </w:t>
      </w:r>
      <w:r w:rsidR="00376D97" w:rsidRPr="00036A41">
        <w:rPr>
          <w:rFonts w:ascii="Verdana" w:hAnsi="Verdana" w:cs="Calibri"/>
          <w:color w:val="0070C0"/>
          <w:sz w:val="20"/>
          <w:szCs w:val="20"/>
        </w:rPr>
        <w:t>w różnych państwach. O</w:t>
      </w:r>
      <w:r w:rsidR="00582A32" w:rsidRPr="00036A41">
        <w:rPr>
          <w:rFonts w:ascii="Verdana" w:hAnsi="Verdana" w:cs="Calibri"/>
          <w:color w:val="0070C0"/>
          <w:sz w:val="20"/>
          <w:szCs w:val="20"/>
        </w:rPr>
        <w:t xml:space="preserve">ddalił skargę wniesioną na podstawie </w:t>
      </w:r>
      <w:r w:rsidR="00036A41" w:rsidRPr="00036A41">
        <w:rPr>
          <w:rFonts w:ascii="Verdana" w:hAnsi="Verdana" w:cs="Calibri"/>
          <w:color w:val="0070C0"/>
          <w:sz w:val="20"/>
          <w:szCs w:val="20"/>
        </w:rPr>
        <w:t>art</w:t>
      </w:r>
      <w:r w:rsidR="00582A32" w:rsidRPr="00036A41">
        <w:rPr>
          <w:rFonts w:ascii="Verdana" w:hAnsi="Verdana" w:cs="Calibri"/>
          <w:color w:val="0070C0"/>
          <w:sz w:val="20"/>
          <w:szCs w:val="20"/>
        </w:rPr>
        <w:t>. 4 P</w:t>
      </w:r>
      <w:r w:rsidR="00376D97" w:rsidRPr="00036A41">
        <w:rPr>
          <w:rFonts w:ascii="Verdana" w:hAnsi="Verdana" w:cs="Calibri"/>
          <w:color w:val="0070C0"/>
          <w:sz w:val="20"/>
          <w:szCs w:val="20"/>
        </w:rPr>
        <w:t xml:space="preserve">rotokołu </w:t>
      </w:r>
      <w:r w:rsidR="00E97A36">
        <w:rPr>
          <w:rFonts w:ascii="Verdana" w:hAnsi="Verdana" w:cs="Calibri"/>
          <w:color w:val="0070C0"/>
          <w:sz w:val="20"/>
          <w:szCs w:val="20"/>
        </w:rPr>
        <w:t>nr</w:t>
      </w:r>
      <w:r w:rsidR="00582A32" w:rsidRPr="00036A41">
        <w:rPr>
          <w:rFonts w:ascii="Verdana" w:hAnsi="Verdana" w:cs="Calibri"/>
          <w:color w:val="0070C0"/>
          <w:sz w:val="20"/>
          <w:szCs w:val="20"/>
        </w:rPr>
        <w:t xml:space="preserve"> </w:t>
      </w:r>
      <w:r w:rsidR="00376D97" w:rsidRPr="00036A41">
        <w:rPr>
          <w:rFonts w:ascii="Verdana" w:hAnsi="Verdana" w:cs="Calibri"/>
          <w:color w:val="0070C0"/>
          <w:sz w:val="20"/>
          <w:szCs w:val="20"/>
        </w:rPr>
        <w:t xml:space="preserve">7 ze względu na jej </w:t>
      </w:r>
      <w:r w:rsidR="00376D97" w:rsidRPr="00036A41">
        <w:rPr>
          <w:rFonts w:ascii="Verdana" w:hAnsi="Verdana" w:cs="Calibri"/>
          <w:b/>
          <w:color w:val="0070C0"/>
          <w:sz w:val="20"/>
          <w:szCs w:val="20"/>
        </w:rPr>
        <w:t>niedopus</w:t>
      </w:r>
      <w:r w:rsidR="00582A32" w:rsidRPr="00036A41">
        <w:rPr>
          <w:rFonts w:ascii="Verdana" w:hAnsi="Verdana" w:cs="Calibri"/>
          <w:b/>
          <w:color w:val="0070C0"/>
          <w:sz w:val="20"/>
          <w:szCs w:val="20"/>
        </w:rPr>
        <w:t>zczalność</w:t>
      </w:r>
      <w:r w:rsidR="00582A32" w:rsidRPr="00036A41">
        <w:rPr>
          <w:rFonts w:ascii="Verdana" w:hAnsi="Verdana" w:cs="Calibri"/>
          <w:color w:val="0070C0"/>
          <w:sz w:val="20"/>
          <w:szCs w:val="20"/>
        </w:rPr>
        <w:t xml:space="preserve"> stosownie do </w:t>
      </w:r>
      <w:r w:rsidR="00036A41" w:rsidRPr="00036A41">
        <w:rPr>
          <w:rFonts w:ascii="Verdana" w:hAnsi="Verdana" w:cs="Calibri"/>
          <w:color w:val="0070C0"/>
          <w:sz w:val="20"/>
          <w:szCs w:val="20"/>
        </w:rPr>
        <w:t>art</w:t>
      </w:r>
      <w:r w:rsidR="00582A32" w:rsidRPr="00036A41">
        <w:rPr>
          <w:rFonts w:ascii="Verdana" w:hAnsi="Verdana" w:cs="Calibri"/>
          <w:color w:val="0070C0"/>
          <w:sz w:val="20"/>
          <w:szCs w:val="20"/>
        </w:rPr>
        <w:t>. 35</w:t>
      </w:r>
      <w:r w:rsidR="00376D97" w:rsidRPr="00036A41">
        <w:rPr>
          <w:rFonts w:ascii="Verdana" w:hAnsi="Verdana" w:cs="Calibri"/>
          <w:color w:val="0070C0"/>
          <w:sz w:val="20"/>
          <w:szCs w:val="20"/>
        </w:rPr>
        <w:t xml:space="preserve"> Konwencji</w:t>
      </w:r>
      <w:r w:rsidR="00582A32" w:rsidRPr="00036A41">
        <w:rPr>
          <w:rFonts w:ascii="Verdana" w:hAnsi="Verdana" w:cs="Calibri"/>
          <w:color w:val="0070C0"/>
          <w:sz w:val="20"/>
          <w:szCs w:val="20"/>
        </w:rPr>
        <w:t xml:space="preserve"> (</w:t>
      </w:r>
      <w:r w:rsidR="00065254" w:rsidRPr="00036A41">
        <w:rPr>
          <w:rFonts w:ascii="Verdana" w:hAnsi="Verdana" w:cs="Calibri"/>
          <w:color w:val="0070C0"/>
          <w:sz w:val="20"/>
          <w:szCs w:val="20"/>
        </w:rPr>
        <w:t>warunki</w:t>
      </w:r>
      <w:r w:rsidR="00582A32" w:rsidRPr="00036A41">
        <w:rPr>
          <w:rFonts w:ascii="Verdana" w:hAnsi="Verdana" w:cs="Calibri"/>
          <w:color w:val="0070C0"/>
          <w:sz w:val="20"/>
          <w:szCs w:val="20"/>
        </w:rPr>
        <w:t xml:space="preserve"> </w:t>
      </w:r>
      <w:r w:rsidR="006F49DB" w:rsidRPr="00036A41">
        <w:rPr>
          <w:rFonts w:ascii="Verdana" w:hAnsi="Verdana" w:cs="Calibri"/>
          <w:color w:val="0070C0"/>
          <w:sz w:val="20"/>
          <w:szCs w:val="20"/>
        </w:rPr>
        <w:t xml:space="preserve">dopuszczalności).  </w:t>
      </w:r>
    </w:p>
    <w:p w14:paraId="7648C95F" w14:textId="77777777" w:rsidR="00036A41" w:rsidRDefault="00036A41" w:rsidP="008B0AE6">
      <w:pPr>
        <w:spacing w:after="0"/>
        <w:rPr>
          <w:rFonts w:ascii="Verdana" w:hAnsi="Verdana" w:cs="Calibri"/>
          <w:b/>
          <w:color w:val="2E74B5" w:themeColor="accent1" w:themeShade="BF"/>
          <w:sz w:val="20"/>
          <w:szCs w:val="20"/>
          <w:u w:val="single"/>
        </w:rPr>
      </w:pPr>
    </w:p>
    <w:p w14:paraId="032896D3" w14:textId="7B2E0DAE" w:rsidR="00BE591F" w:rsidRPr="006E23A1" w:rsidRDefault="00BE591F" w:rsidP="008B0AE6">
      <w:pPr>
        <w:spacing w:after="0"/>
        <w:rPr>
          <w:rFonts w:ascii="Verdana" w:hAnsi="Verdana" w:cs="Calibri"/>
          <w:sz w:val="20"/>
          <w:szCs w:val="20"/>
        </w:rPr>
      </w:pPr>
      <w:hyperlink r:id="rId22" w:history="1">
        <w:r w:rsidRPr="00036A41">
          <w:rPr>
            <w:rStyle w:val="Hipercze"/>
            <w:rFonts w:ascii="Verdana" w:hAnsi="Verdana" w:cs="Calibri"/>
            <w:b/>
            <w:sz w:val="20"/>
            <w:szCs w:val="20"/>
          </w:rPr>
          <w:t>Krombach przeciwko Francji</w:t>
        </w:r>
      </w:hyperlink>
      <w:r w:rsidR="007718A0" w:rsidRPr="006E23A1">
        <w:rPr>
          <w:rFonts w:ascii="Verdana" w:hAnsi="Verdana" w:cs="Calibri"/>
          <w:sz w:val="20"/>
          <w:szCs w:val="20"/>
        </w:rPr>
        <w:br/>
      </w:r>
      <w:r w:rsidR="007718A0" w:rsidRPr="00036A41">
        <w:rPr>
          <w:rFonts w:ascii="Verdana" w:hAnsi="Verdana" w:cs="Calibri"/>
          <w:color w:val="767171" w:themeColor="background2" w:themeShade="80"/>
          <w:sz w:val="18"/>
          <w:szCs w:val="18"/>
        </w:rPr>
        <w:t>20 lutego 2018</w:t>
      </w:r>
      <w:r w:rsidRPr="00036A41">
        <w:rPr>
          <w:rFonts w:ascii="Verdana" w:hAnsi="Verdana" w:cs="Calibri"/>
          <w:color w:val="767171" w:themeColor="background2" w:themeShade="80"/>
          <w:sz w:val="18"/>
          <w:szCs w:val="18"/>
        </w:rPr>
        <w:t xml:space="preserve"> </w:t>
      </w:r>
      <w:r w:rsidR="00065254" w:rsidRPr="00036A41">
        <w:rPr>
          <w:rFonts w:ascii="Verdana" w:hAnsi="Verdana" w:cs="Calibri"/>
          <w:color w:val="767171" w:themeColor="background2" w:themeShade="80"/>
          <w:sz w:val="18"/>
          <w:szCs w:val="18"/>
        </w:rPr>
        <w:t xml:space="preserve">r. </w:t>
      </w:r>
      <w:r w:rsidRPr="00036A41">
        <w:rPr>
          <w:rFonts w:ascii="Verdana" w:hAnsi="Verdana" w:cs="Calibri"/>
          <w:color w:val="767171" w:themeColor="background2" w:themeShade="80"/>
          <w:sz w:val="18"/>
          <w:szCs w:val="18"/>
        </w:rPr>
        <w:t>(decyzja w sprawie dopuszczalności)</w:t>
      </w:r>
    </w:p>
    <w:p w14:paraId="472EC6E9" w14:textId="77777777" w:rsidR="00916779" w:rsidRPr="006E23A1" w:rsidRDefault="00916779" w:rsidP="008B0AE6">
      <w:pPr>
        <w:spacing w:after="0"/>
        <w:jc w:val="both"/>
        <w:rPr>
          <w:rFonts w:ascii="Verdana" w:hAnsi="Verdana" w:cs="Calibri"/>
          <w:sz w:val="20"/>
          <w:szCs w:val="20"/>
        </w:rPr>
      </w:pPr>
      <w:r w:rsidRPr="006E23A1">
        <w:rPr>
          <w:rFonts w:ascii="Verdana" w:hAnsi="Verdana" w:cs="Calibri"/>
          <w:sz w:val="20"/>
          <w:szCs w:val="20"/>
        </w:rPr>
        <w:t>Sprawa ta dotyczyła skazania skarżącego w postępowaniu karnym we Francji za zdarzenia, za które, jak</w:t>
      </w:r>
      <w:r w:rsidR="00BE591F" w:rsidRPr="006E23A1">
        <w:rPr>
          <w:rFonts w:ascii="Verdana" w:hAnsi="Verdana" w:cs="Calibri"/>
          <w:sz w:val="20"/>
          <w:szCs w:val="20"/>
        </w:rPr>
        <w:t xml:space="preserve"> twie</w:t>
      </w:r>
      <w:r w:rsidRPr="006E23A1">
        <w:rPr>
          <w:rFonts w:ascii="Verdana" w:hAnsi="Verdana" w:cs="Calibri"/>
          <w:sz w:val="20"/>
          <w:szCs w:val="20"/>
        </w:rPr>
        <w:t>rdził,</w:t>
      </w:r>
      <w:r w:rsidR="00BE591F" w:rsidRPr="006E23A1">
        <w:rPr>
          <w:rFonts w:ascii="Verdana" w:hAnsi="Verdana" w:cs="Calibri"/>
          <w:sz w:val="20"/>
          <w:szCs w:val="20"/>
        </w:rPr>
        <w:t xml:space="preserve"> został uprzednio uniewinniony w Niemczech.  </w:t>
      </w:r>
      <w:r w:rsidR="006F49DB" w:rsidRPr="006E23A1">
        <w:rPr>
          <w:rFonts w:ascii="Verdana" w:hAnsi="Verdana" w:cs="Calibri"/>
          <w:sz w:val="20"/>
          <w:szCs w:val="20"/>
        </w:rPr>
        <w:t>Fakty dotyczyły</w:t>
      </w:r>
      <w:r w:rsidR="00BE591F" w:rsidRPr="006E23A1">
        <w:rPr>
          <w:rFonts w:ascii="Verdana" w:hAnsi="Verdana" w:cs="Calibri"/>
          <w:sz w:val="20"/>
          <w:szCs w:val="20"/>
        </w:rPr>
        <w:t xml:space="preserve"> okoliczności związanych ze śmiercią jego </w:t>
      </w:r>
      <w:r w:rsidRPr="006E23A1">
        <w:rPr>
          <w:rFonts w:ascii="Verdana" w:hAnsi="Verdana" w:cs="Calibri"/>
          <w:sz w:val="20"/>
          <w:szCs w:val="20"/>
        </w:rPr>
        <w:t xml:space="preserve">pasierbicy </w:t>
      </w:r>
      <w:r w:rsidR="00BE591F" w:rsidRPr="006E23A1">
        <w:rPr>
          <w:rFonts w:ascii="Verdana" w:hAnsi="Verdana" w:cs="Calibri"/>
          <w:sz w:val="20"/>
          <w:szCs w:val="20"/>
        </w:rPr>
        <w:t>w 1982 r. w jego dom</w:t>
      </w:r>
      <w:r w:rsidRPr="006E23A1">
        <w:rPr>
          <w:rFonts w:ascii="Verdana" w:hAnsi="Verdana" w:cs="Calibri"/>
          <w:sz w:val="20"/>
          <w:szCs w:val="20"/>
        </w:rPr>
        <w:t>u</w:t>
      </w:r>
      <w:r w:rsidR="00BE591F" w:rsidRPr="006E23A1">
        <w:rPr>
          <w:rFonts w:ascii="Verdana" w:hAnsi="Verdana" w:cs="Calibri"/>
          <w:sz w:val="20"/>
          <w:szCs w:val="20"/>
        </w:rPr>
        <w:t xml:space="preserve"> w Niemczech.</w:t>
      </w:r>
      <w:r w:rsidRPr="006E23A1">
        <w:rPr>
          <w:rFonts w:ascii="Verdana" w:hAnsi="Verdana" w:cs="Calibri"/>
          <w:sz w:val="20"/>
          <w:szCs w:val="20"/>
        </w:rPr>
        <w:t xml:space="preserve"> </w:t>
      </w:r>
    </w:p>
    <w:p w14:paraId="6891C391" w14:textId="1A34CCFF" w:rsidR="00BE591F" w:rsidRPr="00036A41" w:rsidRDefault="006F49DB" w:rsidP="008B0AE6">
      <w:pPr>
        <w:spacing w:after="0"/>
        <w:jc w:val="both"/>
        <w:rPr>
          <w:rFonts w:ascii="Verdana" w:hAnsi="Verdana" w:cs="Calibri"/>
          <w:color w:val="0070C0"/>
          <w:sz w:val="20"/>
          <w:szCs w:val="20"/>
        </w:rPr>
      </w:pPr>
      <w:r w:rsidRPr="00036A41">
        <w:rPr>
          <w:rFonts w:ascii="Verdana" w:hAnsi="Verdana" w:cs="Calibri"/>
          <w:color w:val="0070C0"/>
          <w:sz w:val="20"/>
          <w:szCs w:val="20"/>
        </w:rPr>
        <w:t>Trybunał s</w:t>
      </w:r>
      <w:r w:rsidR="00916779" w:rsidRPr="00036A41">
        <w:rPr>
          <w:rFonts w:ascii="Verdana" w:hAnsi="Verdana" w:cs="Calibri"/>
          <w:color w:val="0070C0"/>
          <w:sz w:val="20"/>
          <w:szCs w:val="20"/>
        </w:rPr>
        <w:t>twierdził, że skarga sk</w:t>
      </w:r>
      <w:r w:rsidRPr="00036A41">
        <w:rPr>
          <w:rFonts w:ascii="Verdana" w:hAnsi="Verdana" w:cs="Calibri"/>
          <w:color w:val="0070C0"/>
          <w:sz w:val="20"/>
          <w:szCs w:val="20"/>
        </w:rPr>
        <w:t xml:space="preserve">arżącego na podstawie art. 4 </w:t>
      </w:r>
      <w:r w:rsidR="00916779" w:rsidRPr="00036A41">
        <w:rPr>
          <w:rFonts w:ascii="Verdana" w:hAnsi="Verdana" w:cs="Calibri"/>
          <w:color w:val="0070C0"/>
          <w:sz w:val="20"/>
          <w:szCs w:val="20"/>
        </w:rPr>
        <w:t>Protoko</w:t>
      </w:r>
      <w:r w:rsidRPr="00036A41">
        <w:rPr>
          <w:rFonts w:ascii="Verdana" w:hAnsi="Verdana" w:cs="Calibri"/>
          <w:color w:val="0070C0"/>
          <w:sz w:val="20"/>
          <w:szCs w:val="20"/>
        </w:rPr>
        <w:t xml:space="preserve">łu </w:t>
      </w:r>
      <w:r w:rsidR="008118E9">
        <w:rPr>
          <w:rFonts w:ascii="Verdana" w:hAnsi="Verdana" w:cs="Calibri"/>
          <w:color w:val="0070C0"/>
          <w:sz w:val="20"/>
          <w:szCs w:val="20"/>
        </w:rPr>
        <w:t>n</w:t>
      </w:r>
      <w:r w:rsidR="00E97A36">
        <w:rPr>
          <w:rFonts w:ascii="Verdana" w:hAnsi="Verdana" w:cs="Calibri"/>
          <w:color w:val="0070C0"/>
          <w:sz w:val="20"/>
          <w:szCs w:val="20"/>
        </w:rPr>
        <w:t>r</w:t>
      </w:r>
      <w:r w:rsidR="00916779" w:rsidRPr="00036A41">
        <w:rPr>
          <w:rFonts w:ascii="Verdana" w:hAnsi="Verdana" w:cs="Calibri"/>
          <w:color w:val="0070C0"/>
          <w:sz w:val="20"/>
          <w:szCs w:val="20"/>
        </w:rPr>
        <w:t xml:space="preserve"> 7 jest </w:t>
      </w:r>
      <w:r w:rsidR="00916779" w:rsidRPr="00036A41">
        <w:rPr>
          <w:rFonts w:ascii="Verdana" w:hAnsi="Verdana" w:cs="Calibri"/>
          <w:b/>
          <w:color w:val="0070C0"/>
          <w:sz w:val="20"/>
          <w:szCs w:val="20"/>
        </w:rPr>
        <w:t xml:space="preserve">niedopuszczalna </w:t>
      </w:r>
      <w:r w:rsidR="00916779" w:rsidRPr="00036A41">
        <w:rPr>
          <w:rFonts w:ascii="Verdana" w:hAnsi="Verdana" w:cs="Calibri"/>
          <w:color w:val="0070C0"/>
          <w:sz w:val="20"/>
          <w:szCs w:val="20"/>
        </w:rPr>
        <w:t>(</w:t>
      </w:r>
      <w:r w:rsidRPr="00036A41">
        <w:rPr>
          <w:rFonts w:ascii="Verdana" w:hAnsi="Verdana" w:cs="Calibri"/>
          <w:color w:val="0070C0"/>
          <w:sz w:val="20"/>
          <w:szCs w:val="20"/>
        </w:rPr>
        <w:t>brak zgodności</w:t>
      </w:r>
      <w:r w:rsidR="00916779" w:rsidRPr="00036A41">
        <w:rPr>
          <w:rFonts w:ascii="Verdana" w:hAnsi="Verdana" w:cs="Calibri"/>
          <w:color w:val="0070C0"/>
          <w:sz w:val="20"/>
          <w:szCs w:val="20"/>
        </w:rPr>
        <w:t xml:space="preserve"> z</w:t>
      </w:r>
      <w:r w:rsidR="00BE591F" w:rsidRPr="00036A41">
        <w:rPr>
          <w:rFonts w:ascii="Verdana" w:hAnsi="Verdana" w:cs="Calibri"/>
          <w:color w:val="0070C0"/>
          <w:sz w:val="20"/>
          <w:szCs w:val="20"/>
        </w:rPr>
        <w:t xml:space="preserve"> </w:t>
      </w:r>
      <w:r w:rsidR="00916779" w:rsidRPr="00036A41">
        <w:rPr>
          <w:rFonts w:ascii="Verdana" w:hAnsi="Verdana" w:cs="Calibri"/>
          <w:i/>
          <w:color w:val="0070C0"/>
          <w:sz w:val="20"/>
          <w:szCs w:val="20"/>
        </w:rPr>
        <w:t>ratione materiae</w:t>
      </w:r>
      <w:r w:rsidR="00916779" w:rsidRPr="00036A41">
        <w:rPr>
          <w:rFonts w:ascii="Verdana" w:hAnsi="Verdana" w:cs="Calibri"/>
          <w:color w:val="0070C0"/>
          <w:sz w:val="20"/>
          <w:szCs w:val="20"/>
        </w:rPr>
        <w:t>). Stosownie do u</w:t>
      </w:r>
      <w:r w:rsidR="002D025B" w:rsidRPr="00036A41">
        <w:rPr>
          <w:rFonts w:ascii="Verdana" w:hAnsi="Verdana" w:cs="Calibri"/>
          <w:color w:val="0070C0"/>
          <w:sz w:val="20"/>
          <w:szCs w:val="20"/>
        </w:rPr>
        <w:t>t</w:t>
      </w:r>
      <w:r w:rsidR="00916779" w:rsidRPr="00036A41">
        <w:rPr>
          <w:rFonts w:ascii="Verdana" w:hAnsi="Verdana" w:cs="Calibri"/>
          <w:color w:val="0070C0"/>
          <w:sz w:val="20"/>
          <w:szCs w:val="20"/>
        </w:rPr>
        <w:t>rwalonej lini</w:t>
      </w:r>
      <w:r w:rsidR="002D025B" w:rsidRPr="00036A41">
        <w:rPr>
          <w:rFonts w:ascii="Verdana" w:hAnsi="Verdana" w:cs="Calibri"/>
          <w:color w:val="0070C0"/>
          <w:sz w:val="20"/>
          <w:szCs w:val="20"/>
        </w:rPr>
        <w:t>i</w:t>
      </w:r>
      <w:r w:rsidR="00916779" w:rsidRPr="00036A41">
        <w:rPr>
          <w:rFonts w:ascii="Verdana" w:hAnsi="Verdana" w:cs="Calibri"/>
          <w:color w:val="0070C0"/>
          <w:sz w:val="20"/>
          <w:szCs w:val="20"/>
        </w:rPr>
        <w:t xml:space="preserve"> orzeczniczej</w:t>
      </w:r>
      <w:r w:rsidR="00BE591F" w:rsidRPr="00036A41">
        <w:rPr>
          <w:rFonts w:ascii="Verdana" w:hAnsi="Verdana" w:cs="Calibri"/>
          <w:color w:val="0070C0"/>
          <w:sz w:val="20"/>
          <w:szCs w:val="20"/>
        </w:rPr>
        <w:t>,</w:t>
      </w:r>
      <w:r w:rsidR="00916779" w:rsidRPr="00036A41">
        <w:rPr>
          <w:rFonts w:ascii="Verdana" w:hAnsi="Verdana" w:cs="Calibri"/>
          <w:color w:val="0070C0"/>
          <w:sz w:val="20"/>
          <w:szCs w:val="20"/>
        </w:rPr>
        <w:t xml:space="preserve"> Trybunał orzekł, w szczególności, </w:t>
      </w:r>
      <w:r w:rsidR="001B43B9" w:rsidRPr="00036A41">
        <w:rPr>
          <w:rFonts w:ascii="Verdana" w:hAnsi="Verdana" w:cs="Calibri"/>
          <w:color w:val="0070C0"/>
          <w:sz w:val="20"/>
          <w:szCs w:val="20"/>
        </w:rPr>
        <w:t>że artykuł</w:t>
      </w:r>
      <w:r w:rsidRPr="00036A41">
        <w:rPr>
          <w:rFonts w:ascii="Verdana" w:hAnsi="Verdana" w:cs="Calibri"/>
          <w:color w:val="0070C0"/>
          <w:sz w:val="20"/>
          <w:szCs w:val="20"/>
        </w:rPr>
        <w:t xml:space="preserve"> 4 Protokołu </w:t>
      </w:r>
      <w:r w:rsidR="00E97A36">
        <w:rPr>
          <w:rFonts w:ascii="Verdana" w:hAnsi="Verdana" w:cs="Calibri"/>
          <w:color w:val="0070C0"/>
          <w:sz w:val="20"/>
          <w:szCs w:val="20"/>
        </w:rPr>
        <w:t>nr</w:t>
      </w:r>
      <w:r w:rsidR="002D025B" w:rsidRPr="00036A41">
        <w:rPr>
          <w:rFonts w:ascii="Verdana" w:hAnsi="Verdana" w:cs="Calibri"/>
          <w:color w:val="0070C0"/>
          <w:sz w:val="20"/>
          <w:szCs w:val="20"/>
        </w:rPr>
        <w:t xml:space="preserve"> 7 nie</w:t>
      </w:r>
      <w:r w:rsidR="00BE591F" w:rsidRPr="00036A41">
        <w:rPr>
          <w:rFonts w:ascii="Verdana" w:hAnsi="Verdana" w:cs="Calibri"/>
          <w:color w:val="0070C0"/>
          <w:sz w:val="20"/>
          <w:szCs w:val="20"/>
        </w:rPr>
        <w:t xml:space="preserve"> stoi na przeszkodzie t</w:t>
      </w:r>
      <w:r w:rsidR="002D025B" w:rsidRPr="00036A41">
        <w:rPr>
          <w:rFonts w:ascii="Verdana" w:hAnsi="Verdana" w:cs="Calibri"/>
          <w:color w:val="0070C0"/>
          <w:sz w:val="20"/>
          <w:szCs w:val="20"/>
        </w:rPr>
        <w:t xml:space="preserve">emu, by dana osoba </w:t>
      </w:r>
      <w:r w:rsidR="001B43B9" w:rsidRPr="00036A41">
        <w:rPr>
          <w:rFonts w:ascii="Verdana" w:hAnsi="Verdana" w:cs="Calibri"/>
          <w:color w:val="0070C0"/>
          <w:sz w:val="20"/>
          <w:szCs w:val="20"/>
        </w:rPr>
        <w:t>była ścigana</w:t>
      </w:r>
      <w:r w:rsidR="002D025B" w:rsidRPr="00036A41">
        <w:rPr>
          <w:rFonts w:ascii="Verdana" w:hAnsi="Verdana" w:cs="Calibri"/>
          <w:color w:val="0070C0"/>
          <w:sz w:val="20"/>
          <w:szCs w:val="20"/>
        </w:rPr>
        <w:t xml:space="preserve"> lub karana przez sądy Państw-Stron</w:t>
      </w:r>
      <w:r w:rsidR="00BE591F" w:rsidRPr="00036A41">
        <w:rPr>
          <w:rFonts w:ascii="Verdana" w:hAnsi="Verdana" w:cs="Calibri"/>
          <w:color w:val="0070C0"/>
          <w:sz w:val="20"/>
          <w:szCs w:val="20"/>
        </w:rPr>
        <w:t xml:space="preserve"> Konwencji z </w:t>
      </w:r>
      <w:r w:rsidR="001242B3" w:rsidRPr="00036A41">
        <w:rPr>
          <w:rFonts w:ascii="Verdana" w:hAnsi="Verdana" w:cs="Calibri"/>
          <w:color w:val="0070C0"/>
          <w:sz w:val="20"/>
          <w:szCs w:val="20"/>
        </w:rPr>
        <w:t>powod</w:t>
      </w:r>
      <w:r w:rsidR="00036A41" w:rsidRPr="00036A41">
        <w:rPr>
          <w:rFonts w:ascii="Verdana" w:hAnsi="Verdana" w:cs="Calibri"/>
          <w:color w:val="0070C0"/>
          <w:sz w:val="20"/>
          <w:szCs w:val="20"/>
        </w:rPr>
        <w:t>u</w:t>
      </w:r>
      <w:r w:rsidR="001242B3" w:rsidRPr="00036A41">
        <w:rPr>
          <w:rFonts w:ascii="Verdana" w:hAnsi="Verdana" w:cs="Calibri"/>
          <w:color w:val="0070C0"/>
          <w:sz w:val="20"/>
          <w:szCs w:val="20"/>
        </w:rPr>
        <w:t xml:space="preserve"> przestępstwa, za które</w:t>
      </w:r>
      <w:r w:rsidRPr="00036A41">
        <w:rPr>
          <w:rFonts w:ascii="Verdana" w:hAnsi="Verdana" w:cs="Calibri"/>
          <w:color w:val="0070C0"/>
          <w:sz w:val="20"/>
          <w:szCs w:val="20"/>
        </w:rPr>
        <w:t xml:space="preserve"> została skazana lub uniewinniona</w:t>
      </w:r>
      <w:r w:rsidR="001242B3" w:rsidRPr="00036A41">
        <w:rPr>
          <w:rFonts w:ascii="Verdana" w:hAnsi="Verdana" w:cs="Calibri"/>
          <w:color w:val="0070C0"/>
          <w:sz w:val="20"/>
          <w:szCs w:val="20"/>
        </w:rPr>
        <w:t xml:space="preserve"> </w:t>
      </w:r>
      <w:r w:rsidR="00036A41" w:rsidRPr="00036A41">
        <w:rPr>
          <w:rFonts w:ascii="Verdana" w:hAnsi="Verdana" w:cs="Calibri"/>
          <w:color w:val="0070C0"/>
          <w:sz w:val="20"/>
          <w:szCs w:val="20"/>
        </w:rPr>
        <w:t>prawomocnym</w:t>
      </w:r>
      <w:r w:rsidR="001242B3" w:rsidRPr="00036A41">
        <w:rPr>
          <w:rFonts w:ascii="Verdana" w:hAnsi="Verdana" w:cs="Calibri"/>
          <w:color w:val="0070C0"/>
          <w:sz w:val="20"/>
          <w:szCs w:val="20"/>
        </w:rPr>
        <w:t xml:space="preserve"> wyrokiem</w:t>
      </w:r>
      <w:r w:rsidRPr="00036A41">
        <w:rPr>
          <w:rFonts w:ascii="Verdana" w:hAnsi="Verdana" w:cs="Calibri"/>
          <w:color w:val="0070C0"/>
          <w:sz w:val="20"/>
          <w:szCs w:val="20"/>
        </w:rPr>
        <w:t xml:space="preserve"> wydanym</w:t>
      </w:r>
      <w:r w:rsidR="001242B3" w:rsidRPr="00036A41">
        <w:rPr>
          <w:rFonts w:ascii="Verdana" w:hAnsi="Verdana" w:cs="Calibri"/>
          <w:color w:val="0070C0"/>
          <w:sz w:val="20"/>
          <w:szCs w:val="20"/>
        </w:rPr>
        <w:t xml:space="preserve"> w innym Państwie Stronie. </w:t>
      </w:r>
      <w:r w:rsidR="00BE591F" w:rsidRPr="00036A41">
        <w:rPr>
          <w:rFonts w:ascii="Verdana" w:hAnsi="Verdana" w:cs="Calibri"/>
          <w:color w:val="0070C0"/>
          <w:sz w:val="20"/>
          <w:szCs w:val="20"/>
        </w:rPr>
        <w:t xml:space="preserve">Ponieważ </w:t>
      </w:r>
      <w:r w:rsidR="001242B3" w:rsidRPr="00036A41">
        <w:rPr>
          <w:rFonts w:ascii="Verdana" w:hAnsi="Verdana" w:cs="Calibri"/>
          <w:color w:val="0070C0"/>
          <w:sz w:val="20"/>
          <w:szCs w:val="20"/>
        </w:rPr>
        <w:t>skarżący był ścigany</w:t>
      </w:r>
      <w:r w:rsidR="00BE591F" w:rsidRPr="00036A41">
        <w:rPr>
          <w:rFonts w:ascii="Verdana" w:hAnsi="Verdana" w:cs="Calibri"/>
          <w:color w:val="0070C0"/>
          <w:sz w:val="20"/>
          <w:szCs w:val="20"/>
        </w:rPr>
        <w:t xml:space="preserve"> przez sądy w dwóch różnych </w:t>
      </w:r>
      <w:r w:rsidRPr="00036A41">
        <w:rPr>
          <w:rFonts w:ascii="Verdana" w:hAnsi="Verdana" w:cs="Calibri"/>
          <w:color w:val="0070C0"/>
          <w:sz w:val="20"/>
          <w:szCs w:val="20"/>
        </w:rPr>
        <w:t>państwach</w:t>
      </w:r>
      <w:r w:rsidR="001242B3" w:rsidRPr="00036A41">
        <w:rPr>
          <w:rFonts w:ascii="Verdana" w:hAnsi="Verdana" w:cs="Calibri"/>
          <w:color w:val="0070C0"/>
          <w:sz w:val="20"/>
          <w:szCs w:val="20"/>
        </w:rPr>
        <w:t xml:space="preserve">, a </w:t>
      </w:r>
      <w:r w:rsidR="001960D2" w:rsidRPr="00036A41">
        <w:rPr>
          <w:rFonts w:ascii="Verdana" w:hAnsi="Verdana" w:cs="Calibri"/>
          <w:color w:val="0070C0"/>
          <w:sz w:val="20"/>
          <w:szCs w:val="20"/>
        </w:rPr>
        <w:t>mianowicie</w:t>
      </w:r>
      <w:r w:rsidR="001242B3" w:rsidRPr="00036A41">
        <w:rPr>
          <w:rFonts w:ascii="Verdana" w:hAnsi="Verdana" w:cs="Calibri"/>
          <w:color w:val="0070C0"/>
          <w:sz w:val="20"/>
          <w:szCs w:val="20"/>
        </w:rPr>
        <w:t xml:space="preserve"> w Niemczech oraz Francji, w</w:t>
      </w:r>
      <w:r w:rsidR="00BE591F" w:rsidRPr="00036A41">
        <w:rPr>
          <w:rFonts w:ascii="Verdana" w:hAnsi="Verdana" w:cs="Calibri"/>
          <w:color w:val="0070C0"/>
          <w:sz w:val="20"/>
          <w:szCs w:val="20"/>
        </w:rPr>
        <w:t xml:space="preserve"> niniejszym przypadku</w:t>
      </w:r>
      <w:r w:rsidRPr="00036A41">
        <w:rPr>
          <w:rFonts w:ascii="Verdana" w:hAnsi="Verdana" w:cs="Calibri"/>
          <w:color w:val="0070C0"/>
          <w:sz w:val="20"/>
          <w:szCs w:val="20"/>
        </w:rPr>
        <w:t xml:space="preserve"> art. 4 Protokołu </w:t>
      </w:r>
      <w:r w:rsidR="00E97A36">
        <w:rPr>
          <w:rFonts w:ascii="Verdana" w:hAnsi="Verdana" w:cs="Calibri"/>
          <w:color w:val="0070C0"/>
          <w:sz w:val="20"/>
          <w:szCs w:val="20"/>
        </w:rPr>
        <w:t>nr</w:t>
      </w:r>
      <w:r w:rsidR="00BE591F" w:rsidRPr="00036A41">
        <w:rPr>
          <w:rFonts w:ascii="Verdana" w:hAnsi="Verdana" w:cs="Calibri"/>
          <w:color w:val="0070C0"/>
          <w:sz w:val="20"/>
          <w:szCs w:val="20"/>
        </w:rPr>
        <w:t xml:space="preserve"> 7</w:t>
      </w:r>
      <w:r w:rsidR="001242B3" w:rsidRPr="00036A41">
        <w:rPr>
          <w:rFonts w:ascii="Verdana" w:hAnsi="Verdana" w:cs="Calibri"/>
          <w:color w:val="0070C0"/>
          <w:sz w:val="20"/>
          <w:szCs w:val="20"/>
        </w:rPr>
        <w:t xml:space="preserve"> nie miał zastosowania. </w:t>
      </w:r>
    </w:p>
    <w:p w14:paraId="3B088A3C" w14:textId="3D2EC834" w:rsidR="00BE591F" w:rsidRPr="006E23A1" w:rsidRDefault="00BE591F" w:rsidP="008B0AE6">
      <w:pPr>
        <w:spacing w:after="0"/>
        <w:jc w:val="both"/>
        <w:rPr>
          <w:rFonts w:ascii="Verdana" w:hAnsi="Verdana" w:cs="Calibri"/>
          <w:sz w:val="20"/>
          <w:szCs w:val="20"/>
        </w:rPr>
      </w:pPr>
      <w:r w:rsidRPr="006E23A1">
        <w:rPr>
          <w:rFonts w:ascii="Verdana" w:hAnsi="Verdana" w:cs="Calibri"/>
          <w:i/>
          <w:sz w:val="20"/>
          <w:szCs w:val="20"/>
        </w:rPr>
        <w:t>Zob</w:t>
      </w:r>
      <w:r w:rsidR="00036A41">
        <w:rPr>
          <w:rFonts w:ascii="Verdana" w:hAnsi="Verdana" w:cs="Calibri"/>
          <w:i/>
          <w:sz w:val="20"/>
          <w:szCs w:val="20"/>
        </w:rPr>
        <w:t>.</w:t>
      </w:r>
      <w:r w:rsidRPr="006E23A1">
        <w:rPr>
          <w:rFonts w:ascii="Verdana" w:hAnsi="Verdana" w:cs="Calibri"/>
          <w:i/>
          <w:sz w:val="20"/>
          <w:szCs w:val="20"/>
        </w:rPr>
        <w:t xml:space="preserve"> </w:t>
      </w:r>
      <w:r w:rsidR="00036A41">
        <w:rPr>
          <w:rFonts w:ascii="Verdana" w:hAnsi="Verdana" w:cs="Calibri"/>
          <w:i/>
          <w:sz w:val="20"/>
          <w:szCs w:val="20"/>
        </w:rPr>
        <w:t>także</w:t>
      </w:r>
      <w:r w:rsidRPr="006E23A1">
        <w:rPr>
          <w:rFonts w:ascii="Verdana" w:hAnsi="Verdana" w:cs="Calibri"/>
          <w:sz w:val="20"/>
          <w:szCs w:val="20"/>
        </w:rPr>
        <w:t xml:space="preserve"> </w:t>
      </w:r>
      <w:r w:rsidR="0033200C" w:rsidRPr="006E23A1">
        <w:rPr>
          <w:rFonts w:ascii="Verdana" w:hAnsi="Verdana" w:cs="Calibri"/>
          <w:sz w:val="20"/>
          <w:szCs w:val="20"/>
        </w:rPr>
        <w:t>m.in.</w:t>
      </w:r>
      <w:r w:rsidRPr="006E23A1">
        <w:rPr>
          <w:rFonts w:ascii="Verdana" w:hAnsi="Verdana" w:cs="Calibri"/>
          <w:sz w:val="20"/>
          <w:szCs w:val="20"/>
        </w:rPr>
        <w:t xml:space="preserve">: </w:t>
      </w:r>
      <w:hyperlink r:id="rId23" w:history="1">
        <w:r w:rsidRPr="008C1333">
          <w:rPr>
            <w:rStyle w:val="Hipercze"/>
            <w:rFonts w:ascii="Verdana" w:hAnsi="Verdana" w:cs="Calibri"/>
            <w:b/>
            <w:color w:val="0070C0"/>
            <w:sz w:val="20"/>
            <w:szCs w:val="20"/>
          </w:rPr>
          <w:t>Gestra przeciwko Włochom</w:t>
        </w:r>
      </w:hyperlink>
      <w:r w:rsidRPr="008C1333">
        <w:rPr>
          <w:rFonts w:ascii="Verdana" w:hAnsi="Verdana" w:cs="Calibri"/>
          <w:color w:val="0070C0"/>
          <w:sz w:val="20"/>
          <w:szCs w:val="20"/>
        </w:rPr>
        <w:t xml:space="preserve">, </w:t>
      </w:r>
      <w:r w:rsidRPr="006E23A1">
        <w:rPr>
          <w:rFonts w:ascii="Verdana" w:hAnsi="Verdana" w:cs="Calibri"/>
          <w:sz w:val="20"/>
          <w:szCs w:val="20"/>
        </w:rPr>
        <w:t>decyzja</w:t>
      </w:r>
      <w:r w:rsidR="001960D2" w:rsidRPr="006E23A1">
        <w:rPr>
          <w:rFonts w:ascii="Verdana" w:hAnsi="Verdana" w:cs="Calibri"/>
          <w:sz w:val="20"/>
          <w:szCs w:val="20"/>
        </w:rPr>
        <w:t xml:space="preserve"> </w:t>
      </w:r>
      <w:r w:rsidRPr="006E23A1">
        <w:rPr>
          <w:rFonts w:ascii="Verdana" w:hAnsi="Verdana" w:cs="Calibri"/>
          <w:sz w:val="20"/>
          <w:szCs w:val="20"/>
        </w:rPr>
        <w:t>Komisji Eu</w:t>
      </w:r>
      <w:r w:rsidR="007718A0" w:rsidRPr="006E23A1">
        <w:rPr>
          <w:rFonts w:ascii="Verdana" w:hAnsi="Verdana" w:cs="Calibri"/>
          <w:sz w:val="20"/>
          <w:szCs w:val="20"/>
        </w:rPr>
        <w:t>ropejskiej Praw Człowieka</w:t>
      </w:r>
      <w:r w:rsidR="007718A0" w:rsidRPr="006E23A1">
        <w:rPr>
          <w:rStyle w:val="Odwoanieprzypisudolnego"/>
          <w:rFonts w:ascii="Verdana" w:hAnsi="Verdana" w:cs="Calibri"/>
          <w:sz w:val="20"/>
          <w:szCs w:val="20"/>
        </w:rPr>
        <w:footnoteReference w:id="3"/>
      </w:r>
      <w:r w:rsidR="007718A0" w:rsidRPr="006E23A1">
        <w:rPr>
          <w:rFonts w:ascii="Verdana" w:hAnsi="Verdana" w:cs="Calibri"/>
          <w:sz w:val="20"/>
          <w:szCs w:val="20"/>
        </w:rPr>
        <w:t xml:space="preserve"> z</w:t>
      </w:r>
      <w:r w:rsidRPr="006E23A1">
        <w:rPr>
          <w:rFonts w:ascii="Verdana" w:hAnsi="Verdana" w:cs="Calibri"/>
          <w:sz w:val="20"/>
          <w:szCs w:val="20"/>
        </w:rPr>
        <w:t xml:space="preserve"> </w:t>
      </w:r>
      <w:r w:rsidR="008C1333">
        <w:rPr>
          <w:rFonts w:ascii="Verdana" w:hAnsi="Verdana" w:cs="Calibri"/>
          <w:sz w:val="20"/>
          <w:szCs w:val="20"/>
        </w:rPr>
        <w:t xml:space="preserve">dnia </w:t>
      </w:r>
      <w:r w:rsidRPr="006E23A1">
        <w:rPr>
          <w:rFonts w:ascii="Verdana" w:hAnsi="Verdana" w:cs="Calibri"/>
          <w:sz w:val="20"/>
          <w:szCs w:val="20"/>
        </w:rPr>
        <w:t xml:space="preserve">16 stycznia 1995 r.; </w:t>
      </w:r>
      <w:hyperlink r:id="rId24" w:history="1">
        <w:r w:rsidRPr="008C1333">
          <w:rPr>
            <w:rStyle w:val="Hipercze"/>
            <w:rFonts w:ascii="Verdana" w:hAnsi="Verdana" w:cs="Calibri"/>
            <w:b/>
            <w:sz w:val="20"/>
            <w:szCs w:val="20"/>
          </w:rPr>
          <w:t>Amrollahi przeciwko Danii</w:t>
        </w:r>
      </w:hyperlink>
      <w:r w:rsidRPr="006E23A1">
        <w:rPr>
          <w:rFonts w:ascii="Verdana" w:hAnsi="Verdana" w:cs="Calibri"/>
          <w:sz w:val="20"/>
          <w:szCs w:val="20"/>
        </w:rPr>
        <w:t>, decyzja w</w:t>
      </w:r>
      <w:r w:rsidR="007718A0" w:rsidRPr="006E23A1">
        <w:rPr>
          <w:rFonts w:ascii="Verdana" w:hAnsi="Verdana" w:cs="Calibri"/>
          <w:sz w:val="20"/>
          <w:szCs w:val="20"/>
        </w:rPr>
        <w:t xml:space="preserve"> sprawie </w:t>
      </w:r>
      <w:r w:rsidR="007718A0" w:rsidRPr="006E23A1">
        <w:rPr>
          <w:rFonts w:ascii="Verdana" w:hAnsi="Verdana" w:cs="Calibri"/>
          <w:sz w:val="20"/>
          <w:szCs w:val="20"/>
        </w:rPr>
        <w:lastRenderedPageBreak/>
        <w:t>dopuszczalności z</w:t>
      </w:r>
      <w:r w:rsidR="008C1333">
        <w:rPr>
          <w:rFonts w:ascii="Verdana" w:hAnsi="Verdana" w:cs="Calibri"/>
          <w:sz w:val="20"/>
          <w:szCs w:val="20"/>
        </w:rPr>
        <w:t xml:space="preserve"> dnia</w:t>
      </w:r>
      <w:r w:rsidR="007718A0" w:rsidRPr="006E23A1">
        <w:rPr>
          <w:rFonts w:ascii="Verdana" w:hAnsi="Verdana" w:cs="Calibri"/>
          <w:sz w:val="20"/>
          <w:szCs w:val="20"/>
        </w:rPr>
        <w:t xml:space="preserve"> </w:t>
      </w:r>
      <w:r w:rsidRPr="006E23A1">
        <w:rPr>
          <w:rFonts w:ascii="Verdana" w:hAnsi="Verdana" w:cs="Calibri"/>
          <w:sz w:val="20"/>
          <w:szCs w:val="20"/>
        </w:rPr>
        <w:t xml:space="preserve">28 czerwca 2001 r.; </w:t>
      </w:r>
      <w:hyperlink r:id="rId25" w:history="1">
        <w:r w:rsidRPr="008C1333">
          <w:rPr>
            <w:rStyle w:val="Hipercze"/>
            <w:rFonts w:ascii="Verdana" w:hAnsi="Verdana" w:cs="Calibri"/>
            <w:b/>
            <w:color w:val="0070C0"/>
            <w:sz w:val="20"/>
            <w:szCs w:val="20"/>
          </w:rPr>
          <w:t>Sarria przeciwko Polsce</w:t>
        </w:r>
      </w:hyperlink>
      <w:r w:rsidR="007718A0" w:rsidRPr="006E23A1">
        <w:rPr>
          <w:rFonts w:ascii="Verdana" w:hAnsi="Verdana" w:cs="Calibri"/>
          <w:sz w:val="20"/>
          <w:szCs w:val="20"/>
        </w:rPr>
        <w:t xml:space="preserve">, wyrok z </w:t>
      </w:r>
      <w:r w:rsidR="008C1333">
        <w:rPr>
          <w:rFonts w:ascii="Verdana" w:hAnsi="Verdana" w:cs="Calibri"/>
          <w:sz w:val="20"/>
          <w:szCs w:val="20"/>
        </w:rPr>
        <w:t>dnia</w:t>
      </w:r>
      <w:r w:rsidRPr="006E23A1">
        <w:rPr>
          <w:rFonts w:ascii="Verdana" w:hAnsi="Verdana" w:cs="Calibri"/>
          <w:sz w:val="20"/>
          <w:szCs w:val="20"/>
        </w:rPr>
        <w:t xml:space="preserve"> 12 grudnia 2012 r. </w:t>
      </w:r>
    </w:p>
    <w:p w14:paraId="7A721257" w14:textId="77777777" w:rsidR="008C6712" w:rsidRDefault="008C6712" w:rsidP="008B0AE6">
      <w:pPr>
        <w:spacing w:after="0" w:line="0" w:lineRule="atLeast"/>
        <w:rPr>
          <w:rFonts w:ascii="Verdana" w:hAnsi="Verdana" w:cs="Calibri"/>
          <w:sz w:val="20"/>
          <w:szCs w:val="20"/>
        </w:rPr>
      </w:pPr>
    </w:p>
    <w:p w14:paraId="4F1302B0" w14:textId="47509BB4" w:rsidR="00DA1334" w:rsidRPr="008C1333" w:rsidRDefault="00DA1334" w:rsidP="008B0AE6">
      <w:pPr>
        <w:spacing w:after="0" w:line="0" w:lineRule="atLeast"/>
        <w:rPr>
          <w:rFonts w:ascii="Verdana" w:eastAsia="Verdana" w:hAnsi="Verdana" w:cs="Arial"/>
          <w:b/>
          <w:bCs/>
          <w:color w:val="0072BC"/>
          <w:sz w:val="28"/>
          <w:szCs w:val="28"/>
          <w:lang w:eastAsia="pl-PL"/>
        </w:rPr>
      </w:pPr>
      <w:r w:rsidRPr="008C1333">
        <w:rPr>
          <w:rFonts w:ascii="Verdana" w:eastAsia="Verdana" w:hAnsi="Verdana" w:cs="Arial"/>
          <w:b/>
          <w:bCs/>
          <w:color w:val="0072BC"/>
          <w:sz w:val="28"/>
          <w:szCs w:val="28"/>
          <w:lang w:eastAsia="pl-PL"/>
        </w:rPr>
        <w:t xml:space="preserve">Definicja pojęcia </w:t>
      </w:r>
      <w:r w:rsidRPr="008C1333">
        <w:rPr>
          <w:rFonts w:ascii="Verdana" w:eastAsia="Verdana" w:hAnsi="Verdana" w:cs="Arial"/>
          <w:b/>
          <w:bCs/>
          <w:i/>
          <w:color w:val="0072BC"/>
          <w:sz w:val="28"/>
          <w:szCs w:val="28"/>
          <w:lang w:eastAsia="pl-PL"/>
        </w:rPr>
        <w:t>bis</w:t>
      </w:r>
    </w:p>
    <w:p w14:paraId="275AE850" w14:textId="465F1109" w:rsidR="00294A7B" w:rsidRPr="006E23A1" w:rsidRDefault="006A1425" w:rsidP="008B0AE6">
      <w:pPr>
        <w:spacing w:after="0" w:line="0" w:lineRule="atLeast"/>
        <w:rPr>
          <w:rFonts w:ascii="Verdana" w:eastAsia="Verdana" w:hAnsi="Verdana" w:cs="Arial"/>
          <w:color w:val="0072BC"/>
          <w:sz w:val="20"/>
          <w:szCs w:val="20"/>
          <w:lang w:eastAsia="pl-PL"/>
        </w:rPr>
      </w:pPr>
      <w:r>
        <w:rPr>
          <w:noProof/>
          <w:sz w:val="20"/>
          <w:szCs w:val="20"/>
        </w:rPr>
        <mc:AlternateContent>
          <mc:Choice Requires="wps">
            <w:drawing>
              <wp:anchor distT="0" distB="0" distL="114300" distR="114300" simplePos="0" relativeHeight="251651072" behindDoc="1" locked="0" layoutInCell="0" allowOverlap="1" wp14:anchorId="7F9C7877" wp14:editId="190C027B">
                <wp:simplePos x="0" y="0"/>
                <wp:positionH relativeFrom="column">
                  <wp:posOffset>0</wp:posOffset>
                </wp:positionH>
                <wp:positionV relativeFrom="paragraph">
                  <wp:posOffset>86572</wp:posOffset>
                </wp:positionV>
                <wp:extent cx="5768340" cy="0"/>
                <wp:effectExtent l="0" t="0" r="0" b="0"/>
                <wp:wrapNone/>
                <wp:docPr id="1984251006"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prstDash val="solid"/>
                          <a:miter lim="800000"/>
                          <a:headEnd/>
                          <a:tailEnd/>
                        </a:ln>
                      </wps:spPr>
                      <wps:bodyPr/>
                    </wps:wsp>
                  </a:graphicData>
                </a:graphic>
              </wp:anchor>
            </w:drawing>
          </mc:Choice>
          <mc:Fallback>
            <w:pict>
              <v:line w14:anchorId="407774E2" id="Shape 2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XdrwEAAHQDAAAOAAAAZHJzL2Uyb0RvYy54bWysU01vEzEQvSPxHyzfyW4DlO0qmx4awqWC&#10;SoUfMLG9WQt/yWOym3/P2JukLXCq8MHyfD2/eR6vbidr2EFF1N51/GpRc6ac8FK7fcd/fN++azjD&#10;BE6C8U51/KiQ367fvlmNoVVLP3gjVWQE4rAdQ8eHlEJbVSgGZQEXPihHwd5HC4nMuK9khJHQramW&#10;dX1djT7KEL1QiOTdzEG+Lvh9r0T61veoEjMdJ26p7LHsu7xX6xW0+whh0OJEA17BwoJ2dOkFagMJ&#10;2K+o/4KyWkSPvk8L4W3l+14LVXqgbq7qP7p5HCCo0guJg+EiE/4/WPH1cOceYqYuJvcY7r34iSRK&#10;NQZsL8FsYJjTpj7anE7c2VSEPF6EVFNigpwfP1037z+Q3uIcq6A9F4aI6YvyluVDx412uUdo4XCP&#10;KV8N7Tklu9EbLbfamGLE/e7ORHYAes9tWfkJqeRFmnFspGlslk1ToF8E8TnGTVn/wsgcNoDDfFdB&#10;mKfF6kQja7TteFPnNbsHBfKzk2WgEmgzn4mZcSc5ZwWzljsvjw/xLDM9bWnhNIZ5dp7bpfrps6x/&#10;AwAA//8DAFBLAwQUAAYACAAAACEAyo4Hy9gAAAAGAQAADwAAAGRycy9kb3ducmV2LnhtbEyPwU7D&#10;MBBE70j8g7VI3KgDRVUIcSoUiQPiFNNLb9t4m0TE6yh22/D3LOIAx51Zzbwpt4sf1ZnmOAQ2cL/K&#10;QBG3wQ3cGdh9vN7loGJCdjgGJgNfFGFbXV+VWLhw4YbONnVKQjgWaKBPaSq0jm1PHuMqTMTiHcPs&#10;Mck5d9rNeJFwP+qHLNtojwNLQ48T1T21n/bkpff9ba/bxvIe67q2R7JNvh6Mub1ZXp5BJVrS3zP8&#10;4As6VMJ0CCd2UY0GZEgSdb0BJe5Tlj+COvwKuir1f/zqGwAA//8DAFBLAQItABQABgAIAAAAIQC2&#10;gziS/gAAAOEBAAATAAAAAAAAAAAAAAAAAAAAAABbQ29udGVudF9UeXBlc10ueG1sUEsBAi0AFAAG&#10;AAgAAAAhADj9If/WAAAAlAEAAAsAAAAAAAAAAAAAAAAALwEAAF9yZWxzLy5yZWxzUEsBAi0AFAAG&#10;AAgAAAAhALfr1d2vAQAAdAMAAA4AAAAAAAAAAAAAAAAALgIAAGRycy9lMm9Eb2MueG1sUEsBAi0A&#10;FAAGAAgAAAAhAMqOB8vYAAAABgEAAA8AAAAAAAAAAAAAAAAACQQAAGRycy9kb3ducmV2LnhtbFBL&#10;BQYAAAAABAAEAPMAAAAOBQAAAAA=&#10;" o:allowincell="f" filled="t" strokecolor="#999" strokeweight="1.44pt">
                <v:stroke joinstyle="miter"/>
                <o:lock v:ext="edit" shapetype="f"/>
              </v:line>
            </w:pict>
          </mc:Fallback>
        </mc:AlternateContent>
      </w:r>
    </w:p>
    <w:p w14:paraId="658F1EC0" w14:textId="4BAFE946" w:rsidR="00DA1334" w:rsidRPr="00912A93" w:rsidRDefault="00912A93" w:rsidP="008B0AE6">
      <w:pPr>
        <w:spacing w:after="0"/>
        <w:jc w:val="both"/>
        <w:rPr>
          <w:rFonts w:ascii="Verdana" w:hAnsi="Verdana" w:cs="Calibri"/>
          <w:i/>
          <w:color w:val="3B3838" w:themeColor="background2" w:themeShade="40"/>
          <w:sz w:val="24"/>
          <w:szCs w:val="24"/>
        </w:rPr>
      </w:pPr>
      <w:r w:rsidRPr="00912A93">
        <w:rPr>
          <w:rFonts w:ascii="Verdana" w:hAnsi="Verdana" w:cs="Calibri"/>
          <w:i/>
          <w:color w:val="3B3838" w:themeColor="background2" w:themeShade="40"/>
          <w:sz w:val="24"/>
          <w:szCs w:val="24"/>
        </w:rPr>
        <w:t>Ostateczny</w:t>
      </w:r>
      <w:r w:rsidR="008C1333" w:rsidRPr="00912A93">
        <w:rPr>
          <w:rFonts w:ascii="Verdana" w:hAnsi="Verdana" w:cs="Calibri"/>
          <w:i/>
          <w:color w:val="3B3838" w:themeColor="background2" w:themeShade="40"/>
          <w:sz w:val="24"/>
          <w:szCs w:val="24"/>
        </w:rPr>
        <w:t xml:space="preserve"> wyrok</w:t>
      </w:r>
    </w:p>
    <w:p w14:paraId="13CCD147" w14:textId="77777777" w:rsidR="008C1333" w:rsidRDefault="008C1333" w:rsidP="008B0AE6">
      <w:pPr>
        <w:spacing w:after="0"/>
        <w:rPr>
          <w:rFonts w:ascii="Verdana" w:hAnsi="Verdana" w:cs="Calibri"/>
          <w:b/>
          <w:color w:val="2E74B5" w:themeColor="accent1" w:themeShade="BF"/>
          <w:sz w:val="20"/>
          <w:szCs w:val="20"/>
          <w:u w:val="single"/>
        </w:rPr>
      </w:pPr>
    </w:p>
    <w:p w14:paraId="3E9B95D9" w14:textId="1BB6A1A2" w:rsidR="00DA1334" w:rsidRPr="006E23A1" w:rsidRDefault="00DA1334" w:rsidP="008B0AE6">
      <w:pPr>
        <w:spacing w:after="0"/>
        <w:rPr>
          <w:rFonts w:ascii="Verdana" w:hAnsi="Verdana" w:cs="Calibri"/>
          <w:b/>
          <w:sz w:val="20"/>
          <w:szCs w:val="20"/>
          <w:u w:val="single"/>
        </w:rPr>
      </w:pPr>
      <w:hyperlink r:id="rId26" w:history="1">
        <w:r w:rsidRPr="009970CE">
          <w:rPr>
            <w:rStyle w:val="Hipercze"/>
            <w:rFonts w:ascii="Verdana" w:hAnsi="Verdana" w:cs="Calibri"/>
            <w:b/>
            <w:color w:val="0070C0"/>
            <w:sz w:val="20"/>
            <w:szCs w:val="20"/>
          </w:rPr>
          <w:t>Lucky Dev przeciwko Szwecji</w:t>
        </w:r>
      </w:hyperlink>
      <w:r w:rsidR="007718A0" w:rsidRPr="006E23A1">
        <w:rPr>
          <w:rFonts w:ascii="Verdana" w:hAnsi="Verdana" w:cs="Calibri"/>
          <w:b/>
          <w:sz w:val="20"/>
          <w:szCs w:val="20"/>
          <w:u w:val="single"/>
        </w:rPr>
        <w:br/>
      </w:r>
      <w:r w:rsidRPr="009970CE">
        <w:rPr>
          <w:rFonts w:ascii="Verdana" w:hAnsi="Verdana" w:cs="Calibri"/>
          <w:color w:val="767171" w:themeColor="background2" w:themeShade="80"/>
          <w:sz w:val="18"/>
          <w:szCs w:val="18"/>
        </w:rPr>
        <w:t>27 listopada 2014</w:t>
      </w:r>
      <w:r w:rsidR="00065254" w:rsidRPr="009970CE">
        <w:rPr>
          <w:rFonts w:ascii="Verdana" w:hAnsi="Verdana" w:cs="Calibri"/>
          <w:color w:val="767171" w:themeColor="background2" w:themeShade="80"/>
          <w:sz w:val="18"/>
          <w:szCs w:val="18"/>
        </w:rPr>
        <w:t xml:space="preserve"> </w:t>
      </w:r>
      <w:r w:rsidR="00294A7B" w:rsidRPr="009970CE">
        <w:rPr>
          <w:rFonts w:ascii="Verdana" w:hAnsi="Verdana" w:cs="Calibri"/>
          <w:color w:val="767171" w:themeColor="background2" w:themeShade="80"/>
          <w:sz w:val="18"/>
          <w:szCs w:val="18"/>
        </w:rPr>
        <w:t xml:space="preserve">r. </w:t>
      </w:r>
    </w:p>
    <w:p w14:paraId="71D08776" w14:textId="77777777" w:rsidR="00127556" w:rsidRPr="006E23A1" w:rsidRDefault="00DA1334" w:rsidP="008B0AE6">
      <w:pPr>
        <w:spacing w:after="0"/>
        <w:jc w:val="both"/>
        <w:rPr>
          <w:rFonts w:ascii="Verdana" w:hAnsi="Verdana" w:cs="Calibri"/>
          <w:sz w:val="20"/>
          <w:szCs w:val="20"/>
        </w:rPr>
      </w:pPr>
      <w:r w:rsidRPr="006E23A1">
        <w:rPr>
          <w:rFonts w:ascii="Verdana" w:hAnsi="Verdana" w:cs="Calibri"/>
          <w:sz w:val="20"/>
          <w:szCs w:val="20"/>
        </w:rPr>
        <w:t xml:space="preserve">W 2004 r. organy podatkowe zainicjowały postępowanie przeciwko </w:t>
      </w:r>
      <w:r w:rsidR="00A865A5" w:rsidRPr="006E23A1">
        <w:rPr>
          <w:rFonts w:ascii="Verdana" w:hAnsi="Verdana" w:cs="Calibri"/>
          <w:sz w:val="20"/>
          <w:szCs w:val="20"/>
        </w:rPr>
        <w:t>skarżącej</w:t>
      </w:r>
      <w:r w:rsidRPr="006E23A1">
        <w:rPr>
          <w:rFonts w:ascii="Verdana" w:hAnsi="Verdana" w:cs="Calibri"/>
          <w:sz w:val="20"/>
          <w:szCs w:val="20"/>
        </w:rPr>
        <w:t xml:space="preserve"> w </w:t>
      </w:r>
      <w:r w:rsidR="007C1B5D" w:rsidRPr="006E23A1">
        <w:rPr>
          <w:rFonts w:ascii="Verdana" w:hAnsi="Verdana" w:cs="Calibri"/>
          <w:sz w:val="20"/>
          <w:szCs w:val="20"/>
        </w:rPr>
        <w:t>sprawie jej</w:t>
      </w:r>
      <w:r w:rsidRPr="006E23A1">
        <w:rPr>
          <w:rFonts w:ascii="Verdana" w:hAnsi="Verdana" w:cs="Calibri"/>
          <w:sz w:val="20"/>
          <w:szCs w:val="20"/>
        </w:rPr>
        <w:t xml:space="preserve"> podatku dochodowego</w:t>
      </w:r>
      <w:r w:rsidR="007C1B5D" w:rsidRPr="006E23A1">
        <w:rPr>
          <w:rFonts w:ascii="Verdana" w:hAnsi="Verdana" w:cs="Calibri"/>
          <w:sz w:val="20"/>
          <w:szCs w:val="20"/>
        </w:rPr>
        <w:t xml:space="preserve"> i</w:t>
      </w:r>
      <w:r w:rsidRPr="006E23A1">
        <w:rPr>
          <w:rFonts w:ascii="Verdana" w:hAnsi="Verdana" w:cs="Calibri"/>
          <w:sz w:val="20"/>
          <w:szCs w:val="20"/>
        </w:rPr>
        <w:t xml:space="preserve"> zwrotu VAT-u za 2002 r. </w:t>
      </w:r>
      <w:r w:rsidR="007C1B5D" w:rsidRPr="006E23A1">
        <w:rPr>
          <w:rFonts w:ascii="Verdana" w:hAnsi="Verdana" w:cs="Calibri"/>
          <w:sz w:val="20"/>
          <w:szCs w:val="20"/>
        </w:rPr>
        <w:t>oraz wydały decyzję, stosownie do której musiała</w:t>
      </w:r>
      <w:r w:rsidR="00A865A5" w:rsidRPr="006E23A1">
        <w:rPr>
          <w:rFonts w:ascii="Verdana" w:hAnsi="Verdana" w:cs="Calibri"/>
          <w:sz w:val="20"/>
          <w:szCs w:val="20"/>
        </w:rPr>
        <w:t xml:space="preserve"> ona zapłacić dodatkowy podatek oraz uiścić</w:t>
      </w:r>
      <w:r w:rsidR="007C1B5D" w:rsidRPr="006E23A1">
        <w:rPr>
          <w:rFonts w:ascii="Verdana" w:hAnsi="Verdana" w:cs="Calibri"/>
          <w:sz w:val="20"/>
          <w:szCs w:val="20"/>
        </w:rPr>
        <w:t xml:space="preserve"> dopłaty. Skarżąca została również oskarżona o przestępstwa </w:t>
      </w:r>
      <w:r w:rsidR="00133E50" w:rsidRPr="006E23A1">
        <w:rPr>
          <w:rFonts w:ascii="Verdana" w:hAnsi="Verdana" w:cs="Calibri"/>
          <w:sz w:val="20"/>
          <w:szCs w:val="20"/>
        </w:rPr>
        <w:t xml:space="preserve">księgowe i </w:t>
      </w:r>
      <w:r w:rsidR="007C1B5D" w:rsidRPr="006E23A1">
        <w:rPr>
          <w:rFonts w:ascii="Verdana" w:hAnsi="Verdana" w:cs="Calibri"/>
          <w:sz w:val="20"/>
          <w:szCs w:val="20"/>
        </w:rPr>
        <w:t>podatkowe wynikające z</w:t>
      </w:r>
      <w:r w:rsidR="00A865A5" w:rsidRPr="006E23A1">
        <w:rPr>
          <w:rFonts w:ascii="Verdana" w:hAnsi="Verdana" w:cs="Calibri"/>
          <w:sz w:val="20"/>
          <w:szCs w:val="20"/>
        </w:rPr>
        <w:t xml:space="preserve"> </w:t>
      </w:r>
      <w:r w:rsidR="00133E50" w:rsidRPr="006E23A1">
        <w:rPr>
          <w:rFonts w:ascii="Verdana" w:hAnsi="Verdana" w:cs="Calibri"/>
          <w:sz w:val="20"/>
          <w:szCs w:val="20"/>
        </w:rPr>
        <w:t>tych samych deklaracji podatkowych</w:t>
      </w:r>
      <w:r w:rsidR="007C1B5D" w:rsidRPr="006E23A1">
        <w:rPr>
          <w:rFonts w:ascii="Verdana" w:hAnsi="Verdana" w:cs="Calibri"/>
          <w:sz w:val="20"/>
          <w:szCs w:val="20"/>
        </w:rPr>
        <w:t xml:space="preserve">. Chociaż została skazana </w:t>
      </w:r>
      <w:r w:rsidR="00133E50" w:rsidRPr="006E23A1">
        <w:rPr>
          <w:rFonts w:ascii="Verdana" w:hAnsi="Verdana" w:cs="Calibri"/>
          <w:sz w:val="20"/>
          <w:szCs w:val="20"/>
        </w:rPr>
        <w:t>za przestępstwa księgowe, w stosunku do przestępstw podatkowych została uniewinniona. Postępowanie trwało</w:t>
      </w:r>
      <w:r w:rsidR="007C1B5D" w:rsidRPr="006E23A1">
        <w:rPr>
          <w:rFonts w:ascii="Verdana" w:hAnsi="Verdana" w:cs="Calibri"/>
          <w:sz w:val="20"/>
          <w:szCs w:val="20"/>
        </w:rPr>
        <w:t xml:space="preserve"> przez kolejne dziewięć i pół miesiąca</w:t>
      </w:r>
      <w:r w:rsidR="00127556" w:rsidRPr="006E23A1">
        <w:rPr>
          <w:rFonts w:ascii="Verdana" w:hAnsi="Verdana" w:cs="Calibri"/>
          <w:sz w:val="20"/>
          <w:szCs w:val="20"/>
        </w:rPr>
        <w:t xml:space="preserve">, po tym jak wyrok uniewinniający stał się ostateczny, Skarżąca podnosiła, że została sądzona i ukarana dwa razy za to samo przestępstwo. </w:t>
      </w:r>
    </w:p>
    <w:p w14:paraId="67E9ADB4" w14:textId="05C45AA8" w:rsidR="00DA1334" w:rsidRPr="009970CE" w:rsidRDefault="00127556" w:rsidP="008B0AE6">
      <w:pPr>
        <w:spacing w:after="0"/>
        <w:jc w:val="both"/>
        <w:rPr>
          <w:rFonts w:ascii="Verdana" w:hAnsi="Verdana" w:cs="Calibri"/>
          <w:color w:val="0070C0"/>
          <w:sz w:val="20"/>
          <w:szCs w:val="20"/>
        </w:rPr>
      </w:pPr>
      <w:r w:rsidRPr="009970CE">
        <w:rPr>
          <w:rFonts w:ascii="Verdana" w:hAnsi="Verdana" w:cs="Calibri"/>
          <w:color w:val="0070C0"/>
          <w:sz w:val="20"/>
          <w:szCs w:val="20"/>
        </w:rPr>
        <w:t xml:space="preserve">Trybunał orzekł, że </w:t>
      </w:r>
      <w:r w:rsidRPr="009970CE">
        <w:rPr>
          <w:rFonts w:ascii="Verdana" w:hAnsi="Verdana" w:cs="Calibri"/>
          <w:b/>
          <w:color w:val="0070C0"/>
          <w:sz w:val="20"/>
          <w:szCs w:val="20"/>
        </w:rPr>
        <w:t xml:space="preserve">doszło </w:t>
      </w:r>
      <w:r w:rsidR="00133E50" w:rsidRPr="009970CE">
        <w:rPr>
          <w:rFonts w:ascii="Verdana" w:hAnsi="Verdana" w:cs="Calibri"/>
          <w:b/>
          <w:color w:val="0070C0"/>
          <w:sz w:val="20"/>
          <w:szCs w:val="20"/>
        </w:rPr>
        <w:t xml:space="preserve">do naruszenia art. 4 Protokołu </w:t>
      </w:r>
      <w:r w:rsidR="00E97A36">
        <w:rPr>
          <w:rFonts w:ascii="Verdana" w:hAnsi="Verdana" w:cs="Calibri"/>
          <w:b/>
          <w:color w:val="0070C0"/>
          <w:sz w:val="20"/>
          <w:szCs w:val="20"/>
        </w:rPr>
        <w:t>nr</w:t>
      </w:r>
      <w:r w:rsidRPr="009970CE">
        <w:rPr>
          <w:rFonts w:ascii="Verdana" w:hAnsi="Verdana" w:cs="Calibri"/>
          <w:b/>
          <w:color w:val="0070C0"/>
          <w:sz w:val="20"/>
          <w:szCs w:val="20"/>
        </w:rPr>
        <w:t xml:space="preserve"> 7</w:t>
      </w:r>
      <w:r w:rsidRPr="009970CE">
        <w:rPr>
          <w:rFonts w:ascii="Verdana" w:hAnsi="Verdana" w:cs="Calibri"/>
          <w:color w:val="0070C0"/>
          <w:sz w:val="20"/>
          <w:szCs w:val="20"/>
        </w:rPr>
        <w:t>, uznając, że skarżąca została ponownie sądzona za przestępstwa podatkowe, odnośnie do których została już uniewinniona</w:t>
      </w:r>
      <w:r w:rsidR="00A325E2" w:rsidRPr="009970CE">
        <w:rPr>
          <w:rFonts w:ascii="Verdana" w:hAnsi="Verdana" w:cs="Calibri"/>
          <w:color w:val="0070C0"/>
          <w:sz w:val="20"/>
          <w:szCs w:val="20"/>
        </w:rPr>
        <w:t>, jako że postępowania podatkowe wobec niej nie zostały umo</w:t>
      </w:r>
      <w:r w:rsidR="00133E50" w:rsidRPr="009970CE">
        <w:rPr>
          <w:rFonts w:ascii="Verdana" w:hAnsi="Verdana" w:cs="Calibri"/>
          <w:color w:val="0070C0"/>
          <w:sz w:val="20"/>
          <w:szCs w:val="20"/>
        </w:rPr>
        <w:t>rzone ani też dopłaty podatkowe</w:t>
      </w:r>
      <w:r w:rsidR="00A325E2" w:rsidRPr="009970CE">
        <w:rPr>
          <w:rFonts w:ascii="Verdana" w:hAnsi="Verdana" w:cs="Calibri"/>
          <w:color w:val="0070C0"/>
          <w:sz w:val="20"/>
          <w:szCs w:val="20"/>
        </w:rPr>
        <w:t xml:space="preserve"> nie zostały uchylone</w:t>
      </w:r>
      <w:r w:rsidR="00CF1A03" w:rsidRPr="009970CE">
        <w:rPr>
          <w:rFonts w:ascii="Verdana" w:hAnsi="Verdana" w:cs="Calibri"/>
          <w:color w:val="0070C0"/>
          <w:sz w:val="20"/>
          <w:szCs w:val="20"/>
        </w:rPr>
        <w:t>, pomimo że postępowanie karne przeciwko niej w odniesieniu do przestępstw podatkowych</w:t>
      </w:r>
      <w:r w:rsidR="008F1CAF">
        <w:rPr>
          <w:rFonts w:ascii="Verdana" w:hAnsi="Verdana" w:cs="Calibri"/>
          <w:color w:val="0070C0"/>
          <w:sz w:val="20"/>
          <w:szCs w:val="20"/>
        </w:rPr>
        <w:t xml:space="preserve"> się</w:t>
      </w:r>
      <w:r w:rsidR="00CF1A03" w:rsidRPr="009970CE">
        <w:rPr>
          <w:rFonts w:ascii="Verdana" w:hAnsi="Verdana" w:cs="Calibri"/>
          <w:color w:val="0070C0"/>
          <w:sz w:val="20"/>
          <w:szCs w:val="20"/>
        </w:rPr>
        <w:t xml:space="preserve"> zakończyło. </w:t>
      </w:r>
    </w:p>
    <w:p w14:paraId="4E30B03A" w14:textId="77777777" w:rsidR="009970CE" w:rsidRDefault="009970CE" w:rsidP="008B0AE6">
      <w:pPr>
        <w:spacing w:after="0"/>
        <w:rPr>
          <w:rFonts w:ascii="Verdana" w:hAnsi="Verdana" w:cs="Calibri"/>
          <w:b/>
          <w:color w:val="2E74B5" w:themeColor="accent1" w:themeShade="BF"/>
          <w:sz w:val="20"/>
          <w:szCs w:val="20"/>
          <w:u w:val="single"/>
        </w:rPr>
      </w:pPr>
    </w:p>
    <w:p w14:paraId="0AB9CBB4" w14:textId="0755DDEC" w:rsidR="0091446B" w:rsidRPr="00F00DE3" w:rsidRDefault="00CF1A03" w:rsidP="008B0AE6">
      <w:pPr>
        <w:spacing w:after="0"/>
        <w:rPr>
          <w:rFonts w:ascii="Verdana" w:hAnsi="Verdana" w:cs="Calibri"/>
          <w:b/>
          <w:color w:val="0070C0"/>
          <w:sz w:val="18"/>
          <w:szCs w:val="18"/>
          <w:u w:val="single"/>
        </w:rPr>
      </w:pPr>
      <w:hyperlink r:id="rId27" w:history="1">
        <w:r w:rsidRPr="00F00DE3">
          <w:rPr>
            <w:rStyle w:val="Hipercze"/>
            <w:rFonts w:ascii="Verdana" w:hAnsi="Verdana" w:cs="Calibri"/>
            <w:b/>
            <w:color w:val="0070C0"/>
            <w:sz w:val="20"/>
            <w:szCs w:val="20"/>
          </w:rPr>
          <w:t>Sismanidis i Sitaridis przeciwko Grecji</w:t>
        </w:r>
      </w:hyperlink>
      <w:r w:rsidR="007718A0" w:rsidRPr="006E23A1">
        <w:rPr>
          <w:rFonts w:ascii="Verdana" w:hAnsi="Verdana" w:cs="Calibri"/>
          <w:b/>
          <w:color w:val="0070C0"/>
          <w:sz w:val="20"/>
          <w:szCs w:val="20"/>
          <w:u w:val="single"/>
        </w:rPr>
        <w:br/>
      </w:r>
      <w:r w:rsidRPr="00F00DE3">
        <w:rPr>
          <w:rFonts w:ascii="Verdana" w:hAnsi="Verdana" w:cs="Calibri"/>
          <w:color w:val="767171" w:themeColor="background2" w:themeShade="80"/>
          <w:sz w:val="18"/>
          <w:szCs w:val="18"/>
        </w:rPr>
        <w:t>9 czerwca 2016 r.</w:t>
      </w:r>
      <w:r w:rsidRPr="00F00DE3">
        <w:rPr>
          <w:rFonts w:ascii="Verdana" w:hAnsi="Verdana" w:cs="Calibri"/>
          <w:sz w:val="18"/>
          <w:szCs w:val="18"/>
        </w:rPr>
        <w:t xml:space="preserve"> </w:t>
      </w:r>
    </w:p>
    <w:p w14:paraId="14C86ECB" w14:textId="6FDD5E1B" w:rsidR="00CF1A03" w:rsidRPr="006E23A1" w:rsidRDefault="00CF1A03" w:rsidP="008B0AE6">
      <w:pPr>
        <w:spacing w:after="0"/>
        <w:jc w:val="both"/>
        <w:rPr>
          <w:rFonts w:ascii="Verdana" w:hAnsi="Verdana" w:cs="Calibri"/>
          <w:sz w:val="20"/>
          <w:szCs w:val="20"/>
        </w:rPr>
      </w:pPr>
      <w:r w:rsidRPr="006E23A1">
        <w:rPr>
          <w:rFonts w:ascii="Verdana" w:hAnsi="Verdana" w:cs="Calibri"/>
          <w:sz w:val="20"/>
          <w:szCs w:val="20"/>
        </w:rPr>
        <w:t>Sprawa ta dotyczyła postępowań zainicjowanych przeciwko każdemu ze skarżących za przemy</w:t>
      </w:r>
      <w:r w:rsidR="005F56C1" w:rsidRPr="006E23A1">
        <w:rPr>
          <w:rFonts w:ascii="Verdana" w:hAnsi="Verdana" w:cs="Calibri"/>
          <w:sz w:val="20"/>
          <w:szCs w:val="20"/>
        </w:rPr>
        <w:t xml:space="preserve">t, pomimo faktu, że zostali ostatecznie </w:t>
      </w:r>
      <w:r w:rsidR="00133E50" w:rsidRPr="006E23A1">
        <w:rPr>
          <w:rFonts w:ascii="Verdana" w:hAnsi="Verdana" w:cs="Calibri"/>
          <w:sz w:val="20"/>
          <w:szCs w:val="20"/>
        </w:rPr>
        <w:t>uniewinnieni</w:t>
      </w:r>
      <w:r w:rsidR="005F56C1" w:rsidRPr="006E23A1">
        <w:rPr>
          <w:rFonts w:ascii="Verdana" w:hAnsi="Verdana" w:cs="Calibri"/>
          <w:sz w:val="20"/>
          <w:szCs w:val="20"/>
        </w:rPr>
        <w:t xml:space="preserve"> przez sąd karny od zarzutów popełnienia</w:t>
      </w:r>
      <w:r w:rsidR="00133E50" w:rsidRPr="006E23A1">
        <w:rPr>
          <w:rFonts w:ascii="Verdana" w:hAnsi="Verdana" w:cs="Calibri"/>
          <w:sz w:val="20"/>
          <w:szCs w:val="20"/>
        </w:rPr>
        <w:t xml:space="preserve"> tych </w:t>
      </w:r>
      <w:r w:rsidR="008F2F3F" w:rsidRPr="006E23A1">
        <w:rPr>
          <w:rFonts w:ascii="Verdana" w:hAnsi="Verdana" w:cs="Calibri"/>
          <w:sz w:val="20"/>
          <w:szCs w:val="20"/>
        </w:rPr>
        <w:t>przestępstw</w:t>
      </w:r>
      <w:r w:rsidR="00133E50" w:rsidRPr="006E23A1">
        <w:rPr>
          <w:rFonts w:ascii="Verdana" w:hAnsi="Verdana" w:cs="Calibri"/>
          <w:sz w:val="20"/>
          <w:szCs w:val="20"/>
        </w:rPr>
        <w:t>. Obaj skarżący podnosili</w:t>
      </w:r>
      <w:r w:rsidR="005F56C1" w:rsidRPr="006E23A1">
        <w:rPr>
          <w:rFonts w:ascii="Verdana" w:hAnsi="Verdana" w:cs="Calibri"/>
          <w:sz w:val="20"/>
          <w:szCs w:val="20"/>
        </w:rPr>
        <w:t>,</w:t>
      </w:r>
      <w:r w:rsidR="00133E50" w:rsidRPr="006E23A1">
        <w:rPr>
          <w:rFonts w:ascii="Verdana" w:hAnsi="Verdana" w:cs="Calibri"/>
          <w:sz w:val="20"/>
          <w:szCs w:val="20"/>
        </w:rPr>
        <w:t xml:space="preserve"> w szczególności, że nie biorąc</w:t>
      </w:r>
      <w:r w:rsidR="005F56C1" w:rsidRPr="006E23A1">
        <w:rPr>
          <w:rFonts w:ascii="Verdana" w:hAnsi="Verdana" w:cs="Calibri"/>
          <w:sz w:val="20"/>
          <w:szCs w:val="20"/>
        </w:rPr>
        <w:t xml:space="preserve"> pod uwagę </w:t>
      </w:r>
      <w:r w:rsidR="00133E50" w:rsidRPr="006E23A1">
        <w:rPr>
          <w:rFonts w:ascii="Verdana" w:hAnsi="Verdana" w:cs="Calibri"/>
          <w:sz w:val="20"/>
          <w:szCs w:val="20"/>
        </w:rPr>
        <w:t xml:space="preserve">wyroków uniewinniających </w:t>
      </w:r>
      <w:r w:rsidR="00C02F52" w:rsidRPr="006E23A1">
        <w:rPr>
          <w:rFonts w:ascii="Verdana" w:hAnsi="Verdana" w:cs="Calibri"/>
          <w:sz w:val="20"/>
          <w:szCs w:val="20"/>
        </w:rPr>
        <w:t xml:space="preserve">ich </w:t>
      </w:r>
      <w:r w:rsidR="005F56C1" w:rsidRPr="006E23A1">
        <w:rPr>
          <w:rFonts w:ascii="Verdana" w:hAnsi="Verdana" w:cs="Calibri"/>
          <w:sz w:val="20"/>
          <w:szCs w:val="20"/>
        </w:rPr>
        <w:t>przez sądy kar</w:t>
      </w:r>
      <w:r w:rsidR="00133E50" w:rsidRPr="006E23A1">
        <w:rPr>
          <w:rFonts w:ascii="Verdana" w:hAnsi="Verdana" w:cs="Calibri"/>
          <w:sz w:val="20"/>
          <w:szCs w:val="20"/>
        </w:rPr>
        <w:t xml:space="preserve">ne, sądy administracyjne złamały </w:t>
      </w:r>
      <w:r w:rsidR="001B43B9" w:rsidRPr="006E23A1">
        <w:rPr>
          <w:rFonts w:ascii="Verdana" w:hAnsi="Verdana" w:cs="Calibri"/>
          <w:sz w:val="20"/>
          <w:szCs w:val="20"/>
        </w:rPr>
        <w:t>zasadę ne</w:t>
      </w:r>
      <w:r w:rsidR="005F56C1" w:rsidRPr="006E23A1">
        <w:rPr>
          <w:rFonts w:ascii="Verdana" w:hAnsi="Verdana" w:cs="Calibri"/>
          <w:i/>
          <w:sz w:val="20"/>
          <w:szCs w:val="20"/>
        </w:rPr>
        <w:t xml:space="preserve"> bis </w:t>
      </w:r>
      <w:r w:rsidR="00133E50" w:rsidRPr="006E23A1">
        <w:rPr>
          <w:rFonts w:ascii="Verdana" w:hAnsi="Verdana" w:cs="Calibri"/>
          <w:i/>
          <w:sz w:val="20"/>
          <w:szCs w:val="20"/>
        </w:rPr>
        <w:t>i</w:t>
      </w:r>
      <w:r w:rsidR="005F56C1" w:rsidRPr="006E23A1">
        <w:rPr>
          <w:rFonts w:ascii="Verdana" w:hAnsi="Verdana" w:cs="Calibri"/>
          <w:i/>
          <w:sz w:val="20"/>
          <w:szCs w:val="20"/>
        </w:rPr>
        <w:t>n idem</w:t>
      </w:r>
      <w:r w:rsidR="00133E50" w:rsidRPr="006E23A1">
        <w:rPr>
          <w:rFonts w:ascii="Verdana" w:hAnsi="Verdana" w:cs="Calibri"/>
          <w:sz w:val="20"/>
          <w:szCs w:val="20"/>
        </w:rPr>
        <w:t xml:space="preserve">, zgodnie z którą </w:t>
      </w:r>
      <w:r w:rsidR="005F56C1" w:rsidRPr="006E23A1">
        <w:rPr>
          <w:rFonts w:ascii="Verdana" w:hAnsi="Verdana" w:cs="Calibri"/>
          <w:sz w:val="20"/>
          <w:szCs w:val="20"/>
        </w:rPr>
        <w:t>osoba</w:t>
      </w:r>
      <w:r w:rsidR="00133E50" w:rsidRPr="006E23A1">
        <w:rPr>
          <w:rFonts w:ascii="Verdana" w:hAnsi="Verdana" w:cs="Calibri"/>
          <w:sz w:val="20"/>
          <w:szCs w:val="20"/>
        </w:rPr>
        <w:t>,</w:t>
      </w:r>
      <w:r w:rsidR="005F56C1" w:rsidRPr="006E23A1">
        <w:rPr>
          <w:rFonts w:ascii="Verdana" w:hAnsi="Verdana" w:cs="Calibri"/>
          <w:sz w:val="20"/>
          <w:szCs w:val="20"/>
        </w:rPr>
        <w:t xml:space="preserve"> któ</w:t>
      </w:r>
      <w:r w:rsidR="00133E50" w:rsidRPr="006E23A1">
        <w:rPr>
          <w:rFonts w:ascii="Verdana" w:hAnsi="Verdana" w:cs="Calibri"/>
          <w:sz w:val="20"/>
          <w:szCs w:val="20"/>
        </w:rPr>
        <w:t xml:space="preserve">ra została </w:t>
      </w:r>
      <w:r w:rsidR="00C02F52" w:rsidRPr="006E23A1">
        <w:rPr>
          <w:rFonts w:ascii="Verdana" w:hAnsi="Verdana" w:cs="Calibri"/>
          <w:sz w:val="20"/>
          <w:szCs w:val="20"/>
        </w:rPr>
        <w:t>zgodnie z prawem</w:t>
      </w:r>
      <w:r w:rsidR="005F56C1" w:rsidRPr="006E23A1">
        <w:rPr>
          <w:rFonts w:ascii="Verdana" w:hAnsi="Verdana" w:cs="Calibri"/>
          <w:sz w:val="20"/>
          <w:szCs w:val="20"/>
        </w:rPr>
        <w:t xml:space="preserve"> uniewinniona nie może być ponownie sądzona za to samo przestępstwo. </w:t>
      </w:r>
    </w:p>
    <w:p w14:paraId="684F1046" w14:textId="3B6B68D2" w:rsidR="005F56C1" w:rsidRPr="00F00DE3" w:rsidRDefault="00133E50" w:rsidP="008B0AE6">
      <w:pPr>
        <w:spacing w:after="0"/>
        <w:jc w:val="both"/>
        <w:rPr>
          <w:rFonts w:ascii="Verdana" w:hAnsi="Verdana" w:cs="Calibri"/>
          <w:color w:val="0070C0"/>
          <w:sz w:val="20"/>
          <w:szCs w:val="20"/>
        </w:rPr>
      </w:pPr>
      <w:r w:rsidRPr="00F00DE3">
        <w:rPr>
          <w:rFonts w:ascii="Verdana" w:hAnsi="Verdana" w:cs="Calibri"/>
          <w:color w:val="0070C0"/>
          <w:sz w:val="20"/>
          <w:szCs w:val="20"/>
        </w:rPr>
        <w:t>Trybunał</w:t>
      </w:r>
      <w:r w:rsidR="005F56C1" w:rsidRPr="00F00DE3">
        <w:rPr>
          <w:rFonts w:ascii="Verdana" w:hAnsi="Verdana" w:cs="Calibri"/>
          <w:color w:val="0070C0"/>
          <w:sz w:val="20"/>
          <w:szCs w:val="20"/>
        </w:rPr>
        <w:t xml:space="preserve"> zauważył, że drugi skarżący nie </w:t>
      </w:r>
      <w:r w:rsidR="004B03D1" w:rsidRPr="00F00DE3">
        <w:rPr>
          <w:rFonts w:ascii="Verdana" w:hAnsi="Verdana" w:cs="Calibri"/>
          <w:color w:val="0070C0"/>
          <w:sz w:val="20"/>
          <w:szCs w:val="20"/>
        </w:rPr>
        <w:t>wniósł swoje</w:t>
      </w:r>
      <w:r w:rsidR="004C1D05" w:rsidRPr="00F00DE3">
        <w:rPr>
          <w:rFonts w:ascii="Verdana" w:hAnsi="Verdana" w:cs="Calibri"/>
          <w:color w:val="0070C0"/>
          <w:sz w:val="20"/>
          <w:szCs w:val="20"/>
        </w:rPr>
        <w:t>j skargi</w:t>
      </w:r>
      <w:r w:rsidR="0091446B" w:rsidRPr="00F00DE3">
        <w:rPr>
          <w:rFonts w:ascii="Verdana" w:hAnsi="Verdana" w:cs="Calibri"/>
          <w:color w:val="0070C0"/>
          <w:sz w:val="20"/>
          <w:szCs w:val="20"/>
        </w:rPr>
        <w:t xml:space="preserve"> pod</w:t>
      </w:r>
      <w:r w:rsidR="004B03D1" w:rsidRPr="00F00DE3">
        <w:rPr>
          <w:rFonts w:ascii="Verdana" w:hAnsi="Verdana" w:cs="Calibri"/>
          <w:color w:val="0070C0"/>
          <w:sz w:val="20"/>
          <w:szCs w:val="20"/>
        </w:rPr>
        <w:t xml:space="preserve"> zarzutem naruszenia art.</w:t>
      </w:r>
      <w:r w:rsidR="0091446B" w:rsidRPr="00F00DE3">
        <w:rPr>
          <w:rFonts w:ascii="Verdana" w:hAnsi="Verdana" w:cs="Calibri"/>
          <w:color w:val="0070C0"/>
          <w:sz w:val="20"/>
          <w:szCs w:val="20"/>
        </w:rPr>
        <w:t xml:space="preserve"> 4 P</w:t>
      </w:r>
      <w:r w:rsidR="004B03D1" w:rsidRPr="00F00DE3">
        <w:rPr>
          <w:rFonts w:ascii="Verdana" w:hAnsi="Verdana" w:cs="Calibri"/>
          <w:color w:val="0070C0"/>
          <w:sz w:val="20"/>
          <w:szCs w:val="20"/>
        </w:rPr>
        <w:t>rotokoł</w:t>
      </w:r>
      <w:r w:rsidR="0091446B" w:rsidRPr="00F00DE3">
        <w:rPr>
          <w:rFonts w:ascii="Verdana" w:hAnsi="Verdana" w:cs="Calibri"/>
          <w:color w:val="0070C0"/>
          <w:sz w:val="20"/>
          <w:szCs w:val="20"/>
        </w:rPr>
        <w:t xml:space="preserve">u </w:t>
      </w:r>
      <w:r w:rsidR="00E97A36">
        <w:rPr>
          <w:rFonts w:ascii="Verdana" w:hAnsi="Verdana" w:cs="Calibri"/>
          <w:color w:val="0070C0"/>
          <w:sz w:val="20"/>
          <w:szCs w:val="20"/>
        </w:rPr>
        <w:t>nr</w:t>
      </w:r>
      <w:r w:rsidR="004B03D1" w:rsidRPr="00F00DE3">
        <w:rPr>
          <w:rFonts w:ascii="Verdana" w:hAnsi="Verdana" w:cs="Calibri"/>
          <w:color w:val="0070C0"/>
          <w:sz w:val="20"/>
          <w:szCs w:val="20"/>
        </w:rPr>
        <w:t xml:space="preserve"> 7</w:t>
      </w:r>
      <w:r w:rsidR="0091446B" w:rsidRPr="00F00DE3">
        <w:rPr>
          <w:rFonts w:ascii="Verdana" w:hAnsi="Verdana" w:cs="Calibri"/>
          <w:color w:val="0070C0"/>
          <w:sz w:val="20"/>
          <w:szCs w:val="20"/>
        </w:rPr>
        <w:t xml:space="preserve"> przed sądami krajowymi, przynajmniej co do istoty. W zakresie w jakim </w:t>
      </w:r>
      <w:r w:rsidRPr="00F00DE3">
        <w:rPr>
          <w:rFonts w:ascii="Verdana" w:hAnsi="Verdana" w:cs="Calibri"/>
          <w:color w:val="0070C0"/>
          <w:sz w:val="20"/>
          <w:szCs w:val="20"/>
        </w:rPr>
        <w:t>skarga dotyczyła jego,</w:t>
      </w:r>
      <w:r w:rsidR="0091446B" w:rsidRPr="00F00DE3">
        <w:rPr>
          <w:rFonts w:ascii="Verdana" w:hAnsi="Verdana" w:cs="Calibri"/>
          <w:color w:val="0070C0"/>
          <w:sz w:val="20"/>
          <w:szCs w:val="20"/>
        </w:rPr>
        <w:t xml:space="preserve"> musiała zostać </w:t>
      </w:r>
      <w:r w:rsidR="0091446B" w:rsidRPr="00F00DE3">
        <w:rPr>
          <w:rFonts w:ascii="Verdana" w:hAnsi="Verdana" w:cs="Calibri"/>
          <w:b/>
          <w:color w:val="0070C0"/>
          <w:sz w:val="20"/>
          <w:szCs w:val="20"/>
        </w:rPr>
        <w:t>odrzucona</w:t>
      </w:r>
      <w:r w:rsidR="0091446B" w:rsidRPr="00F00DE3">
        <w:rPr>
          <w:rFonts w:ascii="Verdana" w:hAnsi="Verdana" w:cs="Calibri"/>
          <w:color w:val="0070C0"/>
          <w:sz w:val="20"/>
          <w:szCs w:val="20"/>
        </w:rPr>
        <w:t xml:space="preserve"> ze względu na nie</w:t>
      </w:r>
      <w:r w:rsidRPr="00F00DE3">
        <w:rPr>
          <w:rFonts w:ascii="Verdana" w:hAnsi="Verdana" w:cs="Calibri"/>
          <w:color w:val="0070C0"/>
          <w:sz w:val="20"/>
          <w:szCs w:val="20"/>
        </w:rPr>
        <w:t xml:space="preserve">wyczerpanie krajowych środków </w:t>
      </w:r>
      <w:r w:rsidR="0091446B" w:rsidRPr="00F00DE3">
        <w:rPr>
          <w:rFonts w:ascii="Verdana" w:hAnsi="Verdana" w:cs="Calibri"/>
          <w:color w:val="0070C0"/>
          <w:sz w:val="20"/>
          <w:szCs w:val="20"/>
        </w:rPr>
        <w:t>odwoławczych. Co zaś do pierwszego skarżącego, Trybunał orzekł, że kiedy jego uniewinnienie w inicjującym postępowaniu karnym stało się ostateczne</w:t>
      </w:r>
      <w:r w:rsidRPr="00F00DE3">
        <w:rPr>
          <w:rFonts w:ascii="Verdana" w:hAnsi="Verdana" w:cs="Calibri"/>
          <w:color w:val="0070C0"/>
          <w:sz w:val="20"/>
          <w:szCs w:val="20"/>
        </w:rPr>
        <w:t xml:space="preserve"> w 1997 r. powinien</w:t>
      </w:r>
      <w:r w:rsidR="0091446B" w:rsidRPr="00F00DE3">
        <w:rPr>
          <w:rFonts w:ascii="Verdana" w:hAnsi="Verdana" w:cs="Calibri"/>
          <w:color w:val="0070C0"/>
          <w:sz w:val="20"/>
          <w:szCs w:val="20"/>
        </w:rPr>
        <w:t xml:space="preserve"> być uznawany za osobę</w:t>
      </w:r>
      <w:r w:rsidRPr="00F00DE3">
        <w:rPr>
          <w:rFonts w:ascii="Verdana" w:hAnsi="Verdana" w:cs="Calibri"/>
          <w:color w:val="0070C0"/>
          <w:sz w:val="20"/>
          <w:szCs w:val="20"/>
        </w:rPr>
        <w:t>,</w:t>
      </w:r>
      <w:r w:rsidR="0091446B" w:rsidRPr="00F00DE3">
        <w:rPr>
          <w:rFonts w:ascii="Verdana" w:hAnsi="Verdana" w:cs="Calibri"/>
          <w:color w:val="0070C0"/>
          <w:sz w:val="20"/>
          <w:szCs w:val="20"/>
        </w:rPr>
        <w:t xml:space="preserve"> która została </w:t>
      </w:r>
      <w:r w:rsidRPr="00F00DE3">
        <w:rPr>
          <w:rFonts w:ascii="Verdana" w:hAnsi="Verdana" w:cs="Calibri"/>
          <w:color w:val="0070C0"/>
          <w:sz w:val="20"/>
          <w:szCs w:val="20"/>
        </w:rPr>
        <w:t>ostatecznie uniewinniona</w:t>
      </w:r>
      <w:r w:rsidR="0091446B" w:rsidRPr="00F00DE3">
        <w:rPr>
          <w:rFonts w:ascii="Verdana" w:hAnsi="Verdana" w:cs="Calibri"/>
          <w:color w:val="0070C0"/>
          <w:sz w:val="20"/>
          <w:szCs w:val="20"/>
        </w:rPr>
        <w:t xml:space="preserve"> w rozumieniu art</w:t>
      </w:r>
      <w:r w:rsidRPr="00F00DE3">
        <w:rPr>
          <w:rFonts w:ascii="Verdana" w:hAnsi="Verdana" w:cs="Calibri"/>
          <w:color w:val="0070C0"/>
          <w:sz w:val="20"/>
          <w:szCs w:val="20"/>
        </w:rPr>
        <w:t xml:space="preserve">. 4 Protokołu </w:t>
      </w:r>
      <w:r w:rsidR="008118E9">
        <w:rPr>
          <w:rFonts w:ascii="Verdana" w:hAnsi="Verdana" w:cs="Calibri"/>
          <w:color w:val="0070C0"/>
          <w:sz w:val="20"/>
          <w:szCs w:val="20"/>
        </w:rPr>
        <w:t>n</w:t>
      </w:r>
      <w:r w:rsidR="00E97A36">
        <w:rPr>
          <w:rFonts w:ascii="Verdana" w:hAnsi="Verdana" w:cs="Calibri"/>
          <w:color w:val="0070C0"/>
          <w:sz w:val="20"/>
          <w:szCs w:val="20"/>
        </w:rPr>
        <w:t>r</w:t>
      </w:r>
      <w:r w:rsidR="0091446B" w:rsidRPr="00F00DE3">
        <w:rPr>
          <w:rFonts w:ascii="Verdana" w:hAnsi="Verdana" w:cs="Calibri"/>
          <w:color w:val="0070C0"/>
          <w:sz w:val="20"/>
          <w:szCs w:val="20"/>
        </w:rPr>
        <w:t xml:space="preserve"> 7. W jego przypadku, </w:t>
      </w:r>
      <w:r w:rsidRPr="00F00DE3">
        <w:rPr>
          <w:rFonts w:ascii="Verdana" w:hAnsi="Verdana" w:cs="Calibri"/>
          <w:color w:val="0070C0"/>
          <w:sz w:val="20"/>
          <w:szCs w:val="20"/>
        </w:rPr>
        <w:t>Trybunał</w:t>
      </w:r>
      <w:r w:rsidR="0091446B" w:rsidRPr="00F00DE3">
        <w:rPr>
          <w:rFonts w:ascii="Verdana" w:hAnsi="Verdana" w:cs="Calibri"/>
          <w:color w:val="0070C0"/>
          <w:sz w:val="20"/>
          <w:szCs w:val="20"/>
        </w:rPr>
        <w:t xml:space="preserve"> stwierdził </w:t>
      </w:r>
      <w:r w:rsidR="0091446B" w:rsidRPr="00F00DE3">
        <w:rPr>
          <w:rFonts w:ascii="Verdana" w:hAnsi="Verdana" w:cs="Calibri"/>
          <w:b/>
          <w:color w:val="0070C0"/>
          <w:sz w:val="20"/>
          <w:szCs w:val="20"/>
        </w:rPr>
        <w:t>naruszenie art</w:t>
      </w:r>
      <w:r w:rsidRPr="00F00DE3">
        <w:rPr>
          <w:rFonts w:ascii="Verdana" w:hAnsi="Verdana" w:cs="Calibri"/>
          <w:b/>
          <w:color w:val="0070C0"/>
          <w:sz w:val="20"/>
          <w:szCs w:val="20"/>
        </w:rPr>
        <w:t xml:space="preserve">. 4 Protokołu </w:t>
      </w:r>
      <w:r w:rsidR="00E97A36">
        <w:rPr>
          <w:rFonts w:ascii="Verdana" w:hAnsi="Verdana" w:cs="Calibri"/>
          <w:b/>
          <w:color w:val="0070C0"/>
          <w:sz w:val="20"/>
          <w:szCs w:val="20"/>
        </w:rPr>
        <w:t>nr</w:t>
      </w:r>
      <w:r w:rsidR="0091446B" w:rsidRPr="00F00DE3">
        <w:rPr>
          <w:rFonts w:ascii="Verdana" w:hAnsi="Verdana" w:cs="Calibri"/>
          <w:b/>
          <w:color w:val="0070C0"/>
          <w:sz w:val="20"/>
          <w:szCs w:val="20"/>
        </w:rPr>
        <w:t xml:space="preserve"> 7</w:t>
      </w:r>
      <w:r w:rsidR="0091446B" w:rsidRPr="00F00DE3">
        <w:rPr>
          <w:rFonts w:ascii="Verdana" w:hAnsi="Verdana" w:cs="Calibri"/>
          <w:color w:val="0070C0"/>
          <w:sz w:val="20"/>
          <w:szCs w:val="20"/>
        </w:rPr>
        <w:t xml:space="preserve">, przyznając, że kwestionowane postępowania administracyjne dotyczyły drugiego przestępstwa pochodzącego z identycznych czynów, co do których </w:t>
      </w:r>
      <w:r w:rsidR="001B43B9" w:rsidRPr="00F00DE3">
        <w:rPr>
          <w:rFonts w:ascii="Verdana" w:hAnsi="Verdana" w:cs="Calibri"/>
          <w:color w:val="0070C0"/>
          <w:sz w:val="20"/>
          <w:szCs w:val="20"/>
        </w:rPr>
        <w:t>został on ostatecznie</w:t>
      </w:r>
      <w:r w:rsidR="0091446B" w:rsidRPr="00F00DE3">
        <w:rPr>
          <w:rFonts w:ascii="Verdana" w:hAnsi="Verdana" w:cs="Calibri"/>
          <w:color w:val="0070C0"/>
          <w:sz w:val="20"/>
          <w:szCs w:val="20"/>
        </w:rPr>
        <w:t xml:space="preserve"> uniewinniony. </w:t>
      </w:r>
    </w:p>
    <w:p w14:paraId="578E1E74" w14:textId="77777777" w:rsidR="00F00DE3" w:rsidRDefault="00F00DE3" w:rsidP="008B0AE6">
      <w:pPr>
        <w:spacing w:after="0"/>
        <w:jc w:val="both"/>
        <w:rPr>
          <w:rFonts w:ascii="Verdana" w:hAnsi="Verdana" w:cs="Calibri"/>
          <w:i/>
          <w:sz w:val="20"/>
          <w:szCs w:val="20"/>
        </w:rPr>
      </w:pPr>
    </w:p>
    <w:p w14:paraId="3C3045EA" w14:textId="77036031" w:rsidR="0091446B" w:rsidRPr="00912A93" w:rsidRDefault="0091446B" w:rsidP="008B0AE6">
      <w:pPr>
        <w:spacing w:after="0"/>
        <w:jc w:val="both"/>
        <w:rPr>
          <w:rFonts w:ascii="Verdana" w:hAnsi="Verdana" w:cs="Calibri"/>
          <w:i/>
          <w:color w:val="3B3838" w:themeColor="background2" w:themeShade="40"/>
          <w:sz w:val="24"/>
          <w:szCs w:val="24"/>
        </w:rPr>
      </w:pPr>
      <w:r w:rsidRPr="00912A93">
        <w:rPr>
          <w:rFonts w:ascii="Verdana" w:hAnsi="Verdana" w:cs="Calibri"/>
          <w:i/>
          <w:color w:val="3B3838" w:themeColor="background2" w:themeShade="40"/>
          <w:sz w:val="24"/>
          <w:szCs w:val="24"/>
        </w:rPr>
        <w:t>Kontrola nadzorcza</w:t>
      </w:r>
    </w:p>
    <w:p w14:paraId="12EF6942" w14:textId="77777777" w:rsidR="00F00DE3" w:rsidRDefault="00F00DE3" w:rsidP="008B0AE6">
      <w:pPr>
        <w:spacing w:after="0"/>
        <w:rPr>
          <w:rFonts w:ascii="Verdana" w:hAnsi="Verdana" w:cs="Calibri"/>
          <w:b/>
          <w:color w:val="2E74B5" w:themeColor="accent1" w:themeShade="BF"/>
          <w:sz w:val="20"/>
          <w:szCs w:val="20"/>
          <w:u w:val="single"/>
        </w:rPr>
      </w:pPr>
    </w:p>
    <w:p w14:paraId="22F6FED9" w14:textId="1B51A128" w:rsidR="0091446B" w:rsidRPr="006E23A1" w:rsidRDefault="0091446B" w:rsidP="008B0AE6">
      <w:pPr>
        <w:spacing w:after="0"/>
        <w:rPr>
          <w:rFonts w:ascii="Verdana" w:hAnsi="Verdana" w:cs="Calibri"/>
          <w:b/>
          <w:sz w:val="20"/>
          <w:szCs w:val="20"/>
          <w:u w:val="single"/>
        </w:rPr>
      </w:pPr>
      <w:hyperlink r:id="rId28" w:history="1">
        <w:r w:rsidRPr="00F00DE3">
          <w:rPr>
            <w:rStyle w:val="Hipercze"/>
            <w:rFonts w:ascii="Verdana" w:hAnsi="Verdana" w:cs="Calibri"/>
            <w:b/>
            <w:color w:val="0070C0"/>
            <w:sz w:val="20"/>
            <w:szCs w:val="20"/>
          </w:rPr>
          <w:t>Nikitin przeciwko Rosji</w:t>
        </w:r>
      </w:hyperlink>
      <w:r w:rsidR="008C1DB6" w:rsidRPr="006E23A1">
        <w:rPr>
          <w:rFonts w:ascii="Verdana" w:hAnsi="Verdana" w:cs="Calibri"/>
          <w:b/>
          <w:sz w:val="20"/>
          <w:szCs w:val="20"/>
          <w:u w:val="single"/>
        </w:rPr>
        <w:br/>
      </w:r>
      <w:r w:rsidRPr="00F00DE3">
        <w:rPr>
          <w:rFonts w:ascii="Verdana" w:hAnsi="Verdana" w:cs="Calibri"/>
          <w:color w:val="767171" w:themeColor="background2" w:themeShade="80"/>
          <w:sz w:val="18"/>
          <w:szCs w:val="18"/>
        </w:rPr>
        <w:t xml:space="preserve">20 </w:t>
      </w:r>
      <w:r w:rsidR="009540F4" w:rsidRPr="00F00DE3">
        <w:rPr>
          <w:rFonts w:ascii="Verdana" w:hAnsi="Verdana" w:cs="Calibri"/>
          <w:color w:val="767171" w:themeColor="background2" w:themeShade="80"/>
          <w:sz w:val="18"/>
          <w:szCs w:val="18"/>
        </w:rPr>
        <w:t>lipca</w:t>
      </w:r>
      <w:r w:rsidRPr="00F00DE3">
        <w:rPr>
          <w:rFonts w:ascii="Verdana" w:hAnsi="Verdana" w:cs="Calibri"/>
          <w:color w:val="767171" w:themeColor="background2" w:themeShade="80"/>
          <w:sz w:val="18"/>
          <w:szCs w:val="18"/>
        </w:rPr>
        <w:t xml:space="preserve"> </w:t>
      </w:r>
      <w:r w:rsidR="001B43B9" w:rsidRPr="00F00DE3">
        <w:rPr>
          <w:rFonts w:ascii="Verdana" w:hAnsi="Verdana" w:cs="Calibri"/>
          <w:color w:val="767171" w:themeColor="background2" w:themeShade="80"/>
          <w:sz w:val="18"/>
          <w:szCs w:val="18"/>
        </w:rPr>
        <w:t>2004 r.</w:t>
      </w:r>
    </w:p>
    <w:p w14:paraId="789B8054" w14:textId="76570F8D" w:rsidR="0091446B" w:rsidRPr="006E23A1" w:rsidRDefault="008C1DB6" w:rsidP="008B0AE6">
      <w:pPr>
        <w:spacing w:after="0"/>
        <w:jc w:val="both"/>
        <w:rPr>
          <w:rFonts w:ascii="Verdana" w:hAnsi="Verdana" w:cs="Calibri"/>
          <w:sz w:val="20"/>
          <w:szCs w:val="20"/>
        </w:rPr>
      </w:pPr>
      <w:r w:rsidRPr="006E23A1">
        <w:rPr>
          <w:rFonts w:ascii="Verdana" w:hAnsi="Verdana" w:cs="Calibri"/>
          <w:sz w:val="20"/>
          <w:szCs w:val="20"/>
        </w:rPr>
        <w:t xml:space="preserve">Skarżący, </w:t>
      </w:r>
      <w:r w:rsidR="0091446B" w:rsidRPr="006E23A1">
        <w:rPr>
          <w:rFonts w:ascii="Verdana" w:hAnsi="Verdana" w:cs="Calibri"/>
          <w:sz w:val="20"/>
          <w:szCs w:val="20"/>
        </w:rPr>
        <w:t xml:space="preserve">były </w:t>
      </w:r>
      <w:r w:rsidR="009617B3" w:rsidRPr="006E23A1">
        <w:rPr>
          <w:rFonts w:ascii="Verdana" w:hAnsi="Verdana" w:cs="Calibri"/>
          <w:sz w:val="20"/>
          <w:szCs w:val="20"/>
        </w:rPr>
        <w:t xml:space="preserve">oficer marynarki wojennej, dołączył do programu środowiskowego </w:t>
      </w:r>
      <w:r w:rsidR="00CE7F5B" w:rsidRPr="006E23A1">
        <w:rPr>
          <w:rFonts w:ascii="Verdana" w:hAnsi="Verdana" w:cs="Calibri"/>
          <w:sz w:val="20"/>
          <w:szCs w:val="20"/>
        </w:rPr>
        <w:t>norweskiej</w:t>
      </w:r>
      <w:r w:rsidR="009617B3" w:rsidRPr="006E23A1">
        <w:rPr>
          <w:rFonts w:ascii="Verdana" w:hAnsi="Verdana" w:cs="Calibri"/>
          <w:sz w:val="20"/>
          <w:szCs w:val="20"/>
        </w:rPr>
        <w:t xml:space="preserve"> organizacji pozarządowej w celu oprac</w:t>
      </w:r>
      <w:r w:rsidR="00CE7F5B" w:rsidRPr="006E23A1">
        <w:rPr>
          <w:rFonts w:ascii="Verdana" w:hAnsi="Verdana" w:cs="Calibri"/>
          <w:sz w:val="20"/>
          <w:szCs w:val="20"/>
        </w:rPr>
        <w:t>owania raportu zatytułowanego „</w:t>
      </w:r>
      <w:r w:rsidR="009617B3" w:rsidRPr="006E23A1">
        <w:rPr>
          <w:rFonts w:ascii="Verdana" w:hAnsi="Verdana" w:cs="Calibri"/>
          <w:sz w:val="20"/>
          <w:szCs w:val="20"/>
        </w:rPr>
        <w:t xml:space="preserve">Rosyjska flota </w:t>
      </w:r>
      <w:r w:rsidR="00CE7F5B" w:rsidRPr="006E23A1">
        <w:rPr>
          <w:rFonts w:ascii="Verdana" w:hAnsi="Verdana" w:cs="Calibri"/>
          <w:sz w:val="20"/>
          <w:szCs w:val="20"/>
        </w:rPr>
        <w:t>północna</w:t>
      </w:r>
      <w:r w:rsidR="009617B3" w:rsidRPr="006E23A1">
        <w:rPr>
          <w:rFonts w:ascii="Verdana" w:hAnsi="Verdana" w:cs="Calibri"/>
          <w:sz w:val="20"/>
          <w:szCs w:val="20"/>
        </w:rPr>
        <w:t xml:space="preserve">. </w:t>
      </w:r>
      <w:r w:rsidR="00CE7F5B" w:rsidRPr="006E23A1">
        <w:rPr>
          <w:rFonts w:ascii="Verdana" w:hAnsi="Verdana" w:cs="Calibri"/>
          <w:sz w:val="20"/>
          <w:szCs w:val="20"/>
        </w:rPr>
        <w:t>Źródło</w:t>
      </w:r>
      <w:r w:rsidR="009617B3" w:rsidRPr="006E23A1">
        <w:rPr>
          <w:rFonts w:ascii="Verdana" w:hAnsi="Verdana" w:cs="Calibri"/>
          <w:sz w:val="20"/>
          <w:szCs w:val="20"/>
        </w:rPr>
        <w:t xml:space="preserve"> radioaktywnego skażenia”</w:t>
      </w:r>
      <w:r w:rsidR="00C40585">
        <w:rPr>
          <w:rFonts w:ascii="Verdana" w:hAnsi="Verdana" w:cs="Calibri"/>
          <w:sz w:val="20"/>
          <w:szCs w:val="20"/>
        </w:rPr>
        <w:t>,</w:t>
      </w:r>
      <w:r w:rsidR="009617B3" w:rsidRPr="006E23A1">
        <w:rPr>
          <w:rFonts w:ascii="Verdana" w:hAnsi="Verdana" w:cs="Calibri"/>
          <w:sz w:val="20"/>
          <w:szCs w:val="20"/>
        </w:rPr>
        <w:t xml:space="preserve"> </w:t>
      </w:r>
      <w:r w:rsidR="00C40585">
        <w:rPr>
          <w:rFonts w:ascii="Verdana" w:hAnsi="Verdana" w:cs="Calibri"/>
          <w:sz w:val="20"/>
          <w:szCs w:val="20"/>
        </w:rPr>
        <w:t>w</w:t>
      </w:r>
      <w:r w:rsidR="00CE7F5B" w:rsidRPr="006E23A1">
        <w:rPr>
          <w:rFonts w:ascii="Verdana" w:hAnsi="Verdana" w:cs="Calibri"/>
          <w:sz w:val="20"/>
          <w:szCs w:val="20"/>
        </w:rPr>
        <w:t xml:space="preserve"> następstwie czego zostało wszczęte przeciwko niemu p</w:t>
      </w:r>
      <w:r w:rsidR="009617B3" w:rsidRPr="006E23A1">
        <w:rPr>
          <w:rFonts w:ascii="Verdana" w:hAnsi="Verdana" w:cs="Calibri"/>
          <w:sz w:val="20"/>
          <w:szCs w:val="20"/>
        </w:rPr>
        <w:t xml:space="preserve">ostępowanie karne prowadzone w kierunku </w:t>
      </w:r>
      <w:r w:rsidR="001B43B9" w:rsidRPr="006E23A1">
        <w:rPr>
          <w:rFonts w:ascii="Verdana" w:hAnsi="Verdana" w:cs="Calibri"/>
          <w:sz w:val="20"/>
          <w:szCs w:val="20"/>
        </w:rPr>
        <w:t>podejrzenia o</w:t>
      </w:r>
      <w:r w:rsidR="009617B3" w:rsidRPr="006E23A1">
        <w:rPr>
          <w:rFonts w:ascii="Verdana" w:hAnsi="Verdana" w:cs="Calibri"/>
          <w:sz w:val="20"/>
          <w:szCs w:val="20"/>
        </w:rPr>
        <w:t xml:space="preserve"> zdradę </w:t>
      </w:r>
      <w:r w:rsidR="00CE7F5B" w:rsidRPr="006E23A1">
        <w:rPr>
          <w:rFonts w:ascii="Verdana" w:hAnsi="Verdana" w:cs="Calibri"/>
          <w:sz w:val="20"/>
          <w:szCs w:val="20"/>
        </w:rPr>
        <w:t xml:space="preserve">stanu. </w:t>
      </w:r>
      <w:r w:rsidR="009617B3" w:rsidRPr="006E23A1">
        <w:rPr>
          <w:rFonts w:ascii="Verdana" w:hAnsi="Verdana" w:cs="Calibri"/>
          <w:sz w:val="20"/>
          <w:szCs w:val="20"/>
        </w:rPr>
        <w:t xml:space="preserve">Sądzony za zdradę </w:t>
      </w:r>
      <w:r w:rsidR="008B7D62" w:rsidRPr="006E23A1">
        <w:rPr>
          <w:rFonts w:ascii="Verdana" w:hAnsi="Verdana" w:cs="Calibri"/>
          <w:sz w:val="20"/>
          <w:szCs w:val="20"/>
        </w:rPr>
        <w:t>stanu</w:t>
      </w:r>
      <w:r w:rsidR="009617B3" w:rsidRPr="006E23A1">
        <w:rPr>
          <w:rFonts w:ascii="Verdana" w:hAnsi="Verdana" w:cs="Calibri"/>
          <w:sz w:val="20"/>
          <w:szCs w:val="20"/>
        </w:rPr>
        <w:t xml:space="preserve"> w postaci szpiegostwa oraz kwalifikowane</w:t>
      </w:r>
      <w:r w:rsidR="008B7D62" w:rsidRPr="006E23A1">
        <w:rPr>
          <w:rFonts w:ascii="Verdana" w:hAnsi="Verdana" w:cs="Calibri"/>
          <w:sz w:val="20"/>
          <w:szCs w:val="20"/>
        </w:rPr>
        <w:t>go</w:t>
      </w:r>
      <w:r w:rsidR="009617B3" w:rsidRPr="006E23A1">
        <w:rPr>
          <w:rFonts w:ascii="Verdana" w:hAnsi="Verdana" w:cs="Calibri"/>
          <w:sz w:val="20"/>
          <w:szCs w:val="20"/>
        </w:rPr>
        <w:t xml:space="preserve"> ujawnieni</w:t>
      </w:r>
      <w:r w:rsidR="00B4662B" w:rsidRPr="006E23A1">
        <w:rPr>
          <w:rFonts w:ascii="Verdana" w:hAnsi="Verdana" w:cs="Calibri"/>
          <w:sz w:val="20"/>
          <w:szCs w:val="20"/>
        </w:rPr>
        <w:t>a</w:t>
      </w:r>
      <w:r w:rsidR="009617B3" w:rsidRPr="006E23A1">
        <w:rPr>
          <w:rFonts w:ascii="Verdana" w:hAnsi="Verdana" w:cs="Calibri"/>
          <w:sz w:val="20"/>
          <w:szCs w:val="20"/>
        </w:rPr>
        <w:t xml:space="preserve"> tajny</w:t>
      </w:r>
      <w:r w:rsidR="008B7D62" w:rsidRPr="006E23A1">
        <w:rPr>
          <w:rFonts w:ascii="Verdana" w:hAnsi="Verdana" w:cs="Calibri"/>
          <w:sz w:val="20"/>
          <w:szCs w:val="20"/>
        </w:rPr>
        <w:t>ch informacji, został uniewinniony</w:t>
      </w:r>
      <w:r w:rsidR="009617B3" w:rsidRPr="006E23A1">
        <w:rPr>
          <w:rFonts w:ascii="Verdana" w:hAnsi="Verdana" w:cs="Calibri"/>
          <w:sz w:val="20"/>
          <w:szCs w:val="20"/>
        </w:rPr>
        <w:t xml:space="preserve"> w grudniu 1999 r. W kwietniu 2000 r. Sąd Najwyższy utrzymał w mocy wyrok uniewinniający, który stał się ostateczny. W maju </w:t>
      </w:r>
      <w:r w:rsidR="009617B3" w:rsidRPr="006E23A1">
        <w:rPr>
          <w:rFonts w:ascii="Verdana" w:hAnsi="Verdana" w:cs="Calibri"/>
          <w:sz w:val="20"/>
          <w:szCs w:val="20"/>
        </w:rPr>
        <w:lastRenderedPageBreak/>
        <w:t xml:space="preserve">2000 r. Prokurator Generalny </w:t>
      </w:r>
      <w:r w:rsidR="00B4662B" w:rsidRPr="006E23A1">
        <w:rPr>
          <w:rFonts w:ascii="Verdana" w:hAnsi="Verdana" w:cs="Calibri"/>
          <w:sz w:val="20"/>
          <w:szCs w:val="20"/>
        </w:rPr>
        <w:t xml:space="preserve">złożył </w:t>
      </w:r>
      <w:r w:rsidR="009617B3" w:rsidRPr="006E23A1">
        <w:rPr>
          <w:rFonts w:ascii="Verdana" w:hAnsi="Verdana" w:cs="Calibri"/>
          <w:sz w:val="20"/>
          <w:szCs w:val="20"/>
        </w:rPr>
        <w:t xml:space="preserve">wniosek do Prezydium </w:t>
      </w:r>
      <w:r w:rsidR="001B43B9" w:rsidRPr="006E23A1">
        <w:rPr>
          <w:rFonts w:ascii="Verdana" w:hAnsi="Verdana" w:cs="Calibri"/>
          <w:sz w:val="20"/>
          <w:szCs w:val="20"/>
        </w:rPr>
        <w:t>Sądu Najwyższego</w:t>
      </w:r>
      <w:r w:rsidR="009617B3" w:rsidRPr="006E23A1">
        <w:rPr>
          <w:rFonts w:ascii="Verdana" w:hAnsi="Verdana" w:cs="Calibri"/>
          <w:sz w:val="20"/>
          <w:szCs w:val="20"/>
        </w:rPr>
        <w:t xml:space="preserve"> o </w:t>
      </w:r>
      <w:r w:rsidR="00110919" w:rsidRPr="006E23A1">
        <w:rPr>
          <w:rFonts w:ascii="Verdana" w:hAnsi="Verdana" w:cs="Calibri"/>
          <w:sz w:val="20"/>
          <w:szCs w:val="20"/>
        </w:rPr>
        <w:t xml:space="preserve">przeprowadzenie kontroli nadzorczej sprawy w postępowaniu kontrolnym. Prezydium odrzuciło wniosek i </w:t>
      </w:r>
      <w:r w:rsidR="00A8400C" w:rsidRPr="006E23A1">
        <w:rPr>
          <w:rFonts w:ascii="Verdana" w:hAnsi="Verdana" w:cs="Calibri"/>
          <w:sz w:val="20"/>
          <w:szCs w:val="20"/>
        </w:rPr>
        <w:t>utrzymało w mocy</w:t>
      </w:r>
      <w:r w:rsidR="00110919" w:rsidRPr="006E23A1">
        <w:rPr>
          <w:rFonts w:ascii="Verdana" w:hAnsi="Verdana" w:cs="Calibri"/>
          <w:sz w:val="20"/>
          <w:szCs w:val="20"/>
        </w:rPr>
        <w:t xml:space="preserve"> uniewinnienie. Skarżący podnosił, w szczególności, że postępowanie kontrolne przeprowadzone p</w:t>
      </w:r>
      <w:r w:rsidR="008B7D62" w:rsidRPr="006E23A1">
        <w:rPr>
          <w:rFonts w:ascii="Verdana" w:hAnsi="Verdana" w:cs="Calibri"/>
          <w:sz w:val="20"/>
          <w:szCs w:val="20"/>
        </w:rPr>
        <w:t xml:space="preserve">o jego ostatecznym uniewinnieniu </w:t>
      </w:r>
      <w:r w:rsidR="00110919" w:rsidRPr="006E23A1">
        <w:rPr>
          <w:rFonts w:ascii="Verdana" w:hAnsi="Verdana" w:cs="Calibri"/>
          <w:sz w:val="20"/>
          <w:szCs w:val="20"/>
        </w:rPr>
        <w:t>stanowiło naruszenie jego prawa do tego, aby nie być ponownie karanym za przestępstwo</w:t>
      </w:r>
      <w:r w:rsidR="008B7D62" w:rsidRPr="006E23A1">
        <w:rPr>
          <w:rFonts w:ascii="Verdana" w:hAnsi="Verdana" w:cs="Calibri"/>
          <w:sz w:val="20"/>
          <w:szCs w:val="20"/>
        </w:rPr>
        <w:t>,</w:t>
      </w:r>
      <w:r w:rsidR="00110919" w:rsidRPr="006E23A1">
        <w:rPr>
          <w:rFonts w:ascii="Verdana" w:hAnsi="Verdana" w:cs="Calibri"/>
          <w:sz w:val="20"/>
          <w:szCs w:val="20"/>
        </w:rPr>
        <w:t xml:space="preserve"> od którego </w:t>
      </w:r>
      <w:r w:rsidR="008B7D62" w:rsidRPr="006E23A1">
        <w:rPr>
          <w:rFonts w:ascii="Verdana" w:hAnsi="Verdana" w:cs="Calibri"/>
          <w:sz w:val="20"/>
          <w:szCs w:val="20"/>
        </w:rPr>
        <w:t>został ostatecznie</w:t>
      </w:r>
      <w:r w:rsidR="00110919" w:rsidRPr="006E23A1">
        <w:rPr>
          <w:rFonts w:ascii="Verdana" w:hAnsi="Verdana" w:cs="Calibri"/>
          <w:sz w:val="20"/>
          <w:szCs w:val="20"/>
        </w:rPr>
        <w:t xml:space="preserve"> </w:t>
      </w:r>
      <w:r w:rsidR="008B7D62" w:rsidRPr="006E23A1">
        <w:rPr>
          <w:rFonts w:ascii="Verdana" w:hAnsi="Verdana" w:cs="Calibri"/>
          <w:sz w:val="20"/>
          <w:szCs w:val="20"/>
        </w:rPr>
        <w:t>uniewinniony</w:t>
      </w:r>
      <w:r w:rsidR="00110919" w:rsidRPr="006E23A1">
        <w:rPr>
          <w:rFonts w:ascii="Verdana" w:hAnsi="Verdana" w:cs="Calibri"/>
          <w:sz w:val="20"/>
          <w:szCs w:val="20"/>
        </w:rPr>
        <w:t xml:space="preserve">. </w:t>
      </w:r>
    </w:p>
    <w:p w14:paraId="00970AE2" w14:textId="5374D531" w:rsidR="00110919" w:rsidRPr="00C40585" w:rsidRDefault="00110919" w:rsidP="008B0AE6">
      <w:pPr>
        <w:spacing w:after="0"/>
        <w:jc w:val="both"/>
        <w:rPr>
          <w:rFonts w:ascii="Verdana" w:hAnsi="Verdana" w:cs="Calibri"/>
          <w:color w:val="0070C0"/>
          <w:sz w:val="20"/>
          <w:szCs w:val="20"/>
        </w:rPr>
      </w:pPr>
      <w:r w:rsidRPr="00C40585">
        <w:rPr>
          <w:rFonts w:ascii="Verdana" w:hAnsi="Verdana" w:cs="Calibri"/>
          <w:color w:val="0070C0"/>
          <w:sz w:val="20"/>
          <w:szCs w:val="20"/>
        </w:rPr>
        <w:t xml:space="preserve">Trybunał </w:t>
      </w:r>
      <w:r w:rsidR="00BF33EE" w:rsidRPr="00C40585">
        <w:rPr>
          <w:rFonts w:ascii="Verdana" w:hAnsi="Verdana" w:cs="Calibri"/>
          <w:color w:val="0070C0"/>
          <w:sz w:val="20"/>
          <w:szCs w:val="20"/>
        </w:rPr>
        <w:t>zauważył</w:t>
      </w:r>
      <w:r w:rsidRPr="00C40585">
        <w:rPr>
          <w:rFonts w:ascii="Verdana" w:hAnsi="Verdana" w:cs="Calibri"/>
          <w:color w:val="0070C0"/>
          <w:sz w:val="20"/>
          <w:szCs w:val="20"/>
        </w:rPr>
        <w:t xml:space="preserve">, że </w:t>
      </w:r>
      <w:r w:rsidR="00B86419" w:rsidRPr="00C40585">
        <w:rPr>
          <w:rFonts w:ascii="Verdana" w:hAnsi="Verdana" w:cs="Calibri"/>
          <w:color w:val="0070C0"/>
          <w:sz w:val="20"/>
          <w:szCs w:val="20"/>
        </w:rPr>
        <w:t xml:space="preserve">ze względu na to, że kontrola nadzorcza uniewinnienia została wszczęta, możliwym było wydanie nowej „ostatecznej” decyzji. Niemniej, biorąc pod uwagę charakter postępowania kontrolnego oraz </w:t>
      </w:r>
      <w:r w:rsidR="00646629" w:rsidRPr="00C40585">
        <w:rPr>
          <w:rFonts w:ascii="Verdana" w:hAnsi="Verdana" w:cs="Calibri"/>
          <w:color w:val="0070C0"/>
          <w:sz w:val="20"/>
          <w:szCs w:val="20"/>
        </w:rPr>
        <w:t>problem</w:t>
      </w:r>
      <w:r w:rsidR="00B86419" w:rsidRPr="00C40585">
        <w:rPr>
          <w:rFonts w:ascii="Verdana" w:hAnsi="Verdana" w:cs="Calibri"/>
          <w:color w:val="0070C0"/>
          <w:sz w:val="20"/>
          <w:szCs w:val="20"/>
        </w:rPr>
        <w:t xml:space="preserve"> pewności </w:t>
      </w:r>
      <w:r w:rsidR="00BF33EE" w:rsidRPr="00C40585">
        <w:rPr>
          <w:rFonts w:ascii="Verdana" w:hAnsi="Verdana" w:cs="Calibri"/>
          <w:color w:val="0070C0"/>
          <w:sz w:val="20"/>
          <w:szCs w:val="20"/>
        </w:rPr>
        <w:t>prawnej, któr</w:t>
      </w:r>
      <w:r w:rsidR="00646629" w:rsidRPr="00C40585">
        <w:rPr>
          <w:rFonts w:ascii="Verdana" w:hAnsi="Verdana" w:cs="Calibri"/>
          <w:color w:val="0070C0"/>
          <w:sz w:val="20"/>
          <w:szCs w:val="20"/>
        </w:rPr>
        <w:t>y spowodowałoby</w:t>
      </w:r>
      <w:r w:rsidR="0075402B" w:rsidRPr="00C40585">
        <w:rPr>
          <w:rFonts w:ascii="Verdana" w:hAnsi="Verdana" w:cs="Calibri"/>
          <w:color w:val="0070C0"/>
          <w:sz w:val="20"/>
          <w:szCs w:val="20"/>
        </w:rPr>
        <w:t xml:space="preserve"> uchylenie wyroku, Trybunał doszedł do wniosku, że wyrok Sądu Najwyższego utrzymujący w mocy </w:t>
      </w:r>
      <w:r w:rsidR="00BF33EE" w:rsidRPr="00C40585">
        <w:rPr>
          <w:rFonts w:ascii="Verdana" w:hAnsi="Verdana" w:cs="Calibri"/>
          <w:color w:val="0070C0"/>
          <w:sz w:val="20"/>
          <w:szCs w:val="20"/>
        </w:rPr>
        <w:t>uniewinnienie skarżą</w:t>
      </w:r>
      <w:r w:rsidR="0075402B" w:rsidRPr="00C40585">
        <w:rPr>
          <w:rFonts w:ascii="Verdana" w:hAnsi="Verdana" w:cs="Calibri"/>
          <w:color w:val="0070C0"/>
          <w:sz w:val="20"/>
          <w:szCs w:val="20"/>
        </w:rPr>
        <w:t xml:space="preserve">cego stanowił decyzję ostateczną w rozumieniu </w:t>
      </w:r>
      <w:r w:rsidR="00BF33EE" w:rsidRPr="00C40585">
        <w:rPr>
          <w:rFonts w:ascii="Verdana" w:hAnsi="Verdana" w:cs="Calibri"/>
          <w:color w:val="0070C0"/>
          <w:sz w:val="20"/>
          <w:szCs w:val="20"/>
        </w:rPr>
        <w:t>przepisów</w:t>
      </w:r>
      <w:r w:rsidR="0075402B" w:rsidRPr="00C40585">
        <w:rPr>
          <w:rFonts w:ascii="Verdana" w:hAnsi="Verdana" w:cs="Calibri"/>
          <w:color w:val="0070C0"/>
          <w:sz w:val="20"/>
          <w:szCs w:val="20"/>
        </w:rPr>
        <w:t>. W niniejszej sprawie, skarżący nie został „ponownie sądzony” w postępowaniu przed prezydium ani też „nie podlegał pod ponowne s</w:t>
      </w:r>
      <w:r w:rsidR="00646629" w:rsidRPr="00C40585">
        <w:rPr>
          <w:rFonts w:ascii="Verdana" w:hAnsi="Verdana" w:cs="Calibri"/>
          <w:color w:val="0070C0"/>
          <w:sz w:val="20"/>
          <w:szCs w:val="20"/>
        </w:rPr>
        <w:t>ą</w:t>
      </w:r>
      <w:r w:rsidR="0075402B" w:rsidRPr="00C40585">
        <w:rPr>
          <w:rFonts w:ascii="Verdana" w:hAnsi="Verdana" w:cs="Calibri"/>
          <w:color w:val="0070C0"/>
          <w:sz w:val="20"/>
          <w:szCs w:val="20"/>
        </w:rPr>
        <w:t>dzenie”, jako że postępowanie to było ograniczone do odpowiedzi czy wniosek o przeprowadzeni</w:t>
      </w:r>
      <w:r w:rsidR="00646629" w:rsidRPr="00C40585">
        <w:rPr>
          <w:rFonts w:ascii="Verdana" w:hAnsi="Verdana" w:cs="Calibri"/>
          <w:color w:val="0070C0"/>
          <w:sz w:val="20"/>
          <w:szCs w:val="20"/>
        </w:rPr>
        <w:t>e</w:t>
      </w:r>
      <w:r w:rsidR="0075402B" w:rsidRPr="00C40585">
        <w:rPr>
          <w:rFonts w:ascii="Verdana" w:hAnsi="Verdana" w:cs="Calibri"/>
          <w:color w:val="0070C0"/>
          <w:sz w:val="20"/>
          <w:szCs w:val="20"/>
        </w:rPr>
        <w:t xml:space="preserve"> kontroli powinien zostać rozpatrzony </w:t>
      </w:r>
      <w:r w:rsidR="00F56321" w:rsidRPr="00C40585">
        <w:rPr>
          <w:rFonts w:ascii="Verdana" w:hAnsi="Verdana" w:cs="Calibri"/>
          <w:color w:val="0070C0"/>
          <w:sz w:val="20"/>
          <w:szCs w:val="20"/>
        </w:rPr>
        <w:t>czy też nie</w:t>
      </w:r>
      <w:r w:rsidR="0075402B" w:rsidRPr="00C40585">
        <w:rPr>
          <w:rFonts w:ascii="Verdana" w:hAnsi="Verdana" w:cs="Calibri"/>
          <w:color w:val="0070C0"/>
          <w:sz w:val="20"/>
          <w:szCs w:val="20"/>
        </w:rPr>
        <w:t>.</w:t>
      </w:r>
      <w:r w:rsidR="00F56321" w:rsidRPr="00C40585">
        <w:rPr>
          <w:rFonts w:ascii="Verdana" w:hAnsi="Verdana" w:cs="Calibri"/>
          <w:color w:val="0070C0"/>
          <w:sz w:val="20"/>
          <w:szCs w:val="20"/>
        </w:rPr>
        <w:t xml:space="preserve"> </w:t>
      </w:r>
      <w:r w:rsidR="001F6223">
        <w:rPr>
          <w:rFonts w:ascii="Verdana" w:hAnsi="Verdana" w:cs="Calibri"/>
          <w:color w:val="0070C0"/>
          <w:sz w:val="20"/>
          <w:szCs w:val="20"/>
        </w:rPr>
        <w:t>J</w:t>
      </w:r>
      <w:r w:rsidR="001B43B9" w:rsidRPr="00C40585">
        <w:rPr>
          <w:rFonts w:ascii="Verdana" w:hAnsi="Verdana" w:cs="Calibri"/>
          <w:color w:val="0070C0"/>
          <w:sz w:val="20"/>
          <w:szCs w:val="20"/>
        </w:rPr>
        <w:t>ako</w:t>
      </w:r>
      <w:r w:rsidR="00646629" w:rsidRPr="00C40585">
        <w:rPr>
          <w:rFonts w:ascii="Verdana" w:hAnsi="Verdana" w:cs="Calibri"/>
          <w:color w:val="0070C0"/>
          <w:sz w:val="20"/>
          <w:szCs w:val="20"/>
        </w:rPr>
        <w:t xml:space="preserve"> że </w:t>
      </w:r>
      <w:r w:rsidR="0075402B" w:rsidRPr="00C40585">
        <w:rPr>
          <w:rFonts w:ascii="Verdana" w:hAnsi="Verdana" w:cs="Calibri"/>
          <w:color w:val="0070C0"/>
          <w:sz w:val="20"/>
          <w:szCs w:val="20"/>
        </w:rPr>
        <w:t xml:space="preserve">Prezydium nie było uprawnione do dokonania nowych ustaleń faktycznych, okazało się, </w:t>
      </w:r>
      <w:r w:rsidR="00646629" w:rsidRPr="00C40585">
        <w:rPr>
          <w:rFonts w:ascii="Verdana" w:hAnsi="Verdana" w:cs="Calibri"/>
          <w:color w:val="0070C0"/>
          <w:sz w:val="20"/>
          <w:szCs w:val="20"/>
        </w:rPr>
        <w:t>ż</w:t>
      </w:r>
      <w:r w:rsidR="0075402B" w:rsidRPr="00C40585">
        <w:rPr>
          <w:rFonts w:ascii="Verdana" w:hAnsi="Verdana" w:cs="Calibri"/>
          <w:color w:val="0070C0"/>
          <w:sz w:val="20"/>
          <w:szCs w:val="20"/>
        </w:rPr>
        <w:t xml:space="preserve">e </w:t>
      </w:r>
      <w:r w:rsidR="00F56321" w:rsidRPr="00C40585">
        <w:rPr>
          <w:rFonts w:ascii="Verdana" w:hAnsi="Verdana" w:cs="Calibri"/>
          <w:color w:val="0070C0"/>
          <w:sz w:val="20"/>
          <w:szCs w:val="20"/>
        </w:rPr>
        <w:t>możliwość ponownego</w:t>
      </w:r>
      <w:r w:rsidR="0075402B" w:rsidRPr="00C40585">
        <w:rPr>
          <w:rFonts w:ascii="Verdana" w:hAnsi="Verdana" w:cs="Calibri"/>
          <w:color w:val="0070C0"/>
          <w:sz w:val="20"/>
          <w:szCs w:val="20"/>
        </w:rPr>
        <w:t xml:space="preserve"> </w:t>
      </w:r>
      <w:r w:rsidR="00F56321" w:rsidRPr="00C40585">
        <w:rPr>
          <w:rFonts w:ascii="Verdana" w:hAnsi="Verdana" w:cs="Calibri"/>
          <w:color w:val="0070C0"/>
          <w:sz w:val="20"/>
          <w:szCs w:val="20"/>
        </w:rPr>
        <w:t>wszczęcia postępowania</w:t>
      </w:r>
      <w:r w:rsidR="0075402B" w:rsidRPr="00C40585">
        <w:rPr>
          <w:rFonts w:ascii="Verdana" w:hAnsi="Verdana" w:cs="Calibri"/>
          <w:color w:val="0070C0"/>
          <w:sz w:val="20"/>
          <w:szCs w:val="20"/>
        </w:rPr>
        <w:t xml:space="preserve"> </w:t>
      </w:r>
      <w:r w:rsidR="00F56321" w:rsidRPr="00C40585">
        <w:rPr>
          <w:rFonts w:ascii="Verdana" w:hAnsi="Verdana" w:cs="Calibri"/>
          <w:color w:val="0070C0"/>
          <w:sz w:val="20"/>
          <w:szCs w:val="20"/>
        </w:rPr>
        <w:t>była zbyt daleka oraz niebezpośrednia, aby przypisać „odpowiedzialność” w rozumieniu artykułu. Ponadto, gdyby wniosek nie został odrzucony, finalny</w:t>
      </w:r>
      <w:r w:rsidR="00646629" w:rsidRPr="00C40585">
        <w:rPr>
          <w:rFonts w:ascii="Verdana" w:hAnsi="Verdana" w:cs="Calibri"/>
          <w:color w:val="0070C0"/>
          <w:sz w:val="20"/>
          <w:szCs w:val="20"/>
        </w:rPr>
        <w:t>m</w:t>
      </w:r>
      <w:r w:rsidR="00F56321" w:rsidRPr="00C40585">
        <w:rPr>
          <w:rFonts w:ascii="Verdana" w:hAnsi="Verdana" w:cs="Calibri"/>
          <w:color w:val="0070C0"/>
          <w:sz w:val="20"/>
          <w:szCs w:val="20"/>
        </w:rPr>
        <w:t xml:space="preserve"> skutkiem kontroli byłoby anulowanie wszystkich poprzednich decyzji oraz </w:t>
      </w:r>
      <w:r w:rsidR="00263A07" w:rsidRPr="00C40585">
        <w:rPr>
          <w:rFonts w:ascii="Verdana" w:hAnsi="Verdana" w:cs="Calibri"/>
          <w:color w:val="0070C0"/>
          <w:sz w:val="20"/>
          <w:szCs w:val="20"/>
        </w:rPr>
        <w:t xml:space="preserve">ustalenie odpowiedzialności karnej w </w:t>
      </w:r>
      <w:r w:rsidR="00F56321" w:rsidRPr="00C40585">
        <w:rPr>
          <w:rFonts w:ascii="Verdana" w:hAnsi="Verdana" w:cs="Calibri"/>
          <w:color w:val="0070C0"/>
          <w:sz w:val="20"/>
          <w:szCs w:val="20"/>
        </w:rPr>
        <w:t>now</w:t>
      </w:r>
      <w:r w:rsidR="00263A07" w:rsidRPr="00C40585">
        <w:rPr>
          <w:rFonts w:ascii="Verdana" w:hAnsi="Verdana" w:cs="Calibri"/>
          <w:color w:val="0070C0"/>
          <w:sz w:val="20"/>
          <w:szCs w:val="20"/>
        </w:rPr>
        <w:t>ej</w:t>
      </w:r>
      <w:r w:rsidR="00F56321" w:rsidRPr="00C40585">
        <w:rPr>
          <w:rFonts w:ascii="Verdana" w:hAnsi="Verdana" w:cs="Calibri"/>
          <w:color w:val="0070C0"/>
          <w:sz w:val="20"/>
          <w:szCs w:val="20"/>
        </w:rPr>
        <w:t xml:space="preserve"> decyzj</w:t>
      </w:r>
      <w:r w:rsidR="00263A07" w:rsidRPr="00C40585">
        <w:rPr>
          <w:rFonts w:ascii="Verdana" w:hAnsi="Verdana" w:cs="Calibri"/>
          <w:color w:val="0070C0"/>
          <w:sz w:val="20"/>
          <w:szCs w:val="20"/>
        </w:rPr>
        <w:t>i</w:t>
      </w:r>
      <w:r w:rsidR="00BF33EE" w:rsidRPr="00C40585">
        <w:rPr>
          <w:rFonts w:ascii="Verdana" w:hAnsi="Verdana" w:cs="Calibri"/>
          <w:color w:val="0070C0"/>
          <w:sz w:val="20"/>
          <w:szCs w:val="20"/>
        </w:rPr>
        <w:t>, co</w:t>
      </w:r>
      <w:r w:rsidR="00F56321" w:rsidRPr="00C40585">
        <w:rPr>
          <w:rFonts w:ascii="Verdana" w:hAnsi="Verdana" w:cs="Calibri"/>
          <w:color w:val="0070C0"/>
          <w:sz w:val="20"/>
          <w:szCs w:val="20"/>
        </w:rPr>
        <w:t xml:space="preserve"> </w:t>
      </w:r>
      <w:r w:rsidR="00BF33EE" w:rsidRPr="00C40585">
        <w:rPr>
          <w:rFonts w:ascii="Verdana" w:hAnsi="Verdana" w:cs="Calibri"/>
          <w:color w:val="0070C0"/>
          <w:sz w:val="20"/>
          <w:szCs w:val="20"/>
        </w:rPr>
        <w:t xml:space="preserve">nie byłoby równoznaczne z </w:t>
      </w:r>
      <w:r w:rsidR="00263A07" w:rsidRPr="00C40585">
        <w:rPr>
          <w:rFonts w:ascii="Verdana" w:hAnsi="Verdana" w:cs="Calibri"/>
          <w:color w:val="0070C0"/>
          <w:sz w:val="20"/>
          <w:szCs w:val="20"/>
        </w:rPr>
        <w:t>dublowaniem</w:t>
      </w:r>
      <w:r w:rsidR="00F56321" w:rsidRPr="00C40585">
        <w:rPr>
          <w:rFonts w:ascii="Verdana" w:hAnsi="Verdana" w:cs="Calibri"/>
          <w:color w:val="0070C0"/>
          <w:sz w:val="20"/>
          <w:szCs w:val="20"/>
        </w:rPr>
        <w:t xml:space="preserve"> postępowa</w:t>
      </w:r>
      <w:r w:rsidR="00263A07" w:rsidRPr="00C40585">
        <w:rPr>
          <w:rFonts w:ascii="Verdana" w:hAnsi="Verdana" w:cs="Calibri"/>
          <w:color w:val="0070C0"/>
          <w:sz w:val="20"/>
          <w:szCs w:val="20"/>
        </w:rPr>
        <w:t>nia</w:t>
      </w:r>
      <w:r w:rsidR="00F56321" w:rsidRPr="00C40585">
        <w:rPr>
          <w:rFonts w:ascii="Verdana" w:hAnsi="Verdana" w:cs="Calibri"/>
          <w:color w:val="0070C0"/>
          <w:sz w:val="20"/>
          <w:szCs w:val="20"/>
        </w:rPr>
        <w:t xml:space="preserve">. Stąd też, kontrola nadzorcza może być </w:t>
      </w:r>
      <w:r w:rsidR="00BF33EE" w:rsidRPr="00C40585">
        <w:rPr>
          <w:rFonts w:ascii="Verdana" w:hAnsi="Verdana" w:cs="Calibri"/>
          <w:color w:val="0070C0"/>
          <w:sz w:val="20"/>
          <w:szCs w:val="20"/>
        </w:rPr>
        <w:t>postrzegana</w:t>
      </w:r>
      <w:r w:rsidR="00F56321" w:rsidRPr="00C40585">
        <w:rPr>
          <w:rFonts w:ascii="Verdana" w:hAnsi="Verdana" w:cs="Calibri"/>
          <w:color w:val="0070C0"/>
          <w:sz w:val="20"/>
          <w:szCs w:val="20"/>
        </w:rPr>
        <w:t xml:space="preserve"> jak</w:t>
      </w:r>
      <w:r w:rsidR="00BF33EE" w:rsidRPr="00C40585">
        <w:rPr>
          <w:rFonts w:ascii="Verdana" w:hAnsi="Verdana" w:cs="Calibri"/>
          <w:color w:val="0070C0"/>
          <w:sz w:val="20"/>
          <w:szCs w:val="20"/>
        </w:rPr>
        <w:t>o próba wznowienia postępowania</w:t>
      </w:r>
      <w:r w:rsidR="00F56321" w:rsidRPr="00C40585">
        <w:rPr>
          <w:rFonts w:ascii="Verdana" w:hAnsi="Verdana" w:cs="Calibri"/>
          <w:color w:val="0070C0"/>
          <w:sz w:val="20"/>
          <w:szCs w:val="20"/>
        </w:rPr>
        <w:t>, k</w:t>
      </w:r>
      <w:r w:rsidR="00BF33EE" w:rsidRPr="00C40585">
        <w:rPr>
          <w:rFonts w:ascii="Verdana" w:hAnsi="Verdana" w:cs="Calibri"/>
          <w:color w:val="0070C0"/>
          <w:sz w:val="20"/>
          <w:szCs w:val="20"/>
        </w:rPr>
        <w:t>tóre na gruncie</w:t>
      </w:r>
      <w:r w:rsidR="00F56321" w:rsidRPr="00C40585">
        <w:rPr>
          <w:rFonts w:ascii="Verdana" w:hAnsi="Verdana" w:cs="Calibri"/>
          <w:color w:val="0070C0"/>
          <w:sz w:val="20"/>
          <w:szCs w:val="20"/>
        </w:rPr>
        <w:t xml:space="preserve"> drugiego ustępu art</w:t>
      </w:r>
      <w:r w:rsidR="00BF33EE" w:rsidRPr="00C40585">
        <w:rPr>
          <w:rFonts w:ascii="Verdana" w:hAnsi="Verdana" w:cs="Calibri"/>
          <w:color w:val="0070C0"/>
          <w:sz w:val="20"/>
          <w:szCs w:val="20"/>
        </w:rPr>
        <w:t xml:space="preserve">. 4 Protokołu </w:t>
      </w:r>
      <w:r w:rsidR="00E97A36">
        <w:rPr>
          <w:rFonts w:ascii="Verdana" w:hAnsi="Verdana" w:cs="Calibri"/>
          <w:color w:val="0070C0"/>
          <w:sz w:val="20"/>
          <w:szCs w:val="20"/>
        </w:rPr>
        <w:t>nr</w:t>
      </w:r>
      <w:r w:rsidR="00F56321" w:rsidRPr="00C40585">
        <w:rPr>
          <w:rFonts w:ascii="Verdana" w:hAnsi="Verdana" w:cs="Calibri"/>
          <w:color w:val="0070C0"/>
          <w:sz w:val="20"/>
          <w:szCs w:val="20"/>
        </w:rPr>
        <w:t xml:space="preserve"> 7 jest dozwol</w:t>
      </w:r>
      <w:r w:rsidR="00BF33EE" w:rsidRPr="00C40585">
        <w:rPr>
          <w:rFonts w:ascii="Verdana" w:hAnsi="Verdana" w:cs="Calibri"/>
          <w:color w:val="0070C0"/>
          <w:sz w:val="20"/>
          <w:szCs w:val="20"/>
        </w:rPr>
        <w:t>o</w:t>
      </w:r>
      <w:r w:rsidR="00F56321" w:rsidRPr="00C40585">
        <w:rPr>
          <w:rFonts w:ascii="Verdana" w:hAnsi="Verdana" w:cs="Calibri"/>
          <w:color w:val="0070C0"/>
          <w:sz w:val="20"/>
          <w:szCs w:val="20"/>
        </w:rPr>
        <w:t xml:space="preserve">ne i nie stanowi „drugiego postępowania”. W związku z tym, Trybunał orzekł, że </w:t>
      </w:r>
      <w:r w:rsidR="00BF33EE" w:rsidRPr="00C40585">
        <w:rPr>
          <w:rFonts w:ascii="Verdana" w:hAnsi="Verdana" w:cs="Calibri"/>
          <w:b/>
          <w:color w:val="0070C0"/>
          <w:sz w:val="20"/>
          <w:szCs w:val="20"/>
        </w:rPr>
        <w:t xml:space="preserve">nie doszło do naruszenia ar. 4 Protokołu </w:t>
      </w:r>
      <w:r w:rsidR="00E97A36">
        <w:rPr>
          <w:rFonts w:ascii="Verdana" w:hAnsi="Verdana" w:cs="Calibri"/>
          <w:b/>
          <w:color w:val="0070C0"/>
          <w:sz w:val="20"/>
          <w:szCs w:val="20"/>
        </w:rPr>
        <w:t>nr</w:t>
      </w:r>
      <w:r w:rsidR="00F56321" w:rsidRPr="00C40585">
        <w:rPr>
          <w:rFonts w:ascii="Verdana" w:hAnsi="Verdana" w:cs="Calibri"/>
          <w:b/>
          <w:color w:val="0070C0"/>
          <w:sz w:val="20"/>
          <w:szCs w:val="20"/>
        </w:rPr>
        <w:t xml:space="preserve"> 7</w:t>
      </w:r>
      <w:r w:rsidR="00F56321" w:rsidRPr="00C40585">
        <w:rPr>
          <w:rFonts w:ascii="Verdana" w:hAnsi="Verdana" w:cs="Calibri"/>
          <w:color w:val="0070C0"/>
          <w:sz w:val="20"/>
          <w:szCs w:val="20"/>
        </w:rPr>
        <w:t xml:space="preserve">. </w:t>
      </w:r>
    </w:p>
    <w:p w14:paraId="3D893706" w14:textId="4E62004F" w:rsidR="001C38F2" w:rsidRPr="006E23A1" w:rsidRDefault="00C40585" w:rsidP="008B0AE6">
      <w:pPr>
        <w:spacing w:after="0"/>
        <w:jc w:val="both"/>
        <w:rPr>
          <w:rFonts w:ascii="Verdana" w:hAnsi="Verdana" w:cs="Calibri"/>
          <w:sz w:val="20"/>
          <w:szCs w:val="20"/>
        </w:rPr>
      </w:pPr>
      <w:r>
        <w:rPr>
          <w:rFonts w:ascii="Verdana" w:hAnsi="Verdana" w:cs="Calibri"/>
          <w:i/>
          <w:sz w:val="20"/>
          <w:szCs w:val="20"/>
        </w:rPr>
        <w:t>Zob. także</w:t>
      </w:r>
      <w:r w:rsidR="00F56321" w:rsidRPr="006E23A1">
        <w:rPr>
          <w:rFonts w:ascii="Verdana" w:hAnsi="Verdana" w:cs="Calibri"/>
          <w:i/>
          <w:sz w:val="20"/>
          <w:szCs w:val="20"/>
        </w:rPr>
        <w:t xml:space="preserve">: </w:t>
      </w:r>
      <w:hyperlink r:id="rId29" w:history="1">
        <w:r w:rsidR="001C38F2" w:rsidRPr="00C40585">
          <w:rPr>
            <w:rStyle w:val="Hipercze"/>
            <w:rFonts w:ascii="Verdana" w:hAnsi="Verdana" w:cs="Calibri"/>
            <w:b/>
            <w:color w:val="0070C0"/>
            <w:sz w:val="20"/>
            <w:szCs w:val="20"/>
          </w:rPr>
          <w:t>Bratyakin przeciwko Rosji</w:t>
        </w:r>
      </w:hyperlink>
      <w:r w:rsidR="001C38F2" w:rsidRPr="00E97A36">
        <w:rPr>
          <w:rFonts w:ascii="Verdana" w:hAnsi="Verdana" w:cs="Calibri"/>
          <w:bCs/>
          <w:sz w:val="20"/>
          <w:szCs w:val="20"/>
        </w:rPr>
        <w:t>,</w:t>
      </w:r>
      <w:r w:rsidR="001C38F2" w:rsidRPr="006E23A1">
        <w:rPr>
          <w:rFonts w:ascii="Verdana" w:hAnsi="Verdana" w:cs="Calibri"/>
          <w:b/>
          <w:sz w:val="20"/>
          <w:szCs w:val="20"/>
        </w:rPr>
        <w:t xml:space="preserve"> </w:t>
      </w:r>
      <w:r w:rsidR="001C38F2" w:rsidRPr="006E23A1">
        <w:rPr>
          <w:rFonts w:ascii="Verdana" w:hAnsi="Verdana" w:cs="Calibri"/>
          <w:sz w:val="20"/>
          <w:szCs w:val="20"/>
        </w:rPr>
        <w:t xml:space="preserve">decyzja w sprawie dopuszczalności z </w:t>
      </w:r>
      <w:r>
        <w:rPr>
          <w:rFonts w:ascii="Verdana" w:hAnsi="Verdana" w:cs="Calibri"/>
          <w:sz w:val="20"/>
          <w:szCs w:val="20"/>
        </w:rPr>
        <w:t xml:space="preserve">dnia </w:t>
      </w:r>
      <w:r w:rsidR="001C38F2" w:rsidRPr="006E23A1">
        <w:rPr>
          <w:rFonts w:ascii="Verdana" w:hAnsi="Verdana" w:cs="Calibri"/>
          <w:sz w:val="20"/>
          <w:szCs w:val="20"/>
        </w:rPr>
        <w:t>9</w:t>
      </w:r>
      <w:r w:rsidR="00E97A36">
        <w:rPr>
          <w:rFonts w:ascii="Verdana" w:hAnsi="Verdana" w:cs="Calibri"/>
          <w:sz w:val="20"/>
          <w:szCs w:val="20"/>
        </w:rPr>
        <w:t> </w:t>
      </w:r>
      <w:r w:rsidR="001C38F2" w:rsidRPr="006E23A1">
        <w:rPr>
          <w:rFonts w:ascii="Verdana" w:hAnsi="Verdana" w:cs="Calibri"/>
          <w:sz w:val="20"/>
          <w:szCs w:val="20"/>
        </w:rPr>
        <w:t xml:space="preserve">marca 2006 r. </w:t>
      </w:r>
    </w:p>
    <w:p w14:paraId="2EADF97B" w14:textId="77777777" w:rsidR="006A1425" w:rsidRDefault="006A1425" w:rsidP="008B0AE6">
      <w:pPr>
        <w:spacing w:after="0"/>
        <w:rPr>
          <w:rFonts w:ascii="Verdana" w:hAnsi="Verdana" w:cs="Calibri"/>
          <w:i/>
          <w:sz w:val="20"/>
          <w:szCs w:val="20"/>
        </w:rPr>
      </w:pPr>
    </w:p>
    <w:p w14:paraId="39822E90" w14:textId="67AC70B2" w:rsidR="006A1425" w:rsidRPr="00F00DE3" w:rsidRDefault="006A1425" w:rsidP="006A1425">
      <w:pPr>
        <w:spacing w:after="0"/>
        <w:rPr>
          <w:rFonts w:ascii="Verdana" w:hAnsi="Verdana" w:cs="Calibri"/>
          <w:b/>
          <w:color w:val="0070C0"/>
          <w:sz w:val="18"/>
          <w:szCs w:val="18"/>
          <w:u w:val="single"/>
        </w:rPr>
      </w:pPr>
      <w:hyperlink r:id="rId30" w:history="1">
        <w:r w:rsidRPr="00D27801">
          <w:rPr>
            <w:rStyle w:val="Hipercze"/>
            <w:rFonts w:ascii="Verdana" w:hAnsi="Verdana" w:cs="Calibri"/>
            <w:b/>
            <w:color w:val="0070C0"/>
            <w:sz w:val="20"/>
            <w:szCs w:val="20"/>
          </w:rPr>
          <w:t>W.A. przeciwko Szwajc</w:t>
        </w:r>
        <w:r w:rsidR="00D27801" w:rsidRPr="00D27801">
          <w:rPr>
            <w:rStyle w:val="Hipercze"/>
            <w:rFonts w:ascii="Verdana" w:hAnsi="Verdana" w:cs="Calibri"/>
            <w:b/>
            <w:color w:val="0070C0"/>
            <w:sz w:val="20"/>
            <w:szCs w:val="20"/>
          </w:rPr>
          <w:t>arii</w:t>
        </w:r>
      </w:hyperlink>
      <w:r w:rsidR="00D27801" w:rsidRPr="00D27801">
        <w:rPr>
          <w:rFonts w:ascii="Verdana" w:hAnsi="Verdana" w:cs="Calibri"/>
          <w:b/>
          <w:color w:val="0070C0"/>
          <w:sz w:val="20"/>
          <w:szCs w:val="20"/>
          <w:u w:val="single"/>
        </w:rPr>
        <w:t xml:space="preserve"> (skarga nr 38958/16)</w:t>
      </w:r>
      <w:r w:rsidRPr="006E23A1">
        <w:rPr>
          <w:rFonts w:ascii="Verdana" w:hAnsi="Verdana" w:cs="Calibri"/>
          <w:b/>
          <w:color w:val="0070C0"/>
          <w:sz w:val="20"/>
          <w:szCs w:val="20"/>
          <w:u w:val="single"/>
        </w:rPr>
        <w:br/>
      </w:r>
      <w:r w:rsidR="00D27801">
        <w:rPr>
          <w:rFonts w:ascii="Verdana" w:hAnsi="Verdana" w:cs="Calibri"/>
          <w:color w:val="767171" w:themeColor="background2" w:themeShade="80"/>
          <w:sz w:val="18"/>
          <w:szCs w:val="18"/>
        </w:rPr>
        <w:t>2</w:t>
      </w:r>
      <w:r w:rsidRPr="00F00DE3">
        <w:rPr>
          <w:rFonts w:ascii="Verdana" w:hAnsi="Verdana" w:cs="Calibri"/>
          <w:color w:val="767171" w:themeColor="background2" w:themeShade="80"/>
          <w:sz w:val="18"/>
          <w:szCs w:val="18"/>
        </w:rPr>
        <w:t xml:space="preserve"> </w:t>
      </w:r>
      <w:r w:rsidR="00D27801">
        <w:rPr>
          <w:rFonts w:ascii="Verdana" w:hAnsi="Verdana" w:cs="Calibri"/>
          <w:color w:val="767171" w:themeColor="background2" w:themeShade="80"/>
          <w:sz w:val="18"/>
          <w:szCs w:val="18"/>
        </w:rPr>
        <w:t>listopada</w:t>
      </w:r>
      <w:r w:rsidRPr="00F00DE3">
        <w:rPr>
          <w:rFonts w:ascii="Verdana" w:hAnsi="Verdana" w:cs="Calibri"/>
          <w:color w:val="767171" w:themeColor="background2" w:themeShade="80"/>
          <w:sz w:val="18"/>
          <w:szCs w:val="18"/>
        </w:rPr>
        <w:t xml:space="preserve"> 20</w:t>
      </w:r>
      <w:r w:rsidR="00D27801">
        <w:rPr>
          <w:rFonts w:ascii="Verdana" w:hAnsi="Verdana" w:cs="Calibri"/>
          <w:color w:val="767171" w:themeColor="background2" w:themeShade="80"/>
          <w:sz w:val="18"/>
          <w:szCs w:val="18"/>
        </w:rPr>
        <w:t>21</w:t>
      </w:r>
      <w:r w:rsidRPr="00F00DE3">
        <w:rPr>
          <w:rFonts w:ascii="Verdana" w:hAnsi="Verdana" w:cs="Calibri"/>
          <w:color w:val="767171" w:themeColor="background2" w:themeShade="80"/>
          <w:sz w:val="18"/>
          <w:szCs w:val="18"/>
        </w:rPr>
        <w:t xml:space="preserve"> r.</w:t>
      </w:r>
      <w:r w:rsidRPr="00F00DE3">
        <w:rPr>
          <w:rFonts w:ascii="Verdana" w:hAnsi="Verdana" w:cs="Calibri"/>
          <w:sz w:val="18"/>
          <w:szCs w:val="18"/>
        </w:rPr>
        <w:t xml:space="preserve"> </w:t>
      </w:r>
    </w:p>
    <w:p w14:paraId="5D03EE18" w14:textId="77777777" w:rsidR="00D27801" w:rsidRPr="00D27801" w:rsidRDefault="00D27801" w:rsidP="00D27801">
      <w:pPr>
        <w:spacing w:after="0"/>
        <w:jc w:val="both"/>
        <w:rPr>
          <w:rFonts w:ascii="Verdana" w:hAnsi="Verdana" w:cs="Calibri"/>
          <w:sz w:val="20"/>
          <w:szCs w:val="20"/>
        </w:rPr>
      </w:pPr>
      <w:r w:rsidRPr="00D27801">
        <w:rPr>
          <w:rFonts w:ascii="Verdana" w:hAnsi="Verdana" w:cs="Calibri"/>
          <w:sz w:val="20"/>
          <w:szCs w:val="20"/>
        </w:rPr>
        <w:t>Sprawa ta dotyczyła zastosowania tymczasowego aresztowania wobec skarżącego - mężczyzny cierpiącego na poważne zaburzenia psychiczne - po odbyciu przez niego kary 20 lat pozbawienia wolności za dwa zabójstwa. Skarżący zarzucił w szczególności, że został dwukrotnie ukarany za te same przestępstwa.</w:t>
      </w:r>
    </w:p>
    <w:p w14:paraId="6913D93F" w14:textId="7AD1F4D8" w:rsidR="006A1425" w:rsidRPr="00D27801" w:rsidRDefault="00D27801" w:rsidP="00D27801">
      <w:pPr>
        <w:spacing w:after="0"/>
        <w:jc w:val="both"/>
        <w:rPr>
          <w:rFonts w:ascii="Verdana" w:hAnsi="Verdana" w:cs="Calibri"/>
          <w:iCs/>
          <w:color w:val="0070C0"/>
          <w:sz w:val="20"/>
          <w:szCs w:val="20"/>
        </w:rPr>
      </w:pPr>
      <w:r w:rsidRPr="00D27801">
        <w:rPr>
          <w:rFonts w:ascii="Verdana" w:hAnsi="Verdana" w:cs="Calibri"/>
          <w:color w:val="0070C0"/>
          <w:sz w:val="20"/>
          <w:szCs w:val="20"/>
        </w:rPr>
        <w:t xml:space="preserve">Trybunał uznał, że doszło do </w:t>
      </w:r>
      <w:r w:rsidRPr="00D27801">
        <w:rPr>
          <w:rFonts w:ascii="Verdana" w:hAnsi="Verdana" w:cs="Calibri"/>
          <w:b/>
          <w:bCs/>
          <w:color w:val="0070C0"/>
          <w:sz w:val="20"/>
          <w:szCs w:val="20"/>
        </w:rPr>
        <w:t>naruszenia art. 4 Protokołu nr 7</w:t>
      </w:r>
      <w:r w:rsidRPr="00D27801">
        <w:rPr>
          <w:rFonts w:ascii="Verdana" w:hAnsi="Verdana" w:cs="Calibri"/>
          <w:color w:val="0070C0"/>
          <w:sz w:val="20"/>
          <w:szCs w:val="20"/>
        </w:rPr>
        <w:t>. Stwierdził on zasadniczo, że przez to zatrzymanie, zarządzone w postępowaniu wznowieniowym, w którym nie było żadnych nowych dowodów dotyczących charakteru przestępstwa lub stopnia winy skarżącego, został on dwukrotnie ukarany za te same przestępstwa.</w:t>
      </w:r>
    </w:p>
    <w:p w14:paraId="30228E5F" w14:textId="77777777" w:rsidR="00D27801" w:rsidRDefault="00D27801" w:rsidP="008B0AE6">
      <w:pPr>
        <w:spacing w:after="0"/>
        <w:rPr>
          <w:rFonts w:ascii="Verdana" w:hAnsi="Verdana" w:cs="Calibri"/>
          <w:i/>
          <w:sz w:val="24"/>
          <w:szCs w:val="24"/>
        </w:rPr>
      </w:pPr>
    </w:p>
    <w:p w14:paraId="5410C07D" w14:textId="63AAF269" w:rsidR="001C38F2" w:rsidRPr="00912A93" w:rsidRDefault="00411C99" w:rsidP="008B0AE6">
      <w:pPr>
        <w:spacing w:after="0"/>
        <w:rPr>
          <w:rFonts w:ascii="Verdana" w:hAnsi="Verdana" w:cs="Calibri"/>
          <w:i/>
          <w:color w:val="3B3838" w:themeColor="background2" w:themeShade="40"/>
          <w:sz w:val="24"/>
          <w:szCs w:val="24"/>
        </w:rPr>
      </w:pPr>
      <w:r w:rsidRPr="00912A93">
        <w:rPr>
          <w:rFonts w:ascii="Verdana" w:hAnsi="Verdana" w:cs="Calibri"/>
          <w:i/>
          <w:color w:val="3B3838" w:themeColor="background2" w:themeShade="40"/>
          <w:sz w:val="24"/>
          <w:szCs w:val="24"/>
        </w:rPr>
        <w:t>Brak znamion przestępstwa</w:t>
      </w:r>
    </w:p>
    <w:p w14:paraId="231B6A59" w14:textId="77777777" w:rsidR="00E97A36" w:rsidRPr="00E97A36" w:rsidRDefault="00E97A36" w:rsidP="008B0AE6">
      <w:pPr>
        <w:spacing w:after="0"/>
        <w:rPr>
          <w:rFonts w:ascii="Verdana" w:hAnsi="Verdana" w:cs="Calibri"/>
          <w:i/>
          <w:sz w:val="24"/>
          <w:szCs w:val="24"/>
        </w:rPr>
      </w:pPr>
    </w:p>
    <w:p w14:paraId="21B56283" w14:textId="4DCCBCC0" w:rsidR="00411C99" w:rsidRPr="006E23A1" w:rsidRDefault="00411C99" w:rsidP="008B0AE6">
      <w:pPr>
        <w:spacing w:after="0"/>
        <w:rPr>
          <w:rFonts w:ascii="Verdana" w:hAnsi="Verdana" w:cs="Calibri"/>
          <w:sz w:val="20"/>
          <w:szCs w:val="20"/>
        </w:rPr>
      </w:pPr>
      <w:hyperlink r:id="rId31" w:history="1">
        <w:r w:rsidRPr="00E97A36">
          <w:rPr>
            <w:rStyle w:val="Hipercze"/>
            <w:rFonts w:ascii="Verdana" w:hAnsi="Verdana" w:cs="Calibri"/>
            <w:b/>
            <w:color w:val="0070C0"/>
            <w:sz w:val="20"/>
            <w:szCs w:val="20"/>
          </w:rPr>
          <w:t>Horcia</w:t>
        </w:r>
        <w:r w:rsidR="00E97A36" w:rsidRPr="00E97A36">
          <w:rPr>
            <w:rStyle w:val="Hipercze"/>
            <w:rFonts w:ascii="Verdana" w:hAnsi="Verdana" w:cs="Calibri"/>
            <w:b/>
            <w:color w:val="0070C0"/>
            <w:sz w:val="20"/>
            <w:szCs w:val="20"/>
          </w:rPr>
          <w:t>g</w:t>
        </w:r>
        <w:r w:rsidRPr="00E97A36">
          <w:rPr>
            <w:rStyle w:val="Hipercze"/>
            <w:rFonts w:ascii="Verdana" w:hAnsi="Verdana" w:cs="Calibri"/>
            <w:b/>
            <w:color w:val="0070C0"/>
            <w:sz w:val="20"/>
            <w:szCs w:val="20"/>
          </w:rPr>
          <w:t xml:space="preserve"> przeciwko Rumunii</w:t>
        </w:r>
      </w:hyperlink>
      <w:r w:rsidR="008C1DB6" w:rsidRPr="006E23A1">
        <w:rPr>
          <w:rFonts w:ascii="Verdana" w:hAnsi="Verdana" w:cs="Calibri"/>
          <w:sz w:val="20"/>
          <w:szCs w:val="20"/>
        </w:rPr>
        <w:br/>
      </w:r>
      <w:r w:rsidR="008C1DB6" w:rsidRPr="00E97A36">
        <w:rPr>
          <w:rFonts w:ascii="Verdana" w:hAnsi="Verdana" w:cs="Calibri"/>
          <w:color w:val="767171" w:themeColor="background2" w:themeShade="80"/>
          <w:sz w:val="18"/>
          <w:szCs w:val="18"/>
        </w:rPr>
        <w:t xml:space="preserve">15 marca 2005 </w:t>
      </w:r>
      <w:r w:rsidR="001170ED" w:rsidRPr="00E97A36">
        <w:rPr>
          <w:rFonts w:ascii="Verdana" w:hAnsi="Verdana" w:cs="Calibri"/>
          <w:color w:val="767171" w:themeColor="background2" w:themeShade="80"/>
          <w:sz w:val="18"/>
          <w:szCs w:val="18"/>
        </w:rPr>
        <w:t>r.</w:t>
      </w:r>
      <w:r w:rsidR="00E97A36" w:rsidRPr="00E97A36">
        <w:rPr>
          <w:rFonts w:ascii="Verdana" w:hAnsi="Verdana" w:cs="Calibri"/>
          <w:color w:val="767171" w:themeColor="background2" w:themeShade="80"/>
          <w:sz w:val="18"/>
          <w:szCs w:val="18"/>
        </w:rPr>
        <w:t xml:space="preserve"> </w:t>
      </w:r>
      <w:r w:rsidRPr="00E97A36">
        <w:rPr>
          <w:rFonts w:ascii="Verdana" w:hAnsi="Verdana" w:cs="Calibri"/>
          <w:color w:val="767171" w:themeColor="background2" w:themeShade="80"/>
          <w:sz w:val="18"/>
          <w:szCs w:val="18"/>
        </w:rPr>
        <w:t>(decyzja w sprawie dopuszczalności)</w:t>
      </w:r>
    </w:p>
    <w:p w14:paraId="46911308" w14:textId="78C1E6EA" w:rsidR="0091446B" w:rsidRPr="006E23A1" w:rsidRDefault="00836F2E" w:rsidP="008B0AE6">
      <w:pPr>
        <w:spacing w:after="0"/>
        <w:jc w:val="both"/>
        <w:rPr>
          <w:rFonts w:ascii="Verdana" w:hAnsi="Verdana" w:cs="Calibri"/>
          <w:sz w:val="20"/>
          <w:szCs w:val="20"/>
        </w:rPr>
      </w:pPr>
      <w:r w:rsidRPr="006E23A1">
        <w:rPr>
          <w:rFonts w:ascii="Verdana" w:hAnsi="Verdana" w:cs="Calibri"/>
          <w:sz w:val="20"/>
          <w:szCs w:val="20"/>
        </w:rPr>
        <w:t>Skarżący</w:t>
      </w:r>
      <w:r w:rsidR="00411C99" w:rsidRPr="006E23A1">
        <w:rPr>
          <w:rFonts w:ascii="Verdana" w:hAnsi="Verdana" w:cs="Calibri"/>
          <w:sz w:val="20"/>
          <w:szCs w:val="20"/>
        </w:rPr>
        <w:t xml:space="preserve"> przyznał się do popełnienia zabójstwa z użyciem broni siecznej. Prokuratura </w:t>
      </w:r>
      <w:r w:rsidR="0090265C" w:rsidRPr="006E23A1">
        <w:rPr>
          <w:rFonts w:ascii="Verdana" w:hAnsi="Verdana" w:cs="Calibri"/>
          <w:sz w:val="20"/>
          <w:szCs w:val="20"/>
        </w:rPr>
        <w:t>orzekła</w:t>
      </w:r>
      <w:r w:rsidR="00411C99" w:rsidRPr="006E23A1">
        <w:rPr>
          <w:rFonts w:ascii="Verdana" w:hAnsi="Verdana" w:cs="Calibri"/>
          <w:sz w:val="20"/>
          <w:szCs w:val="20"/>
        </w:rPr>
        <w:t>, że nie doszło do wypełnienia znamion przestępstwa z tego powodu</w:t>
      </w:r>
      <w:r w:rsidR="00836B3E" w:rsidRPr="006E23A1">
        <w:rPr>
          <w:rFonts w:ascii="Verdana" w:hAnsi="Verdana" w:cs="Calibri"/>
          <w:sz w:val="20"/>
          <w:szCs w:val="20"/>
        </w:rPr>
        <w:t>,</w:t>
      </w:r>
      <w:r w:rsidR="00411C99" w:rsidRPr="006E23A1">
        <w:rPr>
          <w:rFonts w:ascii="Verdana" w:hAnsi="Verdana" w:cs="Calibri"/>
          <w:sz w:val="20"/>
          <w:szCs w:val="20"/>
        </w:rPr>
        <w:t xml:space="preserve"> że zgodnie z oceną </w:t>
      </w:r>
      <w:r w:rsidR="00836B3E" w:rsidRPr="006E23A1">
        <w:rPr>
          <w:rFonts w:ascii="Verdana" w:hAnsi="Verdana" w:cs="Calibri"/>
          <w:sz w:val="20"/>
          <w:szCs w:val="20"/>
        </w:rPr>
        <w:t>psychiatryczną</w:t>
      </w:r>
      <w:r w:rsidR="00411C99" w:rsidRPr="006E23A1">
        <w:rPr>
          <w:rFonts w:ascii="Verdana" w:hAnsi="Verdana" w:cs="Calibri"/>
          <w:sz w:val="20"/>
          <w:szCs w:val="20"/>
        </w:rPr>
        <w:t xml:space="preserve"> skarżącego, który cierpiał na zaburzenia psychiczne, dokonał </w:t>
      </w:r>
      <w:r w:rsidR="00836B3E" w:rsidRPr="006E23A1">
        <w:rPr>
          <w:rFonts w:ascii="Verdana" w:hAnsi="Verdana" w:cs="Calibri"/>
          <w:sz w:val="20"/>
          <w:szCs w:val="20"/>
        </w:rPr>
        <w:t xml:space="preserve">on </w:t>
      </w:r>
      <w:r w:rsidR="00411C99" w:rsidRPr="006E23A1">
        <w:rPr>
          <w:rFonts w:ascii="Verdana" w:hAnsi="Verdana" w:cs="Calibri"/>
          <w:sz w:val="20"/>
          <w:szCs w:val="20"/>
        </w:rPr>
        <w:t xml:space="preserve">zabójstwa w </w:t>
      </w:r>
      <w:r w:rsidR="001B43B9" w:rsidRPr="006E23A1">
        <w:rPr>
          <w:rFonts w:ascii="Verdana" w:hAnsi="Verdana" w:cs="Calibri"/>
          <w:sz w:val="20"/>
          <w:szCs w:val="20"/>
        </w:rPr>
        <w:t>czasie,</w:t>
      </w:r>
      <w:r w:rsidR="00411C99" w:rsidRPr="006E23A1">
        <w:rPr>
          <w:rFonts w:ascii="Verdana" w:hAnsi="Verdana" w:cs="Calibri"/>
          <w:sz w:val="20"/>
          <w:szCs w:val="20"/>
        </w:rPr>
        <w:t xml:space="preserve"> kiedy jego zdolności postrzegania </w:t>
      </w:r>
      <w:r w:rsidR="001761D2" w:rsidRPr="006E23A1">
        <w:rPr>
          <w:rFonts w:ascii="Verdana" w:hAnsi="Verdana" w:cs="Calibri"/>
          <w:sz w:val="20"/>
          <w:szCs w:val="20"/>
        </w:rPr>
        <w:t>były zaburzone, tak więc nie mógł on podlegać odpowiedzialności karnej</w:t>
      </w:r>
      <w:r w:rsidR="00836B3E" w:rsidRPr="006E23A1">
        <w:rPr>
          <w:rFonts w:ascii="Verdana" w:hAnsi="Verdana" w:cs="Calibri"/>
          <w:sz w:val="20"/>
          <w:szCs w:val="20"/>
        </w:rPr>
        <w:t>,</w:t>
      </w:r>
      <w:r w:rsidR="001761D2" w:rsidRPr="006E23A1">
        <w:rPr>
          <w:rFonts w:ascii="Verdana" w:hAnsi="Verdana" w:cs="Calibri"/>
          <w:sz w:val="20"/>
          <w:szCs w:val="20"/>
        </w:rPr>
        <w:t xml:space="preserve"> a jego zachowanie</w:t>
      </w:r>
      <w:r w:rsidR="00836B3E" w:rsidRPr="006E23A1">
        <w:rPr>
          <w:rFonts w:ascii="Verdana" w:hAnsi="Verdana" w:cs="Calibri"/>
          <w:sz w:val="20"/>
          <w:szCs w:val="20"/>
        </w:rPr>
        <w:t xml:space="preserve"> nie było karalne z rozumieniu </w:t>
      </w:r>
      <w:r w:rsidR="001761D2" w:rsidRPr="006E23A1">
        <w:rPr>
          <w:rFonts w:ascii="Verdana" w:hAnsi="Verdana" w:cs="Calibri"/>
          <w:sz w:val="20"/>
          <w:szCs w:val="20"/>
        </w:rPr>
        <w:t xml:space="preserve">prawa karnego. W ramach środka bezpieczeństwa, prokuratura zastosowała tymczasowe aresztowanie do czasu wyleczenia. Środek ten został utrzymany przez sąd. Lekarze </w:t>
      </w:r>
      <w:r w:rsidR="0090265C" w:rsidRPr="006E23A1">
        <w:rPr>
          <w:rFonts w:ascii="Verdana" w:hAnsi="Verdana" w:cs="Calibri"/>
          <w:sz w:val="20"/>
          <w:szCs w:val="20"/>
        </w:rPr>
        <w:t>wyrazili</w:t>
      </w:r>
      <w:r w:rsidRPr="006E23A1">
        <w:rPr>
          <w:rFonts w:ascii="Verdana" w:hAnsi="Verdana" w:cs="Calibri"/>
          <w:sz w:val="20"/>
          <w:szCs w:val="20"/>
        </w:rPr>
        <w:t xml:space="preserve"> wątpliwości co do braku możliwości</w:t>
      </w:r>
      <w:r w:rsidR="001761D2" w:rsidRPr="006E23A1">
        <w:rPr>
          <w:rFonts w:ascii="Verdana" w:hAnsi="Verdana" w:cs="Calibri"/>
          <w:sz w:val="20"/>
          <w:szCs w:val="20"/>
        </w:rPr>
        <w:t xml:space="preserve"> przypisania skrzącemu odpowiedzialności karnej. W związku z tym prokuratura </w:t>
      </w:r>
      <w:r w:rsidRPr="006E23A1">
        <w:rPr>
          <w:rFonts w:ascii="Verdana" w:hAnsi="Verdana" w:cs="Calibri"/>
          <w:sz w:val="20"/>
          <w:szCs w:val="20"/>
        </w:rPr>
        <w:t>wznowiła</w:t>
      </w:r>
      <w:r w:rsidR="001761D2" w:rsidRPr="006E23A1">
        <w:rPr>
          <w:rFonts w:ascii="Verdana" w:hAnsi="Verdana" w:cs="Calibri"/>
          <w:sz w:val="20"/>
          <w:szCs w:val="20"/>
        </w:rPr>
        <w:t xml:space="preserve"> postępowanie </w:t>
      </w:r>
      <w:r w:rsidRPr="006E23A1">
        <w:rPr>
          <w:rFonts w:ascii="Verdana" w:hAnsi="Verdana" w:cs="Calibri"/>
          <w:sz w:val="20"/>
          <w:szCs w:val="20"/>
        </w:rPr>
        <w:t xml:space="preserve">w celu przeprowadzenia </w:t>
      </w:r>
      <w:r w:rsidR="001B43B9" w:rsidRPr="006E23A1">
        <w:rPr>
          <w:rFonts w:ascii="Verdana" w:hAnsi="Verdana" w:cs="Calibri"/>
          <w:sz w:val="20"/>
          <w:szCs w:val="20"/>
        </w:rPr>
        <w:t>dalszych dowodów</w:t>
      </w:r>
      <w:r w:rsidRPr="006E23A1">
        <w:rPr>
          <w:rFonts w:ascii="Verdana" w:hAnsi="Verdana" w:cs="Calibri"/>
          <w:sz w:val="20"/>
          <w:szCs w:val="20"/>
        </w:rPr>
        <w:t>. W</w:t>
      </w:r>
      <w:r w:rsidR="0090265C" w:rsidRPr="006E23A1">
        <w:rPr>
          <w:rFonts w:ascii="Verdana" w:hAnsi="Verdana" w:cs="Calibri"/>
          <w:sz w:val="20"/>
          <w:szCs w:val="20"/>
        </w:rPr>
        <w:t>e wspólnej</w:t>
      </w:r>
      <w:r w:rsidRPr="006E23A1">
        <w:rPr>
          <w:rFonts w:ascii="Verdana" w:hAnsi="Verdana" w:cs="Calibri"/>
          <w:sz w:val="20"/>
          <w:szCs w:val="20"/>
        </w:rPr>
        <w:t xml:space="preserve"> opinii</w:t>
      </w:r>
      <w:r w:rsidR="0090265C" w:rsidRPr="006E23A1">
        <w:rPr>
          <w:rFonts w:ascii="Verdana" w:hAnsi="Verdana" w:cs="Calibri"/>
          <w:sz w:val="20"/>
          <w:szCs w:val="20"/>
        </w:rPr>
        <w:t>,</w:t>
      </w:r>
      <w:r w:rsidRPr="006E23A1">
        <w:rPr>
          <w:rFonts w:ascii="Verdana" w:hAnsi="Verdana" w:cs="Calibri"/>
          <w:sz w:val="20"/>
          <w:szCs w:val="20"/>
        </w:rPr>
        <w:t xml:space="preserve"> dwóch biegłych ekspertów stwierdziło, że do zabójstwa </w:t>
      </w:r>
      <w:r w:rsidR="001B43B9" w:rsidRPr="006E23A1">
        <w:rPr>
          <w:rFonts w:ascii="Verdana" w:hAnsi="Verdana" w:cs="Calibri"/>
          <w:sz w:val="20"/>
          <w:szCs w:val="20"/>
        </w:rPr>
        <w:t>doszło,</w:t>
      </w:r>
      <w:r w:rsidRPr="006E23A1">
        <w:rPr>
          <w:rFonts w:ascii="Verdana" w:hAnsi="Verdana" w:cs="Calibri"/>
          <w:sz w:val="20"/>
          <w:szCs w:val="20"/>
        </w:rPr>
        <w:t xml:space="preserve"> kiedy zdolności postrzegania skarżącego były nieznacznie zaburzone </w:t>
      </w:r>
      <w:r w:rsidRPr="006E23A1">
        <w:rPr>
          <w:rFonts w:ascii="Verdana" w:hAnsi="Verdana" w:cs="Calibri"/>
          <w:sz w:val="20"/>
          <w:szCs w:val="20"/>
        </w:rPr>
        <w:lastRenderedPageBreak/>
        <w:t>oraz</w:t>
      </w:r>
      <w:r w:rsidR="00836B3E" w:rsidRPr="006E23A1">
        <w:rPr>
          <w:rFonts w:ascii="Verdana" w:hAnsi="Verdana" w:cs="Calibri"/>
          <w:sz w:val="20"/>
          <w:szCs w:val="20"/>
        </w:rPr>
        <w:t>,</w:t>
      </w:r>
      <w:r w:rsidRPr="006E23A1">
        <w:rPr>
          <w:rFonts w:ascii="Verdana" w:hAnsi="Verdana" w:cs="Calibri"/>
          <w:sz w:val="20"/>
          <w:szCs w:val="20"/>
        </w:rPr>
        <w:t xml:space="preserve"> że był on zdolny do odbywania kary pozbawienia wolności. Wobec skarżącego zostało zastosowane prawo karne</w:t>
      </w:r>
      <w:r w:rsidR="00836B3E" w:rsidRPr="006E23A1">
        <w:rPr>
          <w:rFonts w:ascii="Verdana" w:hAnsi="Verdana" w:cs="Calibri"/>
          <w:sz w:val="20"/>
          <w:szCs w:val="20"/>
        </w:rPr>
        <w:t>,</w:t>
      </w:r>
      <w:r w:rsidRPr="006E23A1">
        <w:rPr>
          <w:rFonts w:ascii="Verdana" w:hAnsi="Verdana" w:cs="Calibri"/>
          <w:sz w:val="20"/>
          <w:szCs w:val="20"/>
        </w:rPr>
        <w:t xml:space="preserve"> został uznany za winnego oraz skaz</w:t>
      </w:r>
      <w:r w:rsidR="00836B3E" w:rsidRPr="006E23A1">
        <w:rPr>
          <w:rFonts w:ascii="Verdana" w:hAnsi="Verdana" w:cs="Calibri"/>
          <w:sz w:val="20"/>
          <w:szCs w:val="20"/>
        </w:rPr>
        <w:t>an</w:t>
      </w:r>
      <w:r w:rsidRPr="006E23A1">
        <w:rPr>
          <w:rFonts w:ascii="Verdana" w:hAnsi="Verdana" w:cs="Calibri"/>
          <w:sz w:val="20"/>
          <w:szCs w:val="20"/>
        </w:rPr>
        <w:t xml:space="preserve">y na karę pozbawienia wolności. Skarżący uznał, że dwukrotnie był postawiony w stan oskarżenia oraz skazany za to samo przestępstwo. </w:t>
      </w:r>
    </w:p>
    <w:p w14:paraId="4693F2C5" w14:textId="0DF32E15" w:rsidR="00575823" w:rsidRPr="00E97A36" w:rsidRDefault="00575823" w:rsidP="008B0AE6">
      <w:pPr>
        <w:spacing w:after="0"/>
        <w:jc w:val="both"/>
        <w:rPr>
          <w:rFonts w:ascii="Verdana" w:hAnsi="Verdana" w:cs="Calibri"/>
          <w:color w:val="0070C0"/>
          <w:sz w:val="20"/>
          <w:szCs w:val="20"/>
        </w:rPr>
      </w:pPr>
      <w:r w:rsidRPr="00E97A36">
        <w:rPr>
          <w:rFonts w:ascii="Verdana" w:hAnsi="Verdana" w:cs="Calibri"/>
          <w:color w:val="0070C0"/>
          <w:sz w:val="20"/>
          <w:szCs w:val="20"/>
        </w:rPr>
        <w:t xml:space="preserve">Trybunał przypomniał, że zasada </w:t>
      </w:r>
      <w:r w:rsidRPr="00E97A36">
        <w:rPr>
          <w:rFonts w:ascii="Verdana" w:hAnsi="Verdana" w:cs="Calibri"/>
          <w:i/>
          <w:color w:val="0070C0"/>
          <w:sz w:val="20"/>
          <w:szCs w:val="20"/>
        </w:rPr>
        <w:t xml:space="preserve">ne bis </w:t>
      </w:r>
      <w:r w:rsidR="00836B3E" w:rsidRPr="00E97A36">
        <w:rPr>
          <w:rFonts w:ascii="Verdana" w:hAnsi="Verdana" w:cs="Calibri"/>
          <w:i/>
          <w:color w:val="0070C0"/>
          <w:sz w:val="20"/>
          <w:szCs w:val="20"/>
        </w:rPr>
        <w:t>i</w:t>
      </w:r>
      <w:r w:rsidRPr="00E97A36">
        <w:rPr>
          <w:rFonts w:ascii="Verdana" w:hAnsi="Verdana" w:cs="Calibri"/>
          <w:i/>
          <w:color w:val="0070C0"/>
          <w:sz w:val="20"/>
          <w:szCs w:val="20"/>
        </w:rPr>
        <w:t>n idem</w:t>
      </w:r>
      <w:r w:rsidRPr="00E97A36">
        <w:rPr>
          <w:rFonts w:ascii="Verdana" w:hAnsi="Verdana" w:cs="Calibri"/>
          <w:color w:val="0070C0"/>
          <w:sz w:val="20"/>
          <w:szCs w:val="20"/>
        </w:rPr>
        <w:t xml:space="preserve"> znajduje zastosowanie tylko wtedy, gdy osoba została już ostatecznie uniewinniona lub skazana zgodnie z prawem karny</w:t>
      </w:r>
      <w:r w:rsidR="00836B3E" w:rsidRPr="00E97A36">
        <w:rPr>
          <w:rFonts w:ascii="Verdana" w:hAnsi="Verdana" w:cs="Calibri"/>
          <w:color w:val="0070C0"/>
          <w:sz w:val="20"/>
          <w:szCs w:val="20"/>
        </w:rPr>
        <w:t>m</w:t>
      </w:r>
      <w:r w:rsidRPr="00E97A36">
        <w:rPr>
          <w:rFonts w:ascii="Verdana" w:hAnsi="Verdana" w:cs="Calibri"/>
          <w:color w:val="0070C0"/>
          <w:sz w:val="20"/>
          <w:szCs w:val="20"/>
        </w:rPr>
        <w:t xml:space="preserve"> i postępowaniem karnym danego Państwa. </w:t>
      </w:r>
      <w:r w:rsidR="00404E4F" w:rsidRPr="00E97A36">
        <w:rPr>
          <w:rFonts w:ascii="Verdana" w:hAnsi="Verdana" w:cs="Calibri"/>
          <w:color w:val="0070C0"/>
          <w:sz w:val="20"/>
          <w:szCs w:val="20"/>
        </w:rPr>
        <w:t xml:space="preserve"> W sprawie skarżącego, Trybunał zauważył, że chociaż prokuratura uznała, że nie doszło do wypełnienia znamion przestępstwa, to pomimo tego rozstrzygnięcie to mogło zos</w:t>
      </w:r>
      <w:r w:rsidR="00836B3E" w:rsidRPr="00E97A36">
        <w:rPr>
          <w:rFonts w:ascii="Verdana" w:hAnsi="Verdana" w:cs="Calibri"/>
          <w:color w:val="0070C0"/>
          <w:sz w:val="20"/>
          <w:szCs w:val="20"/>
        </w:rPr>
        <w:t>tać uchylon</w:t>
      </w:r>
      <w:r w:rsidR="00F655EA" w:rsidRPr="00E97A36">
        <w:rPr>
          <w:rFonts w:ascii="Verdana" w:hAnsi="Verdana" w:cs="Calibri"/>
          <w:color w:val="0070C0"/>
          <w:sz w:val="20"/>
          <w:szCs w:val="20"/>
        </w:rPr>
        <w:t>e przez organ wyższego rzędu</w:t>
      </w:r>
      <w:r w:rsidR="00836B3E" w:rsidRPr="00E97A36">
        <w:rPr>
          <w:rFonts w:ascii="Verdana" w:hAnsi="Verdana" w:cs="Calibri"/>
          <w:color w:val="0070C0"/>
          <w:sz w:val="20"/>
          <w:szCs w:val="20"/>
        </w:rPr>
        <w:t>,</w:t>
      </w:r>
      <w:r w:rsidR="00F655EA" w:rsidRPr="00E97A36">
        <w:rPr>
          <w:rFonts w:ascii="Verdana" w:hAnsi="Verdana" w:cs="Calibri"/>
          <w:color w:val="0070C0"/>
          <w:sz w:val="20"/>
          <w:szCs w:val="20"/>
        </w:rPr>
        <w:t xml:space="preserve"> a zatem</w:t>
      </w:r>
      <w:r w:rsidR="00404E4F" w:rsidRPr="00E97A36">
        <w:rPr>
          <w:rFonts w:ascii="Verdana" w:hAnsi="Verdana" w:cs="Calibri"/>
          <w:color w:val="0070C0"/>
          <w:sz w:val="20"/>
          <w:szCs w:val="20"/>
        </w:rPr>
        <w:t xml:space="preserve"> nie </w:t>
      </w:r>
      <w:r w:rsidR="00836B3E" w:rsidRPr="00E97A36">
        <w:rPr>
          <w:rFonts w:ascii="Verdana" w:hAnsi="Verdana" w:cs="Calibri"/>
          <w:color w:val="0070C0"/>
          <w:sz w:val="20"/>
          <w:szCs w:val="20"/>
        </w:rPr>
        <w:t>było ostateczne</w:t>
      </w:r>
      <w:r w:rsidR="00F655EA" w:rsidRPr="00E97A36">
        <w:rPr>
          <w:rFonts w:ascii="Verdana" w:hAnsi="Verdana" w:cs="Calibri"/>
          <w:color w:val="0070C0"/>
          <w:sz w:val="20"/>
          <w:szCs w:val="20"/>
        </w:rPr>
        <w:t xml:space="preserve">. Sąd zatwierdził tymczasowe </w:t>
      </w:r>
      <w:r w:rsidR="00836B3E" w:rsidRPr="00E97A36">
        <w:rPr>
          <w:rFonts w:ascii="Verdana" w:hAnsi="Verdana" w:cs="Calibri"/>
          <w:color w:val="0070C0"/>
          <w:sz w:val="20"/>
          <w:szCs w:val="20"/>
        </w:rPr>
        <w:t>aresz</w:t>
      </w:r>
      <w:r w:rsidR="0090265C" w:rsidRPr="00E97A36">
        <w:rPr>
          <w:rFonts w:ascii="Verdana" w:hAnsi="Verdana" w:cs="Calibri"/>
          <w:color w:val="0070C0"/>
          <w:sz w:val="20"/>
          <w:szCs w:val="20"/>
        </w:rPr>
        <w:t>towanie</w:t>
      </w:r>
      <w:r w:rsidR="00F655EA" w:rsidRPr="00E97A36">
        <w:rPr>
          <w:rFonts w:ascii="Verdana" w:hAnsi="Verdana" w:cs="Calibri"/>
          <w:color w:val="0070C0"/>
          <w:sz w:val="20"/>
          <w:szCs w:val="20"/>
        </w:rPr>
        <w:t xml:space="preserve"> skarżącego bez podejmowania decyzji co do jego odpowiedzialności karnej. Zastosowanie środka tymczasowego nie wykluczyło możliwości wznowienia postępowania. W związku z tym nie było mowy o uniewinnieniu w rozumieniu kwesti</w:t>
      </w:r>
      <w:r w:rsidR="00836B3E" w:rsidRPr="00E97A36">
        <w:rPr>
          <w:rFonts w:ascii="Verdana" w:hAnsi="Verdana" w:cs="Calibri"/>
          <w:color w:val="0070C0"/>
          <w:sz w:val="20"/>
          <w:szCs w:val="20"/>
        </w:rPr>
        <w:t xml:space="preserve">onowanego artykułu, ale raczej </w:t>
      </w:r>
      <w:r w:rsidR="00F655EA" w:rsidRPr="00E97A36">
        <w:rPr>
          <w:rFonts w:ascii="Verdana" w:hAnsi="Verdana" w:cs="Calibri"/>
          <w:color w:val="0070C0"/>
          <w:sz w:val="20"/>
          <w:szCs w:val="20"/>
        </w:rPr>
        <w:t xml:space="preserve">o środku zapobiegawczym, który nie pociąga za sobą żadnego badania ani stwierdzenia o </w:t>
      </w:r>
      <w:r w:rsidR="00836B3E" w:rsidRPr="00E97A36">
        <w:rPr>
          <w:rFonts w:ascii="Verdana" w:hAnsi="Verdana" w:cs="Calibri"/>
          <w:color w:val="0070C0"/>
          <w:sz w:val="20"/>
          <w:szCs w:val="20"/>
        </w:rPr>
        <w:t>winie</w:t>
      </w:r>
      <w:r w:rsidR="00F655EA" w:rsidRPr="00E97A36">
        <w:rPr>
          <w:rFonts w:ascii="Verdana" w:hAnsi="Verdana" w:cs="Calibri"/>
          <w:color w:val="0070C0"/>
          <w:sz w:val="20"/>
          <w:szCs w:val="20"/>
        </w:rPr>
        <w:t xml:space="preserve"> skarżącego. W skrócie, w braku ostatecznej decyzji nieodwołalnie kończącej postępowanie karne, jego wznowienie </w:t>
      </w:r>
      <w:r w:rsidR="00003000" w:rsidRPr="00E97A36">
        <w:rPr>
          <w:rFonts w:ascii="Verdana" w:hAnsi="Verdana" w:cs="Calibri"/>
          <w:color w:val="0070C0"/>
          <w:sz w:val="20"/>
          <w:szCs w:val="20"/>
        </w:rPr>
        <w:t xml:space="preserve">stanowiło jedynie kontynuację </w:t>
      </w:r>
      <w:r w:rsidR="0090265C" w:rsidRPr="00E97A36">
        <w:rPr>
          <w:rFonts w:ascii="Verdana" w:hAnsi="Verdana" w:cs="Calibri"/>
          <w:color w:val="0070C0"/>
          <w:sz w:val="20"/>
          <w:szCs w:val="20"/>
        </w:rPr>
        <w:t xml:space="preserve">wstępnego </w:t>
      </w:r>
      <w:r w:rsidR="00003000" w:rsidRPr="00E97A36">
        <w:rPr>
          <w:rFonts w:ascii="Verdana" w:hAnsi="Verdana" w:cs="Calibri"/>
          <w:color w:val="0070C0"/>
          <w:sz w:val="20"/>
          <w:szCs w:val="20"/>
        </w:rPr>
        <w:t>postępowania. Stąd też Trybunał orzekł, że art</w:t>
      </w:r>
      <w:r w:rsidR="00AB1D4A" w:rsidRPr="00E97A36">
        <w:rPr>
          <w:rFonts w:ascii="Verdana" w:hAnsi="Verdana" w:cs="Calibri"/>
          <w:color w:val="0070C0"/>
          <w:sz w:val="20"/>
          <w:szCs w:val="20"/>
        </w:rPr>
        <w:t xml:space="preserve">. 4 Protokołu </w:t>
      </w:r>
      <w:r w:rsidR="00E97A36">
        <w:rPr>
          <w:rFonts w:ascii="Verdana" w:hAnsi="Verdana" w:cs="Calibri"/>
          <w:color w:val="0070C0"/>
          <w:sz w:val="20"/>
          <w:szCs w:val="20"/>
        </w:rPr>
        <w:t>n</w:t>
      </w:r>
      <w:r w:rsidR="00E97A36" w:rsidRPr="00E97A36">
        <w:rPr>
          <w:rFonts w:ascii="Verdana" w:hAnsi="Verdana" w:cs="Calibri"/>
          <w:color w:val="0070C0"/>
          <w:sz w:val="20"/>
          <w:szCs w:val="20"/>
        </w:rPr>
        <w:t>r</w:t>
      </w:r>
      <w:r w:rsidR="00003000" w:rsidRPr="00E97A36">
        <w:rPr>
          <w:rFonts w:ascii="Verdana" w:hAnsi="Verdana" w:cs="Calibri"/>
          <w:color w:val="0070C0"/>
          <w:sz w:val="20"/>
          <w:szCs w:val="20"/>
        </w:rPr>
        <w:t xml:space="preserve"> 7 nie znajduje zastosowani</w:t>
      </w:r>
      <w:r w:rsidR="0067447B" w:rsidRPr="00E97A36">
        <w:rPr>
          <w:rFonts w:ascii="Verdana" w:hAnsi="Verdana" w:cs="Calibri"/>
          <w:color w:val="0070C0"/>
          <w:sz w:val="20"/>
          <w:szCs w:val="20"/>
        </w:rPr>
        <w:t>a</w:t>
      </w:r>
      <w:r w:rsidR="00003000" w:rsidRPr="00E97A36">
        <w:rPr>
          <w:rFonts w:ascii="Verdana" w:hAnsi="Verdana" w:cs="Calibri"/>
          <w:color w:val="0070C0"/>
          <w:sz w:val="20"/>
          <w:szCs w:val="20"/>
        </w:rPr>
        <w:t xml:space="preserve"> do sprawy skarżącego oraz stwierdził </w:t>
      </w:r>
      <w:r w:rsidR="00003000" w:rsidRPr="00E97A36">
        <w:rPr>
          <w:rFonts w:ascii="Verdana" w:hAnsi="Verdana" w:cs="Calibri"/>
          <w:b/>
          <w:color w:val="0070C0"/>
          <w:sz w:val="20"/>
          <w:szCs w:val="20"/>
        </w:rPr>
        <w:t>nied</w:t>
      </w:r>
      <w:r w:rsidR="00836B3E" w:rsidRPr="00E97A36">
        <w:rPr>
          <w:rFonts w:ascii="Verdana" w:hAnsi="Verdana" w:cs="Calibri"/>
          <w:b/>
          <w:color w:val="0070C0"/>
          <w:sz w:val="20"/>
          <w:szCs w:val="20"/>
        </w:rPr>
        <w:t>opuszczalność</w:t>
      </w:r>
      <w:r w:rsidR="00003000" w:rsidRPr="00E97A36">
        <w:rPr>
          <w:rFonts w:ascii="Verdana" w:hAnsi="Verdana" w:cs="Calibri"/>
          <w:b/>
          <w:color w:val="0070C0"/>
          <w:sz w:val="20"/>
          <w:szCs w:val="20"/>
        </w:rPr>
        <w:t xml:space="preserve"> </w:t>
      </w:r>
      <w:r w:rsidR="00003000" w:rsidRPr="00E97A36">
        <w:rPr>
          <w:rFonts w:ascii="Verdana" w:hAnsi="Verdana" w:cs="Calibri"/>
          <w:color w:val="0070C0"/>
          <w:sz w:val="20"/>
          <w:szCs w:val="20"/>
        </w:rPr>
        <w:t xml:space="preserve">skargi jako będącej niezgodnej z </w:t>
      </w:r>
      <w:r w:rsidR="00836B3E" w:rsidRPr="00E97A36">
        <w:rPr>
          <w:rFonts w:ascii="Verdana" w:hAnsi="Verdana" w:cs="Calibri"/>
          <w:i/>
          <w:color w:val="0070C0"/>
          <w:sz w:val="20"/>
          <w:szCs w:val="20"/>
        </w:rPr>
        <w:t>ratione</w:t>
      </w:r>
      <w:r w:rsidR="00003000" w:rsidRPr="00E97A36">
        <w:rPr>
          <w:rFonts w:ascii="Verdana" w:hAnsi="Verdana" w:cs="Calibri"/>
          <w:i/>
          <w:color w:val="0070C0"/>
          <w:sz w:val="20"/>
          <w:szCs w:val="20"/>
        </w:rPr>
        <w:t xml:space="preserve"> materie</w:t>
      </w:r>
      <w:r w:rsidR="00003000" w:rsidRPr="00E97A36">
        <w:rPr>
          <w:rFonts w:ascii="Verdana" w:hAnsi="Verdana" w:cs="Calibri"/>
          <w:color w:val="0070C0"/>
          <w:sz w:val="20"/>
          <w:szCs w:val="20"/>
        </w:rPr>
        <w:t xml:space="preserve"> Konwencji. </w:t>
      </w:r>
    </w:p>
    <w:p w14:paraId="590BACA6" w14:textId="77777777" w:rsidR="00E97A36" w:rsidRDefault="00E97A36" w:rsidP="008B0AE6">
      <w:pPr>
        <w:spacing w:after="0"/>
        <w:jc w:val="both"/>
        <w:rPr>
          <w:rFonts w:ascii="Verdana" w:hAnsi="Verdana" w:cs="Calibri"/>
          <w:i/>
          <w:sz w:val="20"/>
          <w:szCs w:val="20"/>
        </w:rPr>
      </w:pPr>
    </w:p>
    <w:p w14:paraId="34D559BE" w14:textId="46557F91" w:rsidR="008C1DB6" w:rsidRPr="00422011" w:rsidRDefault="00003000" w:rsidP="008B0AE6">
      <w:pPr>
        <w:spacing w:after="0"/>
        <w:jc w:val="both"/>
        <w:rPr>
          <w:rFonts w:ascii="Verdana" w:hAnsi="Verdana" w:cs="Calibri"/>
          <w:i/>
          <w:color w:val="3B3838" w:themeColor="background2" w:themeShade="40"/>
          <w:sz w:val="24"/>
          <w:szCs w:val="24"/>
        </w:rPr>
      </w:pPr>
      <w:r w:rsidRPr="00422011">
        <w:rPr>
          <w:rFonts w:ascii="Verdana" w:hAnsi="Verdana" w:cs="Calibri"/>
          <w:i/>
          <w:color w:val="3B3838" w:themeColor="background2" w:themeShade="40"/>
          <w:sz w:val="24"/>
          <w:szCs w:val="24"/>
        </w:rPr>
        <w:t>Amnestie</w:t>
      </w:r>
    </w:p>
    <w:p w14:paraId="26FDECC9" w14:textId="77777777" w:rsidR="00E97A36" w:rsidRPr="00E97A36" w:rsidRDefault="00E97A36" w:rsidP="008B0AE6">
      <w:pPr>
        <w:spacing w:after="0"/>
        <w:jc w:val="both"/>
        <w:rPr>
          <w:rFonts w:ascii="Verdana" w:hAnsi="Verdana" w:cs="Calibri"/>
          <w:i/>
          <w:sz w:val="24"/>
          <w:szCs w:val="24"/>
        </w:rPr>
      </w:pPr>
    </w:p>
    <w:p w14:paraId="77E09042" w14:textId="26F13099" w:rsidR="00003000" w:rsidRPr="006E23A1" w:rsidRDefault="006A1425" w:rsidP="008B0AE6">
      <w:pPr>
        <w:spacing w:after="0"/>
        <w:rPr>
          <w:rFonts w:ascii="Verdana" w:hAnsi="Verdana" w:cs="Calibri"/>
          <w:i/>
          <w:sz w:val="20"/>
          <w:szCs w:val="20"/>
        </w:rPr>
      </w:pPr>
      <w:hyperlink r:id="rId32" w:history="1">
        <w:r w:rsidRPr="006A1425">
          <w:rPr>
            <w:rStyle w:val="Hipercze"/>
            <w:rFonts w:ascii="Verdana" w:hAnsi="Verdana" w:cs="Calibri"/>
            <w:b/>
            <w:bCs/>
            <w:sz w:val="20"/>
            <w:szCs w:val="20"/>
          </w:rPr>
          <w:t>Marguš</w:t>
        </w:r>
        <w:r w:rsidR="008C1DB6" w:rsidRPr="006A1425">
          <w:rPr>
            <w:rStyle w:val="Hipercze"/>
            <w:rFonts w:ascii="Verdana" w:hAnsi="Verdana" w:cs="Calibri"/>
            <w:b/>
            <w:sz w:val="20"/>
            <w:szCs w:val="20"/>
          </w:rPr>
          <w:t xml:space="preserve"> przeciwko Chorwacji</w:t>
        </w:r>
      </w:hyperlink>
      <w:r w:rsidR="008C1DB6" w:rsidRPr="006E23A1">
        <w:rPr>
          <w:rFonts w:ascii="Verdana" w:hAnsi="Verdana" w:cs="Calibri"/>
          <w:b/>
          <w:color w:val="2E74B5" w:themeColor="accent1" w:themeShade="BF"/>
          <w:sz w:val="20"/>
          <w:szCs w:val="20"/>
          <w:u w:val="single"/>
        </w:rPr>
        <w:br/>
      </w:r>
      <w:r w:rsidR="008C1DB6" w:rsidRPr="006A1425">
        <w:rPr>
          <w:rFonts w:ascii="Verdana" w:hAnsi="Verdana" w:cs="Calibri"/>
          <w:color w:val="767171" w:themeColor="background2" w:themeShade="80"/>
          <w:sz w:val="18"/>
          <w:szCs w:val="18"/>
        </w:rPr>
        <w:t>27 maja 2014</w:t>
      </w:r>
      <w:r w:rsidR="0067447B" w:rsidRPr="006A1425">
        <w:rPr>
          <w:rFonts w:ascii="Verdana" w:hAnsi="Verdana" w:cs="Calibri"/>
          <w:color w:val="767171" w:themeColor="background2" w:themeShade="80"/>
          <w:sz w:val="18"/>
          <w:szCs w:val="18"/>
        </w:rPr>
        <w:t xml:space="preserve"> </w:t>
      </w:r>
      <w:r w:rsidR="00C43A38" w:rsidRPr="006A1425">
        <w:rPr>
          <w:rFonts w:ascii="Verdana" w:hAnsi="Verdana" w:cs="Calibri"/>
          <w:color w:val="767171" w:themeColor="background2" w:themeShade="80"/>
          <w:sz w:val="18"/>
          <w:szCs w:val="18"/>
        </w:rPr>
        <w:t>r.</w:t>
      </w:r>
      <w:r w:rsidR="00003000" w:rsidRPr="006A1425">
        <w:rPr>
          <w:rFonts w:ascii="Verdana" w:hAnsi="Verdana" w:cs="Calibri"/>
          <w:color w:val="767171" w:themeColor="background2" w:themeShade="80"/>
          <w:sz w:val="18"/>
          <w:szCs w:val="18"/>
        </w:rPr>
        <w:t xml:space="preserve"> (Wielka Izba)</w:t>
      </w:r>
    </w:p>
    <w:p w14:paraId="7D0B23B1" w14:textId="5EA09D8E" w:rsidR="00003000" w:rsidRPr="006E23A1" w:rsidRDefault="00003000" w:rsidP="008B0AE6">
      <w:pPr>
        <w:spacing w:after="0"/>
        <w:jc w:val="both"/>
        <w:rPr>
          <w:rFonts w:ascii="Verdana" w:hAnsi="Verdana" w:cs="Calibri"/>
          <w:sz w:val="20"/>
          <w:szCs w:val="20"/>
        </w:rPr>
      </w:pPr>
      <w:r w:rsidRPr="006E23A1">
        <w:rPr>
          <w:rFonts w:ascii="Verdana" w:hAnsi="Verdana" w:cs="Calibri"/>
          <w:sz w:val="20"/>
          <w:szCs w:val="20"/>
        </w:rPr>
        <w:t xml:space="preserve">Sprawa ta dotyczyła skazania, w 2007 r., byłego dowódcy chorwackich sił zbrojnych, za przestępstwa popełnione przeciwko ludności cywilnej w 1991 r. </w:t>
      </w:r>
      <w:r w:rsidR="00BB53BE" w:rsidRPr="006E23A1">
        <w:rPr>
          <w:rFonts w:ascii="Verdana" w:hAnsi="Verdana" w:cs="Calibri"/>
          <w:sz w:val="20"/>
          <w:szCs w:val="20"/>
        </w:rPr>
        <w:t>Skarżący w szczególności zarzucał</w:t>
      </w:r>
      <w:r w:rsidRPr="006E23A1">
        <w:rPr>
          <w:rFonts w:ascii="Verdana" w:hAnsi="Verdana" w:cs="Calibri"/>
          <w:sz w:val="20"/>
          <w:szCs w:val="20"/>
        </w:rPr>
        <w:t>, że przestępstwa</w:t>
      </w:r>
      <w:r w:rsidR="00704A83" w:rsidRPr="006E23A1">
        <w:rPr>
          <w:rFonts w:ascii="Verdana" w:hAnsi="Verdana" w:cs="Calibri"/>
          <w:sz w:val="20"/>
          <w:szCs w:val="20"/>
        </w:rPr>
        <w:t>,</w:t>
      </w:r>
      <w:r w:rsidRPr="006E23A1">
        <w:rPr>
          <w:rFonts w:ascii="Verdana" w:hAnsi="Verdana" w:cs="Calibri"/>
          <w:sz w:val="20"/>
          <w:szCs w:val="20"/>
        </w:rPr>
        <w:t xml:space="preserve"> za które został skazany były takie same jak te</w:t>
      </w:r>
      <w:r w:rsidR="0067447B" w:rsidRPr="006E23A1">
        <w:rPr>
          <w:rFonts w:ascii="Verdana" w:hAnsi="Verdana" w:cs="Calibri"/>
          <w:sz w:val="20"/>
          <w:szCs w:val="20"/>
        </w:rPr>
        <w:t>,</w:t>
      </w:r>
      <w:r w:rsidRPr="006E23A1">
        <w:rPr>
          <w:rFonts w:ascii="Verdana" w:hAnsi="Verdana" w:cs="Calibri"/>
          <w:sz w:val="20"/>
          <w:szCs w:val="20"/>
        </w:rPr>
        <w:t xml:space="preserve"> które były przedmiotem postępowania prowadzonego</w:t>
      </w:r>
      <w:r w:rsidR="00704A83" w:rsidRPr="006E23A1">
        <w:rPr>
          <w:rFonts w:ascii="Verdana" w:hAnsi="Verdana" w:cs="Calibri"/>
          <w:sz w:val="20"/>
          <w:szCs w:val="20"/>
        </w:rPr>
        <w:t xml:space="preserve"> przeciwko niemu</w:t>
      </w:r>
      <w:r w:rsidR="00BB53BE" w:rsidRPr="006E23A1">
        <w:rPr>
          <w:rFonts w:ascii="Verdana" w:hAnsi="Verdana" w:cs="Calibri"/>
          <w:sz w:val="20"/>
          <w:szCs w:val="20"/>
        </w:rPr>
        <w:t>, a</w:t>
      </w:r>
      <w:r w:rsidRPr="006E23A1">
        <w:rPr>
          <w:rFonts w:ascii="Verdana" w:hAnsi="Verdana" w:cs="Calibri"/>
          <w:sz w:val="20"/>
          <w:szCs w:val="20"/>
        </w:rPr>
        <w:t xml:space="preserve"> zakończonego </w:t>
      </w:r>
      <w:r w:rsidR="00704A83" w:rsidRPr="006E23A1">
        <w:rPr>
          <w:rFonts w:ascii="Verdana" w:hAnsi="Verdana" w:cs="Calibri"/>
          <w:sz w:val="20"/>
          <w:szCs w:val="20"/>
        </w:rPr>
        <w:t xml:space="preserve">w 1997 r. </w:t>
      </w:r>
      <w:r w:rsidRPr="006E23A1">
        <w:rPr>
          <w:rFonts w:ascii="Verdana" w:hAnsi="Verdana" w:cs="Calibri"/>
          <w:sz w:val="20"/>
          <w:szCs w:val="20"/>
        </w:rPr>
        <w:t xml:space="preserve">w ramach </w:t>
      </w:r>
      <w:r w:rsidR="00BB53BE" w:rsidRPr="006E23A1">
        <w:rPr>
          <w:rFonts w:ascii="Verdana" w:hAnsi="Verdana" w:cs="Calibri"/>
          <w:sz w:val="20"/>
          <w:szCs w:val="20"/>
        </w:rPr>
        <w:t>zastosowania</w:t>
      </w:r>
      <w:r w:rsidRPr="006E23A1">
        <w:rPr>
          <w:rFonts w:ascii="Verdana" w:hAnsi="Verdana" w:cs="Calibri"/>
          <w:sz w:val="20"/>
          <w:szCs w:val="20"/>
        </w:rPr>
        <w:t xml:space="preserve"> </w:t>
      </w:r>
      <w:r w:rsidR="00BB53BE" w:rsidRPr="006E23A1">
        <w:rPr>
          <w:rFonts w:ascii="Verdana" w:hAnsi="Verdana" w:cs="Calibri"/>
          <w:sz w:val="20"/>
          <w:szCs w:val="20"/>
        </w:rPr>
        <w:t>ustawy amnestyjnej</w:t>
      </w:r>
      <w:r w:rsidRPr="006E23A1">
        <w:rPr>
          <w:rFonts w:ascii="Verdana" w:hAnsi="Verdana" w:cs="Calibri"/>
          <w:sz w:val="20"/>
          <w:szCs w:val="20"/>
        </w:rPr>
        <w:t xml:space="preserve">. </w:t>
      </w:r>
    </w:p>
    <w:p w14:paraId="2F6536E9" w14:textId="57331B06" w:rsidR="005E6480" w:rsidRPr="006A1425" w:rsidRDefault="00003000" w:rsidP="008B0AE6">
      <w:pPr>
        <w:spacing w:after="0"/>
        <w:jc w:val="both"/>
        <w:rPr>
          <w:rFonts w:ascii="Verdana" w:hAnsi="Verdana" w:cs="Calibri"/>
          <w:color w:val="0070C0"/>
          <w:sz w:val="20"/>
          <w:szCs w:val="20"/>
        </w:rPr>
      </w:pPr>
      <w:r w:rsidRPr="006A1425">
        <w:rPr>
          <w:rFonts w:ascii="Verdana" w:hAnsi="Verdana" w:cs="Calibri"/>
          <w:color w:val="0070C0"/>
          <w:sz w:val="20"/>
          <w:szCs w:val="20"/>
        </w:rPr>
        <w:t>Trybunał orzekł, że art</w:t>
      </w:r>
      <w:r w:rsidR="00BB53BE" w:rsidRPr="006A1425">
        <w:rPr>
          <w:rFonts w:ascii="Verdana" w:hAnsi="Verdana" w:cs="Calibri"/>
          <w:color w:val="0070C0"/>
          <w:sz w:val="20"/>
          <w:szCs w:val="20"/>
        </w:rPr>
        <w:t xml:space="preserve">. 4 Protokołu </w:t>
      </w:r>
      <w:r w:rsidR="006A1425">
        <w:rPr>
          <w:rFonts w:ascii="Verdana" w:hAnsi="Verdana" w:cs="Calibri"/>
          <w:color w:val="0070C0"/>
          <w:sz w:val="20"/>
          <w:szCs w:val="20"/>
        </w:rPr>
        <w:t>n</w:t>
      </w:r>
      <w:r w:rsidR="00E97A36" w:rsidRPr="006A1425">
        <w:rPr>
          <w:rFonts w:ascii="Verdana" w:hAnsi="Verdana" w:cs="Calibri"/>
          <w:color w:val="0070C0"/>
          <w:sz w:val="20"/>
          <w:szCs w:val="20"/>
        </w:rPr>
        <w:t>r</w:t>
      </w:r>
      <w:r w:rsidRPr="006A1425">
        <w:rPr>
          <w:rFonts w:ascii="Verdana" w:hAnsi="Verdana" w:cs="Calibri"/>
          <w:color w:val="0070C0"/>
          <w:sz w:val="20"/>
          <w:szCs w:val="20"/>
        </w:rPr>
        <w:t xml:space="preserve"> 7 </w:t>
      </w:r>
      <w:r w:rsidRPr="006A1425">
        <w:rPr>
          <w:rFonts w:ascii="Verdana" w:hAnsi="Verdana" w:cs="Calibri"/>
          <w:b/>
          <w:color w:val="0070C0"/>
          <w:sz w:val="20"/>
          <w:szCs w:val="20"/>
        </w:rPr>
        <w:t xml:space="preserve">nie miał </w:t>
      </w:r>
      <w:r w:rsidR="000412A1" w:rsidRPr="006A1425">
        <w:rPr>
          <w:rFonts w:ascii="Verdana" w:hAnsi="Verdana" w:cs="Calibri"/>
          <w:b/>
          <w:color w:val="0070C0"/>
          <w:sz w:val="20"/>
          <w:szCs w:val="20"/>
        </w:rPr>
        <w:t>zastosowania</w:t>
      </w:r>
      <w:r w:rsidRPr="006A1425">
        <w:rPr>
          <w:rFonts w:ascii="Verdana" w:hAnsi="Verdana" w:cs="Calibri"/>
          <w:color w:val="0070C0"/>
          <w:sz w:val="20"/>
          <w:szCs w:val="20"/>
        </w:rPr>
        <w:t xml:space="preserve"> </w:t>
      </w:r>
      <w:r w:rsidR="005E6480" w:rsidRPr="006A1425">
        <w:rPr>
          <w:rFonts w:ascii="Verdana" w:hAnsi="Verdana" w:cs="Calibri"/>
          <w:color w:val="0070C0"/>
          <w:sz w:val="20"/>
          <w:szCs w:val="20"/>
        </w:rPr>
        <w:t>w odniesieniu</w:t>
      </w:r>
      <w:r w:rsidRPr="006A1425">
        <w:rPr>
          <w:rFonts w:ascii="Verdana" w:hAnsi="Verdana" w:cs="Calibri"/>
          <w:color w:val="0070C0"/>
          <w:sz w:val="20"/>
          <w:szCs w:val="20"/>
        </w:rPr>
        <w:t xml:space="preserve"> do zarzutów </w:t>
      </w:r>
      <w:r w:rsidR="005E6480" w:rsidRPr="006A1425">
        <w:rPr>
          <w:rFonts w:ascii="Verdana" w:hAnsi="Verdana" w:cs="Calibri"/>
          <w:color w:val="0070C0"/>
          <w:sz w:val="20"/>
          <w:szCs w:val="20"/>
        </w:rPr>
        <w:t xml:space="preserve">popełnienia przestępstw, co do których toczące się </w:t>
      </w:r>
      <w:r w:rsidR="00704A83" w:rsidRPr="006A1425">
        <w:rPr>
          <w:rFonts w:ascii="Verdana" w:hAnsi="Verdana" w:cs="Calibri"/>
          <w:color w:val="0070C0"/>
          <w:sz w:val="20"/>
          <w:szCs w:val="20"/>
        </w:rPr>
        <w:t>przeciwko skarżącemu postępowania karne zostały</w:t>
      </w:r>
      <w:r w:rsidR="005E6480" w:rsidRPr="006A1425">
        <w:rPr>
          <w:rFonts w:ascii="Verdana" w:hAnsi="Verdana" w:cs="Calibri"/>
          <w:color w:val="0070C0"/>
          <w:sz w:val="20"/>
          <w:szCs w:val="20"/>
        </w:rPr>
        <w:t xml:space="preserve"> z</w:t>
      </w:r>
      <w:r w:rsidR="00704A83" w:rsidRPr="006A1425">
        <w:rPr>
          <w:rFonts w:ascii="Verdana" w:hAnsi="Verdana" w:cs="Calibri"/>
          <w:color w:val="0070C0"/>
          <w:sz w:val="20"/>
          <w:szCs w:val="20"/>
        </w:rPr>
        <w:t>akończone na skutek zastosowania</w:t>
      </w:r>
      <w:r w:rsidR="005E6480" w:rsidRPr="006A1425">
        <w:rPr>
          <w:rFonts w:ascii="Verdana" w:hAnsi="Verdana" w:cs="Calibri"/>
          <w:color w:val="0070C0"/>
          <w:sz w:val="20"/>
          <w:szCs w:val="20"/>
        </w:rPr>
        <w:t xml:space="preserve"> </w:t>
      </w:r>
      <w:r w:rsidR="00704A83" w:rsidRPr="006A1425">
        <w:rPr>
          <w:rFonts w:ascii="Verdana" w:hAnsi="Verdana" w:cs="Calibri"/>
          <w:color w:val="0070C0"/>
          <w:sz w:val="20"/>
          <w:szCs w:val="20"/>
        </w:rPr>
        <w:t>ustawy amnestyjnej</w:t>
      </w:r>
      <w:r w:rsidR="005E6480" w:rsidRPr="006A1425">
        <w:rPr>
          <w:rFonts w:ascii="Verdana" w:hAnsi="Verdana" w:cs="Calibri"/>
          <w:color w:val="0070C0"/>
          <w:sz w:val="20"/>
          <w:szCs w:val="20"/>
        </w:rPr>
        <w:t xml:space="preserve">. Zauważył, w szczególności, że w prawie </w:t>
      </w:r>
      <w:r w:rsidR="00704A83" w:rsidRPr="006A1425">
        <w:rPr>
          <w:rFonts w:ascii="Verdana" w:hAnsi="Verdana" w:cs="Calibri"/>
          <w:color w:val="0070C0"/>
          <w:sz w:val="20"/>
          <w:szCs w:val="20"/>
        </w:rPr>
        <w:t>międzynarodowym występowała</w:t>
      </w:r>
      <w:r w:rsidR="005E6480" w:rsidRPr="006A1425">
        <w:rPr>
          <w:rFonts w:ascii="Verdana" w:hAnsi="Verdana" w:cs="Calibri"/>
          <w:color w:val="0070C0"/>
          <w:sz w:val="20"/>
          <w:szCs w:val="20"/>
        </w:rPr>
        <w:t xml:space="preserve"> tendencja</w:t>
      </w:r>
      <w:r w:rsidR="00704A83" w:rsidRPr="006A1425">
        <w:rPr>
          <w:rFonts w:ascii="Verdana" w:hAnsi="Verdana" w:cs="Calibri"/>
          <w:color w:val="0070C0"/>
          <w:sz w:val="20"/>
          <w:szCs w:val="20"/>
        </w:rPr>
        <w:t xml:space="preserve"> wzrostowa</w:t>
      </w:r>
      <w:r w:rsidR="005E6480" w:rsidRPr="006A1425">
        <w:rPr>
          <w:rFonts w:ascii="Verdana" w:hAnsi="Verdana" w:cs="Calibri"/>
          <w:color w:val="0070C0"/>
          <w:sz w:val="20"/>
          <w:szCs w:val="20"/>
        </w:rPr>
        <w:t xml:space="preserve"> do uznawania za niedopuszczalne przyznawania amnestii w związku z poważnymi naruszeniami praw człowieka i stwierdził, że nowy akt oskarżenia przeciw skarżącemu oraz skazanie </w:t>
      </w:r>
      <w:r w:rsidR="001A6819" w:rsidRPr="006A1425">
        <w:rPr>
          <w:rFonts w:ascii="Verdana" w:hAnsi="Verdana" w:cs="Calibri"/>
          <w:color w:val="0070C0"/>
          <w:sz w:val="20"/>
          <w:szCs w:val="20"/>
        </w:rPr>
        <w:t>go za zbrodnie wojenn</w:t>
      </w:r>
      <w:r w:rsidR="0067447B" w:rsidRPr="006A1425">
        <w:rPr>
          <w:rFonts w:ascii="Verdana" w:hAnsi="Verdana" w:cs="Calibri"/>
          <w:color w:val="0070C0"/>
          <w:sz w:val="20"/>
          <w:szCs w:val="20"/>
        </w:rPr>
        <w:t>e</w:t>
      </w:r>
      <w:r w:rsidR="001A6819" w:rsidRPr="006A1425">
        <w:rPr>
          <w:rFonts w:ascii="Verdana" w:hAnsi="Verdana" w:cs="Calibri"/>
          <w:color w:val="0070C0"/>
          <w:sz w:val="20"/>
          <w:szCs w:val="20"/>
        </w:rPr>
        <w:t xml:space="preserve"> przeciwko</w:t>
      </w:r>
      <w:r w:rsidR="005E6480" w:rsidRPr="006A1425">
        <w:rPr>
          <w:rFonts w:ascii="Verdana" w:hAnsi="Verdana" w:cs="Calibri"/>
          <w:color w:val="0070C0"/>
          <w:sz w:val="20"/>
          <w:szCs w:val="20"/>
        </w:rPr>
        <w:t xml:space="preserve"> ludności cywilnej, było działaniem władz chorwackich zgodnym z art. 2 (prawo do życia) oraz art. 3 (zakaz tortur oraz innego nieludzkiego traktowania) Konwencji oraz zgodnym z zaleceniem organów międzynarodowych. </w:t>
      </w:r>
    </w:p>
    <w:p w14:paraId="586E1D0A" w14:textId="77777777" w:rsidR="006A1425" w:rsidRDefault="006A1425" w:rsidP="008B0AE6">
      <w:pPr>
        <w:spacing w:after="0" w:line="0" w:lineRule="atLeast"/>
        <w:rPr>
          <w:rFonts w:ascii="Verdana" w:eastAsia="Verdana" w:hAnsi="Verdana" w:cs="Arial"/>
          <w:color w:val="0072BC"/>
          <w:sz w:val="20"/>
          <w:szCs w:val="20"/>
          <w:lang w:eastAsia="pl-PL"/>
        </w:rPr>
      </w:pPr>
    </w:p>
    <w:p w14:paraId="4D0FC5AD" w14:textId="0DB375FB" w:rsidR="00D27801" w:rsidRPr="00D27801" w:rsidRDefault="00D27801" w:rsidP="00D27801">
      <w:pPr>
        <w:rPr>
          <w:b/>
          <w:bCs/>
          <w:i/>
          <w:iCs/>
          <w:color w:val="0070C0"/>
          <w:sz w:val="20"/>
          <w:szCs w:val="20"/>
        </w:rPr>
      </w:pPr>
      <w:r>
        <w:rPr>
          <w:rFonts w:ascii="Verdana" w:eastAsia="Verdana" w:hAnsi="Verdana" w:cs="Verdana"/>
          <w:b/>
          <w:bCs/>
          <w:color w:val="0070C0"/>
          <w:sz w:val="28"/>
          <w:szCs w:val="28"/>
        </w:rPr>
        <w:t xml:space="preserve">Definicja pojęcia </w:t>
      </w:r>
      <w:r>
        <w:rPr>
          <w:rFonts w:ascii="Verdana" w:eastAsia="Verdana" w:hAnsi="Verdana" w:cs="Verdana"/>
          <w:b/>
          <w:bCs/>
          <w:i/>
          <w:iCs/>
          <w:color w:val="0070C0"/>
          <w:sz w:val="28"/>
          <w:szCs w:val="28"/>
        </w:rPr>
        <w:t>idem</w:t>
      </w:r>
    </w:p>
    <w:p w14:paraId="4AC78DA7" w14:textId="38C1D6E8" w:rsidR="00C43A38" w:rsidRPr="00D27801" w:rsidRDefault="00D27801" w:rsidP="00D27801">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59FDF1E9" wp14:editId="7E36609E">
                <wp:simplePos x="0" y="0"/>
                <wp:positionH relativeFrom="column">
                  <wp:posOffset>2701</wp:posOffset>
                </wp:positionH>
                <wp:positionV relativeFrom="paragraph">
                  <wp:posOffset>11652</wp:posOffset>
                </wp:positionV>
                <wp:extent cx="5768340" cy="0"/>
                <wp:effectExtent l="0" t="0" r="0" b="0"/>
                <wp:wrapNone/>
                <wp:docPr id="1864157946"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prstDash val="solid"/>
                          <a:miter lim="800000"/>
                          <a:headEnd/>
                          <a:tailEnd/>
                        </a:ln>
                      </wps:spPr>
                      <wps:bodyPr/>
                    </wps:wsp>
                  </a:graphicData>
                </a:graphic>
              </wp:anchor>
            </w:drawing>
          </mc:Choice>
          <mc:Fallback>
            <w:pict>
              <v:line w14:anchorId="0090AC1A" id="Shape 2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2pt,.9pt" to="45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XdrwEAAHQDAAAOAAAAZHJzL2Uyb0RvYy54bWysU01vEzEQvSPxHyzfyW4DlO0qmx4awqWC&#10;SoUfMLG9WQt/yWOym3/P2JukLXCq8MHyfD2/eR6vbidr2EFF1N51/GpRc6ac8FK7fcd/fN++azjD&#10;BE6C8U51/KiQ367fvlmNoVVLP3gjVWQE4rAdQ8eHlEJbVSgGZQEXPihHwd5HC4nMuK9khJHQramW&#10;dX1djT7KEL1QiOTdzEG+Lvh9r0T61veoEjMdJ26p7LHsu7xX6xW0+whh0OJEA17BwoJ2dOkFagMJ&#10;2K+o/4KyWkSPvk8L4W3l+14LVXqgbq7qP7p5HCCo0guJg+EiE/4/WPH1cOceYqYuJvcY7r34iSRK&#10;NQZsL8FsYJjTpj7anE7c2VSEPF6EVFNigpwfP1037z+Q3uIcq6A9F4aI6YvyluVDx412uUdo4XCP&#10;KV8N7Tklu9EbLbfamGLE/e7ORHYAes9tWfkJqeRFmnFspGlslk1ToF8E8TnGTVn/wsgcNoDDfFdB&#10;mKfF6kQja7TteFPnNbsHBfKzk2WgEmgzn4mZcSc5ZwWzljsvjw/xLDM9bWnhNIZ5dp7bpfrps6x/&#10;AwAA//8DAFBLAwQUAAYACAAAACEAWHbidNYAAAAEAQAADwAAAGRycy9kb3ducmV2LnhtbEyOzU7D&#10;MBCE70i8g7VI3KjDj1AIcSoUqYeKU0wvvW3jbRIRr6PYbcPbs3CB287OaOYr14sf1ZnmOAQ2cL/K&#10;QBG3wQ3cGdh9bO5yUDEhOxwDk4EvirCurq9KLFy4cENnmzolJRwLNNCnNBVax7Ynj3EVJmLxjmH2&#10;mETOnXYzXqTcj/ohy561x4FloceJ6p7aT3vysvu+3eu2sbzHuq7tkWyTPw7G3N4sb6+gEi3pLww/&#10;+IIOlTAdwoldVKOBJ8nJV/DFfMlyOQ6/Wlel/g9ffQMAAP//AwBQSwECLQAUAAYACAAAACEAtoM4&#10;kv4AAADhAQAAEwAAAAAAAAAAAAAAAAAAAAAAW0NvbnRlbnRfVHlwZXNdLnhtbFBLAQItABQABgAI&#10;AAAAIQA4/SH/1gAAAJQBAAALAAAAAAAAAAAAAAAAAC8BAABfcmVscy8ucmVsc1BLAQItABQABgAI&#10;AAAAIQC369XdrwEAAHQDAAAOAAAAAAAAAAAAAAAAAC4CAABkcnMvZTJvRG9jLnhtbFBLAQItABQA&#10;BgAIAAAAIQBYduJ01gAAAAQBAAAPAAAAAAAAAAAAAAAAAAkEAABkcnMvZG93bnJldi54bWxQSwUG&#10;AAAAAAQABADzAAAADAUAAAAA&#10;" o:allowincell="f" filled="t" strokecolor="#999" strokeweight="1.44pt">
                <v:stroke joinstyle="miter"/>
                <o:lock v:ext="edit" shapetype="f"/>
              </v:line>
            </w:pict>
          </mc:Fallback>
        </mc:AlternateContent>
      </w:r>
    </w:p>
    <w:p w14:paraId="64920F2A" w14:textId="77777777" w:rsidR="005E6480" w:rsidRPr="00D27801" w:rsidRDefault="005E6480" w:rsidP="008B0AE6">
      <w:pPr>
        <w:spacing w:after="0"/>
        <w:jc w:val="both"/>
        <w:rPr>
          <w:rFonts w:ascii="Verdana" w:hAnsi="Verdana" w:cs="Calibri"/>
          <w:i/>
          <w:color w:val="3B3838" w:themeColor="background2" w:themeShade="40"/>
          <w:sz w:val="24"/>
          <w:szCs w:val="24"/>
        </w:rPr>
      </w:pPr>
      <w:r w:rsidRPr="00D27801">
        <w:rPr>
          <w:rFonts w:ascii="Verdana" w:hAnsi="Verdana" w:cs="Calibri"/>
          <w:i/>
          <w:color w:val="3B3838" w:themeColor="background2" w:themeShade="40"/>
          <w:sz w:val="24"/>
          <w:szCs w:val="24"/>
        </w:rPr>
        <w:t>Od Gradingera do Zolotukhina</w:t>
      </w:r>
    </w:p>
    <w:p w14:paraId="5F23E3E9" w14:textId="77777777" w:rsidR="00D27801" w:rsidRDefault="00D27801" w:rsidP="008B0AE6">
      <w:pPr>
        <w:spacing w:after="0"/>
        <w:rPr>
          <w:rFonts w:ascii="Verdana" w:hAnsi="Verdana" w:cs="Calibri"/>
          <w:b/>
          <w:color w:val="2E74B5" w:themeColor="accent1" w:themeShade="BF"/>
          <w:sz w:val="20"/>
          <w:szCs w:val="20"/>
          <w:u w:val="single"/>
        </w:rPr>
      </w:pPr>
    </w:p>
    <w:p w14:paraId="525CB3BF" w14:textId="1A843850" w:rsidR="005E6480" w:rsidRPr="00AA3D1D" w:rsidRDefault="005E6480" w:rsidP="008B0AE6">
      <w:pPr>
        <w:spacing w:after="0"/>
        <w:rPr>
          <w:rFonts w:ascii="Verdana" w:hAnsi="Verdana" w:cs="Calibri"/>
          <w:b/>
          <w:sz w:val="18"/>
          <w:szCs w:val="18"/>
          <w:u w:val="single"/>
        </w:rPr>
      </w:pPr>
      <w:hyperlink r:id="rId33" w:history="1">
        <w:r w:rsidRPr="00D27801">
          <w:rPr>
            <w:rStyle w:val="Hipercze"/>
            <w:rFonts w:ascii="Verdana" w:hAnsi="Verdana" w:cs="Calibri"/>
            <w:b/>
            <w:color w:val="0070C0"/>
            <w:sz w:val="20"/>
            <w:szCs w:val="20"/>
          </w:rPr>
          <w:t>Gradinger przeciwko Austrii</w:t>
        </w:r>
      </w:hyperlink>
      <w:r w:rsidR="000335C3" w:rsidRPr="006E23A1">
        <w:rPr>
          <w:rFonts w:ascii="Verdana" w:hAnsi="Verdana" w:cs="Calibri"/>
          <w:b/>
          <w:sz w:val="20"/>
          <w:szCs w:val="20"/>
          <w:u w:val="single"/>
        </w:rPr>
        <w:br/>
      </w:r>
      <w:r w:rsidRPr="00AA3D1D">
        <w:rPr>
          <w:rFonts w:ascii="Verdana" w:hAnsi="Verdana" w:cs="Calibri"/>
          <w:color w:val="767171" w:themeColor="background2" w:themeShade="80"/>
          <w:sz w:val="18"/>
          <w:szCs w:val="18"/>
        </w:rPr>
        <w:t>23 października 1995</w:t>
      </w:r>
      <w:r w:rsidR="00C43A38" w:rsidRPr="00AA3D1D">
        <w:rPr>
          <w:rFonts w:ascii="Verdana" w:hAnsi="Verdana" w:cs="Calibri"/>
          <w:color w:val="767171" w:themeColor="background2" w:themeShade="80"/>
          <w:sz w:val="18"/>
          <w:szCs w:val="18"/>
        </w:rPr>
        <w:t xml:space="preserve"> r.</w:t>
      </w:r>
      <w:r w:rsidRPr="00AA3D1D">
        <w:rPr>
          <w:rFonts w:ascii="Verdana" w:hAnsi="Verdana" w:cs="Calibri"/>
          <w:sz w:val="18"/>
          <w:szCs w:val="18"/>
        </w:rPr>
        <w:t xml:space="preserve"> </w:t>
      </w:r>
    </w:p>
    <w:p w14:paraId="49687908" w14:textId="274126E6" w:rsidR="005E6480" w:rsidRPr="006E23A1" w:rsidRDefault="005E6480" w:rsidP="008B0AE6">
      <w:pPr>
        <w:spacing w:after="0"/>
        <w:jc w:val="both"/>
        <w:rPr>
          <w:rFonts w:ascii="Verdana" w:hAnsi="Verdana" w:cs="Calibri"/>
          <w:sz w:val="20"/>
          <w:szCs w:val="20"/>
        </w:rPr>
      </w:pPr>
      <w:r w:rsidRPr="006E23A1">
        <w:rPr>
          <w:rFonts w:ascii="Verdana" w:hAnsi="Verdana" w:cs="Calibri"/>
          <w:sz w:val="20"/>
          <w:szCs w:val="20"/>
        </w:rPr>
        <w:t xml:space="preserve">W styczniu 1987 </w:t>
      </w:r>
      <w:r w:rsidR="00115938" w:rsidRPr="006E23A1">
        <w:rPr>
          <w:rFonts w:ascii="Verdana" w:hAnsi="Verdana" w:cs="Calibri"/>
          <w:sz w:val="20"/>
          <w:szCs w:val="20"/>
        </w:rPr>
        <w:t>r.</w:t>
      </w:r>
      <w:r w:rsidRPr="006E23A1">
        <w:rPr>
          <w:rFonts w:ascii="Verdana" w:hAnsi="Verdana" w:cs="Calibri"/>
          <w:sz w:val="20"/>
          <w:szCs w:val="20"/>
        </w:rPr>
        <w:t xml:space="preserve"> </w:t>
      </w:r>
      <w:r w:rsidR="002310BC" w:rsidRPr="006E23A1">
        <w:rPr>
          <w:rFonts w:ascii="Verdana" w:hAnsi="Verdana" w:cs="Calibri"/>
          <w:sz w:val="20"/>
          <w:szCs w:val="20"/>
        </w:rPr>
        <w:t>skarżący</w:t>
      </w:r>
      <w:r w:rsidR="0067447B" w:rsidRPr="006E23A1">
        <w:rPr>
          <w:rFonts w:ascii="Verdana" w:hAnsi="Verdana" w:cs="Calibri"/>
          <w:sz w:val="20"/>
          <w:szCs w:val="20"/>
        </w:rPr>
        <w:t>,</w:t>
      </w:r>
      <w:r w:rsidRPr="006E23A1">
        <w:rPr>
          <w:rFonts w:ascii="Verdana" w:hAnsi="Verdana" w:cs="Calibri"/>
          <w:sz w:val="20"/>
          <w:szCs w:val="20"/>
        </w:rPr>
        <w:t xml:space="preserve"> podczas </w:t>
      </w:r>
      <w:r w:rsidR="002310BC" w:rsidRPr="006E23A1">
        <w:rPr>
          <w:rFonts w:ascii="Verdana" w:hAnsi="Verdana" w:cs="Calibri"/>
          <w:sz w:val="20"/>
          <w:szCs w:val="20"/>
        </w:rPr>
        <w:t>jazdy swoim samochodem, spowodował</w:t>
      </w:r>
      <w:r w:rsidRPr="006E23A1">
        <w:rPr>
          <w:rFonts w:ascii="Verdana" w:hAnsi="Verdana" w:cs="Calibri"/>
          <w:sz w:val="20"/>
          <w:szCs w:val="20"/>
        </w:rPr>
        <w:t xml:space="preserve"> wypadek</w:t>
      </w:r>
      <w:r w:rsidR="00115938" w:rsidRPr="006E23A1">
        <w:rPr>
          <w:rFonts w:ascii="Verdana" w:hAnsi="Verdana" w:cs="Calibri"/>
          <w:sz w:val="20"/>
          <w:szCs w:val="20"/>
        </w:rPr>
        <w:t>, który</w:t>
      </w:r>
      <w:r w:rsidRPr="006E23A1">
        <w:rPr>
          <w:rFonts w:ascii="Verdana" w:hAnsi="Verdana" w:cs="Calibri"/>
          <w:sz w:val="20"/>
          <w:szCs w:val="20"/>
        </w:rPr>
        <w:t xml:space="preserve"> doprowadził do śmieci rowerzysty. W </w:t>
      </w:r>
      <w:r w:rsidR="001B43B9" w:rsidRPr="006E23A1">
        <w:rPr>
          <w:rFonts w:ascii="Verdana" w:hAnsi="Verdana" w:cs="Calibri"/>
          <w:sz w:val="20"/>
          <w:szCs w:val="20"/>
        </w:rPr>
        <w:t>szpitalu,</w:t>
      </w:r>
      <w:r w:rsidRPr="006E23A1">
        <w:rPr>
          <w:rFonts w:ascii="Verdana" w:hAnsi="Verdana" w:cs="Calibri"/>
          <w:sz w:val="20"/>
          <w:szCs w:val="20"/>
        </w:rPr>
        <w:t xml:space="preserve"> gdzie został on przewieziony na </w:t>
      </w:r>
      <w:r w:rsidR="002310BC" w:rsidRPr="006E23A1">
        <w:rPr>
          <w:rFonts w:ascii="Verdana" w:hAnsi="Verdana" w:cs="Calibri"/>
          <w:sz w:val="20"/>
          <w:szCs w:val="20"/>
        </w:rPr>
        <w:t>badania</w:t>
      </w:r>
      <w:r w:rsidRPr="006E23A1">
        <w:rPr>
          <w:rFonts w:ascii="Verdana" w:hAnsi="Verdana" w:cs="Calibri"/>
          <w:sz w:val="20"/>
          <w:szCs w:val="20"/>
        </w:rPr>
        <w:t xml:space="preserve"> </w:t>
      </w:r>
      <w:r w:rsidR="00445FE7" w:rsidRPr="006E23A1">
        <w:rPr>
          <w:rFonts w:ascii="Verdana" w:hAnsi="Verdana" w:cs="Calibri"/>
          <w:sz w:val="20"/>
          <w:szCs w:val="20"/>
        </w:rPr>
        <w:t xml:space="preserve">została pobrana próbka jego </w:t>
      </w:r>
      <w:r w:rsidR="00115938" w:rsidRPr="006E23A1">
        <w:rPr>
          <w:rFonts w:ascii="Verdana" w:hAnsi="Verdana" w:cs="Calibri"/>
          <w:sz w:val="20"/>
          <w:szCs w:val="20"/>
        </w:rPr>
        <w:t>krwi</w:t>
      </w:r>
      <w:r w:rsidR="00445FE7" w:rsidRPr="006E23A1">
        <w:rPr>
          <w:rFonts w:ascii="Verdana" w:hAnsi="Verdana" w:cs="Calibri"/>
          <w:sz w:val="20"/>
          <w:szCs w:val="20"/>
        </w:rPr>
        <w:t xml:space="preserve">. Badanie ujawniło, że w jego </w:t>
      </w:r>
      <w:r w:rsidR="00115938" w:rsidRPr="006E23A1">
        <w:rPr>
          <w:rFonts w:ascii="Verdana" w:hAnsi="Verdana" w:cs="Calibri"/>
          <w:sz w:val="20"/>
          <w:szCs w:val="20"/>
        </w:rPr>
        <w:t>krwioobiegu</w:t>
      </w:r>
      <w:r w:rsidR="00445FE7" w:rsidRPr="006E23A1">
        <w:rPr>
          <w:rFonts w:ascii="Verdana" w:hAnsi="Verdana" w:cs="Calibri"/>
          <w:sz w:val="20"/>
          <w:szCs w:val="20"/>
        </w:rPr>
        <w:t xml:space="preserve"> </w:t>
      </w:r>
      <w:r w:rsidR="00115938" w:rsidRPr="006E23A1">
        <w:rPr>
          <w:rFonts w:ascii="Verdana" w:hAnsi="Verdana" w:cs="Calibri"/>
          <w:sz w:val="20"/>
          <w:szCs w:val="20"/>
        </w:rPr>
        <w:t>znajdowało</w:t>
      </w:r>
      <w:r w:rsidR="00445FE7" w:rsidRPr="006E23A1">
        <w:rPr>
          <w:rFonts w:ascii="Verdana" w:hAnsi="Verdana" w:cs="Calibri"/>
          <w:sz w:val="20"/>
          <w:szCs w:val="20"/>
        </w:rPr>
        <w:t xml:space="preserve"> się </w:t>
      </w:r>
      <w:r w:rsidR="00AA3D1D">
        <w:rPr>
          <w:rFonts w:ascii="Verdana" w:hAnsi="Verdana" w:cs="Calibri"/>
          <w:sz w:val="20"/>
          <w:szCs w:val="20"/>
        </w:rPr>
        <w:t>0,</w:t>
      </w:r>
      <w:r w:rsidR="00445FE7" w:rsidRPr="006E23A1">
        <w:rPr>
          <w:rFonts w:ascii="Verdana" w:hAnsi="Verdana" w:cs="Calibri"/>
          <w:sz w:val="20"/>
          <w:szCs w:val="20"/>
        </w:rPr>
        <w:t>8 gram</w:t>
      </w:r>
      <w:r w:rsidR="00AA3D1D">
        <w:rPr>
          <w:rFonts w:ascii="Verdana" w:hAnsi="Verdana" w:cs="Calibri"/>
          <w:sz w:val="20"/>
          <w:szCs w:val="20"/>
        </w:rPr>
        <w:t>ów</w:t>
      </w:r>
      <w:r w:rsidR="00445FE7" w:rsidRPr="006E23A1">
        <w:rPr>
          <w:rFonts w:ascii="Verdana" w:hAnsi="Verdana" w:cs="Calibri"/>
          <w:sz w:val="20"/>
          <w:szCs w:val="20"/>
        </w:rPr>
        <w:t xml:space="preserve"> alkoholu na 1 litr </w:t>
      </w:r>
      <w:r w:rsidR="00115938" w:rsidRPr="006E23A1">
        <w:rPr>
          <w:rFonts w:ascii="Verdana" w:hAnsi="Verdana" w:cs="Calibri"/>
          <w:sz w:val="20"/>
          <w:szCs w:val="20"/>
        </w:rPr>
        <w:t>krwi</w:t>
      </w:r>
      <w:r w:rsidR="00445FE7" w:rsidRPr="006E23A1">
        <w:rPr>
          <w:rFonts w:ascii="Verdana" w:hAnsi="Verdana" w:cs="Calibri"/>
          <w:sz w:val="20"/>
          <w:szCs w:val="20"/>
        </w:rPr>
        <w:t xml:space="preserve">. </w:t>
      </w:r>
      <w:r w:rsidR="00115938" w:rsidRPr="006E23A1">
        <w:rPr>
          <w:rFonts w:ascii="Verdana" w:hAnsi="Verdana" w:cs="Calibri"/>
          <w:sz w:val="20"/>
          <w:szCs w:val="20"/>
        </w:rPr>
        <w:t>Skarżący</w:t>
      </w:r>
      <w:r w:rsidR="00445FE7" w:rsidRPr="006E23A1">
        <w:rPr>
          <w:rFonts w:ascii="Verdana" w:hAnsi="Verdana" w:cs="Calibri"/>
          <w:sz w:val="20"/>
          <w:szCs w:val="20"/>
        </w:rPr>
        <w:t xml:space="preserve"> utrzymywał,</w:t>
      </w:r>
      <w:r w:rsidR="002310BC" w:rsidRPr="006E23A1">
        <w:rPr>
          <w:rFonts w:ascii="Verdana" w:hAnsi="Verdana" w:cs="Calibri"/>
          <w:sz w:val="20"/>
          <w:szCs w:val="20"/>
        </w:rPr>
        <w:t xml:space="preserve"> w szczególności, że nakładając</w:t>
      </w:r>
      <w:r w:rsidR="00445FE7" w:rsidRPr="006E23A1">
        <w:rPr>
          <w:rFonts w:ascii="Verdana" w:hAnsi="Verdana" w:cs="Calibri"/>
          <w:sz w:val="20"/>
          <w:szCs w:val="20"/>
        </w:rPr>
        <w:t xml:space="preserve"> na niego karę grzywny zgodnie z kodeksem drogowym, lokalne władze oraz lokalny rząd ukarały go na podstawie faktów, które były identyczne z </w:t>
      </w:r>
      <w:r w:rsidR="00445FE7" w:rsidRPr="006E23A1">
        <w:rPr>
          <w:rFonts w:ascii="Verdana" w:hAnsi="Verdana" w:cs="Calibri"/>
          <w:sz w:val="20"/>
          <w:szCs w:val="20"/>
        </w:rPr>
        <w:lastRenderedPageBreak/>
        <w:t xml:space="preserve">tymi na </w:t>
      </w:r>
      <w:r w:rsidR="00115938" w:rsidRPr="006E23A1">
        <w:rPr>
          <w:rFonts w:ascii="Verdana" w:hAnsi="Verdana" w:cs="Calibri"/>
          <w:sz w:val="20"/>
          <w:szCs w:val="20"/>
        </w:rPr>
        <w:t>podstawie</w:t>
      </w:r>
      <w:r w:rsidR="002310BC" w:rsidRPr="006E23A1">
        <w:rPr>
          <w:rFonts w:ascii="Verdana" w:hAnsi="Verdana" w:cs="Calibri"/>
          <w:sz w:val="20"/>
          <w:szCs w:val="20"/>
        </w:rPr>
        <w:t>,</w:t>
      </w:r>
      <w:r w:rsidR="00445FE7" w:rsidRPr="006E23A1">
        <w:rPr>
          <w:rFonts w:ascii="Verdana" w:hAnsi="Verdana" w:cs="Calibri"/>
          <w:sz w:val="20"/>
          <w:szCs w:val="20"/>
        </w:rPr>
        <w:t xml:space="preserve"> których Sąd Rejonowy orzekł o braku wypełnienia znamion przestępstwa zgodnie z </w:t>
      </w:r>
      <w:r w:rsidR="00115938" w:rsidRPr="006E23A1">
        <w:rPr>
          <w:rFonts w:ascii="Verdana" w:hAnsi="Verdana" w:cs="Calibri"/>
          <w:sz w:val="20"/>
          <w:szCs w:val="20"/>
        </w:rPr>
        <w:t>Kodeksem</w:t>
      </w:r>
      <w:r w:rsidR="00445FE7" w:rsidRPr="006E23A1">
        <w:rPr>
          <w:rFonts w:ascii="Verdana" w:hAnsi="Verdana" w:cs="Calibri"/>
          <w:sz w:val="20"/>
          <w:szCs w:val="20"/>
        </w:rPr>
        <w:t xml:space="preserve"> karnym. </w:t>
      </w:r>
    </w:p>
    <w:p w14:paraId="47F80F28" w14:textId="70A829AE" w:rsidR="00445FE7" w:rsidRPr="00AA3D1D" w:rsidRDefault="00115938" w:rsidP="008B0AE6">
      <w:pPr>
        <w:spacing w:after="0"/>
        <w:jc w:val="both"/>
        <w:rPr>
          <w:rFonts w:ascii="Verdana" w:hAnsi="Verdana" w:cs="Calibri"/>
          <w:color w:val="0070C0"/>
          <w:sz w:val="20"/>
          <w:szCs w:val="20"/>
        </w:rPr>
      </w:pPr>
      <w:r w:rsidRPr="00AA3D1D">
        <w:rPr>
          <w:rFonts w:ascii="Verdana" w:hAnsi="Verdana" w:cs="Calibri"/>
          <w:color w:val="0070C0"/>
          <w:sz w:val="20"/>
          <w:szCs w:val="20"/>
        </w:rPr>
        <w:t>Trybunał</w:t>
      </w:r>
      <w:r w:rsidR="00445FE7" w:rsidRPr="00AA3D1D">
        <w:rPr>
          <w:rFonts w:ascii="Verdana" w:hAnsi="Verdana" w:cs="Calibri"/>
          <w:color w:val="0070C0"/>
          <w:sz w:val="20"/>
          <w:szCs w:val="20"/>
        </w:rPr>
        <w:t xml:space="preserve"> zauważył w szczególności,</w:t>
      </w:r>
      <w:r w:rsidRPr="00AA3D1D">
        <w:rPr>
          <w:rFonts w:ascii="Verdana" w:hAnsi="Verdana" w:cs="Calibri"/>
          <w:color w:val="0070C0"/>
          <w:sz w:val="20"/>
          <w:szCs w:val="20"/>
        </w:rPr>
        <w:t xml:space="preserve"> że </w:t>
      </w:r>
      <w:r w:rsidR="0067447B" w:rsidRPr="00AA3D1D">
        <w:rPr>
          <w:rFonts w:ascii="Verdana" w:hAnsi="Verdana" w:cs="Calibri"/>
          <w:color w:val="0070C0"/>
          <w:sz w:val="20"/>
          <w:szCs w:val="20"/>
        </w:rPr>
        <w:t>według</w:t>
      </w:r>
      <w:r w:rsidRPr="00AA3D1D">
        <w:rPr>
          <w:rFonts w:ascii="Verdana" w:hAnsi="Verdana" w:cs="Calibri"/>
          <w:color w:val="0070C0"/>
          <w:sz w:val="20"/>
          <w:szCs w:val="20"/>
        </w:rPr>
        <w:t xml:space="preserve"> Sąd</w:t>
      </w:r>
      <w:r w:rsidR="0067447B" w:rsidRPr="00AA3D1D">
        <w:rPr>
          <w:rFonts w:ascii="Verdana" w:hAnsi="Verdana" w:cs="Calibri"/>
          <w:color w:val="0070C0"/>
          <w:sz w:val="20"/>
          <w:szCs w:val="20"/>
        </w:rPr>
        <w:t>u</w:t>
      </w:r>
      <w:r w:rsidR="00445FE7" w:rsidRPr="00AA3D1D">
        <w:rPr>
          <w:rFonts w:ascii="Verdana" w:hAnsi="Verdana" w:cs="Calibri"/>
          <w:color w:val="0070C0"/>
          <w:sz w:val="20"/>
          <w:szCs w:val="20"/>
        </w:rPr>
        <w:t xml:space="preserve"> Rej</w:t>
      </w:r>
      <w:r w:rsidRPr="00AA3D1D">
        <w:rPr>
          <w:rFonts w:ascii="Verdana" w:hAnsi="Verdana" w:cs="Calibri"/>
          <w:color w:val="0070C0"/>
          <w:sz w:val="20"/>
          <w:szCs w:val="20"/>
        </w:rPr>
        <w:t>onow</w:t>
      </w:r>
      <w:r w:rsidR="0067447B" w:rsidRPr="00AA3D1D">
        <w:rPr>
          <w:rFonts w:ascii="Verdana" w:hAnsi="Verdana" w:cs="Calibri"/>
          <w:color w:val="0070C0"/>
          <w:sz w:val="20"/>
          <w:szCs w:val="20"/>
        </w:rPr>
        <w:t>ego</w:t>
      </w:r>
      <w:r w:rsidR="00445FE7" w:rsidRPr="00AA3D1D">
        <w:rPr>
          <w:rFonts w:ascii="Verdana" w:hAnsi="Verdana" w:cs="Calibri"/>
          <w:color w:val="0070C0"/>
          <w:sz w:val="20"/>
          <w:szCs w:val="20"/>
        </w:rPr>
        <w:t>,</w:t>
      </w:r>
      <w:r w:rsidRPr="00AA3D1D">
        <w:rPr>
          <w:rFonts w:ascii="Verdana" w:hAnsi="Verdana" w:cs="Calibri"/>
          <w:color w:val="0070C0"/>
          <w:sz w:val="20"/>
          <w:szCs w:val="20"/>
        </w:rPr>
        <w:t xml:space="preserve"> okoliczność obciążająca, o której mowa w art. 81 kodeksu karnego, a mianowicie poziom alkoholu we krwi wynoszący 0,8 grama na litr lub więcej, nie została </w:t>
      </w:r>
      <w:r w:rsidR="009540F4" w:rsidRPr="00AA3D1D">
        <w:rPr>
          <w:rFonts w:ascii="Verdana" w:hAnsi="Verdana" w:cs="Calibri"/>
          <w:color w:val="0070C0"/>
          <w:sz w:val="20"/>
          <w:szCs w:val="20"/>
        </w:rPr>
        <w:t>skarżącemu udowodniona</w:t>
      </w:r>
      <w:r w:rsidRPr="00AA3D1D">
        <w:rPr>
          <w:rFonts w:ascii="Verdana" w:hAnsi="Verdana" w:cs="Calibri"/>
          <w:color w:val="0070C0"/>
          <w:sz w:val="20"/>
          <w:szCs w:val="20"/>
        </w:rPr>
        <w:t xml:space="preserve">. Z drugiej strony, władze administracyjne stwierdziły, w celu objęcia skarżącego zakresem </w:t>
      </w:r>
      <w:r w:rsidR="00AA3D1D" w:rsidRPr="00AA3D1D">
        <w:rPr>
          <w:rFonts w:ascii="Verdana" w:hAnsi="Verdana" w:cs="Calibri"/>
          <w:color w:val="0070C0"/>
          <w:sz w:val="20"/>
          <w:szCs w:val="20"/>
        </w:rPr>
        <w:t>art.</w:t>
      </w:r>
      <w:r w:rsidRPr="00AA3D1D">
        <w:rPr>
          <w:rFonts w:ascii="Verdana" w:hAnsi="Verdana" w:cs="Calibri"/>
          <w:color w:val="0070C0"/>
          <w:sz w:val="20"/>
          <w:szCs w:val="20"/>
        </w:rPr>
        <w:t xml:space="preserve"> 5 kodeksu drogowego, że ten poziom alkoholu we krwi został osiągnięty. Trybunał był w pełni świadomy, że kwestionowane przepisy różnią się nie tylko w odniesieniu do o</w:t>
      </w:r>
      <w:r w:rsidR="008C5D0E" w:rsidRPr="00AA3D1D">
        <w:rPr>
          <w:rFonts w:ascii="Verdana" w:hAnsi="Verdana" w:cs="Calibri"/>
          <w:color w:val="0070C0"/>
          <w:sz w:val="20"/>
          <w:szCs w:val="20"/>
        </w:rPr>
        <w:t xml:space="preserve">znaczenia </w:t>
      </w:r>
      <w:r w:rsidRPr="00AA3D1D">
        <w:rPr>
          <w:rFonts w:ascii="Verdana" w:hAnsi="Verdana" w:cs="Calibri"/>
          <w:color w:val="0070C0"/>
          <w:sz w:val="20"/>
          <w:szCs w:val="20"/>
        </w:rPr>
        <w:t>przestępstw, ale także, co ważniejsze, w odniesieniu do ich charakteru i celu</w:t>
      </w:r>
      <w:r w:rsidR="008C5D0E" w:rsidRPr="00AA3D1D">
        <w:rPr>
          <w:rFonts w:ascii="Verdana" w:hAnsi="Verdana" w:cs="Calibri"/>
          <w:color w:val="0070C0"/>
          <w:sz w:val="20"/>
          <w:szCs w:val="20"/>
        </w:rPr>
        <w:t>. Ponadto zauważył, że prze</w:t>
      </w:r>
      <w:r w:rsidR="002310BC" w:rsidRPr="00AA3D1D">
        <w:rPr>
          <w:rFonts w:ascii="Verdana" w:hAnsi="Verdana" w:cs="Calibri"/>
          <w:color w:val="0070C0"/>
          <w:sz w:val="20"/>
          <w:szCs w:val="20"/>
        </w:rPr>
        <w:t>stępstwo przewidziane w art. 5 kodeksu karnego</w:t>
      </w:r>
      <w:r w:rsidR="008C5D0E" w:rsidRPr="00AA3D1D">
        <w:rPr>
          <w:rFonts w:ascii="Verdana" w:hAnsi="Verdana" w:cs="Calibri"/>
          <w:color w:val="0070C0"/>
          <w:sz w:val="20"/>
          <w:szCs w:val="20"/>
        </w:rPr>
        <w:t xml:space="preserve"> stanowi tylko jeden z aspektów przestępstwa, za które grozi kara na mocy art. 81 kodeksu karnego. Niemniej, obie zaskarżone decyzje </w:t>
      </w:r>
      <w:r w:rsidR="009540F4" w:rsidRPr="00AA3D1D">
        <w:rPr>
          <w:rFonts w:ascii="Verdana" w:hAnsi="Verdana" w:cs="Calibri"/>
          <w:color w:val="0070C0"/>
          <w:sz w:val="20"/>
          <w:szCs w:val="20"/>
        </w:rPr>
        <w:t xml:space="preserve">dotyczyły tego samego </w:t>
      </w:r>
      <w:r w:rsidR="001D53AD">
        <w:rPr>
          <w:rFonts w:ascii="Verdana" w:hAnsi="Verdana" w:cs="Calibri"/>
          <w:color w:val="0070C0"/>
          <w:sz w:val="20"/>
          <w:szCs w:val="20"/>
        </w:rPr>
        <w:t>czynu</w:t>
      </w:r>
      <w:r w:rsidR="008C5D0E" w:rsidRPr="00AA3D1D">
        <w:rPr>
          <w:rFonts w:ascii="Verdana" w:hAnsi="Verdana" w:cs="Calibri"/>
          <w:color w:val="0070C0"/>
          <w:sz w:val="20"/>
          <w:szCs w:val="20"/>
        </w:rPr>
        <w:t>.</w:t>
      </w:r>
      <w:r w:rsidR="001D53AD">
        <w:rPr>
          <w:rFonts w:ascii="Verdana" w:hAnsi="Verdana" w:cs="Calibri"/>
          <w:color w:val="0070C0"/>
          <w:sz w:val="20"/>
          <w:szCs w:val="20"/>
        </w:rPr>
        <w:t xml:space="preserve"> </w:t>
      </w:r>
      <w:r w:rsidR="008C5D0E" w:rsidRPr="00AA3D1D">
        <w:rPr>
          <w:rFonts w:ascii="Verdana" w:hAnsi="Verdana" w:cs="Calibri"/>
          <w:color w:val="0070C0"/>
          <w:sz w:val="20"/>
          <w:szCs w:val="20"/>
        </w:rPr>
        <w:t xml:space="preserve">W związku z tym Trybunał orzekł, że </w:t>
      </w:r>
      <w:r w:rsidR="008C5D0E" w:rsidRPr="00AA3D1D">
        <w:rPr>
          <w:rFonts w:ascii="Verdana" w:hAnsi="Verdana" w:cs="Calibri"/>
          <w:b/>
          <w:color w:val="0070C0"/>
          <w:sz w:val="20"/>
          <w:szCs w:val="20"/>
        </w:rPr>
        <w:t>nastąpi</w:t>
      </w:r>
      <w:r w:rsidR="002310BC" w:rsidRPr="00AA3D1D">
        <w:rPr>
          <w:rFonts w:ascii="Verdana" w:hAnsi="Verdana" w:cs="Calibri"/>
          <w:b/>
          <w:color w:val="0070C0"/>
          <w:sz w:val="20"/>
          <w:szCs w:val="20"/>
        </w:rPr>
        <w:t xml:space="preserve">ło naruszenie art. 4 Protokołu </w:t>
      </w:r>
      <w:r w:rsidR="00D27801" w:rsidRPr="00AA3D1D">
        <w:rPr>
          <w:rFonts w:ascii="Verdana" w:hAnsi="Verdana" w:cs="Calibri"/>
          <w:b/>
          <w:color w:val="0070C0"/>
          <w:sz w:val="20"/>
          <w:szCs w:val="20"/>
        </w:rPr>
        <w:t>n</w:t>
      </w:r>
      <w:r w:rsidR="00E97A36" w:rsidRPr="00AA3D1D">
        <w:rPr>
          <w:rFonts w:ascii="Verdana" w:hAnsi="Verdana" w:cs="Calibri"/>
          <w:b/>
          <w:color w:val="0070C0"/>
          <w:sz w:val="20"/>
          <w:szCs w:val="20"/>
        </w:rPr>
        <w:t>r</w:t>
      </w:r>
      <w:r w:rsidR="008C5D0E" w:rsidRPr="00AA3D1D">
        <w:rPr>
          <w:rFonts w:ascii="Verdana" w:hAnsi="Verdana" w:cs="Calibri"/>
          <w:b/>
          <w:color w:val="0070C0"/>
          <w:sz w:val="20"/>
          <w:szCs w:val="20"/>
        </w:rPr>
        <w:t xml:space="preserve"> 7</w:t>
      </w:r>
      <w:r w:rsidR="008C5D0E" w:rsidRPr="00AA3D1D">
        <w:rPr>
          <w:rFonts w:ascii="Verdana" w:hAnsi="Verdana" w:cs="Calibri"/>
          <w:color w:val="0070C0"/>
          <w:sz w:val="20"/>
          <w:szCs w:val="20"/>
        </w:rPr>
        <w:t xml:space="preserve">. </w:t>
      </w:r>
    </w:p>
    <w:p w14:paraId="2BB402BE" w14:textId="77777777" w:rsidR="00D27801" w:rsidRPr="006E23A1" w:rsidRDefault="00D27801" w:rsidP="008B0AE6">
      <w:pPr>
        <w:spacing w:after="0"/>
        <w:jc w:val="both"/>
        <w:rPr>
          <w:rFonts w:ascii="Verdana" w:hAnsi="Verdana" w:cs="Calibri"/>
          <w:color w:val="2E74B5" w:themeColor="accent1" w:themeShade="BF"/>
          <w:sz w:val="20"/>
          <w:szCs w:val="20"/>
        </w:rPr>
      </w:pPr>
    </w:p>
    <w:p w14:paraId="126A56EA" w14:textId="205E9C43" w:rsidR="008C5D0E" w:rsidRPr="006E23A1" w:rsidRDefault="008C5D0E" w:rsidP="008B0AE6">
      <w:pPr>
        <w:spacing w:after="0"/>
        <w:rPr>
          <w:rFonts w:ascii="Verdana" w:hAnsi="Verdana" w:cs="Calibri"/>
          <w:b/>
          <w:sz w:val="20"/>
          <w:szCs w:val="20"/>
          <w:u w:val="single"/>
        </w:rPr>
      </w:pPr>
      <w:hyperlink r:id="rId34" w:history="1">
        <w:r w:rsidRPr="00AA3D1D">
          <w:rPr>
            <w:rStyle w:val="Hipercze"/>
            <w:rFonts w:ascii="Verdana" w:hAnsi="Verdana" w:cs="Calibri"/>
            <w:b/>
            <w:color w:val="0070C0"/>
            <w:sz w:val="20"/>
            <w:szCs w:val="20"/>
          </w:rPr>
          <w:t>Oliveira przeciwko Szwajcarii</w:t>
        </w:r>
      </w:hyperlink>
      <w:r w:rsidR="000335C3" w:rsidRPr="006E23A1">
        <w:rPr>
          <w:rFonts w:ascii="Verdana" w:hAnsi="Verdana" w:cs="Calibri"/>
          <w:b/>
          <w:sz w:val="20"/>
          <w:szCs w:val="20"/>
          <w:u w:val="single"/>
        </w:rPr>
        <w:br/>
      </w:r>
      <w:r w:rsidRPr="00AA3D1D">
        <w:rPr>
          <w:rFonts w:ascii="Verdana" w:hAnsi="Verdana" w:cs="Calibri"/>
          <w:color w:val="767171" w:themeColor="background2" w:themeShade="80"/>
          <w:sz w:val="18"/>
          <w:szCs w:val="18"/>
        </w:rPr>
        <w:t xml:space="preserve">30 </w:t>
      </w:r>
      <w:r w:rsidR="009540F4" w:rsidRPr="00AA3D1D">
        <w:rPr>
          <w:rFonts w:ascii="Verdana" w:hAnsi="Verdana" w:cs="Calibri"/>
          <w:color w:val="767171" w:themeColor="background2" w:themeShade="80"/>
          <w:sz w:val="18"/>
          <w:szCs w:val="18"/>
        </w:rPr>
        <w:t>lipca</w:t>
      </w:r>
      <w:r w:rsidRPr="00AA3D1D">
        <w:rPr>
          <w:rFonts w:ascii="Verdana" w:hAnsi="Verdana" w:cs="Calibri"/>
          <w:color w:val="767171" w:themeColor="background2" w:themeShade="80"/>
          <w:sz w:val="18"/>
          <w:szCs w:val="18"/>
        </w:rPr>
        <w:t xml:space="preserve"> 1998 r.</w:t>
      </w:r>
      <w:r w:rsidRPr="006E23A1">
        <w:rPr>
          <w:rFonts w:ascii="Verdana" w:hAnsi="Verdana" w:cs="Calibri"/>
          <w:sz w:val="20"/>
          <w:szCs w:val="20"/>
        </w:rPr>
        <w:t xml:space="preserve"> </w:t>
      </w:r>
    </w:p>
    <w:p w14:paraId="1494F945" w14:textId="21504BBF" w:rsidR="008C5D0E" w:rsidRPr="006E23A1" w:rsidRDefault="008C5D0E" w:rsidP="008B0AE6">
      <w:pPr>
        <w:spacing w:after="0"/>
        <w:jc w:val="both"/>
        <w:rPr>
          <w:rFonts w:ascii="Verdana" w:hAnsi="Verdana" w:cs="Calibri"/>
          <w:sz w:val="20"/>
          <w:szCs w:val="20"/>
        </w:rPr>
      </w:pPr>
      <w:r w:rsidRPr="006E23A1">
        <w:rPr>
          <w:rFonts w:ascii="Verdana" w:hAnsi="Verdana" w:cs="Calibri"/>
          <w:sz w:val="20"/>
          <w:szCs w:val="20"/>
        </w:rPr>
        <w:t xml:space="preserve">W niniejszej sprawie skarżąca została kolejno </w:t>
      </w:r>
      <w:r w:rsidR="00C905CC" w:rsidRPr="006E23A1">
        <w:rPr>
          <w:rFonts w:ascii="Verdana" w:hAnsi="Verdana" w:cs="Calibri"/>
          <w:sz w:val="20"/>
          <w:szCs w:val="20"/>
        </w:rPr>
        <w:t>ukarana przez policję</w:t>
      </w:r>
      <w:r w:rsidRPr="006E23A1">
        <w:rPr>
          <w:rFonts w:ascii="Verdana" w:hAnsi="Verdana" w:cs="Calibri"/>
          <w:sz w:val="20"/>
          <w:szCs w:val="20"/>
        </w:rPr>
        <w:t xml:space="preserve"> za </w:t>
      </w:r>
      <w:r w:rsidR="00C905CC" w:rsidRPr="006E23A1">
        <w:rPr>
          <w:rFonts w:ascii="Verdana" w:hAnsi="Verdana" w:cs="Calibri"/>
          <w:sz w:val="20"/>
          <w:szCs w:val="20"/>
        </w:rPr>
        <w:t>utratę</w:t>
      </w:r>
      <w:r w:rsidRPr="006E23A1">
        <w:rPr>
          <w:rFonts w:ascii="Verdana" w:hAnsi="Verdana" w:cs="Calibri"/>
          <w:sz w:val="20"/>
          <w:szCs w:val="20"/>
        </w:rPr>
        <w:t xml:space="preserve"> kontroli nad p</w:t>
      </w:r>
      <w:r w:rsidR="00C905CC" w:rsidRPr="006E23A1">
        <w:rPr>
          <w:rFonts w:ascii="Verdana" w:hAnsi="Verdana" w:cs="Calibri"/>
          <w:sz w:val="20"/>
          <w:szCs w:val="20"/>
        </w:rPr>
        <w:t>ojazdem oraz przez sąd rejonowy</w:t>
      </w:r>
      <w:r w:rsidRPr="006E23A1">
        <w:rPr>
          <w:rFonts w:ascii="Verdana" w:hAnsi="Verdana" w:cs="Calibri"/>
          <w:sz w:val="20"/>
          <w:szCs w:val="20"/>
        </w:rPr>
        <w:t xml:space="preserve"> za nieumyślne spowodowanie obrażeń ciała w w</w:t>
      </w:r>
      <w:r w:rsidR="00C905CC" w:rsidRPr="006E23A1">
        <w:rPr>
          <w:rFonts w:ascii="Verdana" w:hAnsi="Verdana" w:cs="Calibri"/>
          <w:sz w:val="20"/>
          <w:szCs w:val="20"/>
        </w:rPr>
        <w:t>yniku</w:t>
      </w:r>
      <w:r w:rsidR="00E5639B" w:rsidRPr="006E23A1">
        <w:rPr>
          <w:rFonts w:ascii="Verdana" w:hAnsi="Verdana" w:cs="Calibri"/>
          <w:sz w:val="20"/>
          <w:szCs w:val="20"/>
        </w:rPr>
        <w:t xml:space="preserve"> spowodowania</w:t>
      </w:r>
      <w:r w:rsidR="00C905CC" w:rsidRPr="006E23A1">
        <w:rPr>
          <w:rFonts w:ascii="Verdana" w:hAnsi="Verdana" w:cs="Calibri"/>
          <w:sz w:val="20"/>
          <w:szCs w:val="20"/>
        </w:rPr>
        <w:t xml:space="preserve"> wypadku drogowego</w:t>
      </w:r>
      <w:r w:rsidRPr="006E23A1">
        <w:rPr>
          <w:rFonts w:ascii="Verdana" w:hAnsi="Verdana" w:cs="Calibri"/>
          <w:sz w:val="20"/>
          <w:szCs w:val="20"/>
        </w:rPr>
        <w:t xml:space="preserve">. </w:t>
      </w:r>
      <w:r w:rsidR="00C905CC" w:rsidRPr="006E23A1">
        <w:rPr>
          <w:rFonts w:ascii="Verdana" w:hAnsi="Verdana" w:cs="Calibri"/>
          <w:sz w:val="20"/>
          <w:szCs w:val="20"/>
        </w:rPr>
        <w:t>J</w:t>
      </w:r>
      <w:r w:rsidRPr="006E23A1">
        <w:rPr>
          <w:rFonts w:ascii="Verdana" w:hAnsi="Verdana" w:cs="Calibri"/>
          <w:sz w:val="20"/>
          <w:szCs w:val="20"/>
        </w:rPr>
        <w:t>ej zdaniem okoliczność, że ten sam incydent doprowadził do</w:t>
      </w:r>
      <w:r w:rsidR="00E5639B" w:rsidRPr="006E23A1">
        <w:rPr>
          <w:rFonts w:ascii="Verdana" w:hAnsi="Verdana" w:cs="Calibri"/>
          <w:sz w:val="20"/>
          <w:szCs w:val="20"/>
        </w:rPr>
        <w:t xml:space="preserve">, </w:t>
      </w:r>
      <w:r w:rsidRPr="006E23A1">
        <w:rPr>
          <w:rFonts w:ascii="Verdana" w:hAnsi="Verdana" w:cs="Calibri"/>
          <w:sz w:val="20"/>
          <w:szCs w:val="20"/>
        </w:rPr>
        <w:t>najpierw</w:t>
      </w:r>
      <w:r w:rsidR="00E5639B" w:rsidRPr="006E23A1">
        <w:rPr>
          <w:rFonts w:ascii="Verdana" w:hAnsi="Verdana" w:cs="Calibri"/>
          <w:sz w:val="20"/>
          <w:szCs w:val="20"/>
        </w:rPr>
        <w:t>,</w:t>
      </w:r>
      <w:r w:rsidR="00C905CC" w:rsidRPr="006E23A1">
        <w:rPr>
          <w:rFonts w:ascii="Verdana" w:hAnsi="Verdana" w:cs="Calibri"/>
          <w:sz w:val="20"/>
          <w:szCs w:val="20"/>
        </w:rPr>
        <w:t xml:space="preserve"> ukarania jej za utratę</w:t>
      </w:r>
      <w:r w:rsidRPr="006E23A1">
        <w:rPr>
          <w:rFonts w:ascii="Verdana" w:hAnsi="Verdana" w:cs="Calibri"/>
          <w:sz w:val="20"/>
          <w:szCs w:val="20"/>
        </w:rPr>
        <w:t xml:space="preserve"> kontroli nad pojazdem, a następnie za </w:t>
      </w:r>
      <w:r w:rsidR="00C905CC" w:rsidRPr="006E23A1">
        <w:rPr>
          <w:rFonts w:ascii="Verdana" w:hAnsi="Verdana" w:cs="Calibri"/>
          <w:sz w:val="20"/>
          <w:szCs w:val="20"/>
        </w:rPr>
        <w:t xml:space="preserve">nieumyślne </w:t>
      </w:r>
      <w:r w:rsidRPr="006E23A1">
        <w:rPr>
          <w:rFonts w:ascii="Verdana" w:hAnsi="Verdana" w:cs="Calibri"/>
          <w:sz w:val="20"/>
          <w:szCs w:val="20"/>
        </w:rPr>
        <w:t xml:space="preserve">spowodowanie szkody </w:t>
      </w:r>
      <w:r w:rsidR="00C905CC" w:rsidRPr="006E23A1">
        <w:rPr>
          <w:rFonts w:ascii="Verdana" w:hAnsi="Verdana" w:cs="Calibri"/>
          <w:sz w:val="20"/>
          <w:szCs w:val="20"/>
        </w:rPr>
        <w:t>na osobie</w:t>
      </w:r>
      <w:r w:rsidRPr="006E23A1">
        <w:rPr>
          <w:rFonts w:ascii="Verdana" w:hAnsi="Verdana" w:cs="Calibri"/>
          <w:sz w:val="20"/>
          <w:szCs w:val="20"/>
        </w:rPr>
        <w:t>, stano</w:t>
      </w:r>
      <w:r w:rsidR="00E5639B" w:rsidRPr="006E23A1">
        <w:rPr>
          <w:rFonts w:ascii="Verdana" w:hAnsi="Verdana" w:cs="Calibri"/>
          <w:sz w:val="20"/>
          <w:szCs w:val="20"/>
        </w:rPr>
        <w:t xml:space="preserve">wi naruszenie art. 4 Protokołu </w:t>
      </w:r>
      <w:r w:rsidR="00AA3D1D">
        <w:rPr>
          <w:rFonts w:ascii="Verdana" w:hAnsi="Verdana" w:cs="Calibri"/>
          <w:sz w:val="20"/>
          <w:szCs w:val="20"/>
        </w:rPr>
        <w:t>n</w:t>
      </w:r>
      <w:r w:rsidR="00E97A36">
        <w:rPr>
          <w:rFonts w:ascii="Verdana" w:hAnsi="Verdana" w:cs="Calibri"/>
          <w:sz w:val="20"/>
          <w:szCs w:val="20"/>
        </w:rPr>
        <w:t>r</w:t>
      </w:r>
      <w:r w:rsidR="00E5639B" w:rsidRPr="006E23A1">
        <w:rPr>
          <w:rFonts w:ascii="Verdana" w:hAnsi="Verdana" w:cs="Calibri"/>
          <w:sz w:val="20"/>
          <w:szCs w:val="20"/>
        </w:rPr>
        <w:t xml:space="preserve"> 7</w:t>
      </w:r>
      <w:r w:rsidRPr="006E23A1">
        <w:rPr>
          <w:rFonts w:ascii="Verdana" w:hAnsi="Verdana" w:cs="Calibri"/>
          <w:sz w:val="20"/>
          <w:szCs w:val="20"/>
        </w:rPr>
        <w:t xml:space="preserve">. </w:t>
      </w:r>
    </w:p>
    <w:p w14:paraId="322B90A1" w14:textId="2BD064E0" w:rsidR="00376D97" w:rsidRPr="00AA3D1D" w:rsidRDefault="00C905CC" w:rsidP="008B0AE6">
      <w:pPr>
        <w:spacing w:after="0"/>
        <w:jc w:val="both"/>
        <w:rPr>
          <w:rFonts w:ascii="Verdana" w:hAnsi="Verdana" w:cs="Calibri"/>
          <w:color w:val="0070C0"/>
          <w:sz w:val="20"/>
          <w:szCs w:val="20"/>
        </w:rPr>
      </w:pPr>
      <w:r w:rsidRPr="00AA3D1D">
        <w:rPr>
          <w:rFonts w:ascii="Verdana" w:hAnsi="Verdana" w:cs="Calibri"/>
          <w:color w:val="0070C0"/>
          <w:sz w:val="20"/>
          <w:szCs w:val="20"/>
        </w:rPr>
        <w:t>Trybunał zauważył, że jest to typowy przykład jednego czynu stanowiącego różne przestępstwa (</w:t>
      </w:r>
      <w:r w:rsidRPr="00AA3D1D">
        <w:rPr>
          <w:rFonts w:ascii="Verdana" w:hAnsi="Verdana" w:cs="Calibri"/>
          <w:i/>
          <w:color w:val="0070C0"/>
          <w:sz w:val="20"/>
          <w:szCs w:val="20"/>
        </w:rPr>
        <w:t>concours idéal d'infractions</w:t>
      </w:r>
      <w:r w:rsidR="00E5639B" w:rsidRPr="00AA3D1D">
        <w:rPr>
          <w:rFonts w:ascii="Verdana" w:hAnsi="Verdana" w:cs="Calibri"/>
          <w:color w:val="0070C0"/>
          <w:sz w:val="20"/>
          <w:szCs w:val="20"/>
        </w:rPr>
        <w:t>), którego c</w:t>
      </w:r>
      <w:r w:rsidRPr="00AA3D1D">
        <w:rPr>
          <w:rFonts w:ascii="Verdana" w:hAnsi="Verdana" w:cs="Calibri"/>
          <w:color w:val="0070C0"/>
          <w:sz w:val="20"/>
          <w:szCs w:val="20"/>
        </w:rPr>
        <w:t>echą charakterystyczną jest podział jednego czynu na dwa odrębne przestępstwa, w tym przypadku utraty kontroli nad pojazdem i nieumyślne</w:t>
      </w:r>
      <w:r w:rsidR="00E5639B" w:rsidRPr="00AA3D1D">
        <w:rPr>
          <w:rFonts w:ascii="Verdana" w:hAnsi="Verdana" w:cs="Calibri"/>
          <w:color w:val="0070C0"/>
          <w:sz w:val="20"/>
          <w:szCs w:val="20"/>
        </w:rPr>
        <w:t>go spowodowania</w:t>
      </w:r>
      <w:r w:rsidRPr="00AA3D1D">
        <w:rPr>
          <w:rFonts w:ascii="Verdana" w:hAnsi="Verdana" w:cs="Calibri"/>
          <w:color w:val="0070C0"/>
          <w:sz w:val="20"/>
          <w:szCs w:val="20"/>
        </w:rPr>
        <w:t xml:space="preserve"> obrażeń ciała. W takich przypadkach surowsza kara zazwyczaj pochłania łagodniejszą. W sprawie </w:t>
      </w:r>
      <w:r w:rsidR="00E5639B" w:rsidRPr="00AA3D1D">
        <w:rPr>
          <w:rFonts w:ascii="Verdana" w:hAnsi="Verdana" w:cs="Calibri"/>
          <w:color w:val="0070C0"/>
          <w:sz w:val="20"/>
          <w:szCs w:val="20"/>
        </w:rPr>
        <w:t>skarżącej</w:t>
      </w:r>
      <w:r w:rsidRPr="00AA3D1D">
        <w:rPr>
          <w:rFonts w:ascii="Verdana" w:hAnsi="Verdana" w:cs="Calibri"/>
          <w:color w:val="0070C0"/>
          <w:sz w:val="20"/>
          <w:szCs w:val="20"/>
        </w:rPr>
        <w:t xml:space="preserve"> Trybunał orzekł, że</w:t>
      </w:r>
      <w:r w:rsidRPr="00AA3D1D">
        <w:rPr>
          <w:rFonts w:ascii="Verdana" w:hAnsi="Verdana" w:cs="Calibri"/>
          <w:b/>
          <w:color w:val="0070C0"/>
          <w:sz w:val="20"/>
          <w:szCs w:val="20"/>
        </w:rPr>
        <w:t xml:space="preserve"> n</w:t>
      </w:r>
      <w:r w:rsidR="00E5639B" w:rsidRPr="00AA3D1D">
        <w:rPr>
          <w:rFonts w:ascii="Verdana" w:hAnsi="Verdana" w:cs="Calibri"/>
          <w:b/>
          <w:color w:val="0070C0"/>
          <w:sz w:val="20"/>
          <w:szCs w:val="20"/>
        </w:rPr>
        <w:t xml:space="preserve">ie doszło do naruszenia art. 4 Protokołu </w:t>
      </w:r>
      <w:r w:rsidR="00AA3D1D" w:rsidRPr="00AA3D1D">
        <w:rPr>
          <w:rFonts w:ascii="Verdana" w:hAnsi="Verdana" w:cs="Calibri"/>
          <w:b/>
          <w:color w:val="0070C0"/>
          <w:sz w:val="20"/>
          <w:szCs w:val="20"/>
        </w:rPr>
        <w:t>n</w:t>
      </w:r>
      <w:r w:rsidR="00E97A36" w:rsidRPr="00AA3D1D">
        <w:rPr>
          <w:rFonts w:ascii="Verdana" w:hAnsi="Verdana" w:cs="Calibri"/>
          <w:b/>
          <w:color w:val="0070C0"/>
          <w:sz w:val="20"/>
          <w:szCs w:val="20"/>
        </w:rPr>
        <w:t>r</w:t>
      </w:r>
      <w:r w:rsidRPr="00AA3D1D">
        <w:rPr>
          <w:rFonts w:ascii="Verdana" w:hAnsi="Verdana" w:cs="Calibri"/>
          <w:b/>
          <w:color w:val="0070C0"/>
          <w:sz w:val="20"/>
          <w:szCs w:val="20"/>
        </w:rPr>
        <w:t xml:space="preserve"> 7, </w:t>
      </w:r>
      <w:r w:rsidRPr="00AA3D1D">
        <w:rPr>
          <w:rFonts w:ascii="Verdana" w:hAnsi="Verdana" w:cs="Calibri"/>
          <w:color w:val="0070C0"/>
          <w:sz w:val="20"/>
          <w:szCs w:val="20"/>
        </w:rPr>
        <w:t xml:space="preserve">ponieważ przepis ten zakazuje ponownego sądzenia za to samo przestępstwo, podczas gdy w sprawach dotyczących jednego czynu stanowiącego różne przestępstwa jeden czyn zabroniony stanowi dwa odrębne przestępstwa. </w:t>
      </w:r>
      <w:r w:rsidR="0033100D" w:rsidRPr="00AA3D1D">
        <w:rPr>
          <w:rFonts w:ascii="Verdana" w:hAnsi="Verdana" w:cs="Calibri"/>
          <w:color w:val="0070C0"/>
          <w:sz w:val="20"/>
          <w:szCs w:val="20"/>
        </w:rPr>
        <w:t xml:space="preserve">Trybunał dodał, że byłoby to rzeczywiście bardziej spójne z zasadami prawidłowego wymierzania kary, gdyby dochodziło do skazania za oba przestępstwa, wynikające z tego samego czynu zabronionego przez ten sam sąd w jednym postępowaniu. </w:t>
      </w:r>
      <w:r w:rsidR="004F2733" w:rsidRPr="00AA3D1D">
        <w:rPr>
          <w:rFonts w:ascii="Verdana" w:hAnsi="Verdana" w:cs="Calibri"/>
          <w:color w:val="0070C0"/>
          <w:sz w:val="20"/>
          <w:szCs w:val="20"/>
        </w:rPr>
        <w:t>Okoliczność, że procedura ta nie została za</w:t>
      </w:r>
      <w:r w:rsidR="00E5639B" w:rsidRPr="00AA3D1D">
        <w:rPr>
          <w:rFonts w:ascii="Verdana" w:hAnsi="Verdana" w:cs="Calibri"/>
          <w:color w:val="0070C0"/>
          <w:sz w:val="20"/>
          <w:szCs w:val="20"/>
        </w:rPr>
        <w:t>stosowana w przypadku skarżącej</w:t>
      </w:r>
      <w:r w:rsidR="004F2733" w:rsidRPr="00AA3D1D">
        <w:rPr>
          <w:rFonts w:ascii="Verdana" w:hAnsi="Verdana" w:cs="Calibri"/>
          <w:color w:val="0070C0"/>
          <w:sz w:val="20"/>
          <w:szCs w:val="20"/>
        </w:rPr>
        <w:t xml:space="preserve"> nie ma jednak znaczenia dla zgodności z </w:t>
      </w:r>
      <w:r w:rsidR="004F2733" w:rsidRPr="00AA3D1D">
        <w:rPr>
          <w:rFonts w:ascii="Verdana" w:hAnsi="Verdana" w:cs="Calibri"/>
          <w:bCs/>
          <w:color w:val="0070C0"/>
          <w:sz w:val="20"/>
          <w:szCs w:val="20"/>
        </w:rPr>
        <w:t>art</w:t>
      </w:r>
      <w:r w:rsidR="00E5639B" w:rsidRPr="00AA3D1D">
        <w:rPr>
          <w:rFonts w:ascii="Verdana" w:hAnsi="Verdana" w:cs="Calibri"/>
          <w:bCs/>
          <w:color w:val="0070C0"/>
          <w:sz w:val="20"/>
          <w:szCs w:val="20"/>
        </w:rPr>
        <w:t xml:space="preserve">. 4 Protokołu </w:t>
      </w:r>
      <w:r w:rsidR="00AA3D1D" w:rsidRPr="00AA3D1D">
        <w:rPr>
          <w:rFonts w:ascii="Verdana" w:hAnsi="Verdana" w:cs="Calibri"/>
          <w:bCs/>
          <w:color w:val="0070C0"/>
          <w:sz w:val="20"/>
          <w:szCs w:val="20"/>
        </w:rPr>
        <w:t>n</w:t>
      </w:r>
      <w:r w:rsidR="00E97A36" w:rsidRPr="00AA3D1D">
        <w:rPr>
          <w:rFonts w:ascii="Verdana" w:hAnsi="Verdana" w:cs="Calibri"/>
          <w:bCs/>
          <w:color w:val="0070C0"/>
          <w:sz w:val="20"/>
          <w:szCs w:val="20"/>
        </w:rPr>
        <w:t>r</w:t>
      </w:r>
      <w:r w:rsidR="004F2733" w:rsidRPr="00AA3D1D">
        <w:rPr>
          <w:rFonts w:ascii="Verdana" w:hAnsi="Verdana" w:cs="Calibri"/>
          <w:bCs/>
          <w:color w:val="0070C0"/>
          <w:sz w:val="20"/>
          <w:szCs w:val="20"/>
        </w:rPr>
        <w:t xml:space="preserve"> 7, </w:t>
      </w:r>
      <w:r w:rsidR="004F2733" w:rsidRPr="00AA3D1D">
        <w:rPr>
          <w:rFonts w:ascii="Verdana" w:hAnsi="Verdana" w:cs="Calibri"/>
          <w:color w:val="0070C0"/>
          <w:sz w:val="20"/>
          <w:szCs w:val="20"/>
        </w:rPr>
        <w:t xml:space="preserve">ponieważ przepis ten nie stoi na przeszkodzie temu, by odrębne przestępstwa, nawet jeśli wszystkie stanowią część jednego czynu zabronionego, były sądzone przez różne sądy, w </w:t>
      </w:r>
      <w:r w:rsidR="001B43B9" w:rsidRPr="00AA3D1D">
        <w:rPr>
          <w:rFonts w:ascii="Verdana" w:hAnsi="Verdana" w:cs="Calibri"/>
          <w:color w:val="0070C0"/>
          <w:sz w:val="20"/>
          <w:szCs w:val="20"/>
        </w:rPr>
        <w:t>szczególności,</w:t>
      </w:r>
      <w:r w:rsidR="004F2733" w:rsidRPr="00AA3D1D">
        <w:rPr>
          <w:rFonts w:ascii="Verdana" w:hAnsi="Verdana" w:cs="Calibri"/>
          <w:color w:val="0070C0"/>
          <w:sz w:val="20"/>
          <w:szCs w:val="20"/>
        </w:rPr>
        <w:t xml:space="preserve"> gdy, jak w niniejszej sprawie</w:t>
      </w:r>
      <w:r w:rsidR="00E5639B" w:rsidRPr="00AA3D1D">
        <w:rPr>
          <w:rFonts w:ascii="Verdana" w:hAnsi="Verdana" w:cs="Calibri"/>
          <w:color w:val="0070C0"/>
          <w:sz w:val="20"/>
          <w:szCs w:val="20"/>
        </w:rPr>
        <w:t xml:space="preserve">, kary nie kumulowały się, </w:t>
      </w:r>
      <w:r w:rsidR="009D0810">
        <w:rPr>
          <w:rFonts w:ascii="Verdana" w:hAnsi="Verdana" w:cs="Calibri"/>
          <w:color w:val="0070C0"/>
          <w:sz w:val="20"/>
          <w:szCs w:val="20"/>
        </w:rPr>
        <w:t xml:space="preserve">gdyż </w:t>
      </w:r>
      <w:r w:rsidR="004F2733" w:rsidRPr="00AA3D1D">
        <w:rPr>
          <w:rFonts w:ascii="Verdana" w:hAnsi="Verdana" w:cs="Calibri"/>
          <w:color w:val="0070C0"/>
          <w:sz w:val="20"/>
          <w:szCs w:val="20"/>
        </w:rPr>
        <w:t>łagodniejsze były wchłaniane prz</w:t>
      </w:r>
      <w:r w:rsidR="00E5639B" w:rsidRPr="00AA3D1D">
        <w:rPr>
          <w:rFonts w:ascii="Verdana" w:hAnsi="Verdana" w:cs="Calibri"/>
          <w:color w:val="0070C0"/>
          <w:sz w:val="20"/>
          <w:szCs w:val="20"/>
        </w:rPr>
        <w:t xml:space="preserve">ez </w:t>
      </w:r>
      <w:r w:rsidR="004F2733" w:rsidRPr="00AA3D1D">
        <w:rPr>
          <w:rFonts w:ascii="Verdana" w:hAnsi="Verdana" w:cs="Calibri"/>
          <w:color w:val="0070C0"/>
          <w:sz w:val="20"/>
          <w:szCs w:val="20"/>
        </w:rPr>
        <w:t xml:space="preserve">surowsze. W związku z tym niniejsza sprawa różniła się od sprawy </w:t>
      </w:r>
      <w:r w:rsidR="004F2733" w:rsidRPr="00AA3D1D">
        <w:rPr>
          <w:rFonts w:ascii="Verdana" w:hAnsi="Verdana" w:cs="Calibri"/>
          <w:i/>
          <w:color w:val="0070C0"/>
          <w:sz w:val="20"/>
          <w:szCs w:val="20"/>
        </w:rPr>
        <w:t>Gradinger</w:t>
      </w:r>
      <w:r w:rsidR="004F2733" w:rsidRPr="00AA3D1D">
        <w:rPr>
          <w:rFonts w:ascii="Verdana" w:hAnsi="Verdana" w:cs="Calibri"/>
          <w:color w:val="0070C0"/>
          <w:sz w:val="20"/>
          <w:szCs w:val="20"/>
        </w:rPr>
        <w:t xml:space="preserve"> (zob. powyżej), w której dwa różne sądy doszły do niespójnych ustaleń w sprawie poziomu alkoholu we krwi skarżącego.</w:t>
      </w:r>
    </w:p>
    <w:p w14:paraId="6A3665A4" w14:textId="77777777" w:rsidR="00AA3D1D" w:rsidRDefault="00AA3D1D" w:rsidP="008B0AE6">
      <w:pPr>
        <w:spacing w:after="0"/>
        <w:rPr>
          <w:rFonts w:ascii="Verdana" w:hAnsi="Verdana" w:cs="Calibri"/>
          <w:b/>
          <w:color w:val="2E74B5" w:themeColor="accent1" w:themeShade="BF"/>
          <w:sz w:val="20"/>
          <w:szCs w:val="20"/>
          <w:u w:val="single"/>
        </w:rPr>
      </w:pPr>
    </w:p>
    <w:p w14:paraId="4C582BAE" w14:textId="2E4115F0" w:rsidR="00812158" w:rsidRPr="006E23A1" w:rsidRDefault="00812158" w:rsidP="008B0AE6">
      <w:pPr>
        <w:spacing w:after="0"/>
        <w:rPr>
          <w:rFonts w:ascii="Verdana" w:hAnsi="Verdana" w:cs="Calibri"/>
          <w:sz w:val="20"/>
          <w:szCs w:val="20"/>
        </w:rPr>
      </w:pPr>
      <w:hyperlink r:id="rId35" w:history="1">
        <w:r w:rsidRPr="009D0810">
          <w:rPr>
            <w:rStyle w:val="Hipercze"/>
            <w:rFonts w:ascii="Verdana" w:hAnsi="Verdana" w:cs="Calibri"/>
            <w:b/>
            <w:color w:val="0070C0"/>
            <w:sz w:val="20"/>
            <w:szCs w:val="20"/>
          </w:rPr>
          <w:t>Ponsetti i Chesnel przeciwko Francji</w:t>
        </w:r>
      </w:hyperlink>
      <w:r w:rsidR="00EE6B3B" w:rsidRPr="006E23A1">
        <w:rPr>
          <w:rFonts w:ascii="Verdana" w:hAnsi="Verdana" w:cs="Calibri"/>
          <w:sz w:val="20"/>
          <w:szCs w:val="20"/>
        </w:rPr>
        <w:br/>
      </w:r>
      <w:r w:rsidRPr="009D0810">
        <w:rPr>
          <w:rFonts w:ascii="Verdana" w:hAnsi="Verdana" w:cs="Calibri"/>
          <w:color w:val="767171" w:themeColor="background2" w:themeShade="80"/>
          <w:sz w:val="18"/>
          <w:szCs w:val="18"/>
        </w:rPr>
        <w:t>14 września 199</w:t>
      </w:r>
      <w:r w:rsidR="00EE6B3B" w:rsidRPr="009D0810">
        <w:rPr>
          <w:rFonts w:ascii="Verdana" w:hAnsi="Verdana" w:cs="Calibri"/>
          <w:color w:val="767171" w:themeColor="background2" w:themeShade="80"/>
          <w:sz w:val="18"/>
          <w:szCs w:val="18"/>
        </w:rPr>
        <w:t>9</w:t>
      </w:r>
      <w:r w:rsidR="0007276D" w:rsidRPr="009D0810">
        <w:rPr>
          <w:rFonts w:ascii="Verdana" w:hAnsi="Verdana" w:cs="Calibri"/>
          <w:color w:val="767171" w:themeColor="background2" w:themeShade="80"/>
          <w:sz w:val="18"/>
          <w:szCs w:val="18"/>
        </w:rPr>
        <w:t xml:space="preserve"> </w:t>
      </w:r>
      <w:r w:rsidR="00674EC0" w:rsidRPr="009D0810">
        <w:rPr>
          <w:rFonts w:ascii="Verdana" w:hAnsi="Verdana" w:cs="Calibri"/>
          <w:color w:val="767171" w:themeColor="background2" w:themeShade="80"/>
          <w:sz w:val="18"/>
          <w:szCs w:val="18"/>
        </w:rPr>
        <w:t>r.</w:t>
      </w:r>
      <w:r w:rsidR="00EE6B3B" w:rsidRPr="009D0810">
        <w:rPr>
          <w:rFonts w:ascii="Verdana" w:hAnsi="Verdana" w:cs="Calibri"/>
          <w:color w:val="767171" w:themeColor="background2" w:themeShade="80"/>
          <w:sz w:val="18"/>
          <w:szCs w:val="18"/>
        </w:rPr>
        <w:t xml:space="preserve"> </w:t>
      </w:r>
      <w:r w:rsidRPr="009D0810">
        <w:rPr>
          <w:rFonts w:ascii="Verdana" w:hAnsi="Verdana" w:cs="Calibri"/>
          <w:color w:val="767171" w:themeColor="background2" w:themeShade="80"/>
          <w:sz w:val="18"/>
          <w:szCs w:val="18"/>
        </w:rPr>
        <w:t>(decyzja w sprawie dopuszczalności)</w:t>
      </w:r>
    </w:p>
    <w:p w14:paraId="6D909F14" w14:textId="297B9BD8" w:rsidR="006637F4" w:rsidRPr="006E23A1" w:rsidRDefault="00812158" w:rsidP="008B0AE6">
      <w:pPr>
        <w:spacing w:after="0"/>
        <w:jc w:val="both"/>
        <w:rPr>
          <w:rFonts w:ascii="Verdana" w:hAnsi="Verdana" w:cs="Calibri"/>
          <w:sz w:val="20"/>
          <w:szCs w:val="20"/>
        </w:rPr>
      </w:pPr>
      <w:r w:rsidRPr="006E23A1">
        <w:rPr>
          <w:rFonts w:ascii="Verdana" w:hAnsi="Verdana" w:cs="Calibri"/>
          <w:sz w:val="20"/>
          <w:szCs w:val="20"/>
        </w:rPr>
        <w:t xml:space="preserve">Obydwaj skarżący nie wypełnili deklaracji podatkowych, </w:t>
      </w:r>
      <w:r w:rsidR="009D0810">
        <w:rPr>
          <w:rFonts w:ascii="Verdana" w:hAnsi="Verdana" w:cs="Calibri"/>
          <w:sz w:val="20"/>
          <w:szCs w:val="20"/>
        </w:rPr>
        <w:t>co</w:t>
      </w:r>
      <w:r w:rsidRPr="006E23A1">
        <w:rPr>
          <w:rFonts w:ascii="Verdana" w:hAnsi="Verdana" w:cs="Calibri"/>
          <w:sz w:val="20"/>
          <w:szCs w:val="20"/>
        </w:rPr>
        <w:t xml:space="preserve"> spowodowało nałożenie</w:t>
      </w:r>
      <w:r w:rsidR="00FE61C0" w:rsidRPr="006E23A1">
        <w:rPr>
          <w:rFonts w:ascii="Verdana" w:hAnsi="Verdana" w:cs="Calibri"/>
          <w:sz w:val="20"/>
          <w:szCs w:val="20"/>
        </w:rPr>
        <w:t xml:space="preserve"> na nich</w:t>
      </w:r>
      <w:r w:rsidRPr="006E23A1">
        <w:rPr>
          <w:rFonts w:ascii="Verdana" w:hAnsi="Verdana" w:cs="Calibri"/>
          <w:sz w:val="20"/>
          <w:szCs w:val="20"/>
        </w:rPr>
        <w:t xml:space="preserve"> przez organy podatkowe kar administracyjnych w postaci zwiększenia należnego podatku. Władze wszczęły również przeciwko nim postępowanie karne, w wyniku którego zostali skazani za oszustwa podatkowe.</w:t>
      </w:r>
      <w:r w:rsidR="008856EB" w:rsidRPr="006E23A1">
        <w:rPr>
          <w:rFonts w:ascii="Verdana" w:hAnsi="Verdana" w:cs="Calibri"/>
          <w:sz w:val="20"/>
          <w:szCs w:val="20"/>
        </w:rPr>
        <w:t xml:space="preserve"> Sąd orzekł, że celowo uchylali się </w:t>
      </w:r>
      <w:r w:rsidR="00FE61C0" w:rsidRPr="006E23A1">
        <w:rPr>
          <w:rFonts w:ascii="Verdana" w:hAnsi="Verdana" w:cs="Calibri"/>
          <w:sz w:val="20"/>
          <w:szCs w:val="20"/>
        </w:rPr>
        <w:t xml:space="preserve">oni </w:t>
      </w:r>
      <w:r w:rsidR="008856EB" w:rsidRPr="006E23A1">
        <w:rPr>
          <w:rFonts w:ascii="Verdana" w:hAnsi="Verdana" w:cs="Calibri"/>
          <w:sz w:val="20"/>
          <w:szCs w:val="20"/>
        </w:rPr>
        <w:t>od płacenia podatku. Skarżący podnieśli w szczególności, że okoliczność, iż organy podatkowe nałożyły na nich kary podatkowe oraz że zostali oni skazani przez sąd, stanowiła dwukrotną karę za to samo przestępstwo.</w:t>
      </w:r>
    </w:p>
    <w:p w14:paraId="6033BF8B" w14:textId="7E53DBDD" w:rsidR="008856EB" w:rsidRPr="009D0810" w:rsidRDefault="008856EB" w:rsidP="008B0AE6">
      <w:pPr>
        <w:spacing w:after="0"/>
        <w:jc w:val="both"/>
        <w:rPr>
          <w:rFonts w:ascii="Verdana" w:hAnsi="Verdana" w:cs="Calibri"/>
          <w:color w:val="0070C0"/>
          <w:sz w:val="20"/>
          <w:szCs w:val="20"/>
        </w:rPr>
      </w:pPr>
      <w:r w:rsidRPr="009D0810">
        <w:rPr>
          <w:rFonts w:ascii="Verdana" w:hAnsi="Verdana" w:cs="Calibri"/>
          <w:color w:val="0070C0"/>
          <w:sz w:val="20"/>
          <w:szCs w:val="20"/>
        </w:rPr>
        <w:t xml:space="preserve">Trybunał stwierdził, że skarga </w:t>
      </w:r>
      <w:r w:rsidR="00CE48E6" w:rsidRPr="009D0810">
        <w:rPr>
          <w:rFonts w:ascii="Verdana" w:hAnsi="Verdana" w:cs="Calibri"/>
          <w:color w:val="0070C0"/>
          <w:sz w:val="20"/>
          <w:szCs w:val="20"/>
        </w:rPr>
        <w:t>wniesiona na podstawie</w:t>
      </w:r>
      <w:r w:rsidR="00CE48E6" w:rsidRPr="009D0810">
        <w:rPr>
          <w:rFonts w:ascii="Verdana" w:hAnsi="Verdana" w:cs="Calibri"/>
          <w:b/>
          <w:color w:val="0070C0"/>
          <w:sz w:val="20"/>
          <w:szCs w:val="20"/>
        </w:rPr>
        <w:t xml:space="preserve"> </w:t>
      </w:r>
      <w:r w:rsidR="00CE48E6" w:rsidRPr="009D0810">
        <w:rPr>
          <w:rFonts w:ascii="Verdana" w:hAnsi="Verdana" w:cs="Calibri"/>
          <w:color w:val="0070C0"/>
          <w:sz w:val="20"/>
          <w:szCs w:val="20"/>
        </w:rPr>
        <w:t>art. 4 P</w:t>
      </w:r>
      <w:r w:rsidRPr="009D0810">
        <w:rPr>
          <w:rFonts w:ascii="Verdana" w:hAnsi="Verdana" w:cs="Calibri"/>
          <w:color w:val="0070C0"/>
          <w:sz w:val="20"/>
          <w:szCs w:val="20"/>
        </w:rPr>
        <w:t xml:space="preserve">rotokołu </w:t>
      </w:r>
      <w:r w:rsidR="009D0810" w:rsidRPr="009D0810">
        <w:rPr>
          <w:rFonts w:ascii="Verdana" w:hAnsi="Verdana" w:cs="Calibri"/>
          <w:color w:val="0070C0"/>
          <w:sz w:val="20"/>
          <w:szCs w:val="20"/>
        </w:rPr>
        <w:t>n</w:t>
      </w:r>
      <w:r w:rsidR="00E97A36" w:rsidRPr="009D0810">
        <w:rPr>
          <w:rFonts w:ascii="Verdana" w:hAnsi="Verdana" w:cs="Calibri"/>
          <w:color w:val="0070C0"/>
          <w:sz w:val="20"/>
          <w:szCs w:val="20"/>
        </w:rPr>
        <w:t>r</w:t>
      </w:r>
      <w:r w:rsidRPr="009D0810">
        <w:rPr>
          <w:rFonts w:ascii="Verdana" w:hAnsi="Verdana" w:cs="Calibri"/>
          <w:b/>
          <w:color w:val="0070C0"/>
          <w:sz w:val="20"/>
          <w:szCs w:val="20"/>
        </w:rPr>
        <w:t xml:space="preserve"> </w:t>
      </w:r>
      <w:r w:rsidRPr="009D0810">
        <w:rPr>
          <w:rFonts w:ascii="Verdana" w:hAnsi="Verdana" w:cs="Calibri"/>
          <w:color w:val="0070C0"/>
          <w:sz w:val="20"/>
          <w:szCs w:val="20"/>
        </w:rPr>
        <w:t>7</w:t>
      </w:r>
      <w:r w:rsidR="00CE48E6" w:rsidRPr="009D0810">
        <w:rPr>
          <w:rFonts w:ascii="Verdana" w:hAnsi="Verdana" w:cs="Calibri"/>
          <w:color w:val="0070C0"/>
          <w:sz w:val="20"/>
          <w:szCs w:val="20"/>
        </w:rPr>
        <w:t xml:space="preserve"> jest</w:t>
      </w:r>
      <w:r w:rsidR="00CE48E6" w:rsidRPr="009D0810">
        <w:rPr>
          <w:rFonts w:ascii="Verdana" w:hAnsi="Verdana" w:cs="Calibri"/>
          <w:b/>
          <w:color w:val="0070C0"/>
          <w:sz w:val="20"/>
          <w:szCs w:val="20"/>
        </w:rPr>
        <w:t xml:space="preserve"> niedopuszczalna</w:t>
      </w:r>
      <w:r w:rsidRPr="009D0810">
        <w:rPr>
          <w:rFonts w:ascii="Verdana" w:hAnsi="Verdana" w:cs="Calibri"/>
          <w:color w:val="0070C0"/>
          <w:sz w:val="20"/>
          <w:szCs w:val="20"/>
        </w:rPr>
        <w:t xml:space="preserve"> jako </w:t>
      </w:r>
      <w:r w:rsidR="009D0810" w:rsidRPr="009D0810">
        <w:rPr>
          <w:rFonts w:ascii="Verdana" w:hAnsi="Verdana" w:cs="Calibri"/>
          <w:color w:val="0070C0"/>
          <w:sz w:val="20"/>
          <w:szCs w:val="20"/>
        </w:rPr>
        <w:t>w sposób oczywisty nieuzasadniona</w:t>
      </w:r>
      <w:r w:rsidRPr="009D0810">
        <w:rPr>
          <w:rFonts w:ascii="Verdana" w:hAnsi="Verdana" w:cs="Calibri"/>
          <w:color w:val="0070C0"/>
          <w:sz w:val="20"/>
          <w:szCs w:val="20"/>
        </w:rPr>
        <w:t>.</w:t>
      </w:r>
      <w:r w:rsidRPr="009D0810">
        <w:rPr>
          <w:rFonts w:ascii="Verdana" w:hAnsi="Verdana"/>
          <w:color w:val="0070C0"/>
          <w:sz w:val="20"/>
          <w:szCs w:val="20"/>
        </w:rPr>
        <w:t xml:space="preserve"> </w:t>
      </w:r>
      <w:r w:rsidRPr="009D0810">
        <w:rPr>
          <w:rFonts w:ascii="Verdana" w:hAnsi="Verdana" w:cs="Calibri"/>
          <w:color w:val="0070C0"/>
          <w:sz w:val="20"/>
          <w:szCs w:val="20"/>
        </w:rPr>
        <w:t>Zauważył w szczególności, że ukaranie w postępowaniu administracyjny</w:t>
      </w:r>
      <w:r w:rsidR="001D53AD">
        <w:rPr>
          <w:rFonts w:ascii="Verdana" w:hAnsi="Verdana" w:cs="Calibri"/>
          <w:color w:val="0070C0"/>
          <w:sz w:val="20"/>
          <w:szCs w:val="20"/>
        </w:rPr>
        <w:t>m</w:t>
      </w:r>
      <w:r w:rsidRPr="009D0810">
        <w:rPr>
          <w:rFonts w:ascii="Verdana" w:hAnsi="Verdana" w:cs="Calibri"/>
          <w:color w:val="0070C0"/>
          <w:sz w:val="20"/>
          <w:szCs w:val="20"/>
        </w:rPr>
        <w:t xml:space="preserve"> i karnym opiera się na dwóch przepisach </w:t>
      </w:r>
      <w:r w:rsidRPr="009D0810">
        <w:rPr>
          <w:rFonts w:ascii="Verdana" w:hAnsi="Verdana" w:cs="Calibri"/>
          <w:color w:val="0070C0"/>
          <w:sz w:val="20"/>
          <w:szCs w:val="20"/>
        </w:rPr>
        <w:lastRenderedPageBreak/>
        <w:t>ogólnego kodeksu podatkowego dotyczących całkowicie odrębnych przestępstw zawierających różne elementy składowe.  Przestępstwo podatkowe miało na celu karanie jedynie niezgłoszenia zobowiązania podatkowego w terminie, podczas gdy przestępstwo</w:t>
      </w:r>
      <w:r w:rsidR="00CE48E6" w:rsidRPr="009D0810">
        <w:rPr>
          <w:rFonts w:ascii="Verdana" w:hAnsi="Verdana" w:cs="Calibri"/>
          <w:color w:val="0070C0"/>
          <w:sz w:val="20"/>
          <w:szCs w:val="20"/>
        </w:rPr>
        <w:t xml:space="preserve"> karne</w:t>
      </w:r>
      <w:r w:rsidRPr="009D0810">
        <w:rPr>
          <w:rFonts w:ascii="Verdana" w:hAnsi="Verdana" w:cs="Calibri"/>
          <w:color w:val="0070C0"/>
          <w:sz w:val="20"/>
          <w:szCs w:val="20"/>
        </w:rPr>
        <w:t xml:space="preserve"> miało na celu karanie umyślnego niezgłoszenia tego faktu. </w:t>
      </w:r>
    </w:p>
    <w:p w14:paraId="13437E14" w14:textId="1F80368A" w:rsidR="009D0810" w:rsidRPr="00844027" w:rsidRDefault="009D0810" w:rsidP="008B0AE6">
      <w:pPr>
        <w:spacing w:after="0"/>
        <w:rPr>
          <w:rFonts w:ascii="Verdana" w:hAnsi="Verdana" w:cs="Calibri"/>
          <w:b/>
          <w:color w:val="0070C0"/>
          <w:sz w:val="20"/>
          <w:szCs w:val="20"/>
          <w:u w:val="single"/>
        </w:rPr>
      </w:pPr>
      <w:r w:rsidRPr="00844027">
        <w:rPr>
          <w:rFonts w:ascii="Verdana" w:hAnsi="Verdana"/>
          <w:i/>
          <w:iCs/>
          <w:color w:val="404040"/>
          <w:sz w:val="20"/>
          <w:szCs w:val="20"/>
        </w:rPr>
        <w:t>Zob. także</w:t>
      </w:r>
      <w:r w:rsidRPr="00844027">
        <w:rPr>
          <w:rFonts w:ascii="Verdana" w:hAnsi="Verdana"/>
          <w:color w:val="404040"/>
          <w:sz w:val="20"/>
          <w:szCs w:val="20"/>
        </w:rPr>
        <w:t xml:space="preserve">: </w:t>
      </w:r>
      <w:hyperlink r:id="rId36" w:history="1">
        <w:r w:rsidRPr="00844027">
          <w:rPr>
            <w:rStyle w:val="Hipercze"/>
            <w:rFonts w:ascii="Verdana" w:hAnsi="Verdana"/>
            <w:b/>
            <w:bCs/>
            <w:color w:val="0070C0"/>
            <w:sz w:val="20"/>
            <w:szCs w:val="20"/>
          </w:rPr>
          <w:t>Alves de Oliveira v. France</w:t>
        </w:r>
      </w:hyperlink>
      <w:r w:rsidRPr="00844027">
        <w:rPr>
          <w:rFonts w:ascii="Verdana" w:hAnsi="Verdana"/>
          <w:color w:val="404040"/>
          <w:sz w:val="20"/>
          <w:szCs w:val="20"/>
        </w:rPr>
        <w:t>, decyzja (Komitet) w sprawie dopuszczalności z dnia 25 listopada 2021 r.</w:t>
      </w:r>
    </w:p>
    <w:p w14:paraId="39A62A32" w14:textId="77777777" w:rsidR="009D0810" w:rsidRDefault="009D0810" w:rsidP="008B0AE6">
      <w:pPr>
        <w:spacing w:after="0"/>
        <w:rPr>
          <w:rFonts w:ascii="Verdana" w:hAnsi="Verdana" w:cs="Calibri"/>
          <w:b/>
          <w:color w:val="2E74B5" w:themeColor="accent1" w:themeShade="BF"/>
          <w:sz w:val="20"/>
          <w:szCs w:val="20"/>
          <w:u w:val="single"/>
        </w:rPr>
      </w:pPr>
    </w:p>
    <w:p w14:paraId="3C482C4F" w14:textId="37BE6A58" w:rsidR="006637F4" w:rsidRPr="006E23A1" w:rsidRDefault="006637F4" w:rsidP="008B0AE6">
      <w:pPr>
        <w:spacing w:after="0"/>
        <w:rPr>
          <w:rFonts w:ascii="Verdana" w:hAnsi="Verdana" w:cs="Calibri"/>
          <w:sz w:val="20"/>
          <w:szCs w:val="20"/>
        </w:rPr>
      </w:pPr>
      <w:hyperlink r:id="rId37" w:history="1">
        <w:r w:rsidRPr="002B3A27">
          <w:rPr>
            <w:rStyle w:val="Hipercze"/>
            <w:rFonts w:ascii="Verdana" w:hAnsi="Verdana" w:cs="Calibri"/>
            <w:b/>
            <w:color w:val="0070C0"/>
            <w:sz w:val="20"/>
            <w:szCs w:val="20"/>
          </w:rPr>
          <w:t>R.T. przeciwko Szwajcarii (</w:t>
        </w:r>
        <w:r w:rsidR="00E97A36" w:rsidRPr="002B3A27">
          <w:rPr>
            <w:rStyle w:val="Hipercze"/>
            <w:rFonts w:ascii="Verdana" w:hAnsi="Verdana" w:cs="Calibri"/>
            <w:b/>
            <w:color w:val="0070C0"/>
            <w:sz w:val="20"/>
            <w:szCs w:val="20"/>
          </w:rPr>
          <w:t>nr</w:t>
        </w:r>
        <w:r w:rsidRPr="002B3A27">
          <w:rPr>
            <w:rStyle w:val="Hipercze"/>
            <w:rFonts w:ascii="Verdana" w:hAnsi="Verdana" w:cs="Calibri"/>
            <w:b/>
            <w:color w:val="0070C0"/>
            <w:sz w:val="20"/>
            <w:szCs w:val="20"/>
          </w:rPr>
          <w:t xml:space="preserve"> 31982/96)</w:t>
        </w:r>
      </w:hyperlink>
      <w:r w:rsidR="00EE6B3B" w:rsidRPr="006E23A1">
        <w:rPr>
          <w:rFonts w:ascii="Verdana" w:hAnsi="Verdana" w:cs="Calibri"/>
          <w:sz w:val="20"/>
          <w:szCs w:val="20"/>
        </w:rPr>
        <w:br/>
      </w:r>
      <w:r w:rsidR="00CE48E6" w:rsidRPr="002B3A27">
        <w:rPr>
          <w:rFonts w:ascii="Verdana" w:hAnsi="Verdana" w:cs="Calibri"/>
          <w:color w:val="767171" w:themeColor="background2" w:themeShade="80"/>
          <w:sz w:val="18"/>
          <w:szCs w:val="18"/>
        </w:rPr>
        <w:t>30 maja 2000</w:t>
      </w:r>
      <w:r w:rsidR="009B5FB5" w:rsidRPr="002B3A27">
        <w:rPr>
          <w:rFonts w:ascii="Verdana" w:hAnsi="Verdana" w:cs="Calibri"/>
          <w:color w:val="767171" w:themeColor="background2" w:themeShade="80"/>
          <w:sz w:val="18"/>
          <w:szCs w:val="18"/>
        </w:rPr>
        <w:t xml:space="preserve"> </w:t>
      </w:r>
      <w:r w:rsidR="00674EC0" w:rsidRPr="002B3A27">
        <w:rPr>
          <w:rFonts w:ascii="Verdana" w:hAnsi="Verdana" w:cs="Calibri"/>
          <w:color w:val="767171" w:themeColor="background2" w:themeShade="80"/>
          <w:sz w:val="18"/>
          <w:szCs w:val="18"/>
        </w:rPr>
        <w:t>r.</w:t>
      </w:r>
      <w:r w:rsidR="00EE6B3B" w:rsidRPr="002B3A27">
        <w:rPr>
          <w:rFonts w:ascii="Verdana" w:hAnsi="Verdana" w:cs="Calibri"/>
          <w:color w:val="767171" w:themeColor="background2" w:themeShade="80"/>
          <w:sz w:val="18"/>
          <w:szCs w:val="18"/>
        </w:rPr>
        <w:t xml:space="preserve"> </w:t>
      </w:r>
      <w:r w:rsidRPr="002B3A27">
        <w:rPr>
          <w:rFonts w:ascii="Verdana" w:hAnsi="Verdana" w:cs="Calibri"/>
          <w:color w:val="767171" w:themeColor="background2" w:themeShade="80"/>
          <w:sz w:val="18"/>
          <w:szCs w:val="18"/>
        </w:rPr>
        <w:t>(decyzja w sprawie dopuszczalności)</w:t>
      </w:r>
    </w:p>
    <w:p w14:paraId="37D8B35C" w14:textId="77777777" w:rsidR="006637F4" w:rsidRPr="006E23A1" w:rsidRDefault="006637F4" w:rsidP="008B0AE6">
      <w:pPr>
        <w:spacing w:after="0"/>
        <w:jc w:val="both"/>
        <w:rPr>
          <w:rFonts w:ascii="Verdana" w:hAnsi="Verdana" w:cs="Calibri"/>
          <w:sz w:val="20"/>
          <w:szCs w:val="20"/>
        </w:rPr>
      </w:pPr>
      <w:r w:rsidRPr="006E23A1">
        <w:rPr>
          <w:rFonts w:ascii="Verdana" w:hAnsi="Verdana" w:cs="Calibri"/>
          <w:sz w:val="20"/>
          <w:szCs w:val="20"/>
        </w:rPr>
        <w:t>Skarżący podnosi</w:t>
      </w:r>
      <w:r w:rsidR="00CE48E6" w:rsidRPr="006E23A1">
        <w:rPr>
          <w:rFonts w:ascii="Verdana" w:hAnsi="Verdana" w:cs="Calibri"/>
          <w:sz w:val="20"/>
          <w:szCs w:val="20"/>
        </w:rPr>
        <w:t>ł</w:t>
      </w:r>
      <w:r w:rsidRPr="006E23A1">
        <w:rPr>
          <w:rFonts w:ascii="Verdana" w:hAnsi="Verdana" w:cs="Calibri"/>
          <w:sz w:val="20"/>
          <w:szCs w:val="20"/>
        </w:rPr>
        <w:t xml:space="preserve"> w szczególności, że został dwukrotnie skazany w dwóch oddzielnych postępowaniach za prowadzenie pojazdu pod wpływem alkoholu. Najpierw został osądzony i skazany przez sąd rejonowy, a następnie jego prawo jazdy zostało odebrane przez Urząd Ruchu Drogowego.</w:t>
      </w:r>
    </w:p>
    <w:p w14:paraId="0F65900A" w14:textId="4C00A4FB" w:rsidR="006637F4" w:rsidRPr="002B3A27" w:rsidRDefault="006637F4" w:rsidP="008B0AE6">
      <w:pPr>
        <w:spacing w:after="0"/>
        <w:jc w:val="both"/>
        <w:rPr>
          <w:rFonts w:ascii="Verdana" w:hAnsi="Verdana" w:cs="Calibri"/>
          <w:color w:val="0070C0"/>
          <w:sz w:val="20"/>
          <w:szCs w:val="20"/>
        </w:rPr>
      </w:pPr>
      <w:r w:rsidRPr="002B3A27">
        <w:rPr>
          <w:rFonts w:ascii="Verdana" w:hAnsi="Verdana" w:cs="Calibri"/>
          <w:color w:val="0070C0"/>
          <w:sz w:val="20"/>
          <w:szCs w:val="20"/>
        </w:rPr>
        <w:t xml:space="preserve">Trybunał orzekł, że skarga jest </w:t>
      </w:r>
      <w:r w:rsidRPr="002B3A27">
        <w:rPr>
          <w:rFonts w:ascii="Verdana" w:hAnsi="Verdana" w:cs="Calibri"/>
          <w:b/>
          <w:color w:val="0070C0"/>
          <w:sz w:val="20"/>
          <w:szCs w:val="20"/>
        </w:rPr>
        <w:t>niedopuszczalna</w:t>
      </w:r>
      <w:r w:rsidRPr="002B3A27">
        <w:rPr>
          <w:rFonts w:ascii="Verdana" w:hAnsi="Verdana" w:cs="Calibri"/>
          <w:color w:val="0070C0"/>
          <w:sz w:val="20"/>
          <w:szCs w:val="20"/>
        </w:rPr>
        <w:t xml:space="preserve"> </w:t>
      </w:r>
      <w:r w:rsidR="002B3A27" w:rsidRPr="009D0810">
        <w:rPr>
          <w:rFonts w:ascii="Verdana" w:hAnsi="Verdana" w:cs="Calibri"/>
          <w:color w:val="0070C0"/>
          <w:sz w:val="20"/>
          <w:szCs w:val="20"/>
        </w:rPr>
        <w:t>jako w sposób oczywisty nieuzasadniona</w:t>
      </w:r>
      <w:r w:rsidRPr="002B3A27">
        <w:rPr>
          <w:rFonts w:ascii="Verdana" w:hAnsi="Verdana" w:cs="Calibri"/>
          <w:color w:val="0070C0"/>
          <w:sz w:val="20"/>
          <w:szCs w:val="20"/>
        </w:rPr>
        <w:t>.</w:t>
      </w:r>
      <w:r w:rsidRPr="002B3A27">
        <w:rPr>
          <w:rFonts w:ascii="Verdana" w:hAnsi="Verdana"/>
          <w:color w:val="0070C0"/>
          <w:sz w:val="20"/>
          <w:szCs w:val="20"/>
        </w:rPr>
        <w:t xml:space="preserve"> </w:t>
      </w:r>
      <w:r w:rsidRPr="002B3A27">
        <w:rPr>
          <w:rFonts w:ascii="Verdana" w:hAnsi="Verdana" w:cs="Calibri"/>
          <w:color w:val="0070C0"/>
          <w:sz w:val="20"/>
          <w:szCs w:val="20"/>
        </w:rPr>
        <w:t>Zauważył w szczególności, że władze szwajcarskie określiły jedynie trzy różne sankcje przewidziane prawem za popełnienie wykroczenia prowadzenia pojazdów pod wpływem alkoholu, a mianowicie karę więzienia, grzywny oraz odebrania prawa jazdy. Sankcje zostały nałożone w tym samym czasie przez dwa różne organy, tj. organ administracyjny i organ karny. W związku z tym</w:t>
      </w:r>
      <w:r w:rsidR="00B55ABE" w:rsidRPr="002B3A27">
        <w:rPr>
          <w:rFonts w:ascii="Verdana" w:hAnsi="Verdana" w:cs="Calibri"/>
          <w:color w:val="0070C0"/>
          <w:sz w:val="20"/>
          <w:szCs w:val="20"/>
        </w:rPr>
        <w:t>, w sprawie skarżącego</w:t>
      </w:r>
      <w:r w:rsidRPr="002B3A27">
        <w:rPr>
          <w:rFonts w:ascii="Verdana" w:hAnsi="Verdana" w:cs="Calibri"/>
          <w:color w:val="0070C0"/>
          <w:sz w:val="20"/>
          <w:szCs w:val="20"/>
        </w:rPr>
        <w:t xml:space="preserve"> nie można było stwierdzić, że postępowanie karne zostało powtórzone z naruszeniem art. 4 Protokoł</w:t>
      </w:r>
      <w:r w:rsidR="00E5447F" w:rsidRPr="002B3A27">
        <w:rPr>
          <w:rFonts w:ascii="Verdana" w:hAnsi="Verdana" w:cs="Calibri"/>
          <w:color w:val="0070C0"/>
          <w:sz w:val="20"/>
          <w:szCs w:val="20"/>
        </w:rPr>
        <w:t xml:space="preserve">u </w:t>
      </w:r>
      <w:r w:rsidR="002B3A27">
        <w:rPr>
          <w:rFonts w:ascii="Verdana" w:hAnsi="Verdana" w:cs="Calibri"/>
          <w:color w:val="0070C0"/>
          <w:sz w:val="20"/>
          <w:szCs w:val="20"/>
        </w:rPr>
        <w:t>n</w:t>
      </w:r>
      <w:r w:rsidR="00E97A36" w:rsidRPr="002B3A27">
        <w:rPr>
          <w:rFonts w:ascii="Verdana" w:hAnsi="Verdana" w:cs="Calibri"/>
          <w:color w:val="0070C0"/>
          <w:sz w:val="20"/>
          <w:szCs w:val="20"/>
        </w:rPr>
        <w:t>r</w:t>
      </w:r>
      <w:r w:rsidR="002B3A27">
        <w:rPr>
          <w:rFonts w:ascii="Verdana" w:hAnsi="Verdana" w:cs="Calibri"/>
          <w:color w:val="0070C0"/>
          <w:sz w:val="20"/>
          <w:szCs w:val="20"/>
        </w:rPr>
        <w:t> </w:t>
      </w:r>
      <w:r w:rsidR="00B55ABE" w:rsidRPr="002B3A27">
        <w:rPr>
          <w:rFonts w:ascii="Verdana" w:hAnsi="Verdana" w:cs="Calibri"/>
          <w:color w:val="0070C0"/>
          <w:sz w:val="20"/>
          <w:szCs w:val="20"/>
        </w:rPr>
        <w:t xml:space="preserve">7. </w:t>
      </w:r>
    </w:p>
    <w:p w14:paraId="3AC77AE1" w14:textId="77777777" w:rsidR="002B3A27" w:rsidRDefault="002B3A27" w:rsidP="008B0AE6">
      <w:pPr>
        <w:spacing w:after="0"/>
        <w:rPr>
          <w:rFonts w:ascii="Verdana" w:hAnsi="Verdana" w:cs="Calibri"/>
          <w:b/>
          <w:color w:val="2E74B5" w:themeColor="accent1" w:themeShade="BF"/>
          <w:sz w:val="20"/>
          <w:szCs w:val="20"/>
          <w:u w:val="single"/>
        </w:rPr>
      </w:pPr>
    </w:p>
    <w:p w14:paraId="46538B47" w14:textId="20BF0D5C" w:rsidR="00B55ABE" w:rsidRPr="006E23A1" w:rsidRDefault="00B55ABE" w:rsidP="008B0AE6">
      <w:pPr>
        <w:spacing w:after="0"/>
        <w:rPr>
          <w:rFonts w:ascii="Verdana" w:hAnsi="Verdana" w:cs="Calibri"/>
          <w:sz w:val="20"/>
          <w:szCs w:val="20"/>
        </w:rPr>
      </w:pPr>
      <w:hyperlink r:id="rId38" w:history="1">
        <w:r w:rsidRPr="002B3A27">
          <w:rPr>
            <w:rStyle w:val="Hipercze"/>
            <w:rFonts w:ascii="Verdana" w:hAnsi="Verdana" w:cs="Calibri"/>
            <w:b/>
            <w:color w:val="0070C0"/>
            <w:sz w:val="20"/>
            <w:szCs w:val="20"/>
          </w:rPr>
          <w:t>Franz Fischer przeciwko Austri</w:t>
        </w:r>
        <w:r w:rsidRPr="002B3A27">
          <w:rPr>
            <w:rStyle w:val="Hipercze"/>
            <w:rFonts w:ascii="Verdana" w:hAnsi="Verdana" w:cs="Calibri"/>
            <w:b/>
            <w:sz w:val="20"/>
            <w:szCs w:val="20"/>
          </w:rPr>
          <w:t>i</w:t>
        </w:r>
      </w:hyperlink>
      <w:r w:rsidR="00EE6B3B" w:rsidRPr="006E23A1">
        <w:rPr>
          <w:rFonts w:ascii="Verdana" w:hAnsi="Verdana" w:cs="Calibri"/>
          <w:sz w:val="20"/>
          <w:szCs w:val="20"/>
        </w:rPr>
        <w:br/>
      </w:r>
      <w:r w:rsidR="00EE6B3B" w:rsidRPr="002B3A27">
        <w:rPr>
          <w:rFonts w:ascii="Verdana" w:hAnsi="Verdana" w:cs="Calibri"/>
          <w:color w:val="767171" w:themeColor="background2" w:themeShade="80"/>
          <w:sz w:val="18"/>
          <w:szCs w:val="18"/>
        </w:rPr>
        <w:t>29 maja 2001</w:t>
      </w:r>
      <w:r w:rsidR="009B5FB5" w:rsidRPr="002B3A27">
        <w:rPr>
          <w:rFonts w:ascii="Verdana" w:hAnsi="Verdana" w:cs="Calibri"/>
          <w:color w:val="767171" w:themeColor="background2" w:themeShade="80"/>
          <w:sz w:val="18"/>
          <w:szCs w:val="18"/>
        </w:rPr>
        <w:t xml:space="preserve"> </w:t>
      </w:r>
      <w:r w:rsidR="00674EC0" w:rsidRPr="002B3A27">
        <w:rPr>
          <w:rFonts w:ascii="Verdana" w:hAnsi="Verdana" w:cs="Calibri"/>
          <w:color w:val="767171" w:themeColor="background2" w:themeShade="80"/>
          <w:sz w:val="18"/>
          <w:szCs w:val="18"/>
        </w:rPr>
        <w:t>r.</w:t>
      </w:r>
      <w:r w:rsidR="00674EC0" w:rsidRPr="006E23A1">
        <w:rPr>
          <w:rFonts w:ascii="Verdana" w:hAnsi="Verdana" w:cs="Calibri"/>
          <w:color w:val="767171" w:themeColor="background2" w:themeShade="80"/>
          <w:sz w:val="20"/>
          <w:szCs w:val="20"/>
        </w:rPr>
        <w:t xml:space="preserve"> </w:t>
      </w:r>
      <w:r w:rsidRPr="006E23A1">
        <w:rPr>
          <w:rFonts w:ascii="Verdana" w:hAnsi="Verdana" w:cs="Calibri"/>
          <w:sz w:val="20"/>
          <w:szCs w:val="20"/>
        </w:rPr>
        <w:t xml:space="preserve"> </w:t>
      </w:r>
    </w:p>
    <w:p w14:paraId="0E12ECC0" w14:textId="3D7DDB6D" w:rsidR="00B55ABE" w:rsidRPr="006E23A1" w:rsidRDefault="00B55ABE" w:rsidP="008B0AE6">
      <w:pPr>
        <w:spacing w:after="0"/>
        <w:jc w:val="both"/>
        <w:rPr>
          <w:rFonts w:ascii="Verdana" w:hAnsi="Verdana" w:cs="Calibri"/>
          <w:sz w:val="20"/>
          <w:szCs w:val="20"/>
        </w:rPr>
      </w:pPr>
      <w:r w:rsidRPr="006E23A1">
        <w:rPr>
          <w:rFonts w:ascii="Verdana" w:hAnsi="Verdana" w:cs="Calibri"/>
          <w:sz w:val="20"/>
          <w:szCs w:val="20"/>
        </w:rPr>
        <w:t xml:space="preserve">Skarżący śmiertelnie potrącił rowerzystę podczas jazdy pod wpływem alkoholu. Lokalny organ administracyjny nałożył </w:t>
      </w:r>
      <w:r w:rsidR="00E5447F" w:rsidRPr="006E23A1">
        <w:rPr>
          <w:rFonts w:ascii="Verdana" w:hAnsi="Verdana" w:cs="Calibri"/>
          <w:sz w:val="20"/>
          <w:szCs w:val="20"/>
        </w:rPr>
        <w:t xml:space="preserve">na niego </w:t>
      </w:r>
      <w:r w:rsidRPr="006E23A1">
        <w:rPr>
          <w:rFonts w:ascii="Verdana" w:hAnsi="Verdana" w:cs="Calibri"/>
          <w:sz w:val="20"/>
          <w:szCs w:val="20"/>
        </w:rPr>
        <w:t>grzywnę za kilka wykroczeń drogowych, w tym za prowadzenie pojazdu pod wpływem alkoholu.  Następnie Sąd Rejonowy uznał skarżącego winnym nieumyślnego spowodowania śmierci, a okolicznością obciążającą było</w:t>
      </w:r>
      <w:r w:rsidR="00E5447F" w:rsidRPr="006E23A1">
        <w:rPr>
          <w:rFonts w:ascii="Verdana" w:hAnsi="Verdana" w:cs="Calibri"/>
          <w:sz w:val="20"/>
          <w:szCs w:val="20"/>
        </w:rPr>
        <w:t xml:space="preserve"> jego</w:t>
      </w:r>
      <w:r w:rsidRPr="006E23A1">
        <w:rPr>
          <w:rFonts w:ascii="Verdana" w:hAnsi="Verdana" w:cs="Calibri"/>
          <w:sz w:val="20"/>
          <w:szCs w:val="20"/>
        </w:rPr>
        <w:t xml:space="preserve"> odurzenie alkoholowe. Skazał skarżącego na karę 6 miesięcy pozbawienia wolności. </w:t>
      </w:r>
    </w:p>
    <w:p w14:paraId="07113FF2" w14:textId="06380915" w:rsidR="005E26FB" w:rsidRPr="002B3A27" w:rsidRDefault="005E26FB" w:rsidP="008B0AE6">
      <w:pPr>
        <w:spacing w:after="0"/>
        <w:jc w:val="both"/>
        <w:rPr>
          <w:rFonts w:ascii="Verdana" w:hAnsi="Verdana" w:cs="Calibri"/>
          <w:color w:val="0070C0"/>
          <w:sz w:val="20"/>
          <w:szCs w:val="20"/>
        </w:rPr>
      </w:pPr>
      <w:r w:rsidRPr="002B3A27">
        <w:rPr>
          <w:rFonts w:ascii="Verdana" w:hAnsi="Verdana" w:cs="Calibri"/>
          <w:color w:val="0070C0"/>
          <w:sz w:val="20"/>
          <w:szCs w:val="20"/>
        </w:rPr>
        <w:t>W tej sprawie Trybunał powtórzył, że sam fakt, iż pojedynczy czyn stanowi więcej niż jedno przestępstwo, nie jes</w:t>
      </w:r>
      <w:r w:rsidR="00583082" w:rsidRPr="002B3A27">
        <w:rPr>
          <w:rFonts w:ascii="Verdana" w:hAnsi="Verdana" w:cs="Calibri"/>
          <w:color w:val="0070C0"/>
          <w:sz w:val="20"/>
          <w:szCs w:val="20"/>
        </w:rPr>
        <w:t xml:space="preserve">t sprzeczny z art. 4 Protokołu </w:t>
      </w:r>
      <w:r w:rsidR="002B3A27">
        <w:rPr>
          <w:rFonts w:ascii="Verdana" w:hAnsi="Verdana" w:cs="Calibri"/>
          <w:color w:val="0070C0"/>
          <w:sz w:val="20"/>
          <w:szCs w:val="20"/>
        </w:rPr>
        <w:t>n</w:t>
      </w:r>
      <w:r w:rsidR="00E97A36" w:rsidRPr="002B3A27">
        <w:rPr>
          <w:rFonts w:ascii="Verdana" w:hAnsi="Verdana" w:cs="Calibri"/>
          <w:color w:val="0070C0"/>
          <w:sz w:val="20"/>
          <w:szCs w:val="20"/>
        </w:rPr>
        <w:t>r</w:t>
      </w:r>
      <w:r w:rsidRPr="002B3A27">
        <w:rPr>
          <w:rFonts w:ascii="Verdana" w:hAnsi="Verdana" w:cs="Calibri"/>
          <w:color w:val="0070C0"/>
          <w:sz w:val="20"/>
          <w:szCs w:val="20"/>
        </w:rPr>
        <w:t xml:space="preserve"> 7. </w:t>
      </w:r>
      <w:r w:rsidR="00583082" w:rsidRPr="002B3A27">
        <w:rPr>
          <w:rFonts w:ascii="Verdana" w:hAnsi="Verdana" w:cs="Calibri"/>
          <w:color w:val="0070C0"/>
          <w:sz w:val="20"/>
          <w:szCs w:val="20"/>
        </w:rPr>
        <w:t>Niemniej z</w:t>
      </w:r>
      <w:r w:rsidRPr="002B3A27">
        <w:rPr>
          <w:rFonts w:ascii="Verdana" w:hAnsi="Verdana" w:cs="Calibri"/>
          <w:color w:val="0070C0"/>
          <w:sz w:val="20"/>
          <w:szCs w:val="20"/>
        </w:rPr>
        <w:t xml:space="preserve">darzają się </w:t>
      </w:r>
      <w:r w:rsidR="001B43B9" w:rsidRPr="002B3A27">
        <w:rPr>
          <w:rFonts w:ascii="Verdana" w:hAnsi="Verdana" w:cs="Calibri"/>
          <w:color w:val="0070C0"/>
          <w:sz w:val="20"/>
          <w:szCs w:val="20"/>
        </w:rPr>
        <w:t>przypadki,</w:t>
      </w:r>
      <w:r w:rsidRPr="002B3A27">
        <w:rPr>
          <w:rFonts w:ascii="Verdana" w:hAnsi="Verdana" w:cs="Calibri"/>
          <w:color w:val="0070C0"/>
          <w:sz w:val="20"/>
          <w:szCs w:val="20"/>
        </w:rPr>
        <w:t xml:space="preserve"> kiedy jeden </w:t>
      </w:r>
      <w:r w:rsidR="001B43B9" w:rsidRPr="002B3A27">
        <w:rPr>
          <w:rFonts w:ascii="Verdana" w:hAnsi="Verdana" w:cs="Calibri"/>
          <w:color w:val="0070C0"/>
          <w:sz w:val="20"/>
          <w:szCs w:val="20"/>
        </w:rPr>
        <w:t>czyn, pomimo</w:t>
      </w:r>
      <w:r w:rsidRPr="002B3A27">
        <w:rPr>
          <w:rFonts w:ascii="Verdana" w:hAnsi="Verdana" w:cs="Calibri"/>
          <w:color w:val="0070C0"/>
          <w:sz w:val="20"/>
          <w:szCs w:val="20"/>
        </w:rPr>
        <w:t xml:space="preserve"> że na pierwszy rzut oka wydaje się stanowić więcej niż jedno przestępstwo, to bliższe jego zbadanie pokazuje, że tylko jedno przestępstwo powinno być ścigane, ponieważ obejmuje ono wszystkie niewłaściwe zachowania zawarte w pozostałych przestępstwach. Zatem, gdy różne przestępstwa popełnione na podstawie jednego czynu są kolejno ścigane, Trybunał musi zbadać, czy takie przestępstwa mają te same zasadnicze elementy, czy też nie. Kwestia, czy zasada </w:t>
      </w:r>
      <w:r w:rsidRPr="002B3A27">
        <w:rPr>
          <w:rFonts w:ascii="Verdana" w:hAnsi="Verdana" w:cs="Calibri"/>
          <w:i/>
          <w:color w:val="0070C0"/>
          <w:sz w:val="20"/>
          <w:szCs w:val="20"/>
        </w:rPr>
        <w:t>n</w:t>
      </w:r>
      <w:r w:rsidR="002B3A27">
        <w:rPr>
          <w:rFonts w:ascii="Verdana" w:hAnsi="Verdana" w:cs="Calibri"/>
          <w:i/>
          <w:color w:val="0070C0"/>
          <w:sz w:val="20"/>
          <w:szCs w:val="20"/>
        </w:rPr>
        <w:t>e</w:t>
      </w:r>
      <w:r w:rsidRPr="002B3A27">
        <w:rPr>
          <w:rFonts w:ascii="Verdana" w:hAnsi="Verdana" w:cs="Calibri"/>
          <w:i/>
          <w:color w:val="0070C0"/>
          <w:sz w:val="20"/>
          <w:szCs w:val="20"/>
        </w:rPr>
        <w:t xml:space="preserve"> bis in idem</w:t>
      </w:r>
      <w:r w:rsidRPr="002B3A27">
        <w:rPr>
          <w:rFonts w:ascii="Verdana" w:hAnsi="Verdana" w:cs="Calibri"/>
          <w:color w:val="0070C0"/>
          <w:sz w:val="20"/>
          <w:szCs w:val="20"/>
        </w:rPr>
        <w:t xml:space="preserve"> została naruszona, czy też nie, dotyczy związku między tymi dwoma przestępstwami i nie zależy od kolejności, w jakiej prowadzone jest dane postępowanie. W niniejszej sprawie Trybunał zauważył, że strona skarżąca była dwukrotnie sądzona i skazana na podstawie jednego czynu, ponieważ wykroczenie administracyjne polegające na prowadzeniu pojazdu pod wpływem alkoholu i szczególne okoliczności mające zastosowanie na podstawie kodeksu karnego nie różniły się w istotnych elementach. Ponadto Trybunał nie był przekonany, że sprawa została rozstrzygnięta poprzez skrócenie kary pozbawienia wolności o jeden miesiąc. Skrócenie to nie zmienia faktu, że skarżący był dwukrotnie sądzony za zasadniczo to samo przestę</w:t>
      </w:r>
      <w:r w:rsidR="00583082" w:rsidRPr="002B3A27">
        <w:rPr>
          <w:rFonts w:ascii="Verdana" w:hAnsi="Verdana" w:cs="Calibri"/>
          <w:color w:val="0070C0"/>
          <w:sz w:val="20"/>
          <w:szCs w:val="20"/>
        </w:rPr>
        <w:t>pstwo oraz faktu, że oba wyroki</w:t>
      </w:r>
      <w:r w:rsidRPr="002B3A27">
        <w:rPr>
          <w:rFonts w:ascii="Verdana" w:hAnsi="Verdana" w:cs="Calibri"/>
          <w:color w:val="0070C0"/>
          <w:sz w:val="20"/>
          <w:szCs w:val="20"/>
        </w:rPr>
        <w:t xml:space="preserve"> zapadły w tym samym czasie. W związku z </w:t>
      </w:r>
      <w:r w:rsidR="00583082" w:rsidRPr="002B3A27">
        <w:rPr>
          <w:rFonts w:ascii="Verdana" w:hAnsi="Verdana" w:cs="Calibri"/>
          <w:color w:val="0070C0"/>
          <w:sz w:val="20"/>
          <w:szCs w:val="20"/>
        </w:rPr>
        <w:t>czym, w odniesieniu do skarżącego</w:t>
      </w:r>
      <w:r w:rsidRPr="002B3A27">
        <w:rPr>
          <w:rFonts w:ascii="Verdana" w:hAnsi="Verdana" w:cs="Calibri"/>
          <w:color w:val="0070C0"/>
          <w:sz w:val="20"/>
          <w:szCs w:val="20"/>
        </w:rPr>
        <w:t xml:space="preserve">, Trybunał stwierdził </w:t>
      </w:r>
      <w:r w:rsidRPr="002B3A27">
        <w:rPr>
          <w:rFonts w:ascii="Verdana" w:hAnsi="Verdana" w:cs="Calibri"/>
          <w:b/>
          <w:bCs/>
          <w:color w:val="0070C0"/>
          <w:sz w:val="20"/>
          <w:szCs w:val="20"/>
        </w:rPr>
        <w:t>n</w:t>
      </w:r>
      <w:r w:rsidR="00583082" w:rsidRPr="002B3A27">
        <w:rPr>
          <w:rFonts w:ascii="Verdana" w:hAnsi="Verdana" w:cs="Calibri"/>
          <w:b/>
          <w:bCs/>
          <w:color w:val="0070C0"/>
          <w:sz w:val="20"/>
          <w:szCs w:val="20"/>
        </w:rPr>
        <w:t xml:space="preserve">aruszenie </w:t>
      </w:r>
      <w:r w:rsidR="00583082" w:rsidRPr="002B3A27">
        <w:rPr>
          <w:rFonts w:ascii="Verdana" w:hAnsi="Verdana" w:cs="Calibri"/>
          <w:b/>
          <w:color w:val="0070C0"/>
          <w:sz w:val="20"/>
          <w:szCs w:val="20"/>
        </w:rPr>
        <w:t xml:space="preserve">art. 4 Protokołu </w:t>
      </w:r>
      <w:r w:rsidR="002B3A27" w:rsidRPr="002B3A27">
        <w:rPr>
          <w:rFonts w:ascii="Verdana" w:hAnsi="Verdana" w:cs="Calibri"/>
          <w:b/>
          <w:color w:val="0070C0"/>
          <w:sz w:val="20"/>
          <w:szCs w:val="20"/>
        </w:rPr>
        <w:t>n</w:t>
      </w:r>
      <w:r w:rsidR="00E97A36" w:rsidRPr="002B3A27">
        <w:rPr>
          <w:rFonts w:ascii="Verdana" w:hAnsi="Verdana" w:cs="Calibri"/>
          <w:b/>
          <w:color w:val="0070C0"/>
          <w:sz w:val="20"/>
          <w:szCs w:val="20"/>
        </w:rPr>
        <w:t>r</w:t>
      </w:r>
      <w:r w:rsidRPr="002B3A27">
        <w:rPr>
          <w:rFonts w:ascii="Verdana" w:hAnsi="Verdana" w:cs="Calibri"/>
          <w:b/>
          <w:color w:val="0070C0"/>
          <w:sz w:val="20"/>
          <w:szCs w:val="20"/>
        </w:rPr>
        <w:t xml:space="preserve"> 7</w:t>
      </w:r>
      <w:r w:rsidRPr="002B3A27">
        <w:rPr>
          <w:rFonts w:ascii="Verdana" w:hAnsi="Verdana" w:cs="Calibri"/>
          <w:color w:val="0070C0"/>
          <w:sz w:val="20"/>
          <w:szCs w:val="20"/>
        </w:rPr>
        <w:t xml:space="preserve">.  </w:t>
      </w:r>
    </w:p>
    <w:p w14:paraId="348D313D" w14:textId="77777777" w:rsidR="002B3A27" w:rsidRPr="006E23A1" w:rsidRDefault="002B3A27" w:rsidP="008B0AE6">
      <w:pPr>
        <w:spacing w:after="0"/>
        <w:jc w:val="both"/>
        <w:rPr>
          <w:rFonts w:ascii="Verdana" w:hAnsi="Verdana" w:cs="Calibri"/>
          <w:color w:val="2E74B5" w:themeColor="accent1" w:themeShade="BF"/>
          <w:sz w:val="20"/>
          <w:szCs w:val="20"/>
        </w:rPr>
      </w:pPr>
    </w:p>
    <w:p w14:paraId="3BCED140" w14:textId="0AC44071" w:rsidR="005E26FB" w:rsidRPr="006E23A1" w:rsidRDefault="005E26FB" w:rsidP="008B0AE6">
      <w:pPr>
        <w:spacing w:after="0"/>
        <w:jc w:val="both"/>
        <w:rPr>
          <w:rFonts w:ascii="Verdana" w:eastAsia="Times New Roman" w:hAnsi="Verdana" w:cstheme="minorHAnsi"/>
          <w:sz w:val="20"/>
          <w:szCs w:val="20"/>
          <w:lang w:eastAsia="pl-PL"/>
        </w:rPr>
      </w:pPr>
      <w:r w:rsidRPr="006E23A1">
        <w:rPr>
          <w:rFonts w:ascii="Verdana" w:hAnsi="Verdana" w:cstheme="minorHAnsi"/>
          <w:i/>
          <w:sz w:val="20"/>
          <w:szCs w:val="20"/>
        </w:rPr>
        <w:t>Zob</w:t>
      </w:r>
      <w:r w:rsidR="002B3A27">
        <w:rPr>
          <w:rFonts w:ascii="Verdana" w:hAnsi="Verdana" w:cstheme="minorHAnsi"/>
          <w:i/>
          <w:sz w:val="20"/>
          <w:szCs w:val="20"/>
        </w:rPr>
        <w:t>.</w:t>
      </w:r>
      <w:r w:rsidR="00583082" w:rsidRPr="006E23A1">
        <w:rPr>
          <w:rFonts w:ascii="Verdana" w:hAnsi="Verdana" w:cstheme="minorHAnsi"/>
          <w:i/>
          <w:sz w:val="20"/>
          <w:szCs w:val="20"/>
        </w:rPr>
        <w:t xml:space="preserve"> </w:t>
      </w:r>
      <w:r w:rsidR="002B3A27">
        <w:rPr>
          <w:rFonts w:ascii="Verdana" w:hAnsi="Verdana" w:cstheme="minorHAnsi"/>
          <w:i/>
          <w:sz w:val="20"/>
          <w:szCs w:val="20"/>
        </w:rPr>
        <w:t>także</w:t>
      </w:r>
      <w:r w:rsidRPr="006E23A1">
        <w:rPr>
          <w:rFonts w:ascii="Verdana" w:hAnsi="Verdana" w:cstheme="minorHAnsi"/>
          <w:sz w:val="20"/>
          <w:szCs w:val="20"/>
        </w:rPr>
        <w:t xml:space="preserve">, </w:t>
      </w:r>
      <w:r w:rsidR="00642D06">
        <w:rPr>
          <w:rFonts w:ascii="Verdana" w:hAnsi="Verdana" w:cstheme="minorHAnsi"/>
          <w:sz w:val="20"/>
          <w:szCs w:val="20"/>
        </w:rPr>
        <w:t xml:space="preserve">m.in.: </w:t>
      </w:r>
      <w:hyperlink r:id="rId39" w:history="1">
        <w:r w:rsidRPr="00642D06">
          <w:rPr>
            <w:rStyle w:val="Hipercze"/>
            <w:rFonts w:ascii="Verdana" w:eastAsia="Times New Roman" w:hAnsi="Verdana" w:cstheme="minorHAnsi"/>
            <w:b/>
            <w:sz w:val="20"/>
            <w:szCs w:val="20"/>
            <w:lang w:eastAsia="pl-PL"/>
          </w:rPr>
          <w:t>Manasson przeciwko Szwecji</w:t>
        </w:r>
      </w:hyperlink>
      <w:r w:rsidRPr="006E23A1">
        <w:rPr>
          <w:rFonts w:ascii="Verdana" w:eastAsia="Times New Roman" w:hAnsi="Verdana" w:cstheme="minorHAnsi"/>
          <w:sz w:val="20"/>
          <w:szCs w:val="20"/>
          <w:lang w:eastAsia="pl-PL"/>
        </w:rPr>
        <w:t>, decyzja w sprawie dopuszczalności z</w:t>
      </w:r>
      <w:r w:rsidR="00642D06">
        <w:rPr>
          <w:rFonts w:ascii="Verdana" w:eastAsia="Times New Roman" w:hAnsi="Verdana" w:cstheme="minorHAnsi"/>
          <w:sz w:val="20"/>
          <w:szCs w:val="20"/>
          <w:lang w:eastAsia="pl-PL"/>
        </w:rPr>
        <w:t xml:space="preserve"> dnia</w:t>
      </w:r>
      <w:r w:rsidRPr="006E23A1">
        <w:rPr>
          <w:rFonts w:ascii="Verdana" w:eastAsia="Times New Roman" w:hAnsi="Verdana" w:cstheme="minorHAnsi"/>
          <w:sz w:val="20"/>
          <w:szCs w:val="20"/>
          <w:lang w:eastAsia="pl-PL"/>
        </w:rPr>
        <w:t xml:space="preserve"> 8 kwietnia 2003 r</w:t>
      </w:r>
      <w:r w:rsidR="00E47E9D" w:rsidRPr="006E23A1">
        <w:rPr>
          <w:rFonts w:ascii="Verdana" w:eastAsia="Times New Roman" w:hAnsi="Verdana" w:cstheme="minorHAnsi"/>
          <w:sz w:val="20"/>
          <w:szCs w:val="20"/>
          <w:lang w:eastAsia="pl-PL"/>
        </w:rPr>
        <w:t>.</w:t>
      </w:r>
      <w:r w:rsidRPr="006E23A1">
        <w:rPr>
          <w:rFonts w:ascii="Verdana" w:eastAsia="Times New Roman" w:hAnsi="Verdana" w:cstheme="minorHAnsi"/>
          <w:sz w:val="20"/>
          <w:szCs w:val="20"/>
          <w:lang w:eastAsia="pl-PL"/>
        </w:rPr>
        <w:t xml:space="preserve">; </w:t>
      </w:r>
      <w:hyperlink r:id="rId40" w:history="1">
        <w:r w:rsidRPr="00642D06">
          <w:rPr>
            <w:rStyle w:val="Hipercze"/>
            <w:rFonts w:ascii="Verdana" w:eastAsia="Times New Roman" w:hAnsi="Verdana" w:cstheme="minorHAnsi"/>
            <w:b/>
            <w:sz w:val="20"/>
            <w:szCs w:val="20"/>
            <w:lang w:eastAsia="pl-PL"/>
          </w:rPr>
          <w:t>Bachmaier przeciwko Austrii</w:t>
        </w:r>
      </w:hyperlink>
      <w:r w:rsidRPr="006E23A1">
        <w:rPr>
          <w:rFonts w:ascii="Verdana" w:eastAsia="Times New Roman" w:hAnsi="Verdana" w:cstheme="minorHAnsi"/>
          <w:sz w:val="20"/>
          <w:szCs w:val="20"/>
          <w:lang w:eastAsia="pl-PL"/>
        </w:rPr>
        <w:t>, decyzja w sprawie dopuszczalności</w:t>
      </w:r>
      <w:r w:rsidR="00583082" w:rsidRPr="006E23A1">
        <w:rPr>
          <w:rFonts w:ascii="Verdana" w:eastAsia="Times New Roman" w:hAnsi="Verdana" w:cstheme="minorHAnsi"/>
          <w:sz w:val="20"/>
          <w:szCs w:val="20"/>
          <w:lang w:eastAsia="pl-PL"/>
        </w:rPr>
        <w:t xml:space="preserve"> z</w:t>
      </w:r>
      <w:r w:rsidR="00642D06">
        <w:rPr>
          <w:rFonts w:ascii="Verdana" w:eastAsia="Times New Roman" w:hAnsi="Verdana" w:cstheme="minorHAnsi"/>
          <w:sz w:val="20"/>
          <w:szCs w:val="20"/>
          <w:lang w:eastAsia="pl-PL"/>
        </w:rPr>
        <w:t xml:space="preserve"> dnia</w:t>
      </w:r>
      <w:r w:rsidR="00583082" w:rsidRPr="006E23A1">
        <w:rPr>
          <w:rFonts w:ascii="Verdana" w:eastAsia="Times New Roman" w:hAnsi="Verdana" w:cstheme="minorHAnsi"/>
          <w:sz w:val="20"/>
          <w:szCs w:val="20"/>
          <w:lang w:eastAsia="pl-PL"/>
        </w:rPr>
        <w:t xml:space="preserve"> 2 września 2004 </w:t>
      </w:r>
      <w:r w:rsidRPr="006E23A1">
        <w:rPr>
          <w:rFonts w:ascii="Verdana" w:eastAsia="Times New Roman" w:hAnsi="Verdana" w:cstheme="minorHAnsi"/>
          <w:sz w:val="20"/>
          <w:szCs w:val="20"/>
          <w:lang w:eastAsia="pl-PL"/>
        </w:rPr>
        <w:t xml:space="preserve">r.; </w:t>
      </w:r>
      <w:hyperlink r:id="rId41" w:history="1">
        <w:r w:rsidRPr="00642D06">
          <w:rPr>
            <w:rStyle w:val="Hipercze"/>
            <w:rFonts w:ascii="Verdana" w:eastAsia="Times New Roman" w:hAnsi="Verdana" w:cstheme="minorHAnsi"/>
            <w:b/>
            <w:sz w:val="20"/>
            <w:szCs w:val="20"/>
            <w:lang w:eastAsia="pl-PL"/>
          </w:rPr>
          <w:t>Rosenquist przeciwko Szwecji</w:t>
        </w:r>
      </w:hyperlink>
      <w:r w:rsidRPr="006E23A1">
        <w:rPr>
          <w:rFonts w:ascii="Verdana" w:eastAsia="Times New Roman" w:hAnsi="Verdana" w:cstheme="minorHAnsi"/>
          <w:sz w:val="20"/>
          <w:szCs w:val="20"/>
          <w:lang w:eastAsia="pl-PL"/>
        </w:rPr>
        <w:t xml:space="preserve">, decyzja z </w:t>
      </w:r>
      <w:r w:rsidR="00642D06">
        <w:rPr>
          <w:rFonts w:ascii="Verdana" w:eastAsia="Times New Roman" w:hAnsi="Verdana" w:cstheme="minorHAnsi"/>
          <w:sz w:val="20"/>
          <w:szCs w:val="20"/>
          <w:lang w:eastAsia="pl-PL"/>
        </w:rPr>
        <w:t xml:space="preserve">dnia </w:t>
      </w:r>
      <w:r w:rsidRPr="006E23A1">
        <w:rPr>
          <w:rFonts w:ascii="Verdana" w:eastAsia="Times New Roman" w:hAnsi="Verdana" w:cstheme="minorHAnsi"/>
          <w:sz w:val="20"/>
          <w:szCs w:val="20"/>
          <w:lang w:eastAsia="pl-PL"/>
        </w:rPr>
        <w:t xml:space="preserve">14 września 2004 </w:t>
      </w:r>
      <w:r w:rsidRPr="00642D06">
        <w:rPr>
          <w:rFonts w:ascii="Verdana" w:eastAsia="Times New Roman" w:hAnsi="Verdana" w:cstheme="minorHAnsi"/>
          <w:sz w:val="20"/>
          <w:szCs w:val="20"/>
          <w:lang w:eastAsia="pl-PL"/>
        </w:rPr>
        <w:t>r</w:t>
      </w:r>
      <w:hyperlink r:id="rId42" w:history="1">
        <w:r w:rsidRPr="00642D06">
          <w:rPr>
            <w:rStyle w:val="Hipercze"/>
            <w:rFonts w:ascii="Verdana" w:eastAsia="Times New Roman" w:hAnsi="Verdana" w:cstheme="minorHAnsi"/>
            <w:color w:val="auto"/>
            <w:sz w:val="20"/>
            <w:szCs w:val="20"/>
            <w:u w:val="none"/>
            <w:lang w:eastAsia="pl-PL"/>
          </w:rPr>
          <w:t>.;</w:t>
        </w:r>
        <w:r w:rsidRPr="00642D06">
          <w:rPr>
            <w:rStyle w:val="Hipercze"/>
            <w:rFonts w:ascii="Verdana" w:eastAsia="Times New Roman" w:hAnsi="Verdana" w:cstheme="minorHAnsi"/>
            <w:sz w:val="20"/>
            <w:szCs w:val="20"/>
            <w:lang w:eastAsia="pl-PL"/>
          </w:rPr>
          <w:t xml:space="preserve"> </w:t>
        </w:r>
        <w:r w:rsidRPr="00642D06">
          <w:rPr>
            <w:rStyle w:val="Hipercze"/>
            <w:rFonts w:ascii="Verdana" w:eastAsia="Times New Roman" w:hAnsi="Verdana" w:cstheme="minorHAnsi"/>
            <w:b/>
            <w:sz w:val="20"/>
            <w:szCs w:val="20"/>
            <w:lang w:eastAsia="pl-PL"/>
          </w:rPr>
          <w:t>Aşcı przeciwko Austrii</w:t>
        </w:r>
      </w:hyperlink>
      <w:r w:rsidRPr="006E23A1">
        <w:rPr>
          <w:rFonts w:ascii="Verdana" w:eastAsia="Times New Roman" w:hAnsi="Verdana" w:cstheme="minorHAnsi"/>
          <w:sz w:val="20"/>
          <w:szCs w:val="20"/>
          <w:lang w:eastAsia="pl-PL"/>
        </w:rPr>
        <w:t>, decyzja z</w:t>
      </w:r>
      <w:r w:rsidR="00642D06">
        <w:rPr>
          <w:rFonts w:ascii="Verdana" w:eastAsia="Times New Roman" w:hAnsi="Verdana" w:cstheme="minorHAnsi"/>
          <w:sz w:val="20"/>
          <w:szCs w:val="20"/>
          <w:lang w:eastAsia="pl-PL"/>
        </w:rPr>
        <w:t xml:space="preserve"> dnia</w:t>
      </w:r>
      <w:r w:rsidRPr="006E23A1">
        <w:rPr>
          <w:rFonts w:ascii="Verdana" w:eastAsia="Times New Roman" w:hAnsi="Verdana" w:cstheme="minorHAnsi"/>
          <w:sz w:val="20"/>
          <w:szCs w:val="20"/>
          <w:lang w:eastAsia="pl-PL"/>
        </w:rPr>
        <w:t xml:space="preserve"> 19 października 2006 </w:t>
      </w:r>
      <w:r w:rsidRPr="006E23A1">
        <w:rPr>
          <w:rFonts w:ascii="Verdana" w:eastAsia="Times New Roman" w:hAnsi="Verdana" w:cstheme="minorHAnsi"/>
          <w:sz w:val="20"/>
          <w:szCs w:val="20"/>
          <w:lang w:eastAsia="pl-PL"/>
        </w:rPr>
        <w:lastRenderedPageBreak/>
        <w:t xml:space="preserve">r.; </w:t>
      </w:r>
      <w:hyperlink r:id="rId43" w:history="1">
        <w:r w:rsidRPr="00642D06">
          <w:rPr>
            <w:rStyle w:val="Hipercze"/>
            <w:rFonts w:ascii="Verdana" w:eastAsia="Times New Roman" w:hAnsi="Verdana" w:cstheme="minorHAnsi"/>
            <w:b/>
            <w:sz w:val="20"/>
            <w:szCs w:val="20"/>
            <w:lang w:eastAsia="pl-PL"/>
          </w:rPr>
          <w:t>Hauser-Sporn przeciwko Austrii</w:t>
        </w:r>
      </w:hyperlink>
      <w:r w:rsidRPr="006E23A1">
        <w:rPr>
          <w:rFonts w:ascii="Verdana" w:eastAsia="Times New Roman" w:hAnsi="Verdana" w:cstheme="minorHAnsi"/>
          <w:sz w:val="20"/>
          <w:szCs w:val="20"/>
          <w:lang w:eastAsia="pl-PL"/>
        </w:rPr>
        <w:t>, wyrok z</w:t>
      </w:r>
      <w:r w:rsidR="00642D06">
        <w:rPr>
          <w:rFonts w:ascii="Verdana" w:eastAsia="Times New Roman" w:hAnsi="Verdana" w:cstheme="minorHAnsi"/>
          <w:sz w:val="20"/>
          <w:szCs w:val="20"/>
          <w:lang w:eastAsia="pl-PL"/>
        </w:rPr>
        <w:t xml:space="preserve"> dnia</w:t>
      </w:r>
      <w:r w:rsidRPr="006E23A1">
        <w:rPr>
          <w:rFonts w:ascii="Verdana" w:eastAsia="Times New Roman" w:hAnsi="Verdana" w:cstheme="minorHAnsi"/>
          <w:sz w:val="20"/>
          <w:szCs w:val="20"/>
          <w:lang w:eastAsia="pl-PL"/>
        </w:rPr>
        <w:t xml:space="preserve"> 7 grudnia 2006 r.; </w:t>
      </w:r>
      <w:hyperlink r:id="rId44" w:history="1">
        <w:r w:rsidRPr="00642D06">
          <w:rPr>
            <w:rStyle w:val="Hipercze"/>
            <w:rFonts w:ascii="Verdana" w:eastAsia="Times New Roman" w:hAnsi="Verdana" w:cstheme="minorHAnsi"/>
            <w:b/>
            <w:sz w:val="20"/>
            <w:szCs w:val="20"/>
            <w:lang w:eastAsia="pl-PL"/>
          </w:rPr>
          <w:t>Schutte przeciwko Austrii</w:t>
        </w:r>
      </w:hyperlink>
      <w:r w:rsidRPr="006E23A1">
        <w:rPr>
          <w:rFonts w:ascii="Verdana" w:eastAsia="Times New Roman" w:hAnsi="Verdana" w:cstheme="minorHAnsi"/>
          <w:sz w:val="20"/>
          <w:szCs w:val="20"/>
          <w:lang w:eastAsia="pl-PL"/>
        </w:rPr>
        <w:t xml:space="preserve">, wyrok z </w:t>
      </w:r>
      <w:r w:rsidR="00642D06">
        <w:rPr>
          <w:rFonts w:ascii="Verdana" w:eastAsia="Times New Roman" w:hAnsi="Verdana" w:cstheme="minorHAnsi"/>
          <w:sz w:val="20"/>
          <w:szCs w:val="20"/>
          <w:lang w:eastAsia="pl-PL"/>
        </w:rPr>
        <w:t>dnia</w:t>
      </w:r>
      <w:r w:rsidRPr="006E23A1">
        <w:rPr>
          <w:rFonts w:ascii="Verdana" w:eastAsia="Times New Roman" w:hAnsi="Verdana" w:cstheme="minorHAnsi"/>
          <w:sz w:val="20"/>
          <w:szCs w:val="20"/>
          <w:lang w:eastAsia="pl-PL"/>
        </w:rPr>
        <w:t xml:space="preserve">26 lipca 2007 r.; </w:t>
      </w:r>
      <w:hyperlink r:id="rId45" w:history="1">
        <w:r w:rsidRPr="00642D06">
          <w:rPr>
            <w:rStyle w:val="Hipercze"/>
            <w:rFonts w:ascii="Verdana" w:eastAsia="Times New Roman" w:hAnsi="Verdana" w:cstheme="minorHAnsi"/>
            <w:b/>
            <w:sz w:val="20"/>
            <w:szCs w:val="20"/>
            <w:lang w:eastAsia="pl-PL"/>
          </w:rPr>
          <w:t>Garretta przeciwko Francji</w:t>
        </w:r>
      </w:hyperlink>
      <w:r w:rsidRPr="006E23A1">
        <w:rPr>
          <w:rFonts w:ascii="Verdana" w:eastAsia="Times New Roman" w:hAnsi="Verdana" w:cstheme="minorHAnsi"/>
          <w:sz w:val="20"/>
          <w:szCs w:val="20"/>
          <w:lang w:eastAsia="pl-PL"/>
        </w:rPr>
        <w:t>, decyzj</w:t>
      </w:r>
      <w:r w:rsidR="00642D06">
        <w:rPr>
          <w:rFonts w:ascii="Verdana" w:eastAsia="Times New Roman" w:hAnsi="Verdana" w:cstheme="minorHAnsi"/>
          <w:sz w:val="20"/>
          <w:szCs w:val="20"/>
          <w:lang w:eastAsia="pl-PL"/>
        </w:rPr>
        <w:t>a</w:t>
      </w:r>
      <w:r w:rsidRPr="006E23A1">
        <w:rPr>
          <w:rFonts w:ascii="Verdana" w:eastAsia="Times New Roman" w:hAnsi="Verdana" w:cstheme="minorHAnsi"/>
          <w:sz w:val="20"/>
          <w:szCs w:val="20"/>
          <w:lang w:eastAsia="pl-PL"/>
        </w:rPr>
        <w:t xml:space="preserve"> w sprawie dopuszczalności z</w:t>
      </w:r>
      <w:r w:rsidR="00642D06">
        <w:rPr>
          <w:rFonts w:ascii="Verdana" w:eastAsia="Times New Roman" w:hAnsi="Verdana" w:cstheme="minorHAnsi"/>
          <w:sz w:val="20"/>
          <w:szCs w:val="20"/>
          <w:lang w:eastAsia="pl-PL"/>
        </w:rPr>
        <w:t xml:space="preserve"> dnia</w:t>
      </w:r>
      <w:r w:rsidRPr="006E23A1">
        <w:rPr>
          <w:rFonts w:ascii="Verdana" w:eastAsia="Times New Roman" w:hAnsi="Verdana" w:cstheme="minorHAnsi"/>
          <w:sz w:val="20"/>
          <w:szCs w:val="20"/>
          <w:lang w:eastAsia="pl-PL"/>
        </w:rPr>
        <w:t xml:space="preserve"> 4 marca 2008 r. </w:t>
      </w:r>
    </w:p>
    <w:p w14:paraId="49940BE9" w14:textId="2751BF12" w:rsidR="002B3A27" w:rsidRPr="003C0328" w:rsidRDefault="003C0328" w:rsidP="008B0AE6">
      <w:pPr>
        <w:spacing w:after="0"/>
        <w:rPr>
          <w:rStyle w:val="Hipercze"/>
          <w:rFonts w:ascii="Verdana" w:hAnsi="Verdana" w:cs="Calibri"/>
          <w:b/>
          <w:sz w:val="20"/>
          <w:szCs w:val="20"/>
        </w:rPr>
      </w:pPr>
      <w:r>
        <w:rPr>
          <w:rFonts w:ascii="Verdana" w:hAnsi="Verdana" w:cs="Calibri"/>
          <w:b/>
          <w:color w:val="2E74B5" w:themeColor="accent1" w:themeShade="BF"/>
          <w:sz w:val="20"/>
          <w:szCs w:val="20"/>
          <w:u w:val="single"/>
        </w:rPr>
        <w:fldChar w:fldCharType="begin"/>
      </w:r>
      <w:r>
        <w:rPr>
          <w:rFonts w:ascii="Verdana" w:hAnsi="Verdana" w:cs="Calibri"/>
          <w:b/>
          <w:color w:val="2E74B5" w:themeColor="accent1" w:themeShade="BF"/>
          <w:sz w:val="20"/>
          <w:szCs w:val="20"/>
          <w:u w:val="single"/>
        </w:rPr>
        <w:instrText>HYPERLINK "https://hudoc.echr.coe.int/eng?i=001-60555"</w:instrText>
      </w:r>
      <w:r>
        <w:rPr>
          <w:rFonts w:ascii="Verdana" w:hAnsi="Verdana" w:cs="Calibri"/>
          <w:b/>
          <w:color w:val="2E74B5" w:themeColor="accent1" w:themeShade="BF"/>
          <w:sz w:val="20"/>
          <w:szCs w:val="20"/>
          <w:u w:val="single"/>
        </w:rPr>
      </w:r>
      <w:r>
        <w:rPr>
          <w:rFonts w:ascii="Verdana" w:hAnsi="Verdana" w:cs="Calibri"/>
          <w:b/>
          <w:color w:val="2E74B5" w:themeColor="accent1" w:themeShade="BF"/>
          <w:sz w:val="20"/>
          <w:szCs w:val="20"/>
          <w:u w:val="single"/>
        </w:rPr>
        <w:fldChar w:fldCharType="separate"/>
      </w:r>
    </w:p>
    <w:p w14:paraId="083E4FC8" w14:textId="3A3874EB" w:rsidR="005E26FB" w:rsidRPr="006E23A1" w:rsidRDefault="00585603" w:rsidP="008B0AE6">
      <w:pPr>
        <w:spacing w:after="0"/>
        <w:rPr>
          <w:rFonts w:ascii="Verdana" w:hAnsi="Verdana" w:cs="Calibri"/>
          <w:b/>
          <w:sz w:val="20"/>
          <w:szCs w:val="20"/>
          <w:u w:val="single"/>
        </w:rPr>
      </w:pPr>
      <w:proofErr w:type="spellStart"/>
      <w:r w:rsidRPr="003C0328">
        <w:rPr>
          <w:rStyle w:val="Hipercze"/>
          <w:rFonts w:ascii="Verdana" w:hAnsi="Verdana" w:cs="Calibri"/>
          <w:b/>
          <w:color w:val="0070C0"/>
          <w:sz w:val="20"/>
          <w:szCs w:val="20"/>
        </w:rPr>
        <w:t>Göktan</w:t>
      </w:r>
      <w:proofErr w:type="spellEnd"/>
      <w:r w:rsidRPr="003C0328">
        <w:rPr>
          <w:rStyle w:val="Hipercze"/>
          <w:rFonts w:ascii="Verdana" w:hAnsi="Verdana" w:cs="Calibri"/>
          <w:b/>
          <w:color w:val="0070C0"/>
          <w:sz w:val="20"/>
          <w:szCs w:val="20"/>
        </w:rPr>
        <w:t xml:space="preserve"> przeciwko Francji</w:t>
      </w:r>
      <w:r w:rsidR="003C0328">
        <w:rPr>
          <w:rFonts w:ascii="Verdana" w:hAnsi="Verdana" w:cs="Calibri"/>
          <w:b/>
          <w:color w:val="2E74B5" w:themeColor="accent1" w:themeShade="BF"/>
          <w:sz w:val="20"/>
          <w:szCs w:val="20"/>
          <w:u w:val="single"/>
        </w:rPr>
        <w:fldChar w:fldCharType="end"/>
      </w:r>
      <w:r w:rsidR="00EE6B3B" w:rsidRPr="006E23A1">
        <w:rPr>
          <w:rFonts w:ascii="Verdana" w:hAnsi="Verdana" w:cs="Calibri"/>
          <w:b/>
          <w:sz w:val="20"/>
          <w:szCs w:val="20"/>
          <w:u w:val="single"/>
        </w:rPr>
        <w:br/>
      </w:r>
      <w:r w:rsidR="00EE6B3B" w:rsidRPr="003C0328">
        <w:rPr>
          <w:rFonts w:ascii="Verdana" w:hAnsi="Verdana" w:cs="Calibri"/>
          <w:color w:val="767171" w:themeColor="background2" w:themeShade="80"/>
          <w:sz w:val="18"/>
          <w:szCs w:val="18"/>
        </w:rPr>
        <w:t>2 li</w:t>
      </w:r>
      <w:r w:rsidRPr="003C0328">
        <w:rPr>
          <w:rFonts w:ascii="Verdana" w:hAnsi="Verdana" w:cs="Calibri"/>
          <w:color w:val="767171" w:themeColor="background2" w:themeShade="80"/>
          <w:sz w:val="18"/>
          <w:szCs w:val="18"/>
        </w:rPr>
        <w:t>p</w:t>
      </w:r>
      <w:r w:rsidR="00EE6B3B" w:rsidRPr="003C0328">
        <w:rPr>
          <w:rFonts w:ascii="Verdana" w:hAnsi="Verdana" w:cs="Calibri"/>
          <w:color w:val="767171" w:themeColor="background2" w:themeShade="80"/>
          <w:sz w:val="18"/>
          <w:szCs w:val="18"/>
        </w:rPr>
        <w:t>c</w:t>
      </w:r>
      <w:r w:rsidRPr="003C0328">
        <w:rPr>
          <w:rFonts w:ascii="Verdana" w:hAnsi="Verdana" w:cs="Calibri"/>
          <w:color w:val="767171" w:themeColor="background2" w:themeShade="80"/>
          <w:sz w:val="18"/>
          <w:szCs w:val="18"/>
        </w:rPr>
        <w:t>a</w:t>
      </w:r>
      <w:r w:rsidR="00EE6B3B" w:rsidRPr="003C0328">
        <w:rPr>
          <w:rFonts w:ascii="Verdana" w:hAnsi="Verdana" w:cs="Calibri"/>
          <w:color w:val="767171" w:themeColor="background2" w:themeShade="80"/>
          <w:sz w:val="18"/>
          <w:szCs w:val="18"/>
        </w:rPr>
        <w:t xml:space="preserve"> 2002</w:t>
      </w:r>
      <w:r w:rsidR="00B37BBA" w:rsidRPr="003C0328">
        <w:rPr>
          <w:rFonts w:ascii="Verdana" w:hAnsi="Verdana" w:cs="Calibri"/>
          <w:color w:val="767171" w:themeColor="background2" w:themeShade="80"/>
          <w:sz w:val="18"/>
          <w:szCs w:val="18"/>
        </w:rPr>
        <w:t xml:space="preserve"> </w:t>
      </w:r>
      <w:r w:rsidR="00774FB3" w:rsidRPr="003C0328">
        <w:rPr>
          <w:rFonts w:ascii="Verdana" w:hAnsi="Verdana" w:cs="Calibri"/>
          <w:color w:val="767171" w:themeColor="background2" w:themeShade="80"/>
          <w:sz w:val="18"/>
          <w:szCs w:val="18"/>
        </w:rPr>
        <w:t>r.</w:t>
      </w:r>
      <w:r w:rsidR="00774FB3" w:rsidRPr="006E23A1">
        <w:rPr>
          <w:rFonts w:ascii="Verdana" w:hAnsi="Verdana" w:cs="Calibri"/>
          <w:color w:val="767171" w:themeColor="background2" w:themeShade="80"/>
          <w:sz w:val="20"/>
          <w:szCs w:val="20"/>
        </w:rPr>
        <w:t xml:space="preserve"> </w:t>
      </w:r>
    </w:p>
    <w:p w14:paraId="598762BA" w14:textId="1A5A6099" w:rsidR="005E26FB" w:rsidRPr="006E23A1" w:rsidRDefault="00774FB3" w:rsidP="008B0AE6">
      <w:pPr>
        <w:spacing w:after="0"/>
        <w:jc w:val="both"/>
        <w:rPr>
          <w:rFonts w:ascii="Verdana" w:hAnsi="Verdana" w:cs="Calibri"/>
          <w:sz w:val="20"/>
          <w:szCs w:val="20"/>
        </w:rPr>
      </w:pPr>
      <w:r w:rsidRPr="006E23A1">
        <w:rPr>
          <w:rFonts w:ascii="Verdana" w:hAnsi="Verdana" w:cs="Calibri"/>
          <w:sz w:val="20"/>
          <w:szCs w:val="20"/>
        </w:rPr>
        <w:t>Skarżący został</w:t>
      </w:r>
      <w:r w:rsidR="00585603" w:rsidRPr="006E23A1">
        <w:rPr>
          <w:rFonts w:ascii="Verdana" w:hAnsi="Verdana" w:cs="Calibri"/>
          <w:sz w:val="20"/>
          <w:szCs w:val="20"/>
        </w:rPr>
        <w:t xml:space="preserve"> aresztowany przez policjantów i celników </w:t>
      </w:r>
      <w:r w:rsidR="00B37BBA" w:rsidRPr="006E23A1">
        <w:rPr>
          <w:rFonts w:ascii="Verdana" w:hAnsi="Verdana" w:cs="Calibri"/>
          <w:sz w:val="20"/>
          <w:szCs w:val="20"/>
        </w:rPr>
        <w:t>tuż przed</w:t>
      </w:r>
      <w:r w:rsidR="00DA423D" w:rsidRPr="006E23A1">
        <w:rPr>
          <w:rFonts w:ascii="Verdana" w:hAnsi="Verdana" w:cs="Calibri"/>
          <w:sz w:val="20"/>
          <w:szCs w:val="20"/>
        </w:rPr>
        <w:t xml:space="preserve"> zawarci</w:t>
      </w:r>
      <w:r w:rsidR="00B37BBA" w:rsidRPr="006E23A1">
        <w:rPr>
          <w:rFonts w:ascii="Verdana" w:hAnsi="Verdana" w:cs="Calibri"/>
          <w:sz w:val="20"/>
          <w:szCs w:val="20"/>
        </w:rPr>
        <w:t>em</w:t>
      </w:r>
      <w:r w:rsidR="00DA423D" w:rsidRPr="006E23A1">
        <w:rPr>
          <w:rFonts w:ascii="Verdana" w:hAnsi="Verdana" w:cs="Calibri"/>
          <w:sz w:val="20"/>
          <w:szCs w:val="20"/>
        </w:rPr>
        <w:t xml:space="preserve"> trans</w:t>
      </w:r>
      <w:r w:rsidR="00583082" w:rsidRPr="006E23A1">
        <w:rPr>
          <w:rFonts w:ascii="Verdana" w:hAnsi="Verdana" w:cs="Calibri"/>
          <w:sz w:val="20"/>
          <w:szCs w:val="20"/>
        </w:rPr>
        <w:t>ak</w:t>
      </w:r>
      <w:r w:rsidR="00DA423D" w:rsidRPr="006E23A1">
        <w:rPr>
          <w:rFonts w:ascii="Verdana" w:hAnsi="Verdana" w:cs="Calibri"/>
          <w:sz w:val="20"/>
          <w:szCs w:val="20"/>
        </w:rPr>
        <w:t xml:space="preserve">cji narkotykowej. Został uznany za winnego popełnienia przestępstw związanych z handlem narkotykami zgodnie z prawem karnym, za które został skazany na 5 lat pozbawienia wolności, a </w:t>
      </w:r>
      <w:r w:rsidR="00583082" w:rsidRPr="006E23A1">
        <w:rPr>
          <w:rFonts w:ascii="Verdana" w:hAnsi="Verdana" w:cs="Calibri"/>
          <w:sz w:val="20"/>
          <w:szCs w:val="20"/>
        </w:rPr>
        <w:t xml:space="preserve">także </w:t>
      </w:r>
      <w:r w:rsidR="00B37BBA" w:rsidRPr="006E23A1">
        <w:rPr>
          <w:rFonts w:ascii="Verdana" w:hAnsi="Verdana" w:cs="Calibri"/>
          <w:sz w:val="20"/>
          <w:szCs w:val="20"/>
        </w:rPr>
        <w:t xml:space="preserve">został skazany za </w:t>
      </w:r>
      <w:r w:rsidR="00583082" w:rsidRPr="006E23A1">
        <w:rPr>
          <w:rFonts w:ascii="Verdana" w:hAnsi="Verdana" w:cs="Calibri"/>
          <w:sz w:val="20"/>
          <w:szCs w:val="20"/>
        </w:rPr>
        <w:t>przestępstw</w:t>
      </w:r>
      <w:r w:rsidR="00B37BBA" w:rsidRPr="006E23A1">
        <w:rPr>
          <w:rFonts w:ascii="Verdana" w:hAnsi="Verdana" w:cs="Calibri"/>
          <w:sz w:val="20"/>
          <w:szCs w:val="20"/>
        </w:rPr>
        <w:t>o</w:t>
      </w:r>
      <w:r w:rsidR="00DA423D" w:rsidRPr="006E23A1">
        <w:rPr>
          <w:rFonts w:ascii="Verdana" w:hAnsi="Verdana" w:cs="Calibri"/>
          <w:sz w:val="20"/>
          <w:szCs w:val="20"/>
        </w:rPr>
        <w:t xml:space="preserve"> celne polegające na nielegalnym </w:t>
      </w:r>
      <w:r w:rsidR="00583082" w:rsidRPr="006E23A1">
        <w:rPr>
          <w:rFonts w:ascii="Verdana" w:hAnsi="Verdana" w:cs="Calibri"/>
          <w:sz w:val="20"/>
          <w:szCs w:val="20"/>
        </w:rPr>
        <w:t>wwozie</w:t>
      </w:r>
      <w:r w:rsidR="00DA423D" w:rsidRPr="006E23A1">
        <w:rPr>
          <w:rFonts w:ascii="Verdana" w:hAnsi="Verdana" w:cs="Calibri"/>
          <w:sz w:val="20"/>
          <w:szCs w:val="20"/>
        </w:rPr>
        <w:t xml:space="preserve"> towarów, za które została nałożona na niego kara grzywny.</w:t>
      </w:r>
      <w:r w:rsidR="00814218" w:rsidRPr="006E23A1">
        <w:rPr>
          <w:rFonts w:ascii="Verdana" w:hAnsi="Verdana" w:cs="Calibri"/>
          <w:sz w:val="20"/>
          <w:szCs w:val="20"/>
        </w:rPr>
        <w:t xml:space="preserve"> Ze względu na </w:t>
      </w:r>
      <w:r w:rsidR="00B4525D" w:rsidRPr="006E23A1">
        <w:rPr>
          <w:rFonts w:ascii="Verdana" w:hAnsi="Verdana" w:cs="Calibri"/>
          <w:sz w:val="20"/>
          <w:szCs w:val="20"/>
        </w:rPr>
        <w:t>niezapłacenie przez niego</w:t>
      </w:r>
      <w:r w:rsidR="00814218" w:rsidRPr="006E23A1">
        <w:rPr>
          <w:rFonts w:ascii="Verdana" w:hAnsi="Verdana" w:cs="Calibri"/>
          <w:sz w:val="20"/>
          <w:szCs w:val="20"/>
        </w:rPr>
        <w:t xml:space="preserve"> kary grzywny, został wydany nakaz </w:t>
      </w:r>
      <w:r w:rsidR="00B4525D" w:rsidRPr="006E23A1">
        <w:rPr>
          <w:rFonts w:ascii="Verdana" w:hAnsi="Verdana" w:cs="Calibri"/>
          <w:sz w:val="20"/>
          <w:szCs w:val="20"/>
        </w:rPr>
        <w:t>dwuletniego pozbawienia wolności, co stanowił</w:t>
      </w:r>
      <w:r w:rsidR="00B37BBA" w:rsidRPr="006E23A1">
        <w:rPr>
          <w:rFonts w:ascii="Verdana" w:hAnsi="Verdana" w:cs="Calibri"/>
          <w:sz w:val="20"/>
          <w:szCs w:val="20"/>
        </w:rPr>
        <w:t>o</w:t>
      </w:r>
      <w:r w:rsidR="00583082" w:rsidRPr="006E23A1">
        <w:rPr>
          <w:rFonts w:ascii="Verdana" w:hAnsi="Verdana" w:cs="Calibri"/>
          <w:sz w:val="20"/>
          <w:szCs w:val="20"/>
        </w:rPr>
        <w:t xml:space="preserve"> </w:t>
      </w:r>
      <w:r w:rsidR="00B37BBA" w:rsidRPr="006E23A1">
        <w:rPr>
          <w:rFonts w:ascii="Verdana" w:hAnsi="Verdana" w:cs="Calibri"/>
          <w:sz w:val="20"/>
          <w:szCs w:val="20"/>
        </w:rPr>
        <w:t>przewidzianą ustawą</w:t>
      </w:r>
      <w:r w:rsidR="00583082" w:rsidRPr="006E23A1">
        <w:rPr>
          <w:rFonts w:ascii="Verdana" w:hAnsi="Verdana" w:cs="Calibri"/>
          <w:sz w:val="20"/>
          <w:szCs w:val="20"/>
        </w:rPr>
        <w:t xml:space="preserve">, </w:t>
      </w:r>
      <w:r w:rsidR="00B4525D" w:rsidRPr="006E23A1">
        <w:rPr>
          <w:rFonts w:ascii="Verdana" w:hAnsi="Verdana" w:cs="Calibri"/>
          <w:sz w:val="20"/>
          <w:szCs w:val="20"/>
        </w:rPr>
        <w:t xml:space="preserve">zastępczą karę pozbawienia wolności. Skarżący odbył swój wyrok, ale pomimo tego przez kolejne dwa lata przebywał w areszcie, jako że </w:t>
      </w:r>
      <w:r w:rsidR="004B1526" w:rsidRPr="006E23A1">
        <w:rPr>
          <w:rFonts w:ascii="Verdana" w:hAnsi="Verdana" w:cs="Calibri"/>
          <w:sz w:val="20"/>
          <w:szCs w:val="20"/>
        </w:rPr>
        <w:t>wykonywał zastępczą karę pozbawienia wolności</w:t>
      </w:r>
      <w:r w:rsidR="00583082" w:rsidRPr="006E23A1">
        <w:rPr>
          <w:rFonts w:ascii="Verdana" w:hAnsi="Verdana" w:cs="Calibri"/>
          <w:sz w:val="20"/>
          <w:szCs w:val="20"/>
        </w:rPr>
        <w:t xml:space="preserve">. Skarżący </w:t>
      </w:r>
      <w:r w:rsidR="00B4525D" w:rsidRPr="006E23A1">
        <w:rPr>
          <w:rFonts w:ascii="Verdana" w:hAnsi="Verdana" w:cs="Calibri"/>
          <w:sz w:val="20"/>
          <w:szCs w:val="20"/>
        </w:rPr>
        <w:t>twierdz</w:t>
      </w:r>
      <w:r w:rsidR="004B1526" w:rsidRPr="006E23A1">
        <w:rPr>
          <w:rFonts w:ascii="Verdana" w:hAnsi="Verdana" w:cs="Calibri"/>
          <w:sz w:val="20"/>
          <w:szCs w:val="20"/>
        </w:rPr>
        <w:t>ił,</w:t>
      </w:r>
      <w:r w:rsidR="00583082" w:rsidRPr="006E23A1">
        <w:rPr>
          <w:rFonts w:ascii="Verdana" w:hAnsi="Verdana" w:cs="Calibri"/>
          <w:sz w:val="20"/>
          <w:szCs w:val="20"/>
        </w:rPr>
        <w:t xml:space="preserve"> w szczególności,</w:t>
      </w:r>
      <w:r w:rsidR="004B1526" w:rsidRPr="006E23A1">
        <w:rPr>
          <w:rFonts w:ascii="Verdana" w:hAnsi="Verdana" w:cs="Calibri"/>
          <w:sz w:val="20"/>
          <w:szCs w:val="20"/>
        </w:rPr>
        <w:t xml:space="preserve"> </w:t>
      </w:r>
      <w:r w:rsidR="001B43B9" w:rsidRPr="006E23A1">
        <w:rPr>
          <w:rFonts w:ascii="Verdana" w:hAnsi="Verdana" w:cs="Calibri"/>
          <w:sz w:val="20"/>
          <w:szCs w:val="20"/>
        </w:rPr>
        <w:t>że zastępcza</w:t>
      </w:r>
      <w:r w:rsidR="004B1526" w:rsidRPr="006E23A1">
        <w:rPr>
          <w:rFonts w:ascii="Verdana" w:hAnsi="Verdana" w:cs="Calibri"/>
          <w:sz w:val="20"/>
          <w:szCs w:val="20"/>
        </w:rPr>
        <w:t xml:space="preserve"> kara pozbawienia wolności, w jednym ciągu z karą </w:t>
      </w:r>
      <w:r w:rsidR="00583082" w:rsidRPr="006E23A1">
        <w:rPr>
          <w:rFonts w:ascii="Verdana" w:hAnsi="Verdana" w:cs="Calibri"/>
          <w:sz w:val="20"/>
          <w:szCs w:val="20"/>
        </w:rPr>
        <w:t>pozbawienia wolności, skutkowała</w:t>
      </w:r>
      <w:r w:rsidR="004B1526" w:rsidRPr="006E23A1">
        <w:rPr>
          <w:rFonts w:ascii="Verdana" w:hAnsi="Verdana" w:cs="Calibri"/>
          <w:sz w:val="20"/>
          <w:szCs w:val="20"/>
        </w:rPr>
        <w:t xml:space="preserve"> nałożenie</w:t>
      </w:r>
      <w:r w:rsidR="00583082" w:rsidRPr="006E23A1">
        <w:rPr>
          <w:rFonts w:ascii="Verdana" w:hAnsi="Verdana" w:cs="Calibri"/>
          <w:sz w:val="20"/>
          <w:szCs w:val="20"/>
        </w:rPr>
        <w:t>m</w:t>
      </w:r>
      <w:r w:rsidR="004B1526" w:rsidRPr="006E23A1">
        <w:rPr>
          <w:rFonts w:ascii="Verdana" w:hAnsi="Verdana" w:cs="Calibri"/>
          <w:sz w:val="20"/>
          <w:szCs w:val="20"/>
        </w:rPr>
        <w:t xml:space="preserve"> </w:t>
      </w:r>
      <w:r w:rsidR="00B37BBA" w:rsidRPr="006E23A1">
        <w:rPr>
          <w:rFonts w:ascii="Verdana" w:hAnsi="Verdana" w:cs="Calibri"/>
          <w:sz w:val="20"/>
          <w:szCs w:val="20"/>
        </w:rPr>
        <w:t xml:space="preserve">na </w:t>
      </w:r>
      <w:r w:rsidR="004B1526" w:rsidRPr="006E23A1">
        <w:rPr>
          <w:rFonts w:ascii="Verdana" w:hAnsi="Verdana" w:cs="Calibri"/>
          <w:sz w:val="20"/>
          <w:szCs w:val="20"/>
        </w:rPr>
        <w:t xml:space="preserve">niego dwóch następujących po sobie kar pozbawienia wolności za to samo przestępstwo. </w:t>
      </w:r>
    </w:p>
    <w:p w14:paraId="39E366D1" w14:textId="0927167D" w:rsidR="004B1526" w:rsidRPr="003C0328" w:rsidRDefault="004B1526" w:rsidP="008B0AE6">
      <w:pPr>
        <w:spacing w:after="0"/>
        <w:jc w:val="both"/>
        <w:rPr>
          <w:rFonts w:ascii="Verdana" w:hAnsi="Verdana" w:cs="Calibri"/>
          <w:color w:val="0070C0"/>
          <w:sz w:val="20"/>
          <w:szCs w:val="20"/>
        </w:rPr>
      </w:pPr>
      <w:r w:rsidRPr="003C0328">
        <w:rPr>
          <w:rFonts w:ascii="Verdana" w:hAnsi="Verdana" w:cs="Calibri"/>
          <w:color w:val="0070C0"/>
          <w:sz w:val="20"/>
          <w:szCs w:val="20"/>
        </w:rPr>
        <w:t xml:space="preserve">Trybunał orzekł, że w sprawie skarżącego </w:t>
      </w:r>
      <w:r w:rsidRPr="003C0328">
        <w:rPr>
          <w:rFonts w:ascii="Verdana" w:hAnsi="Verdana" w:cs="Calibri"/>
          <w:b/>
          <w:color w:val="0070C0"/>
          <w:sz w:val="20"/>
          <w:szCs w:val="20"/>
        </w:rPr>
        <w:t>nie doszło do</w:t>
      </w:r>
      <w:r w:rsidR="00C60631" w:rsidRPr="003C0328">
        <w:rPr>
          <w:rFonts w:ascii="Verdana" w:hAnsi="Verdana" w:cs="Calibri"/>
          <w:b/>
          <w:color w:val="0070C0"/>
          <w:sz w:val="20"/>
          <w:szCs w:val="20"/>
        </w:rPr>
        <w:t xml:space="preserve"> naruszenia art. 4 Protokołu </w:t>
      </w:r>
      <w:r w:rsidR="003C0328" w:rsidRPr="003C0328">
        <w:rPr>
          <w:rFonts w:ascii="Verdana" w:hAnsi="Verdana" w:cs="Calibri"/>
          <w:b/>
          <w:color w:val="0070C0"/>
          <w:sz w:val="20"/>
          <w:szCs w:val="20"/>
        </w:rPr>
        <w:t>n</w:t>
      </w:r>
      <w:r w:rsidR="00E97A36" w:rsidRPr="003C0328">
        <w:rPr>
          <w:rFonts w:ascii="Verdana" w:hAnsi="Verdana" w:cs="Calibri"/>
          <w:b/>
          <w:color w:val="0070C0"/>
          <w:sz w:val="20"/>
          <w:szCs w:val="20"/>
        </w:rPr>
        <w:t>r</w:t>
      </w:r>
      <w:r w:rsidRPr="003C0328">
        <w:rPr>
          <w:rFonts w:ascii="Verdana" w:hAnsi="Verdana" w:cs="Calibri"/>
          <w:b/>
          <w:color w:val="0070C0"/>
          <w:sz w:val="20"/>
          <w:szCs w:val="20"/>
        </w:rPr>
        <w:t xml:space="preserve"> 7</w:t>
      </w:r>
      <w:r w:rsidRPr="003C0328">
        <w:rPr>
          <w:rFonts w:ascii="Verdana" w:hAnsi="Verdana" w:cs="Calibri"/>
          <w:color w:val="0070C0"/>
          <w:sz w:val="20"/>
          <w:szCs w:val="20"/>
        </w:rPr>
        <w:t>. W szczególności doszedł do wniosku, że zastępcza kara pozbawienia wolności za niewywiązanie się z obowiązku zapłaty grzywny nie była środkiem wykonawczym, lecz karą pieniężną w rozumieniu</w:t>
      </w:r>
      <w:r w:rsidR="00C60631" w:rsidRPr="003C0328">
        <w:rPr>
          <w:rFonts w:ascii="Verdana" w:hAnsi="Verdana" w:cs="Calibri"/>
          <w:color w:val="0070C0"/>
          <w:sz w:val="20"/>
          <w:szCs w:val="20"/>
        </w:rPr>
        <w:t xml:space="preserve"> art. 4 P</w:t>
      </w:r>
      <w:r w:rsidRPr="003C0328">
        <w:rPr>
          <w:rFonts w:ascii="Verdana" w:hAnsi="Verdana" w:cs="Calibri"/>
          <w:color w:val="0070C0"/>
          <w:sz w:val="20"/>
          <w:szCs w:val="20"/>
        </w:rPr>
        <w:t>rotokołu</w:t>
      </w:r>
      <w:r w:rsidR="00C60631" w:rsidRPr="003C0328">
        <w:rPr>
          <w:rFonts w:ascii="Verdana" w:hAnsi="Verdana" w:cs="Calibri"/>
          <w:color w:val="0070C0"/>
          <w:sz w:val="20"/>
          <w:szCs w:val="20"/>
        </w:rPr>
        <w:t xml:space="preserve"> </w:t>
      </w:r>
      <w:r w:rsidR="003C0328">
        <w:rPr>
          <w:rFonts w:ascii="Verdana" w:hAnsi="Verdana" w:cs="Calibri"/>
          <w:color w:val="0070C0"/>
          <w:sz w:val="20"/>
          <w:szCs w:val="20"/>
        </w:rPr>
        <w:t>n</w:t>
      </w:r>
      <w:r w:rsidR="00E97A36" w:rsidRPr="003C0328">
        <w:rPr>
          <w:rFonts w:ascii="Verdana" w:hAnsi="Verdana" w:cs="Calibri"/>
          <w:color w:val="0070C0"/>
          <w:sz w:val="20"/>
          <w:szCs w:val="20"/>
        </w:rPr>
        <w:t>r</w:t>
      </w:r>
      <w:r w:rsidRPr="003C0328">
        <w:rPr>
          <w:rFonts w:ascii="Verdana" w:hAnsi="Verdana" w:cs="Calibri"/>
          <w:color w:val="0070C0"/>
          <w:sz w:val="20"/>
          <w:szCs w:val="20"/>
        </w:rPr>
        <w:t xml:space="preserve"> 7. Trybunał stwierdził, że skarżącemu zgodnie z prawem karnym, została wymierzona zastępcza kara pozbawienia wolności, podczas gdy została już orzeczona wobec niego </w:t>
      </w:r>
      <w:r w:rsidR="00C60631" w:rsidRPr="003C0328">
        <w:rPr>
          <w:rFonts w:ascii="Verdana" w:hAnsi="Verdana" w:cs="Calibri"/>
          <w:color w:val="0070C0"/>
          <w:sz w:val="20"/>
          <w:szCs w:val="20"/>
        </w:rPr>
        <w:t xml:space="preserve">kara </w:t>
      </w:r>
      <w:r w:rsidRPr="003C0328">
        <w:rPr>
          <w:rFonts w:ascii="Verdana" w:hAnsi="Verdana" w:cs="Calibri"/>
          <w:color w:val="0070C0"/>
          <w:sz w:val="20"/>
          <w:szCs w:val="20"/>
        </w:rPr>
        <w:t xml:space="preserve">pozbawienia wolności za nielegalny handel narkotykami oraz grzywna za nielegalny </w:t>
      </w:r>
      <w:r w:rsidR="00C60631" w:rsidRPr="003C0328">
        <w:rPr>
          <w:rFonts w:ascii="Verdana" w:hAnsi="Verdana" w:cs="Calibri"/>
          <w:color w:val="0070C0"/>
          <w:sz w:val="20"/>
          <w:szCs w:val="20"/>
        </w:rPr>
        <w:t>wwóz</w:t>
      </w:r>
      <w:r w:rsidRPr="003C0328">
        <w:rPr>
          <w:rFonts w:ascii="Verdana" w:hAnsi="Verdana" w:cs="Calibri"/>
          <w:color w:val="0070C0"/>
          <w:sz w:val="20"/>
          <w:szCs w:val="20"/>
        </w:rPr>
        <w:t xml:space="preserve"> towarów</w:t>
      </w:r>
      <w:r w:rsidR="00C60631" w:rsidRPr="003C0328">
        <w:rPr>
          <w:rFonts w:ascii="Verdana" w:hAnsi="Verdana" w:cs="Calibri"/>
          <w:color w:val="0070C0"/>
          <w:sz w:val="20"/>
          <w:szCs w:val="20"/>
        </w:rPr>
        <w:t xml:space="preserve">. Co do zasady art. 4 Protokół </w:t>
      </w:r>
      <w:r w:rsidR="003C0328">
        <w:rPr>
          <w:rFonts w:ascii="Verdana" w:hAnsi="Verdana" w:cs="Calibri"/>
          <w:color w:val="0070C0"/>
          <w:sz w:val="20"/>
          <w:szCs w:val="20"/>
        </w:rPr>
        <w:t>nr</w:t>
      </w:r>
      <w:r w:rsidRPr="003C0328">
        <w:rPr>
          <w:rFonts w:ascii="Verdana" w:hAnsi="Verdana" w:cs="Calibri"/>
          <w:color w:val="0070C0"/>
          <w:sz w:val="20"/>
          <w:szCs w:val="20"/>
        </w:rPr>
        <w:t xml:space="preserve"> 7 stanowi, że nikt nie może być sądzony lub ka</w:t>
      </w:r>
      <w:r w:rsidR="002E5DE4" w:rsidRPr="003C0328">
        <w:rPr>
          <w:rFonts w:ascii="Verdana" w:hAnsi="Verdana" w:cs="Calibri"/>
          <w:color w:val="0070C0"/>
          <w:sz w:val="20"/>
          <w:szCs w:val="20"/>
        </w:rPr>
        <w:t>rany dwukr</w:t>
      </w:r>
      <w:r w:rsidR="00C60631" w:rsidRPr="003C0328">
        <w:rPr>
          <w:rFonts w:ascii="Verdana" w:hAnsi="Verdana" w:cs="Calibri"/>
          <w:color w:val="0070C0"/>
          <w:sz w:val="20"/>
          <w:szCs w:val="20"/>
        </w:rPr>
        <w:t xml:space="preserve">otnie za to samo przestępstwo.  </w:t>
      </w:r>
      <w:r w:rsidR="002E5DE4" w:rsidRPr="003C0328">
        <w:rPr>
          <w:rFonts w:ascii="Verdana" w:hAnsi="Verdana" w:cs="Calibri"/>
          <w:color w:val="0070C0"/>
          <w:sz w:val="20"/>
          <w:szCs w:val="20"/>
        </w:rPr>
        <w:t>Niem</w:t>
      </w:r>
      <w:r w:rsidR="00C332E4" w:rsidRPr="003C0328">
        <w:rPr>
          <w:rFonts w:ascii="Verdana" w:hAnsi="Verdana" w:cs="Calibri"/>
          <w:color w:val="0070C0"/>
          <w:sz w:val="20"/>
          <w:szCs w:val="20"/>
        </w:rPr>
        <w:t>n</w:t>
      </w:r>
      <w:r w:rsidR="002E5DE4" w:rsidRPr="003C0328">
        <w:rPr>
          <w:rFonts w:ascii="Verdana" w:hAnsi="Verdana" w:cs="Calibri"/>
          <w:color w:val="0070C0"/>
          <w:sz w:val="20"/>
          <w:szCs w:val="20"/>
        </w:rPr>
        <w:t xml:space="preserve">iej Trybunał orzekł, że w </w:t>
      </w:r>
      <w:r w:rsidR="00C60631" w:rsidRPr="003C0328">
        <w:rPr>
          <w:rFonts w:ascii="Verdana" w:hAnsi="Verdana" w:cs="Calibri"/>
          <w:color w:val="0070C0"/>
          <w:sz w:val="20"/>
          <w:szCs w:val="20"/>
        </w:rPr>
        <w:t>niniejszej</w:t>
      </w:r>
      <w:r w:rsidR="002E5DE4" w:rsidRPr="003C0328">
        <w:rPr>
          <w:rFonts w:ascii="Verdana" w:hAnsi="Verdana" w:cs="Calibri"/>
          <w:color w:val="0070C0"/>
          <w:sz w:val="20"/>
          <w:szCs w:val="20"/>
        </w:rPr>
        <w:t xml:space="preserve"> sprawie doszło do fikcyjnego pluralizmu przestępstw, ponieważ jeden czyn zabroniony mógł być rozłożony na dwa przestępstwa: główne przestępstwo oraz przestępstwo celne. Wyraził zastrzeżenia co do systemu zastępczej </w:t>
      </w:r>
      <w:r w:rsidR="00C60631" w:rsidRPr="003C0328">
        <w:rPr>
          <w:rFonts w:ascii="Verdana" w:hAnsi="Verdana" w:cs="Calibri"/>
          <w:color w:val="0070C0"/>
          <w:sz w:val="20"/>
          <w:szCs w:val="20"/>
        </w:rPr>
        <w:t>kary pozbawienia wolności, którą</w:t>
      </w:r>
      <w:r w:rsidR="002E5DE4" w:rsidRPr="003C0328">
        <w:rPr>
          <w:rFonts w:ascii="Verdana" w:hAnsi="Verdana" w:cs="Calibri"/>
          <w:color w:val="0070C0"/>
          <w:sz w:val="20"/>
          <w:szCs w:val="20"/>
        </w:rPr>
        <w:t xml:space="preserve"> uznał za przestarzałą karę pozbawienia wolności, która przetrwała jedynie </w:t>
      </w:r>
      <w:r w:rsidR="00C60631" w:rsidRPr="003C0328">
        <w:rPr>
          <w:rFonts w:ascii="Verdana" w:hAnsi="Verdana" w:cs="Calibri"/>
          <w:color w:val="0070C0"/>
          <w:sz w:val="20"/>
          <w:szCs w:val="20"/>
        </w:rPr>
        <w:t xml:space="preserve">ze względu na jej </w:t>
      </w:r>
      <w:r w:rsidR="002E5DE4" w:rsidRPr="003C0328">
        <w:rPr>
          <w:rFonts w:ascii="Verdana" w:hAnsi="Verdana" w:cs="Calibri"/>
          <w:color w:val="0070C0"/>
          <w:sz w:val="20"/>
          <w:szCs w:val="20"/>
        </w:rPr>
        <w:t>korzyść</w:t>
      </w:r>
      <w:r w:rsidR="00C60631" w:rsidRPr="003C0328">
        <w:rPr>
          <w:rFonts w:ascii="Verdana" w:hAnsi="Verdana" w:cs="Calibri"/>
          <w:color w:val="0070C0"/>
          <w:sz w:val="20"/>
          <w:szCs w:val="20"/>
        </w:rPr>
        <w:t xml:space="preserve"> na rzecz</w:t>
      </w:r>
      <w:r w:rsidR="002E5DE4" w:rsidRPr="003C0328">
        <w:rPr>
          <w:rFonts w:ascii="Verdana" w:hAnsi="Verdana" w:cs="Calibri"/>
          <w:color w:val="0070C0"/>
          <w:sz w:val="20"/>
          <w:szCs w:val="20"/>
        </w:rPr>
        <w:t xml:space="preserve"> Skarbu Państwa. </w:t>
      </w:r>
    </w:p>
    <w:p w14:paraId="0A8F986B" w14:textId="77777777" w:rsidR="003C0328" w:rsidRPr="006E23A1" w:rsidRDefault="003C0328" w:rsidP="008B0AE6">
      <w:pPr>
        <w:spacing w:after="0"/>
        <w:jc w:val="both"/>
        <w:rPr>
          <w:rFonts w:ascii="Verdana" w:hAnsi="Verdana" w:cs="Calibri"/>
          <w:color w:val="2E74B5" w:themeColor="accent1" w:themeShade="BF"/>
          <w:sz w:val="20"/>
          <w:szCs w:val="20"/>
        </w:rPr>
      </w:pPr>
    </w:p>
    <w:p w14:paraId="63EC3352" w14:textId="16BAC4D5" w:rsidR="002E5DE4" w:rsidRPr="006E23A1" w:rsidRDefault="002E5DE4" w:rsidP="008B0AE6">
      <w:pPr>
        <w:spacing w:after="0"/>
        <w:rPr>
          <w:rFonts w:ascii="Verdana" w:hAnsi="Verdana" w:cs="Calibri"/>
          <w:sz w:val="20"/>
          <w:szCs w:val="20"/>
        </w:rPr>
      </w:pPr>
      <w:hyperlink r:id="rId46" w:history="1">
        <w:r w:rsidRPr="003C0328">
          <w:rPr>
            <w:rStyle w:val="Hipercze"/>
            <w:rFonts w:ascii="Verdana" w:hAnsi="Verdana" w:cs="Calibri"/>
            <w:b/>
            <w:color w:val="0070C0"/>
            <w:sz w:val="20"/>
            <w:szCs w:val="20"/>
          </w:rPr>
          <w:t>Nilsson przeciwko Szwecji</w:t>
        </w:r>
      </w:hyperlink>
      <w:r w:rsidR="00EE6B3B" w:rsidRPr="006E23A1">
        <w:rPr>
          <w:rFonts w:ascii="Verdana" w:hAnsi="Verdana" w:cs="Calibri"/>
          <w:sz w:val="20"/>
          <w:szCs w:val="20"/>
        </w:rPr>
        <w:br/>
      </w:r>
      <w:r w:rsidR="00EE6B3B" w:rsidRPr="003C0328">
        <w:rPr>
          <w:rFonts w:ascii="Verdana" w:hAnsi="Verdana" w:cs="Calibri"/>
          <w:color w:val="767171" w:themeColor="background2" w:themeShade="80"/>
          <w:sz w:val="18"/>
          <w:szCs w:val="18"/>
        </w:rPr>
        <w:t>13 grudnia 2005</w:t>
      </w:r>
      <w:r w:rsidR="00C332E4" w:rsidRPr="003C0328">
        <w:rPr>
          <w:rFonts w:ascii="Verdana" w:hAnsi="Verdana" w:cs="Calibri"/>
          <w:color w:val="767171" w:themeColor="background2" w:themeShade="80"/>
          <w:sz w:val="18"/>
          <w:szCs w:val="18"/>
        </w:rPr>
        <w:t xml:space="preserve"> </w:t>
      </w:r>
      <w:r w:rsidR="00823555" w:rsidRPr="003C0328">
        <w:rPr>
          <w:rFonts w:ascii="Verdana" w:hAnsi="Verdana" w:cs="Calibri"/>
          <w:color w:val="767171" w:themeColor="background2" w:themeShade="80"/>
          <w:sz w:val="18"/>
          <w:szCs w:val="18"/>
        </w:rPr>
        <w:t>r.</w:t>
      </w:r>
      <w:r w:rsidR="00EE6B3B" w:rsidRPr="003C0328">
        <w:rPr>
          <w:rFonts w:ascii="Verdana" w:hAnsi="Verdana" w:cs="Calibri"/>
          <w:color w:val="767171" w:themeColor="background2" w:themeShade="80"/>
          <w:sz w:val="18"/>
          <w:szCs w:val="18"/>
        </w:rPr>
        <w:t xml:space="preserve"> </w:t>
      </w:r>
      <w:r w:rsidRPr="003C0328">
        <w:rPr>
          <w:rFonts w:ascii="Verdana" w:hAnsi="Verdana" w:cs="Calibri"/>
          <w:color w:val="767171" w:themeColor="background2" w:themeShade="80"/>
          <w:sz w:val="18"/>
          <w:szCs w:val="18"/>
        </w:rPr>
        <w:t>(decyzja w sprawie dopuszczalności)</w:t>
      </w:r>
    </w:p>
    <w:p w14:paraId="7779B0FE" w14:textId="1DBAAC6C" w:rsidR="002E5DE4" w:rsidRPr="006E23A1" w:rsidRDefault="002E5DE4" w:rsidP="008B0AE6">
      <w:pPr>
        <w:spacing w:after="0"/>
        <w:jc w:val="both"/>
        <w:rPr>
          <w:rFonts w:ascii="Verdana" w:hAnsi="Verdana" w:cs="Calibri"/>
          <w:sz w:val="20"/>
          <w:szCs w:val="20"/>
        </w:rPr>
      </w:pPr>
      <w:r w:rsidRPr="006E23A1">
        <w:rPr>
          <w:rFonts w:ascii="Verdana" w:hAnsi="Verdana" w:cs="Calibri"/>
          <w:sz w:val="20"/>
          <w:szCs w:val="20"/>
        </w:rPr>
        <w:t xml:space="preserve">Skarżący zarzucał, że zatrzymanie jego prawa jazdy na 18 miesięcy w następstwie skazania za jazdę pod wpływem alkoholu i za jazdę niezgodną z prawem stanowi </w:t>
      </w:r>
      <w:r w:rsidR="00FA6071" w:rsidRPr="006E23A1">
        <w:rPr>
          <w:rFonts w:ascii="Verdana" w:hAnsi="Verdana" w:cs="Calibri"/>
          <w:sz w:val="20"/>
          <w:szCs w:val="20"/>
        </w:rPr>
        <w:t xml:space="preserve">naruszenie art. 4 Protokołu </w:t>
      </w:r>
      <w:r w:rsidR="003C0328">
        <w:rPr>
          <w:rFonts w:ascii="Verdana" w:hAnsi="Verdana" w:cs="Calibri"/>
          <w:sz w:val="20"/>
          <w:szCs w:val="20"/>
        </w:rPr>
        <w:t>nr</w:t>
      </w:r>
      <w:r w:rsidR="00FA6071" w:rsidRPr="006E23A1">
        <w:rPr>
          <w:rFonts w:ascii="Verdana" w:hAnsi="Verdana" w:cs="Calibri"/>
          <w:sz w:val="20"/>
          <w:szCs w:val="20"/>
        </w:rPr>
        <w:t> </w:t>
      </w:r>
      <w:r w:rsidRPr="006E23A1">
        <w:rPr>
          <w:rFonts w:ascii="Verdana" w:hAnsi="Verdana" w:cs="Calibri"/>
          <w:sz w:val="20"/>
          <w:szCs w:val="20"/>
        </w:rPr>
        <w:t>7.</w:t>
      </w:r>
    </w:p>
    <w:p w14:paraId="1288092C" w14:textId="2861872D" w:rsidR="00857E8F" w:rsidRPr="003C0328" w:rsidRDefault="002E5DE4" w:rsidP="008B0AE6">
      <w:pPr>
        <w:spacing w:after="0"/>
        <w:jc w:val="both"/>
        <w:rPr>
          <w:rFonts w:ascii="Verdana" w:hAnsi="Verdana" w:cs="Calibri"/>
          <w:color w:val="0070C0"/>
          <w:sz w:val="20"/>
          <w:szCs w:val="20"/>
        </w:rPr>
      </w:pPr>
      <w:r w:rsidRPr="003C0328">
        <w:rPr>
          <w:rFonts w:ascii="Verdana" w:hAnsi="Verdana" w:cs="Calibri"/>
          <w:color w:val="0070C0"/>
          <w:sz w:val="20"/>
          <w:szCs w:val="20"/>
        </w:rPr>
        <w:t>Trybunał przypomniał cel art</w:t>
      </w:r>
      <w:r w:rsidR="00FA6071" w:rsidRPr="003C0328">
        <w:rPr>
          <w:rFonts w:ascii="Verdana" w:hAnsi="Verdana" w:cs="Calibri"/>
          <w:color w:val="0070C0"/>
          <w:sz w:val="20"/>
          <w:szCs w:val="20"/>
        </w:rPr>
        <w:t xml:space="preserve">. 4 Protokołu </w:t>
      </w:r>
      <w:r w:rsidR="003C0328" w:rsidRPr="003C0328">
        <w:rPr>
          <w:rFonts w:ascii="Verdana" w:hAnsi="Verdana" w:cs="Calibri"/>
          <w:color w:val="0070C0"/>
          <w:sz w:val="20"/>
          <w:szCs w:val="20"/>
        </w:rPr>
        <w:t>nr</w:t>
      </w:r>
      <w:r w:rsidRPr="003C0328">
        <w:rPr>
          <w:rFonts w:ascii="Verdana" w:hAnsi="Verdana" w:cs="Calibri"/>
          <w:color w:val="0070C0"/>
          <w:sz w:val="20"/>
          <w:szCs w:val="20"/>
        </w:rPr>
        <w:t xml:space="preserve"> 7, którym jest zakaz ponownego prowadzenia postępowania</w:t>
      </w:r>
      <w:r w:rsidR="00A57B42" w:rsidRPr="003C0328">
        <w:rPr>
          <w:rFonts w:ascii="Verdana" w:hAnsi="Verdana" w:cs="Calibri"/>
          <w:color w:val="0070C0"/>
          <w:sz w:val="20"/>
          <w:szCs w:val="20"/>
        </w:rPr>
        <w:t xml:space="preserve">, które zostało już zakończone ostateczną decyzją. Trybunał zgodził się z </w:t>
      </w:r>
      <w:r w:rsidR="00857E8F" w:rsidRPr="003C0328">
        <w:rPr>
          <w:rFonts w:ascii="Verdana" w:hAnsi="Verdana" w:cs="Calibri"/>
          <w:color w:val="0070C0"/>
          <w:sz w:val="20"/>
          <w:szCs w:val="20"/>
        </w:rPr>
        <w:t>konkluzją przyjętą przez</w:t>
      </w:r>
      <w:r w:rsidR="00FA6071" w:rsidRPr="003C0328">
        <w:rPr>
          <w:rFonts w:ascii="Verdana" w:hAnsi="Verdana" w:cs="Calibri"/>
          <w:color w:val="0070C0"/>
          <w:sz w:val="20"/>
          <w:szCs w:val="20"/>
        </w:rPr>
        <w:t xml:space="preserve"> Naczelny Sąd Administracyjny</w:t>
      </w:r>
      <w:r w:rsidR="00A57B42" w:rsidRPr="003C0328">
        <w:rPr>
          <w:rFonts w:ascii="Verdana" w:hAnsi="Verdana" w:cs="Calibri"/>
          <w:color w:val="0070C0"/>
          <w:sz w:val="20"/>
          <w:szCs w:val="20"/>
        </w:rPr>
        <w:t xml:space="preserve">, że o ile zgodnie z prawem szwedzkim </w:t>
      </w:r>
      <w:r w:rsidR="005C76A1" w:rsidRPr="003C0328">
        <w:rPr>
          <w:rFonts w:ascii="Verdana" w:hAnsi="Verdana" w:cs="Calibri"/>
          <w:color w:val="0070C0"/>
          <w:sz w:val="20"/>
          <w:szCs w:val="20"/>
        </w:rPr>
        <w:t>zatrzymanie</w:t>
      </w:r>
      <w:r w:rsidR="00A57B42" w:rsidRPr="003C0328">
        <w:rPr>
          <w:rFonts w:ascii="Verdana" w:hAnsi="Verdana" w:cs="Calibri"/>
          <w:color w:val="0070C0"/>
          <w:sz w:val="20"/>
          <w:szCs w:val="20"/>
        </w:rPr>
        <w:t xml:space="preserve"> prawa jazdy tradycyjnie uważane było za środek administracyjny mający na celu ochronę bezpieczeństwa ruchu drogowego, o tyle </w:t>
      </w:r>
      <w:r w:rsidR="005C76A1" w:rsidRPr="003C0328">
        <w:rPr>
          <w:rFonts w:ascii="Verdana" w:hAnsi="Verdana" w:cs="Calibri"/>
          <w:color w:val="0070C0"/>
          <w:sz w:val="20"/>
          <w:szCs w:val="20"/>
        </w:rPr>
        <w:t>zatrzymanie</w:t>
      </w:r>
      <w:r w:rsidR="00A57B42" w:rsidRPr="003C0328">
        <w:rPr>
          <w:rFonts w:ascii="Verdana" w:hAnsi="Verdana" w:cs="Calibri"/>
          <w:color w:val="0070C0"/>
          <w:sz w:val="20"/>
          <w:szCs w:val="20"/>
        </w:rPr>
        <w:t xml:space="preserve"> na podstawie wyroku skazującego, podobnie jak w niniejs</w:t>
      </w:r>
      <w:r w:rsidR="00FA6071" w:rsidRPr="003C0328">
        <w:rPr>
          <w:rFonts w:ascii="Verdana" w:hAnsi="Verdana" w:cs="Calibri"/>
          <w:color w:val="0070C0"/>
          <w:sz w:val="20"/>
          <w:szCs w:val="20"/>
        </w:rPr>
        <w:t>zej sprawie, stanowiło kwestię „karną”</w:t>
      </w:r>
      <w:r w:rsidR="00A57B42" w:rsidRPr="003C0328">
        <w:rPr>
          <w:rFonts w:ascii="Verdana" w:hAnsi="Verdana" w:cs="Calibri"/>
          <w:color w:val="0070C0"/>
          <w:sz w:val="20"/>
          <w:szCs w:val="20"/>
        </w:rPr>
        <w:t xml:space="preserve"> w rozumieniu</w:t>
      </w:r>
      <w:r w:rsidR="00FA6071" w:rsidRPr="003C0328">
        <w:rPr>
          <w:rFonts w:ascii="Verdana" w:hAnsi="Verdana" w:cs="Calibri"/>
          <w:color w:val="0070C0"/>
          <w:sz w:val="20"/>
          <w:szCs w:val="20"/>
        </w:rPr>
        <w:t xml:space="preserve"> art. 4 Protokołu </w:t>
      </w:r>
      <w:r w:rsidR="003C0328" w:rsidRPr="003C0328">
        <w:rPr>
          <w:rFonts w:ascii="Verdana" w:hAnsi="Verdana" w:cs="Calibri"/>
          <w:color w:val="0070C0"/>
          <w:sz w:val="20"/>
          <w:szCs w:val="20"/>
        </w:rPr>
        <w:t>nr</w:t>
      </w:r>
      <w:r w:rsidR="00A57B42" w:rsidRPr="003C0328">
        <w:rPr>
          <w:rFonts w:ascii="Verdana" w:hAnsi="Verdana" w:cs="Calibri"/>
          <w:color w:val="0070C0"/>
          <w:sz w:val="20"/>
          <w:szCs w:val="20"/>
        </w:rPr>
        <w:t xml:space="preserve"> 7.</w:t>
      </w:r>
      <w:r w:rsidR="00857E8F" w:rsidRPr="003C0328">
        <w:rPr>
          <w:rFonts w:ascii="Verdana" w:hAnsi="Verdana" w:cs="Calibri"/>
          <w:color w:val="0070C0"/>
          <w:sz w:val="20"/>
          <w:szCs w:val="20"/>
        </w:rPr>
        <w:t xml:space="preserve"> Ponadto, zdaniem Trybunału, sama surowość środka - zawieszenie prawa jazdy na 18 </w:t>
      </w:r>
      <w:r w:rsidR="00FA6071" w:rsidRPr="003C0328">
        <w:rPr>
          <w:rFonts w:ascii="Verdana" w:hAnsi="Verdana" w:cs="Calibri"/>
          <w:color w:val="0070C0"/>
          <w:sz w:val="20"/>
          <w:szCs w:val="20"/>
        </w:rPr>
        <w:t>miesięcy - bez względu na wyrok skazujący</w:t>
      </w:r>
      <w:r w:rsidR="00857E8F" w:rsidRPr="003C0328">
        <w:rPr>
          <w:rFonts w:ascii="Verdana" w:hAnsi="Verdana" w:cs="Calibri"/>
          <w:color w:val="0070C0"/>
          <w:sz w:val="20"/>
          <w:szCs w:val="20"/>
        </w:rPr>
        <w:t xml:space="preserve"> wydany w stosunku do skarżącego, była na tyle istotna, że mógł być postrzegany jako sankcja karna. Trybunał nie był jednak w stanie zgodzić się ze skarżący</w:t>
      </w:r>
      <w:r w:rsidR="00FA6071" w:rsidRPr="003C0328">
        <w:rPr>
          <w:rFonts w:ascii="Verdana" w:hAnsi="Verdana" w:cs="Calibri"/>
          <w:color w:val="0070C0"/>
          <w:sz w:val="20"/>
          <w:szCs w:val="20"/>
        </w:rPr>
        <w:t>m</w:t>
      </w:r>
      <w:r w:rsidR="00857E8F" w:rsidRPr="003C0328">
        <w:rPr>
          <w:rFonts w:ascii="Verdana" w:hAnsi="Verdana" w:cs="Calibri"/>
          <w:color w:val="0070C0"/>
          <w:sz w:val="20"/>
          <w:szCs w:val="20"/>
        </w:rPr>
        <w:t xml:space="preserve">, że decyzja o </w:t>
      </w:r>
      <w:r w:rsidR="005C76A1" w:rsidRPr="003C0328">
        <w:rPr>
          <w:rFonts w:ascii="Verdana" w:hAnsi="Verdana" w:cs="Calibri"/>
          <w:color w:val="0070C0"/>
          <w:sz w:val="20"/>
          <w:szCs w:val="20"/>
        </w:rPr>
        <w:t>zatrzymaniu</w:t>
      </w:r>
      <w:r w:rsidR="00857E8F" w:rsidRPr="003C0328">
        <w:rPr>
          <w:rFonts w:ascii="Verdana" w:hAnsi="Verdana" w:cs="Calibri"/>
          <w:color w:val="0070C0"/>
          <w:sz w:val="20"/>
          <w:szCs w:val="20"/>
        </w:rPr>
        <w:t xml:space="preserve"> prawa jazdy stanowiła nowe postępowanie karne zain</w:t>
      </w:r>
      <w:r w:rsidR="00A36D2E" w:rsidRPr="003C0328">
        <w:rPr>
          <w:rFonts w:ascii="Verdana" w:hAnsi="Verdana" w:cs="Calibri"/>
          <w:color w:val="0070C0"/>
          <w:sz w:val="20"/>
          <w:szCs w:val="20"/>
        </w:rPr>
        <w:t>i</w:t>
      </w:r>
      <w:r w:rsidR="00857E8F" w:rsidRPr="003C0328">
        <w:rPr>
          <w:rFonts w:ascii="Verdana" w:hAnsi="Verdana" w:cs="Calibri"/>
          <w:color w:val="0070C0"/>
          <w:sz w:val="20"/>
          <w:szCs w:val="20"/>
        </w:rPr>
        <w:t>cjow</w:t>
      </w:r>
      <w:r w:rsidR="00A36D2E" w:rsidRPr="003C0328">
        <w:rPr>
          <w:rFonts w:ascii="Verdana" w:hAnsi="Verdana" w:cs="Calibri"/>
          <w:color w:val="0070C0"/>
          <w:sz w:val="20"/>
          <w:szCs w:val="20"/>
        </w:rPr>
        <w:t>an</w:t>
      </w:r>
      <w:r w:rsidR="00857E8F" w:rsidRPr="003C0328">
        <w:rPr>
          <w:rFonts w:ascii="Verdana" w:hAnsi="Verdana" w:cs="Calibri"/>
          <w:color w:val="0070C0"/>
          <w:sz w:val="20"/>
          <w:szCs w:val="20"/>
        </w:rPr>
        <w:t xml:space="preserve">e przeciwko niemu. </w:t>
      </w:r>
      <w:r w:rsidR="00A36D2E" w:rsidRPr="003C0328">
        <w:rPr>
          <w:rFonts w:ascii="Verdana" w:hAnsi="Verdana" w:cs="Calibri"/>
          <w:color w:val="0070C0"/>
          <w:sz w:val="20"/>
          <w:szCs w:val="20"/>
        </w:rPr>
        <w:t xml:space="preserve">Mimo że różne sankcje zostały nałożone przez dwa różne organy w różnych postępowaniach, istniał między nimi wystarczająco ścisły związek merytoryczny i czasowy, aby uznać </w:t>
      </w:r>
      <w:r w:rsidR="005C76A1" w:rsidRPr="003C0328">
        <w:rPr>
          <w:rFonts w:ascii="Verdana" w:hAnsi="Verdana" w:cs="Calibri"/>
          <w:color w:val="0070C0"/>
          <w:sz w:val="20"/>
          <w:szCs w:val="20"/>
        </w:rPr>
        <w:t>zatrzymanie</w:t>
      </w:r>
      <w:r w:rsidR="00A36D2E" w:rsidRPr="003C0328">
        <w:rPr>
          <w:rFonts w:ascii="Verdana" w:hAnsi="Verdana" w:cs="Calibri"/>
          <w:color w:val="0070C0"/>
          <w:sz w:val="20"/>
          <w:szCs w:val="20"/>
        </w:rPr>
        <w:t xml:space="preserve"> za część sankcji przewidzianych w prawie szwedzkim za wykroczenia związane z jazdą pod wpływem alkoholu i prowadzenie</w:t>
      </w:r>
      <w:r w:rsidR="005C76A1" w:rsidRPr="003C0328">
        <w:rPr>
          <w:rFonts w:ascii="Verdana" w:hAnsi="Verdana" w:cs="Calibri"/>
          <w:color w:val="0070C0"/>
          <w:sz w:val="20"/>
          <w:szCs w:val="20"/>
        </w:rPr>
        <w:t xml:space="preserve"> </w:t>
      </w:r>
      <w:r w:rsidR="005C76A1" w:rsidRPr="003267DF">
        <w:rPr>
          <w:rFonts w:ascii="Verdana" w:hAnsi="Verdana" w:cs="Calibri"/>
          <w:color w:val="0070C0"/>
          <w:sz w:val="20"/>
          <w:szCs w:val="20"/>
        </w:rPr>
        <w:lastRenderedPageBreak/>
        <w:t>pojazdu</w:t>
      </w:r>
      <w:r w:rsidR="00A36D2E" w:rsidRPr="003C0328">
        <w:rPr>
          <w:rFonts w:ascii="Verdana" w:hAnsi="Verdana" w:cs="Calibri"/>
          <w:color w:val="0070C0"/>
          <w:sz w:val="20"/>
          <w:szCs w:val="20"/>
        </w:rPr>
        <w:t xml:space="preserve"> niezgodnie z prawem. </w:t>
      </w:r>
      <w:r w:rsidR="006C4297" w:rsidRPr="003C0328">
        <w:rPr>
          <w:rFonts w:ascii="Verdana" w:hAnsi="Verdana" w:cs="Calibri"/>
          <w:color w:val="0070C0"/>
          <w:sz w:val="20"/>
          <w:szCs w:val="20"/>
        </w:rPr>
        <w:t>Zatrzymanie</w:t>
      </w:r>
      <w:r w:rsidR="00A36D2E" w:rsidRPr="003C0328">
        <w:rPr>
          <w:rFonts w:ascii="Verdana" w:hAnsi="Verdana" w:cs="Calibri"/>
          <w:color w:val="0070C0"/>
          <w:sz w:val="20"/>
          <w:szCs w:val="20"/>
        </w:rPr>
        <w:t xml:space="preserve"> nie</w:t>
      </w:r>
      <w:r w:rsidR="00857E8F" w:rsidRPr="003C0328">
        <w:rPr>
          <w:rFonts w:ascii="Verdana" w:hAnsi="Verdana" w:cs="Calibri"/>
          <w:color w:val="0070C0"/>
          <w:sz w:val="20"/>
          <w:szCs w:val="20"/>
        </w:rPr>
        <w:t xml:space="preserve"> oznacza zatem, że </w:t>
      </w:r>
      <w:r w:rsidR="00A36D2E" w:rsidRPr="003C0328">
        <w:rPr>
          <w:rFonts w:ascii="Verdana" w:hAnsi="Verdana" w:cs="Calibri"/>
          <w:color w:val="0070C0"/>
          <w:sz w:val="20"/>
          <w:szCs w:val="20"/>
        </w:rPr>
        <w:t>skarżący został ponownie sądzony lub karany za przestępstwo</w:t>
      </w:r>
      <w:r w:rsidR="00857E8F" w:rsidRPr="003C0328">
        <w:rPr>
          <w:rFonts w:ascii="Verdana" w:hAnsi="Verdana" w:cs="Calibri"/>
          <w:color w:val="0070C0"/>
          <w:sz w:val="20"/>
          <w:szCs w:val="20"/>
        </w:rPr>
        <w:t>, za które został</w:t>
      </w:r>
      <w:r w:rsidR="00A36D2E" w:rsidRPr="003C0328">
        <w:rPr>
          <w:rFonts w:ascii="Verdana" w:hAnsi="Verdana" w:cs="Calibri"/>
          <w:color w:val="0070C0"/>
          <w:sz w:val="20"/>
          <w:szCs w:val="20"/>
        </w:rPr>
        <w:t xml:space="preserve"> </w:t>
      </w:r>
      <w:r w:rsidR="00FA6071" w:rsidRPr="003C0328">
        <w:rPr>
          <w:rFonts w:ascii="Verdana" w:hAnsi="Verdana" w:cs="Calibri"/>
          <w:color w:val="0070C0"/>
          <w:sz w:val="20"/>
          <w:szCs w:val="20"/>
        </w:rPr>
        <w:t xml:space="preserve">już </w:t>
      </w:r>
      <w:r w:rsidR="00A36D2E" w:rsidRPr="003C0328">
        <w:rPr>
          <w:rFonts w:ascii="Verdana" w:hAnsi="Verdana" w:cs="Calibri"/>
          <w:color w:val="0070C0"/>
          <w:sz w:val="20"/>
          <w:szCs w:val="20"/>
        </w:rPr>
        <w:t>ostatecznie skazany</w:t>
      </w:r>
      <w:r w:rsidR="00857E8F" w:rsidRPr="003C0328">
        <w:rPr>
          <w:rFonts w:ascii="Verdana" w:hAnsi="Verdana" w:cs="Calibri"/>
          <w:color w:val="0070C0"/>
          <w:sz w:val="20"/>
          <w:szCs w:val="20"/>
        </w:rPr>
        <w:t>.</w:t>
      </w:r>
      <w:r w:rsidR="00A36D2E" w:rsidRPr="003C0328">
        <w:rPr>
          <w:rFonts w:ascii="Verdana" w:hAnsi="Verdana" w:cs="Calibri"/>
          <w:color w:val="0070C0"/>
          <w:sz w:val="20"/>
          <w:szCs w:val="20"/>
        </w:rPr>
        <w:t xml:space="preserve"> </w:t>
      </w:r>
      <w:r w:rsidR="00857E8F" w:rsidRPr="003C0328">
        <w:rPr>
          <w:rFonts w:ascii="Verdana" w:hAnsi="Verdana" w:cs="Calibri"/>
          <w:color w:val="0070C0"/>
          <w:sz w:val="20"/>
          <w:szCs w:val="20"/>
        </w:rPr>
        <w:t xml:space="preserve">Trybunał uznał zatem skargę za </w:t>
      </w:r>
      <w:r w:rsidR="00857E8F" w:rsidRPr="003C0328">
        <w:rPr>
          <w:rFonts w:ascii="Verdana" w:hAnsi="Verdana" w:cs="Calibri"/>
          <w:b/>
          <w:color w:val="0070C0"/>
          <w:sz w:val="20"/>
          <w:szCs w:val="20"/>
        </w:rPr>
        <w:t>niedopuszczalną</w:t>
      </w:r>
      <w:r w:rsidR="00857E8F" w:rsidRPr="003C0328">
        <w:rPr>
          <w:rFonts w:ascii="Verdana" w:hAnsi="Verdana" w:cs="Calibri"/>
          <w:color w:val="0070C0"/>
          <w:sz w:val="20"/>
          <w:szCs w:val="20"/>
        </w:rPr>
        <w:t xml:space="preserve"> jako </w:t>
      </w:r>
      <w:r w:rsidR="003C0328" w:rsidRPr="003C0328">
        <w:rPr>
          <w:rFonts w:ascii="Verdana" w:hAnsi="Verdana" w:cs="Calibri"/>
          <w:color w:val="0070C0"/>
          <w:sz w:val="20"/>
          <w:szCs w:val="20"/>
        </w:rPr>
        <w:t>w sposób oczywisty nieuzasadnioną</w:t>
      </w:r>
      <w:r w:rsidR="00857E8F" w:rsidRPr="003C0328">
        <w:rPr>
          <w:rFonts w:ascii="Verdana" w:hAnsi="Verdana" w:cs="Calibri"/>
          <w:color w:val="0070C0"/>
          <w:sz w:val="20"/>
          <w:szCs w:val="20"/>
        </w:rPr>
        <w:t>.</w:t>
      </w:r>
    </w:p>
    <w:p w14:paraId="0274915D" w14:textId="77777777" w:rsidR="003C0328" w:rsidRDefault="003C0328" w:rsidP="008B0AE6">
      <w:pPr>
        <w:spacing w:after="0"/>
        <w:jc w:val="both"/>
        <w:rPr>
          <w:rFonts w:ascii="Verdana" w:hAnsi="Verdana" w:cs="Calibri"/>
          <w:i/>
          <w:sz w:val="20"/>
          <w:szCs w:val="20"/>
        </w:rPr>
      </w:pPr>
    </w:p>
    <w:p w14:paraId="07D48B12" w14:textId="3DA873F0" w:rsidR="00A36D2E" w:rsidRPr="003C0328" w:rsidRDefault="00A36D2E" w:rsidP="008B0AE6">
      <w:pPr>
        <w:spacing w:after="0"/>
        <w:jc w:val="both"/>
        <w:rPr>
          <w:rFonts w:ascii="Verdana" w:hAnsi="Verdana" w:cs="Calibri"/>
          <w:i/>
          <w:color w:val="3B3838" w:themeColor="background2" w:themeShade="40"/>
          <w:sz w:val="24"/>
          <w:szCs w:val="24"/>
        </w:rPr>
      </w:pPr>
      <w:r w:rsidRPr="003C0328">
        <w:rPr>
          <w:rFonts w:ascii="Verdana" w:hAnsi="Verdana" w:cs="Calibri"/>
          <w:i/>
          <w:color w:val="3B3838" w:themeColor="background2" w:themeShade="40"/>
          <w:sz w:val="24"/>
          <w:szCs w:val="24"/>
        </w:rPr>
        <w:t>Wyrok Wielkiej Izby w sprawie Sergeya Zolotukhina</w:t>
      </w:r>
    </w:p>
    <w:p w14:paraId="4E0CC7DB" w14:textId="77777777" w:rsidR="003C0328" w:rsidRDefault="003C0328" w:rsidP="008B0AE6">
      <w:pPr>
        <w:spacing w:after="0"/>
        <w:rPr>
          <w:rFonts w:ascii="Verdana" w:hAnsi="Verdana" w:cs="Calibri"/>
          <w:b/>
          <w:color w:val="2E74B5" w:themeColor="accent1" w:themeShade="BF"/>
          <w:sz w:val="20"/>
          <w:szCs w:val="20"/>
          <w:u w:val="single"/>
        </w:rPr>
      </w:pPr>
    </w:p>
    <w:p w14:paraId="7FE7D9D9" w14:textId="1B932566" w:rsidR="00A36D2E" w:rsidRPr="003267DF" w:rsidRDefault="00A36D2E" w:rsidP="008B0AE6">
      <w:pPr>
        <w:spacing w:after="0"/>
        <w:rPr>
          <w:rFonts w:ascii="Verdana" w:hAnsi="Verdana" w:cs="Calibri"/>
          <w:sz w:val="18"/>
          <w:szCs w:val="18"/>
        </w:rPr>
      </w:pPr>
      <w:hyperlink r:id="rId47" w:history="1">
        <w:r w:rsidRPr="003267DF">
          <w:rPr>
            <w:rStyle w:val="Hipercze"/>
            <w:rFonts w:ascii="Verdana" w:hAnsi="Verdana" w:cs="Calibri"/>
            <w:b/>
            <w:sz w:val="20"/>
            <w:szCs w:val="20"/>
          </w:rPr>
          <w:t>Sergey Zolotukhin przeciwko Rosji</w:t>
        </w:r>
      </w:hyperlink>
      <w:r w:rsidR="00EE6B3B" w:rsidRPr="006E23A1">
        <w:rPr>
          <w:rFonts w:ascii="Verdana" w:hAnsi="Verdana" w:cs="Calibri"/>
          <w:sz w:val="20"/>
          <w:szCs w:val="20"/>
        </w:rPr>
        <w:br/>
      </w:r>
      <w:r w:rsidR="00EE6B3B" w:rsidRPr="003267DF">
        <w:rPr>
          <w:rFonts w:ascii="Verdana" w:hAnsi="Verdana" w:cs="Calibri"/>
          <w:color w:val="767171" w:themeColor="background2" w:themeShade="80"/>
          <w:sz w:val="18"/>
          <w:szCs w:val="18"/>
        </w:rPr>
        <w:t xml:space="preserve">10 lutego 2009 </w:t>
      </w:r>
      <w:r w:rsidR="006C4297" w:rsidRPr="003267DF">
        <w:rPr>
          <w:rFonts w:ascii="Verdana" w:hAnsi="Verdana" w:cs="Calibri"/>
          <w:color w:val="767171" w:themeColor="background2" w:themeShade="80"/>
          <w:sz w:val="18"/>
          <w:szCs w:val="18"/>
        </w:rPr>
        <w:t xml:space="preserve">r. </w:t>
      </w:r>
      <w:r w:rsidRPr="003267DF">
        <w:rPr>
          <w:rFonts w:ascii="Verdana" w:hAnsi="Verdana" w:cs="Calibri"/>
          <w:color w:val="767171" w:themeColor="background2" w:themeShade="80"/>
          <w:sz w:val="18"/>
          <w:szCs w:val="18"/>
        </w:rPr>
        <w:t>(Wielka Izba)</w:t>
      </w:r>
    </w:p>
    <w:p w14:paraId="7C9D4F64" w14:textId="49DBB835"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W styczniu 2002 r. skarżący został aresztowany za nieautoryzowane wpuszczenie swojej dziewczyny na teren wojskowy. Są</w:t>
      </w:r>
      <w:r w:rsidR="000C00A9" w:rsidRPr="006E23A1">
        <w:rPr>
          <w:rFonts w:ascii="Verdana" w:hAnsi="Verdana" w:cs="Calibri"/>
          <w:sz w:val="20"/>
          <w:szCs w:val="20"/>
        </w:rPr>
        <w:t>d rejonowy uznał go za winnego „drobnych zakłóceń”</w:t>
      </w:r>
      <w:r w:rsidRPr="006E23A1">
        <w:rPr>
          <w:rFonts w:ascii="Verdana" w:hAnsi="Verdana" w:cs="Calibri"/>
          <w:sz w:val="20"/>
          <w:szCs w:val="20"/>
        </w:rPr>
        <w:t xml:space="preserve"> w rozumieniu </w:t>
      </w:r>
      <w:r w:rsidR="007235DA">
        <w:rPr>
          <w:rFonts w:ascii="Verdana" w:hAnsi="Verdana" w:cs="Calibri"/>
          <w:sz w:val="20"/>
          <w:szCs w:val="20"/>
        </w:rPr>
        <w:t>k</w:t>
      </w:r>
      <w:r w:rsidRPr="006E23A1">
        <w:rPr>
          <w:rFonts w:ascii="Verdana" w:hAnsi="Verdana" w:cs="Calibri"/>
          <w:sz w:val="20"/>
          <w:szCs w:val="20"/>
        </w:rPr>
        <w:t xml:space="preserve">odeksu wykroczeń i skazał na trzy dni aresztu. Następnie na podstawie art. 213 § 2 lit. b) kodeksu karnego wszczęto przeciwko niemu postępowanie karne w sprawie jego niepożądanego zachowania przed sporządzeniem raportu policyjnego </w:t>
      </w:r>
      <w:r w:rsidR="001B43B9" w:rsidRPr="006E23A1">
        <w:rPr>
          <w:rFonts w:ascii="Verdana" w:hAnsi="Verdana" w:cs="Calibri"/>
          <w:sz w:val="20"/>
          <w:szCs w:val="20"/>
        </w:rPr>
        <w:t>oraz</w:t>
      </w:r>
      <w:r w:rsidRPr="006E23A1">
        <w:rPr>
          <w:rFonts w:ascii="Verdana" w:hAnsi="Verdana" w:cs="Calibri"/>
          <w:sz w:val="20"/>
          <w:szCs w:val="20"/>
        </w:rPr>
        <w:t xml:space="preserve"> na podstawie art. 318 i 319 kodeksu karnego, w sprawie jego gróźb i zniewag w trakcie i po sporządzeniu tego raportu. W grudniu 2002 r. ten sam sąd rejonowy uznał skarżącego za winnego zarzutów z art. 319 kodeksu karnego. Został on j</w:t>
      </w:r>
      <w:r w:rsidR="006A0FD2" w:rsidRPr="006E23A1">
        <w:rPr>
          <w:rFonts w:ascii="Verdana" w:hAnsi="Verdana" w:cs="Calibri"/>
          <w:sz w:val="20"/>
          <w:szCs w:val="20"/>
        </w:rPr>
        <w:t xml:space="preserve">ednak uniewinniony </w:t>
      </w:r>
      <w:r w:rsidR="006C4297" w:rsidRPr="006E23A1">
        <w:rPr>
          <w:rFonts w:ascii="Verdana" w:hAnsi="Verdana" w:cs="Calibri"/>
          <w:sz w:val="20"/>
          <w:szCs w:val="20"/>
        </w:rPr>
        <w:t>z przestępstwa z</w:t>
      </w:r>
      <w:r w:rsidR="006A0FD2" w:rsidRPr="006E23A1">
        <w:rPr>
          <w:rFonts w:ascii="Verdana" w:hAnsi="Verdana" w:cs="Calibri"/>
          <w:sz w:val="20"/>
          <w:szCs w:val="20"/>
        </w:rPr>
        <w:t xml:space="preserve"> </w:t>
      </w:r>
      <w:r w:rsidRPr="006E23A1">
        <w:rPr>
          <w:rFonts w:ascii="Verdana" w:hAnsi="Verdana" w:cs="Calibri"/>
          <w:sz w:val="20"/>
          <w:szCs w:val="20"/>
        </w:rPr>
        <w:t xml:space="preserve">art. 213, ponieważ sąd uznał, że jego wina nie została udowodniona w stopniu wymaganym w postępowaniu karnym. Skarżący został skazany na 5 lat i 6 miesięcy pozbawienia wolności w kolonii karnej i nakazano mu </w:t>
      </w:r>
      <w:r w:rsidR="006A0FD2" w:rsidRPr="006E23A1">
        <w:rPr>
          <w:rFonts w:ascii="Verdana" w:hAnsi="Verdana" w:cs="Calibri"/>
          <w:sz w:val="20"/>
          <w:szCs w:val="20"/>
        </w:rPr>
        <w:t>leczenie</w:t>
      </w:r>
      <w:r w:rsidRPr="006E23A1">
        <w:rPr>
          <w:rFonts w:ascii="Verdana" w:hAnsi="Verdana" w:cs="Calibri"/>
          <w:sz w:val="20"/>
          <w:szCs w:val="20"/>
        </w:rPr>
        <w:t xml:space="preserve"> choroby alkoholowej. Skarżący zarzucał, że po odbyciu </w:t>
      </w:r>
      <w:r w:rsidR="003267DF">
        <w:rPr>
          <w:rFonts w:ascii="Verdana" w:hAnsi="Verdana" w:cs="Calibri"/>
          <w:sz w:val="20"/>
          <w:szCs w:val="20"/>
        </w:rPr>
        <w:t xml:space="preserve">trzech </w:t>
      </w:r>
      <w:r w:rsidRPr="006E23A1">
        <w:rPr>
          <w:rFonts w:ascii="Verdana" w:hAnsi="Verdana" w:cs="Calibri"/>
          <w:sz w:val="20"/>
          <w:szCs w:val="20"/>
        </w:rPr>
        <w:t>dni aresztu za niepożądane zachowanie, który został wymierzony w wyniku postępowania administracyjnego, został on zatrzymany i ponownie osądzony za to samo przestępstwo w postępowaniu karnym.</w:t>
      </w:r>
    </w:p>
    <w:p w14:paraId="39FBAF62" w14:textId="4EFE9CC3" w:rsidR="00F1211B" w:rsidRPr="003267DF" w:rsidRDefault="006A0FD2" w:rsidP="008B0AE6">
      <w:pPr>
        <w:spacing w:after="0"/>
        <w:jc w:val="both"/>
        <w:rPr>
          <w:rFonts w:ascii="Verdana" w:hAnsi="Verdana" w:cs="Calibri"/>
          <w:color w:val="0070C0"/>
          <w:sz w:val="20"/>
          <w:szCs w:val="20"/>
        </w:rPr>
      </w:pPr>
      <w:r w:rsidRPr="003267DF">
        <w:rPr>
          <w:rFonts w:ascii="Verdana" w:hAnsi="Verdana" w:cs="Calibri"/>
          <w:color w:val="0070C0"/>
          <w:sz w:val="20"/>
          <w:szCs w:val="20"/>
        </w:rPr>
        <w:t>Jeśli chodzi o istnienie „oskarżenia karnego”</w:t>
      </w:r>
      <w:r w:rsidR="00F1211B" w:rsidRPr="003267DF">
        <w:rPr>
          <w:rFonts w:ascii="Verdana" w:hAnsi="Verdana" w:cs="Calibri"/>
          <w:color w:val="0070C0"/>
          <w:sz w:val="20"/>
          <w:szCs w:val="20"/>
        </w:rPr>
        <w:t xml:space="preserve"> w sprawie skarżącego, Wielka Izba uznała, że chociaż postępowanie wszczę</w:t>
      </w:r>
      <w:r w:rsidRPr="003267DF">
        <w:rPr>
          <w:rFonts w:ascii="Verdana" w:hAnsi="Verdana" w:cs="Calibri"/>
          <w:color w:val="0070C0"/>
          <w:sz w:val="20"/>
          <w:szCs w:val="20"/>
        </w:rPr>
        <w:t>te przeciwko niemu przed sądem rejonowym</w:t>
      </w:r>
      <w:r w:rsidR="00F1211B" w:rsidRPr="003267DF">
        <w:rPr>
          <w:rFonts w:ascii="Verdana" w:hAnsi="Verdana" w:cs="Calibri"/>
          <w:color w:val="0070C0"/>
          <w:sz w:val="20"/>
          <w:szCs w:val="20"/>
        </w:rPr>
        <w:t xml:space="preserve"> w styczniu 2002 r. zostało uznane za administracyjne w prawie krajowym, to należy je utożsamiać z postępowaniem karnym, w szczególności ze względu na charakter przestępstwa i surowość kary. Następnie, jeśli chodzi o to, czy przestępstwa były takie same, Wielka Izba zauważyła, że w przeszłości przyjmowała różne podejścia, kładąc nacisk </w:t>
      </w:r>
      <w:r w:rsidR="004D149E" w:rsidRPr="003267DF">
        <w:rPr>
          <w:rFonts w:ascii="Verdana" w:hAnsi="Verdana" w:cs="Calibri"/>
          <w:color w:val="0070C0"/>
          <w:sz w:val="20"/>
          <w:szCs w:val="20"/>
        </w:rPr>
        <w:t xml:space="preserve">zarówno </w:t>
      </w:r>
      <w:r w:rsidR="00F1211B" w:rsidRPr="003267DF">
        <w:rPr>
          <w:rFonts w:ascii="Verdana" w:hAnsi="Verdana" w:cs="Calibri"/>
          <w:color w:val="0070C0"/>
          <w:sz w:val="20"/>
          <w:szCs w:val="20"/>
        </w:rPr>
        <w:t>na tożsamość faktów bez wzgl</w:t>
      </w:r>
      <w:r w:rsidRPr="003267DF">
        <w:rPr>
          <w:rFonts w:ascii="Verdana" w:hAnsi="Verdana" w:cs="Calibri"/>
          <w:color w:val="0070C0"/>
          <w:sz w:val="20"/>
          <w:szCs w:val="20"/>
        </w:rPr>
        <w:t>ędu na ich prawn</w:t>
      </w:r>
      <w:r w:rsidR="004D149E" w:rsidRPr="003267DF">
        <w:rPr>
          <w:rFonts w:ascii="Verdana" w:hAnsi="Verdana" w:cs="Calibri"/>
          <w:color w:val="0070C0"/>
          <w:sz w:val="20"/>
          <w:szCs w:val="20"/>
        </w:rPr>
        <w:t xml:space="preserve">y </w:t>
      </w:r>
      <w:r w:rsidR="003267DF" w:rsidRPr="003267DF">
        <w:rPr>
          <w:rFonts w:ascii="Verdana" w:hAnsi="Verdana" w:cs="Calibri"/>
          <w:color w:val="0070C0"/>
          <w:sz w:val="20"/>
          <w:szCs w:val="20"/>
        </w:rPr>
        <w:t>charakter</w:t>
      </w:r>
      <w:r w:rsidR="00F1211B" w:rsidRPr="003267DF">
        <w:rPr>
          <w:rFonts w:ascii="Verdana" w:hAnsi="Verdana" w:cs="Calibri"/>
          <w:color w:val="0070C0"/>
          <w:sz w:val="20"/>
          <w:szCs w:val="20"/>
        </w:rPr>
        <w:t>,</w:t>
      </w:r>
      <w:r w:rsidR="006A42A3" w:rsidRPr="003267DF">
        <w:rPr>
          <w:rFonts w:ascii="Verdana" w:hAnsi="Verdana" w:cs="Calibri"/>
          <w:color w:val="0070C0"/>
          <w:sz w:val="20"/>
          <w:szCs w:val="20"/>
        </w:rPr>
        <w:t xml:space="preserve"> </w:t>
      </w:r>
      <w:r w:rsidR="004D149E" w:rsidRPr="003267DF">
        <w:rPr>
          <w:rFonts w:ascii="Verdana" w:hAnsi="Verdana" w:cs="Calibri"/>
          <w:color w:val="0070C0"/>
          <w:sz w:val="20"/>
          <w:szCs w:val="20"/>
        </w:rPr>
        <w:t xml:space="preserve">jak i </w:t>
      </w:r>
      <w:r w:rsidR="006A42A3" w:rsidRPr="003267DF">
        <w:rPr>
          <w:rFonts w:ascii="Verdana" w:hAnsi="Verdana" w:cs="Calibri"/>
          <w:color w:val="0070C0"/>
          <w:sz w:val="20"/>
          <w:szCs w:val="20"/>
        </w:rPr>
        <w:t>na kwalifikację prawną</w:t>
      </w:r>
      <w:r w:rsidR="00F1211B" w:rsidRPr="003267DF">
        <w:rPr>
          <w:rFonts w:ascii="Verdana" w:hAnsi="Verdana" w:cs="Calibri"/>
          <w:color w:val="0070C0"/>
          <w:sz w:val="20"/>
          <w:szCs w:val="20"/>
        </w:rPr>
        <w:t xml:space="preserve"> akceptując, że te same fakty mogą prowadzić do różnych przestępstw </w:t>
      </w:r>
      <w:r w:rsidR="004D149E" w:rsidRPr="003267DF">
        <w:rPr>
          <w:rFonts w:ascii="Verdana" w:hAnsi="Verdana" w:cs="Calibri"/>
          <w:color w:val="0070C0"/>
          <w:sz w:val="20"/>
          <w:szCs w:val="20"/>
        </w:rPr>
        <w:t>albo do powstania</w:t>
      </w:r>
      <w:r w:rsidR="00F1211B" w:rsidRPr="003267DF">
        <w:rPr>
          <w:rFonts w:ascii="Verdana" w:hAnsi="Verdana" w:cs="Calibri"/>
          <w:color w:val="0070C0"/>
          <w:sz w:val="20"/>
          <w:szCs w:val="20"/>
        </w:rPr>
        <w:t xml:space="preserve"> lub brak</w:t>
      </w:r>
      <w:r w:rsidR="004D149E" w:rsidRPr="003267DF">
        <w:rPr>
          <w:rFonts w:ascii="Verdana" w:hAnsi="Verdana" w:cs="Calibri"/>
          <w:color w:val="0070C0"/>
          <w:sz w:val="20"/>
          <w:szCs w:val="20"/>
        </w:rPr>
        <w:t>u</w:t>
      </w:r>
      <w:r w:rsidR="00F1211B" w:rsidRPr="003267DF">
        <w:rPr>
          <w:rFonts w:ascii="Verdana" w:hAnsi="Verdana" w:cs="Calibri"/>
          <w:color w:val="0070C0"/>
          <w:sz w:val="20"/>
          <w:szCs w:val="20"/>
        </w:rPr>
        <w:t xml:space="preserve"> istotnych elementów wspólnych dla obu przestępstw. Uznając, że istnienie tych różnych podejść było źródłem niepewności prawnej, która była niezgodna z prawem podstawowym gwaran</w:t>
      </w:r>
      <w:r w:rsidR="006A42A3" w:rsidRPr="003267DF">
        <w:rPr>
          <w:rFonts w:ascii="Verdana" w:hAnsi="Verdana" w:cs="Calibri"/>
          <w:color w:val="0070C0"/>
          <w:sz w:val="20"/>
          <w:szCs w:val="20"/>
        </w:rPr>
        <w:t xml:space="preserve">towanym przez art. 4 Protokołu </w:t>
      </w:r>
      <w:r w:rsidR="003267DF">
        <w:rPr>
          <w:rFonts w:ascii="Verdana" w:hAnsi="Verdana" w:cs="Calibri"/>
          <w:color w:val="0070C0"/>
          <w:sz w:val="20"/>
          <w:szCs w:val="20"/>
        </w:rPr>
        <w:t>n</w:t>
      </w:r>
      <w:r w:rsidR="003C0328" w:rsidRPr="003267DF">
        <w:rPr>
          <w:rFonts w:ascii="Verdana" w:hAnsi="Verdana" w:cs="Calibri"/>
          <w:color w:val="0070C0"/>
          <w:sz w:val="20"/>
          <w:szCs w:val="20"/>
        </w:rPr>
        <w:t>r</w:t>
      </w:r>
      <w:r w:rsidR="00F1211B" w:rsidRPr="003267DF">
        <w:rPr>
          <w:rFonts w:ascii="Verdana" w:hAnsi="Verdana" w:cs="Calibri"/>
          <w:color w:val="0070C0"/>
          <w:sz w:val="20"/>
          <w:szCs w:val="20"/>
        </w:rPr>
        <w:t xml:space="preserve"> 7, Wielka Izba postanowiła szczegółowo zdefiniować, c</w:t>
      </w:r>
      <w:r w:rsidR="006A42A3" w:rsidRPr="003267DF">
        <w:rPr>
          <w:rFonts w:ascii="Verdana" w:hAnsi="Verdana" w:cs="Calibri"/>
          <w:color w:val="0070C0"/>
          <w:sz w:val="20"/>
          <w:szCs w:val="20"/>
        </w:rPr>
        <w:t>o należy rozumieć pod pojęciem „to samo przestępstwo” w rozumieniu K</w:t>
      </w:r>
      <w:r w:rsidR="00F1211B" w:rsidRPr="003267DF">
        <w:rPr>
          <w:rFonts w:ascii="Verdana" w:hAnsi="Verdana" w:cs="Calibri"/>
          <w:color w:val="0070C0"/>
          <w:sz w:val="20"/>
          <w:szCs w:val="20"/>
        </w:rPr>
        <w:t>onwencji. Po zbadaniu zakres</w:t>
      </w:r>
      <w:r w:rsidR="006A42A3" w:rsidRPr="003267DF">
        <w:rPr>
          <w:rFonts w:ascii="Verdana" w:hAnsi="Verdana" w:cs="Calibri"/>
          <w:color w:val="0070C0"/>
          <w:sz w:val="20"/>
          <w:szCs w:val="20"/>
        </w:rPr>
        <w:t xml:space="preserve">u prawa do niebycia sądzonym i </w:t>
      </w:r>
      <w:r w:rsidR="00F1211B" w:rsidRPr="003267DF">
        <w:rPr>
          <w:rFonts w:ascii="Verdana" w:hAnsi="Verdana" w:cs="Calibri"/>
          <w:color w:val="0070C0"/>
          <w:sz w:val="20"/>
          <w:szCs w:val="20"/>
        </w:rPr>
        <w:t>karanym dwukrotnie</w:t>
      </w:r>
      <w:r w:rsidR="006A42A3" w:rsidRPr="003267DF">
        <w:rPr>
          <w:rFonts w:ascii="Verdana" w:hAnsi="Verdana" w:cs="Calibri"/>
          <w:color w:val="0070C0"/>
          <w:sz w:val="20"/>
          <w:szCs w:val="20"/>
        </w:rPr>
        <w:t>,</w:t>
      </w:r>
      <w:r w:rsidR="00F1211B" w:rsidRPr="003267DF">
        <w:rPr>
          <w:rFonts w:ascii="Verdana" w:hAnsi="Verdana" w:cs="Calibri"/>
          <w:color w:val="0070C0"/>
          <w:sz w:val="20"/>
          <w:szCs w:val="20"/>
        </w:rPr>
        <w:t xml:space="preserve"> w stosunku do innych instrumentów międzynarodowych, st</w:t>
      </w:r>
      <w:r w:rsidR="006A42A3" w:rsidRPr="003267DF">
        <w:rPr>
          <w:rFonts w:ascii="Verdana" w:hAnsi="Verdana" w:cs="Calibri"/>
          <w:color w:val="0070C0"/>
          <w:sz w:val="20"/>
          <w:szCs w:val="20"/>
        </w:rPr>
        <w:t xml:space="preserve">wierdzono, że art. 4 Protokołu </w:t>
      </w:r>
      <w:r w:rsidR="003267DF">
        <w:rPr>
          <w:rFonts w:ascii="Verdana" w:hAnsi="Verdana" w:cs="Calibri"/>
          <w:color w:val="0070C0"/>
          <w:sz w:val="20"/>
          <w:szCs w:val="20"/>
        </w:rPr>
        <w:t>n</w:t>
      </w:r>
      <w:r w:rsidR="003C0328" w:rsidRPr="003267DF">
        <w:rPr>
          <w:rFonts w:ascii="Verdana" w:hAnsi="Verdana" w:cs="Calibri"/>
          <w:color w:val="0070C0"/>
          <w:sz w:val="20"/>
          <w:szCs w:val="20"/>
        </w:rPr>
        <w:t>r</w:t>
      </w:r>
      <w:r w:rsidR="00F1211B" w:rsidRPr="003267DF">
        <w:rPr>
          <w:rFonts w:ascii="Verdana" w:hAnsi="Verdana" w:cs="Calibri"/>
          <w:color w:val="0070C0"/>
          <w:sz w:val="20"/>
          <w:szCs w:val="20"/>
        </w:rPr>
        <w:t xml:space="preserve"> 7 powinien być interpretowany jako zakazujący ścigania lub sądzenia jednostki za drugie przestępstwo w zakresie, w jakim wynikał</w:t>
      </w:r>
      <w:r w:rsidR="006A42A3" w:rsidRPr="003267DF">
        <w:rPr>
          <w:rFonts w:ascii="Verdana" w:hAnsi="Verdana" w:cs="Calibri"/>
          <w:color w:val="0070C0"/>
          <w:sz w:val="20"/>
          <w:szCs w:val="20"/>
        </w:rPr>
        <w:t>o</w:t>
      </w:r>
      <w:r w:rsidR="00F1211B" w:rsidRPr="003267DF">
        <w:rPr>
          <w:rFonts w:ascii="Verdana" w:hAnsi="Verdana" w:cs="Calibri"/>
          <w:color w:val="0070C0"/>
          <w:sz w:val="20"/>
          <w:szCs w:val="20"/>
        </w:rPr>
        <w:t xml:space="preserve"> on</w:t>
      </w:r>
      <w:r w:rsidR="006A42A3" w:rsidRPr="003267DF">
        <w:rPr>
          <w:rFonts w:ascii="Verdana" w:hAnsi="Verdana" w:cs="Calibri"/>
          <w:color w:val="0070C0"/>
          <w:sz w:val="20"/>
          <w:szCs w:val="20"/>
        </w:rPr>
        <w:t>o</w:t>
      </w:r>
      <w:r w:rsidR="00F1211B" w:rsidRPr="003267DF">
        <w:rPr>
          <w:rFonts w:ascii="Verdana" w:hAnsi="Verdana" w:cs="Calibri"/>
          <w:color w:val="0070C0"/>
          <w:sz w:val="20"/>
          <w:szCs w:val="20"/>
        </w:rPr>
        <w:t xml:space="preserve"> z identycznych faktó</w:t>
      </w:r>
      <w:r w:rsidR="006A42A3" w:rsidRPr="003267DF">
        <w:rPr>
          <w:rFonts w:ascii="Verdana" w:hAnsi="Verdana" w:cs="Calibri"/>
          <w:color w:val="0070C0"/>
          <w:sz w:val="20"/>
          <w:szCs w:val="20"/>
        </w:rPr>
        <w:t>w lub okoliczności, które były „</w:t>
      </w:r>
      <w:r w:rsidR="00F1211B" w:rsidRPr="003267DF">
        <w:rPr>
          <w:rFonts w:ascii="Verdana" w:hAnsi="Verdana" w:cs="Calibri"/>
          <w:color w:val="0070C0"/>
          <w:sz w:val="20"/>
          <w:szCs w:val="20"/>
        </w:rPr>
        <w:t>zasadn</w:t>
      </w:r>
      <w:r w:rsidR="006A42A3" w:rsidRPr="003267DF">
        <w:rPr>
          <w:rFonts w:ascii="Verdana" w:hAnsi="Verdana" w:cs="Calibri"/>
          <w:color w:val="0070C0"/>
          <w:sz w:val="20"/>
          <w:szCs w:val="20"/>
        </w:rPr>
        <w:t>iczo”</w:t>
      </w:r>
      <w:r w:rsidR="00F1211B" w:rsidRPr="003267DF">
        <w:rPr>
          <w:rFonts w:ascii="Verdana" w:hAnsi="Verdana" w:cs="Calibri"/>
          <w:color w:val="0070C0"/>
          <w:sz w:val="20"/>
          <w:szCs w:val="20"/>
        </w:rPr>
        <w:t xml:space="preserve"> takie same jak te, na których opierało się pierwsze przestępstwo. Gwarancja ta miała zastosowanie w przypadku wszczęcia nowego postępowania po uprawomocnieniu się poprzedniego wyroku uniewinniającego lub skazującego. W niniejszej sprawie Wielka Izba uznała, że czyny leżące u podstaw dwóch postępowań administracyjn</w:t>
      </w:r>
      <w:r w:rsidR="004D149E" w:rsidRPr="003267DF">
        <w:rPr>
          <w:rFonts w:ascii="Verdana" w:hAnsi="Verdana" w:cs="Calibri"/>
          <w:color w:val="0070C0"/>
          <w:sz w:val="20"/>
          <w:szCs w:val="20"/>
        </w:rPr>
        <w:t>ego</w:t>
      </w:r>
      <w:r w:rsidR="00F1211B" w:rsidRPr="003267DF">
        <w:rPr>
          <w:rFonts w:ascii="Verdana" w:hAnsi="Verdana" w:cs="Calibri"/>
          <w:color w:val="0070C0"/>
          <w:sz w:val="20"/>
          <w:szCs w:val="20"/>
        </w:rPr>
        <w:t xml:space="preserve"> i karn</w:t>
      </w:r>
      <w:r w:rsidR="004D149E" w:rsidRPr="003267DF">
        <w:rPr>
          <w:rFonts w:ascii="Verdana" w:hAnsi="Verdana" w:cs="Calibri"/>
          <w:color w:val="0070C0"/>
          <w:sz w:val="20"/>
          <w:szCs w:val="20"/>
        </w:rPr>
        <w:t>ego</w:t>
      </w:r>
      <w:r w:rsidR="00F1211B" w:rsidRPr="003267DF">
        <w:rPr>
          <w:rFonts w:ascii="Verdana" w:hAnsi="Verdana" w:cs="Calibri"/>
          <w:color w:val="0070C0"/>
          <w:sz w:val="20"/>
          <w:szCs w:val="20"/>
        </w:rPr>
        <w:t xml:space="preserve"> przeciwko skarżącemu różnią się tylko pod względem jednego elementu, a mianowicie groźby użyc</w:t>
      </w:r>
      <w:r w:rsidR="003E5304" w:rsidRPr="003267DF">
        <w:rPr>
          <w:rFonts w:ascii="Verdana" w:hAnsi="Verdana" w:cs="Calibri"/>
          <w:color w:val="0070C0"/>
          <w:sz w:val="20"/>
          <w:szCs w:val="20"/>
        </w:rPr>
        <w:t xml:space="preserve">ia przemocy wobec policjanta, </w:t>
      </w:r>
      <w:r w:rsidR="00F1211B" w:rsidRPr="003267DF">
        <w:rPr>
          <w:rFonts w:ascii="Verdana" w:hAnsi="Verdana" w:cs="Calibri"/>
          <w:color w:val="0070C0"/>
          <w:sz w:val="20"/>
          <w:szCs w:val="20"/>
        </w:rPr>
        <w:t>zatem należy je uznać za zasadniczo takie same. Wreszcie, co się tyczy powielania postępowań, Wielka Izba stwier</w:t>
      </w:r>
      <w:r w:rsidR="003E5304" w:rsidRPr="003267DF">
        <w:rPr>
          <w:rFonts w:ascii="Verdana" w:hAnsi="Verdana" w:cs="Calibri"/>
          <w:color w:val="0070C0"/>
          <w:sz w:val="20"/>
          <w:szCs w:val="20"/>
        </w:rPr>
        <w:t>dziła, że wyrok w postępowaniu „administracyjnym”</w:t>
      </w:r>
      <w:r w:rsidR="00F1211B" w:rsidRPr="003267DF">
        <w:rPr>
          <w:rFonts w:ascii="Verdana" w:hAnsi="Verdana" w:cs="Calibri"/>
          <w:color w:val="0070C0"/>
          <w:sz w:val="20"/>
          <w:szCs w:val="20"/>
        </w:rPr>
        <w:t>, skazujący skarżącego na karę trzech dni pozbawienia wolności, jest prawomocny, ponieważ w prawie krajowym nie przysługuje od niego żadne odwołanie. Trybunał podkreślił ponadto, że fakt, iż skarżący został uniewinniony w postępowaniu karnym, nie ma wpływu na jego twierdzenie, że był dwukrotnie ścigany za to samo przestępstwo, ani też nie pozbawia go statusu ofiary, ponieważ został on uniewinniony nie z powodu naruszenia</w:t>
      </w:r>
      <w:r w:rsidR="003E5304" w:rsidRPr="003267DF">
        <w:rPr>
          <w:rFonts w:ascii="Verdana" w:hAnsi="Verdana" w:cs="Calibri"/>
          <w:color w:val="0070C0"/>
          <w:sz w:val="20"/>
          <w:szCs w:val="20"/>
        </w:rPr>
        <w:t xml:space="preserve"> jego praw na podstawie art. 4 Protokołu </w:t>
      </w:r>
      <w:r w:rsidR="00817E97">
        <w:rPr>
          <w:rFonts w:ascii="Verdana" w:hAnsi="Verdana" w:cs="Calibri"/>
          <w:color w:val="0070C0"/>
          <w:sz w:val="20"/>
          <w:szCs w:val="20"/>
        </w:rPr>
        <w:t>n</w:t>
      </w:r>
      <w:r w:rsidR="003C0328" w:rsidRPr="003267DF">
        <w:rPr>
          <w:rFonts w:ascii="Verdana" w:hAnsi="Verdana" w:cs="Calibri"/>
          <w:color w:val="0070C0"/>
          <w:sz w:val="20"/>
          <w:szCs w:val="20"/>
        </w:rPr>
        <w:t>r</w:t>
      </w:r>
      <w:r w:rsidR="00F1211B" w:rsidRPr="003267DF">
        <w:rPr>
          <w:rFonts w:ascii="Verdana" w:hAnsi="Verdana" w:cs="Calibri"/>
          <w:color w:val="0070C0"/>
          <w:sz w:val="20"/>
          <w:szCs w:val="20"/>
        </w:rPr>
        <w:t xml:space="preserve"> 7, lecz wyłącznie z powodu </w:t>
      </w:r>
      <w:r w:rsidR="00F1211B" w:rsidRPr="003267DF">
        <w:rPr>
          <w:rFonts w:ascii="Verdana" w:hAnsi="Verdana" w:cs="Calibri"/>
          <w:color w:val="0070C0"/>
          <w:sz w:val="20"/>
          <w:szCs w:val="20"/>
        </w:rPr>
        <w:lastRenderedPageBreak/>
        <w:t xml:space="preserve">niewystarczających dowodów przeciwko niemu. W niniejszej sprawie Trybunał stwierdził, że postępowanie wszczęte przeciwko skarżącemu na podstawie art. 213 § 2 lit. b) kodeksu karnego dotyczyło zasadniczo tego samego czynu, za który został już skazany na podstawie kodeksu wykroczeń administracyjnych, a zatem </w:t>
      </w:r>
      <w:r w:rsidR="003E5304" w:rsidRPr="003267DF">
        <w:rPr>
          <w:rFonts w:ascii="Verdana" w:hAnsi="Verdana" w:cs="Calibri"/>
          <w:b/>
          <w:color w:val="0070C0"/>
          <w:sz w:val="20"/>
          <w:szCs w:val="20"/>
        </w:rPr>
        <w:t xml:space="preserve">doszło do naruszenia art. 4 </w:t>
      </w:r>
      <w:r w:rsidR="00817E97">
        <w:rPr>
          <w:rFonts w:ascii="Verdana" w:hAnsi="Verdana" w:cs="Calibri"/>
          <w:b/>
          <w:color w:val="0070C0"/>
          <w:sz w:val="20"/>
          <w:szCs w:val="20"/>
        </w:rPr>
        <w:t>P</w:t>
      </w:r>
      <w:r w:rsidR="003E5304" w:rsidRPr="003267DF">
        <w:rPr>
          <w:rFonts w:ascii="Verdana" w:hAnsi="Verdana" w:cs="Calibri"/>
          <w:b/>
          <w:color w:val="0070C0"/>
          <w:sz w:val="20"/>
          <w:szCs w:val="20"/>
        </w:rPr>
        <w:t xml:space="preserve">rotokołu </w:t>
      </w:r>
      <w:r w:rsidR="003267DF">
        <w:rPr>
          <w:rFonts w:ascii="Verdana" w:hAnsi="Verdana" w:cs="Calibri"/>
          <w:b/>
          <w:color w:val="0070C0"/>
          <w:sz w:val="20"/>
          <w:szCs w:val="20"/>
        </w:rPr>
        <w:t>n</w:t>
      </w:r>
      <w:r w:rsidR="003C0328" w:rsidRPr="003267DF">
        <w:rPr>
          <w:rFonts w:ascii="Verdana" w:hAnsi="Verdana" w:cs="Calibri"/>
          <w:b/>
          <w:color w:val="0070C0"/>
          <w:sz w:val="20"/>
          <w:szCs w:val="20"/>
        </w:rPr>
        <w:t>r</w:t>
      </w:r>
      <w:r w:rsidR="00F1211B" w:rsidRPr="003267DF">
        <w:rPr>
          <w:rFonts w:ascii="Verdana" w:hAnsi="Verdana" w:cs="Calibri"/>
          <w:b/>
          <w:color w:val="0070C0"/>
          <w:sz w:val="20"/>
          <w:szCs w:val="20"/>
        </w:rPr>
        <w:t xml:space="preserve"> 7</w:t>
      </w:r>
      <w:r w:rsidR="00F1211B" w:rsidRPr="003267DF">
        <w:rPr>
          <w:rFonts w:ascii="Verdana" w:hAnsi="Verdana" w:cs="Calibri"/>
          <w:color w:val="0070C0"/>
          <w:sz w:val="20"/>
          <w:szCs w:val="20"/>
        </w:rPr>
        <w:t>.</w:t>
      </w:r>
    </w:p>
    <w:p w14:paraId="00B4508D" w14:textId="77777777" w:rsidR="003267DF" w:rsidRDefault="003267DF" w:rsidP="008B0AE6">
      <w:pPr>
        <w:spacing w:after="0"/>
        <w:jc w:val="both"/>
        <w:rPr>
          <w:rFonts w:ascii="Verdana" w:hAnsi="Verdana" w:cs="Calibri"/>
          <w:i/>
          <w:sz w:val="20"/>
          <w:szCs w:val="20"/>
        </w:rPr>
      </w:pPr>
    </w:p>
    <w:p w14:paraId="0784066A" w14:textId="280C7369" w:rsidR="00F1211B" w:rsidRPr="00817E97" w:rsidRDefault="00F1211B" w:rsidP="008B0AE6">
      <w:pPr>
        <w:spacing w:after="0"/>
        <w:jc w:val="both"/>
        <w:rPr>
          <w:rFonts w:ascii="Verdana" w:hAnsi="Verdana" w:cs="Calibri"/>
          <w:i/>
          <w:color w:val="3B3838" w:themeColor="background2" w:themeShade="40"/>
          <w:sz w:val="24"/>
          <w:szCs w:val="24"/>
        </w:rPr>
      </w:pPr>
      <w:r w:rsidRPr="00817E97">
        <w:rPr>
          <w:rFonts w:ascii="Verdana" w:hAnsi="Verdana" w:cs="Calibri"/>
          <w:i/>
          <w:color w:val="3B3838" w:themeColor="background2" w:themeShade="40"/>
          <w:sz w:val="24"/>
          <w:szCs w:val="24"/>
        </w:rPr>
        <w:t>Orzecznictwo po sprawie Zolotukhina</w:t>
      </w:r>
    </w:p>
    <w:p w14:paraId="0F488BEC" w14:textId="77777777" w:rsidR="00817E97" w:rsidRDefault="00817E97" w:rsidP="008B0AE6">
      <w:pPr>
        <w:spacing w:after="0"/>
        <w:rPr>
          <w:rFonts w:ascii="Verdana" w:hAnsi="Verdana" w:cs="Calibri"/>
          <w:b/>
          <w:color w:val="2E74B5" w:themeColor="accent1" w:themeShade="BF"/>
          <w:sz w:val="20"/>
          <w:szCs w:val="20"/>
          <w:u w:val="single"/>
        </w:rPr>
      </w:pPr>
    </w:p>
    <w:p w14:paraId="6EF6D2BE" w14:textId="4F1C6481" w:rsidR="00F1211B" w:rsidRPr="006E23A1" w:rsidRDefault="00F1211B" w:rsidP="008B0AE6">
      <w:pPr>
        <w:spacing w:after="0"/>
        <w:rPr>
          <w:rFonts w:ascii="Verdana" w:hAnsi="Verdana" w:cs="Calibri"/>
          <w:b/>
          <w:sz w:val="20"/>
          <w:szCs w:val="20"/>
          <w:u w:val="single"/>
        </w:rPr>
      </w:pPr>
      <w:r w:rsidRPr="006E23A1">
        <w:rPr>
          <w:rFonts w:ascii="Verdana" w:hAnsi="Verdana" w:cs="Calibri"/>
          <w:b/>
          <w:color w:val="2E74B5" w:themeColor="accent1" w:themeShade="BF"/>
          <w:sz w:val="20"/>
          <w:szCs w:val="20"/>
          <w:u w:val="single"/>
        </w:rPr>
        <w:t>R</w:t>
      </w:r>
      <w:r w:rsidR="00EE6B3B" w:rsidRPr="006E23A1">
        <w:rPr>
          <w:rFonts w:ascii="Verdana" w:hAnsi="Verdana" w:cs="Calibri"/>
          <w:b/>
          <w:color w:val="2E74B5" w:themeColor="accent1" w:themeShade="BF"/>
          <w:sz w:val="20"/>
          <w:szCs w:val="20"/>
          <w:u w:val="single"/>
        </w:rPr>
        <w:t>uotsalainen przeciwko Finlandii</w:t>
      </w:r>
      <w:r w:rsidR="00EE6B3B" w:rsidRPr="006E23A1">
        <w:rPr>
          <w:rFonts w:ascii="Verdana" w:hAnsi="Verdana" w:cs="Calibri"/>
          <w:b/>
          <w:sz w:val="20"/>
          <w:szCs w:val="20"/>
          <w:u w:val="single"/>
        </w:rPr>
        <w:br/>
      </w:r>
      <w:r w:rsidRPr="006E23A1">
        <w:rPr>
          <w:rFonts w:ascii="Verdana" w:hAnsi="Verdana" w:cs="Calibri"/>
          <w:color w:val="767171" w:themeColor="background2" w:themeShade="80"/>
          <w:sz w:val="20"/>
          <w:szCs w:val="20"/>
        </w:rPr>
        <w:t>16 czerwca 2009</w:t>
      </w:r>
      <w:r w:rsidR="004D149E" w:rsidRPr="006E23A1">
        <w:rPr>
          <w:rFonts w:ascii="Verdana" w:hAnsi="Verdana" w:cs="Calibri"/>
          <w:color w:val="767171" w:themeColor="background2" w:themeShade="80"/>
          <w:sz w:val="20"/>
          <w:szCs w:val="20"/>
        </w:rPr>
        <w:t xml:space="preserve"> </w:t>
      </w:r>
      <w:r w:rsidR="009C69F0" w:rsidRPr="006E23A1">
        <w:rPr>
          <w:rFonts w:ascii="Verdana" w:hAnsi="Verdana" w:cs="Calibri"/>
          <w:color w:val="767171" w:themeColor="background2" w:themeShade="80"/>
          <w:sz w:val="20"/>
          <w:szCs w:val="20"/>
        </w:rPr>
        <w:t>r.</w:t>
      </w:r>
    </w:p>
    <w:p w14:paraId="0DFFB2BF" w14:textId="561FB4A2"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Skarżący</w:t>
      </w:r>
      <w:r w:rsidR="006154E7" w:rsidRPr="006E23A1">
        <w:rPr>
          <w:rFonts w:ascii="Verdana" w:hAnsi="Verdana" w:cs="Calibri"/>
          <w:sz w:val="20"/>
          <w:szCs w:val="20"/>
        </w:rPr>
        <w:t xml:space="preserve"> używał do jeżdżenia swoją furgonetką </w:t>
      </w:r>
      <w:r w:rsidRPr="006E23A1">
        <w:rPr>
          <w:rFonts w:ascii="Verdana" w:hAnsi="Verdana" w:cs="Calibri"/>
          <w:sz w:val="20"/>
          <w:szCs w:val="20"/>
        </w:rPr>
        <w:t>paliw</w:t>
      </w:r>
      <w:r w:rsidR="006154E7" w:rsidRPr="006E23A1">
        <w:rPr>
          <w:rFonts w:ascii="Verdana" w:hAnsi="Verdana" w:cs="Calibri"/>
          <w:sz w:val="20"/>
          <w:szCs w:val="20"/>
        </w:rPr>
        <w:t>a</w:t>
      </w:r>
      <w:r w:rsidR="00817E97">
        <w:rPr>
          <w:rFonts w:ascii="Verdana" w:hAnsi="Verdana" w:cs="Calibri"/>
          <w:sz w:val="20"/>
          <w:szCs w:val="20"/>
        </w:rPr>
        <w:t xml:space="preserve"> opodatkowanego</w:t>
      </w:r>
      <w:r w:rsidRPr="006E23A1">
        <w:rPr>
          <w:rFonts w:ascii="Verdana" w:hAnsi="Verdana" w:cs="Calibri"/>
          <w:sz w:val="20"/>
          <w:szCs w:val="20"/>
        </w:rPr>
        <w:t xml:space="preserve"> w mniejszym stopniu niż olej napędowy, którego powinien </w:t>
      </w:r>
      <w:r w:rsidR="006B37C1" w:rsidRPr="006E23A1">
        <w:rPr>
          <w:rFonts w:ascii="Verdana" w:hAnsi="Verdana" w:cs="Calibri"/>
          <w:sz w:val="20"/>
          <w:szCs w:val="20"/>
        </w:rPr>
        <w:t>używać</w:t>
      </w:r>
      <w:r w:rsidRPr="006E23A1">
        <w:rPr>
          <w:rFonts w:ascii="Verdana" w:hAnsi="Verdana" w:cs="Calibri"/>
          <w:sz w:val="20"/>
          <w:szCs w:val="20"/>
        </w:rPr>
        <w:t>,</w:t>
      </w:r>
      <w:r w:rsidR="00817E97">
        <w:rPr>
          <w:rFonts w:ascii="Verdana" w:hAnsi="Verdana" w:cs="Calibri"/>
          <w:sz w:val="20"/>
          <w:szCs w:val="20"/>
        </w:rPr>
        <w:t xml:space="preserve"> w ten sposób</w:t>
      </w:r>
      <w:r w:rsidRPr="006E23A1">
        <w:rPr>
          <w:rFonts w:ascii="Verdana" w:hAnsi="Verdana" w:cs="Calibri"/>
          <w:sz w:val="20"/>
          <w:szCs w:val="20"/>
        </w:rPr>
        <w:t xml:space="preserve"> </w:t>
      </w:r>
      <w:r w:rsidR="00817E97" w:rsidRPr="006E23A1">
        <w:rPr>
          <w:rFonts w:ascii="Verdana" w:hAnsi="Verdana" w:cs="Calibri"/>
          <w:sz w:val="20"/>
          <w:szCs w:val="20"/>
        </w:rPr>
        <w:t>nie płacąc</w:t>
      </w:r>
      <w:r w:rsidRPr="006E23A1">
        <w:rPr>
          <w:rFonts w:ascii="Verdana" w:hAnsi="Verdana" w:cs="Calibri"/>
          <w:sz w:val="20"/>
          <w:szCs w:val="20"/>
        </w:rPr>
        <w:t xml:space="preserve"> dodatkowego podatku. Za drobne osz</w:t>
      </w:r>
      <w:r w:rsidR="006B37C1" w:rsidRPr="006E23A1">
        <w:rPr>
          <w:rFonts w:ascii="Verdana" w:hAnsi="Verdana" w:cs="Calibri"/>
          <w:sz w:val="20"/>
          <w:szCs w:val="20"/>
        </w:rPr>
        <w:t>ustwa podatkowe został ukarany kumulatywną</w:t>
      </w:r>
      <w:r w:rsidRPr="006E23A1">
        <w:rPr>
          <w:rFonts w:ascii="Verdana" w:hAnsi="Verdana" w:cs="Calibri"/>
          <w:sz w:val="20"/>
          <w:szCs w:val="20"/>
        </w:rPr>
        <w:t xml:space="preserve"> grzywną w wysokości około 120 euro. W kolejnych postępowaniach administracyjnych nakazano mu zapłacić około 15 000 EUR, co odpowiada różnicy między podatkiem, który faktycznie zapłacił, a podatkiem, który po</w:t>
      </w:r>
      <w:r w:rsidR="006B37C1" w:rsidRPr="006E23A1">
        <w:rPr>
          <w:rFonts w:ascii="Verdana" w:hAnsi="Verdana" w:cs="Calibri"/>
          <w:sz w:val="20"/>
          <w:szCs w:val="20"/>
        </w:rPr>
        <w:t xml:space="preserve">winien był zapłacić, pomnożony </w:t>
      </w:r>
      <w:r w:rsidRPr="006E23A1">
        <w:rPr>
          <w:rFonts w:ascii="Verdana" w:hAnsi="Verdana" w:cs="Calibri"/>
          <w:sz w:val="20"/>
          <w:szCs w:val="20"/>
        </w:rPr>
        <w:t xml:space="preserve">przez </w:t>
      </w:r>
      <w:r w:rsidR="001B43B9" w:rsidRPr="006E23A1">
        <w:rPr>
          <w:rFonts w:ascii="Verdana" w:hAnsi="Verdana" w:cs="Calibri"/>
          <w:sz w:val="20"/>
          <w:szCs w:val="20"/>
        </w:rPr>
        <w:t>trzy, ponieważ</w:t>
      </w:r>
      <w:r w:rsidRPr="006E23A1">
        <w:rPr>
          <w:rFonts w:ascii="Verdana" w:hAnsi="Verdana" w:cs="Calibri"/>
          <w:sz w:val="20"/>
          <w:szCs w:val="20"/>
        </w:rPr>
        <w:t xml:space="preserve"> nie poinformował o tym właściwych organów. Odwołał się on od tej decyzji, lecz bezskutecznie. Skarżący </w:t>
      </w:r>
      <w:r w:rsidR="006B37C1" w:rsidRPr="006E23A1">
        <w:rPr>
          <w:rFonts w:ascii="Verdana" w:hAnsi="Verdana" w:cs="Calibri"/>
          <w:sz w:val="20"/>
          <w:szCs w:val="20"/>
        </w:rPr>
        <w:t>zarzucał</w:t>
      </w:r>
      <w:r w:rsidRPr="006E23A1">
        <w:rPr>
          <w:rFonts w:ascii="Verdana" w:hAnsi="Verdana" w:cs="Calibri"/>
          <w:sz w:val="20"/>
          <w:szCs w:val="20"/>
        </w:rPr>
        <w:t>, że został dwukrotnie ukarany za to samo przestępstwo związane z podatkiem paliwowym od pojazdów silnikowych.</w:t>
      </w:r>
    </w:p>
    <w:p w14:paraId="2578F645" w14:textId="7A130392" w:rsidR="00F1211B" w:rsidRPr="00817E97" w:rsidRDefault="00F1211B" w:rsidP="008B0AE6">
      <w:pPr>
        <w:spacing w:after="0"/>
        <w:jc w:val="both"/>
        <w:rPr>
          <w:rFonts w:ascii="Verdana" w:hAnsi="Verdana" w:cs="Calibri"/>
          <w:color w:val="0070C0"/>
          <w:sz w:val="20"/>
          <w:szCs w:val="20"/>
        </w:rPr>
      </w:pPr>
      <w:r w:rsidRPr="00817E97">
        <w:rPr>
          <w:rFonts w:ascii="Verdana" w:hAnsi="Verdana" w:cs="Calibri"/>
          <w:color w:val="0070C0"/>
          <w:sz w:val="20"/>
          <w:szCs w:val="20"/>
        </w:rPr>
        <w:t xml:space="preserve">Trybunał uznał, że </w:t>
      </w:r>
      <w:r w:rsidR="006B37C1" w:rsidRPr="00817E97">
        <w:rPr>
          <w:rFonts w:ascii="Verdana" w:hAnsi="Verdana" w:cs="Calibri"/>
          <w:b/>
          <w:color w:val="0070C0"/>
          <w:sz w:val="20"/>
          <w:szCs w:val="20"/>
        </w:rPr>
        <w:t xml:space="preserve">doszło do naruszenia art. 4 Protokołu </w:t>
      </w:r>
      <w:r w:rsidR="00817E97" w:rsidRPr="00817E97">
        <w:rPr>
          <w:rFonts w:ascii="Verdana" w:hAnsi="Verdana" w:cs="Calibri"/>
          <w:b/>
          <w:color w:val="0070C0"/>
          <w:sz w:val="20"/>
          <w:szCs w:val="20"/>
        </w:rPr>
        <w:t>n</w:t>
      </w:r>
      <w:r w:rsidR="003C0328" w:rsidRPr="00817E97">
        <w:rPr>
          <w:rFonts w:ascii="Verdana" w:hAnsi="Verdana" w:cs="Calibri"/>
          <w:b/>
          <w:color w:val="0070C0"/>
          <w:sz w:val="20"/>
          <w:szCs w:val="20"/>
        </w:rPr>
        <w:t>r</w:t>
      </w:r>
      <w:r w:rsidRPr="00817E97">
        <w:rPr>
          <w:rFonts w:ascii="Verdana" w:hAnsi="Verdana" w:cs="Calibri"/>
          <w:b/>
          <w:color w:val="0070C0"/>
          <w:sz w:val="20"/>
          <w:szCs w:val="20"/>
        </w:rPr>
        <w:t xml:space="preserve"> 7</w:t>
      </w:r>
      <w:r w:rsidRPr="00817E97">
        <w:rPr>
          <w:rFonts w:ascii="Verdana" w:hAnsi="Verdana" w:cs="Calibri"/>
          <w:color w:val="0070C0"/>
          <w:sz w:val="20"/>
          <w:szCs w:val="20"/>
        </w:rPr>
        <w:t>. Po pierwsze, Trybunał zauważył, że o</w:t>
      </w:r>
      <w:r w:rsidR="007E01ED" w:rsidRPr="00817E97">
        <w:rPr>
          <w:rFonts w:ascii="Verdana" w:hAnsi="Verdana" w:cs="Calibri"/>
          <w:color w:val="0070C0"/>
          <w:sz w:val="20"/>
          <w:szCs w:val="20"/>
        </w:rPr>
        <w:t>bie sankcje nałożone na skarżącego</w:t>
      </w:r>
      <w:r w:rsidRPr="00817E97">
        <w:rPr>
          <w:rFonts w:ascii="Verdana" w:hAnsi="Verdana" w:cs="Calibri"/>
          <w:color w:val="0070C0"/>
          <w:sz w:val="20"/>
          <w:szCs w:val="20"/>
        </w:rPr>
        <w:t xml:space="preserve"> miały charakter karny: pierwsze postępowanie miało charakter karny zgodnie z fińską klasyfikacją prawną; a kolejne</w:t>
      </w:r>
      <w:r w:rsidR="008563EA" w:rsidRPr="00817E97">
        <w:rPr>
          <w:rFonts w:ascii="Verdana" w:hAnsi="Verdana" w:cs="Calibri"/>
          <w:color w:val="0070C0"/>
          <w:sz w:val="20"/>
          <w:szCs w:val="20"/>
        </w:rPr>
        <w:t>go</w:t>
      </w:r>
      <w:r w:rsidRPr="00817E97">
        <w:rPr>
          <w:rFonts w:ascii="Verdana" w:hAnsi="Verdana" w:cs="Calibri"/>
          <w:color w:val="0070C0"/>
          <w:sz w:val="20"/>
          <w:szCs w:val="20"/>
        </w:rPr>
        <w:t xml:space="preserve"> postępowani</w:t>
      </w:r>
      <w:r w:rsidR="008563EA" w:rsidRPr="00817E97">
        <w:rPr>
          <w:rFonts w:ascii="Verdana" w:hAnsi="Verdana" w:cs="Calibri"/>
          <w:color w:val="0070C0"/>
          <w:sz w:val="20"/>
          <w:szCs w:val="20"/>
        </w:rPr>
        <w:t>a</w:t>
      </w:r>
      <w:r w:rsidRPr="00817E97">
        <w:rPr>
          <w:rFonts w:ascii="Verdana" w:hAnsi="Verdana" w:cs="Calibri"/>
          <w:color w:val="0070C0"/>
          <w:sz w:val="20"/>
          <w:szCs w:val="20"/>
        </w:rPr>
        <w:t xml:space="preserve">, </w:t>
      </w:r>
      <w:r w:rsidR="006154E7" w:rsidRPr="00817E97">
        <w:rPr>
          <w:rFonts w:ascii="Verdana" w:hAnsi="Verdana" w:cs="Calibri"/>
          <w:color w:val="0070C0"/>
          <w:sz w:val="20"/>
          <w:szCs w:val="20"/>
        </w:rPr>
        <w:t>chociaż</w:t>
      </w:r>
      <w:r w:rsidRPr="00817E97">
        <w:rPr>
          <w:rFonts w:ascii="Verdana" w:hAnsi="Verdana" w:cs="Calibri"/>
          <w:color w:val="0070C0"/>
          <w:sz w:val="20"/>
          <w:szCs w:val="20"/>
        </w:rPr>
        <w:t xml:space="preserve"> zakwalifikowane jako część systemu podatkowego, a zatem administracyjne, nie moż</w:t>
      </w:r>
      <w:r w:rsidR="006154E7" w:rsidRPr="00817E97">
        <w:rPr>
          <w:rFonts w:ascii="Verdana" w:hAnsi="Verdana" w:cs="Calibri"/>
          <w:color w:val="0070C0"/>
          <w:sz w:val="20"/>
          <w:szCs w:val="20"/>
        </w:rPr>
        <w:t>na po prostu uznać</w:t>
      </w:r>
      <w:r w:rsidRPr="00817E97">
        <w:rPr>
          <w:rFonts w:ascii="Verdana" w:hAnsi="Verdana" w:cs="Calibri"/>
          <w:color w:val="0070C0"/>
          <w:sz w:val="20"/>
          <w:szCs w:val="20"/>
        </w:rPr>
        <w:t xml:space="preserve"> za rekompensatę, ponieważ różnica w obciążeniu podatkowym została potrojona </w:t>
      </w:r>
      <w:r w:rsidR="008563EA" w:rsidRPr="00817E97">
        <w:rPr>
          <w:rFonts w:ascii="Verdana" w:hAnsi="Verdana" w:cs="Calibri"/>
          <w:color w:val="0070C0"/>
          <w:sz w:val="20"/>
          <w:szCs w:val="20"/>
        </w:rPr>
        <w:t xml:space="preserve">w celu </w:t>
      </w:r>
      <w:r w:rsidRPr="00817E97">
        <w:rPr>
          <w:rFonts w:ascii="Verdana" w:hAnsi="Verdana" w:cs="Calibri"/>
          <w:color w:val="0070C0"/>
          <w:sz w:val="20"/>
          <w:szCs w:val="20"/>
        </w:rPr>
        <w:t xml:space="preserve"> </w:t>
      </w:r>
      <w:r w:rsidR="008563EA" w:rsidRPr="00817E97">
        <w:rPr>
          <w:rFonts w:ascii="Verdana" w:hAnsi="Verdana" w:cs="Calibri"/>
          <w:color w:val="0070C0"/>
          <w:sz w:val="20"/>
          <w:szCs w:val="20"/>
        </w:rPr>
        <w:t>ukarania</w:t>
      </w:r>
      <w:r w:rsidRPr="00817E97">
        <w:rPr>
          <w:rFonts w:ascii="Verdana" w:hAnsi="Verdana" w:cs="Calibri"/>
          <w:color w:val="0070C0"/>
          <w:sz w:val="20"/>
          <w:szCs w:val="20"/>
        </w:rPr>
        <w:t xml:space="preserve"> i odstrasz</w:t>
      </w:r>
      <w:r w:rsidR="008563EA" w:rsidRPr="00817E97">
        <w:rPr>
          <w:rFonts w:ascii="Verdana" w:hAnsi="Verdana" w:cs="Calibri"/>
          <w:color w:val="0070C0"/>
          <w:sz w:val="20"/>
          <w:szCs w:val="20"/>
        </w:rPr>
        <w:t>enia</w:t>
      </w:r>
      <w:r w:rsidR="00817E97" w:rsidRPr="00817E97">
        <w:rPr>
          <w:rFonts w:ascii="Verdana" w:hAnsi="Verdana" w:cs="Calibri"/>
          <w:color w:val="0070C0"/>
          <w:sz w:val="20"/>
          <w:szCs w:val="20"/>
        </w:rPr>
        <w:t xml:space="preserve"> </w:t>
      </w:r>
      <w:r w:rsidR="008563EA" w:rsidRPr="00817E97">
        <w:rPr>
          <w:rFonts w:ascii="Verdana" w:hAnsi="Verdana" w:cs="Calibri"/>
          <w:color w:val="0070C0"/>
          <w:sz w:val="20"/>
          <w:szCs w:val="20"/>
        </w:rPr>
        <w:t>od</w:t>
      </w:r>
      <w:r w:rsidRPr="00817E97">
        <w:rPr>
          <w:rFonts w:ascii="Verdana" w:hAnsi="Verdana" w:cs="Calibri"/>
          <w:color w:val="0070C0"/>
          <w:sz w:val="20"/>
          <w:szCs w:val="20"/>
        </w:rPr>
        <w:t xml:space="preserve"> ponownego popełnienia przestępstwa, co było cechą charakterystyczną kary</w:t>
      </w:r>
      <w:r w:rsidR="007E01ED" w:rsidRPr="00817E97">
        <w:rPr>
          <w:rFonts w:ascii="Verdana" w:hAnsi="Verdana" w:cs="Calibri"/>
          <w:color w:val="0070C0"/>
          <w:sz w:val="20"/>
          <w:szCs w:val="20"/>
        </w:rPr>
        <w:t xml:space="preserve"> w rozumieniu prawa karnego</w:t>
      </w:r>
      <w:r w:rsidRPr="00817E97">
        <w:rPr>
          <w:rFonts w:ascii="Verdana" w:hAnsi="Verdana" w:cs="Calibri"/>
          <w:color w:val="0070C0"/>
          <w:sz w:val="20"/>
          <w:szCs w:val="20"/>
        </w:rPr>
        <w:t>. Ponadto okoliczności faktyczne leżące u podstaw ob</w:t>
      </w:r>
      <w:r w:rsidR="007E01ED" w:rsidRPr="00817E97">
        <w:rPr>
          <w:rFonts w:ascii="Verdana" w:hAnsi="Verdana" w:cs="Calibri"/>
          <w:color w:val="0070C0"/>
          <w:sz w:val="20"/>
          <w:szCs w:val="20"/>
        </w:rPr>
        <w:t>u postępowań przeciwko skarżącemu</w:t>
      </w:r>
      <w:r w:rsidRPr="00817E97">
        <w:rPr>
          <w:rFonts w:ascii="Verdana" w:hAnsi="Verdana" w:cs="Calibri"/>
          <w:color w:val="0070C0"/>
          <w:sz w:val="20"/>
          <w:szCs w:val="20"/>
        </w:rPr>
        <w:t xml:space="preserve"> były zasadniczo takie same: oba postępowania dotyczyły </w:t>
      </w:r>
      <w:r w:rsidR="008563EA" w:rsidRPr="00817E97">
        <w:rPr>
          <w:rFonts w:ascii="Verdana" w:hAnsi="Verdana" w:cs="Calibri"/>
          <w:color w:val="0070C0"/>
          <w:sz w:val="20"/>
          <w:szCs w:val="20"/>
        </w:rPr>
        <w:t xml:space="preserve">używania </w:t>
      </w:r>
      <w:r w:rsidR="001B43B9" w:rsidRPr="00817E97">
        <w:rPr>
          <w:rFonts w:ascii="Verdana" w:hAnsi="Verdana" w:cs="Calibri"/>
          <w:color w:val="0070C0"/>
          <w:sz w:val="20"/>
          <w:szCs w:val="20"/>
        </w:rPr>
        <w:t>korzystniej opodatkowanego</w:t>
      </w:r>
      <w:r w:rsidR="007E01ED" w:rsidRPr="00817E97">
        <w:rPr>
          <w:rFonts w:ascii="Verdana" w:hAnsi="Verdana" w:cs="Calibri"/>
          <w:color w:val="0070C0"/>
          <w:sz w:val="20"/>
          <w:szCs w:val="20"/>
        </w:rPr>
        <w:t xml:space="preserve"> paliwa, a nie</w:t>
      </w:r>
      <w:r w:rsidRPr="00817E97">
        <w:rPr>
          <w:rFonts w:ascii="Verdana" w:hAnsi="Verdana" w:cs="Calibri"/>
          <w:color w:val="0070C0"/>
          <w:sz w:val="20"/>
          <w:szCs w:val="20"/>
        </w:rPr>
        <w:t xml:space="preserve"> oleju napędowego. Jedyną różnicą było pojęcie zamiaru w pierwszym postępowaniu. Podsumowując, druga sankcja została nałożona w oparciu o te same fakty, co pierwsza sankcja, w związku z czym postępowanie zostało powtórzone. Drugi rodzaj postępowania nie zawierał również żadnych wyjątków, takich jak nowe dowody lub fakty, ani też istotnego uchybienia w poprzednim postępowaniu, które mogłoby mieć wpływ na wynik</w:t>
      </w:r>
      <w:r w:rsidR="007E01ED" w:rsidRPr="00817E97">
        <w:rPr>
          <w:rFonts w:ascii="Verdana" w:hAnsi="Verdana" w:cs="Calibri"/>
          <w:color w:val="0070C0"/>
          <w:sz w:val="20"/>
          <w:szCs w:val="20"/>
        </w:rPr>
        <w:t xml:space="preserve"> sprawy, zgodnie z art. 4 ust. 2 Protokołu </w:t>
      </w:r>
      <w:r w:rsidR="00817E97" w:rsidRPr="00817E97">
        <w:rPr>
          <w:rFonts w:ascii="Verdana" w:hAnsi="Verdana" w:cs="Calibri"/>
          <w:color w:val="0070C0"/>
          <w:sz w:val="20"/>
          <w:szCs w:val="20"/>
        </w:rPr>
        <w:t>n</w:t>
      </w:r>
      <w:r w:rsidR="00E97A36" w:rsidRPr="00817E97">
        <w:rPr>
          <w:rFonts w:ascii="Verdana" w:hAnsi="Verdana" w:cs="Calibri"/>
          <w:color w:val="0070C0"/>
          <w:sz w:val="20"/>
          <w:szCs w:val="20"/>
        </w:rPr>
        <w:t>r</w:t>
      </w:r>
      <w:r w:rsidRPr="00817E97">
        <w:rPr>
          <w:rFonts w:ascii="Verdana" w:hAnsi="Verdana" w:cs="Calibri"/>
          <w:color w:val="0070C0"/>
          <w:sz w:val="20"/>
          <w:szCs w:val="20"/>
        </w:rPr>
        <w:t xml:space="preserve"> 7.</w:t>
      </w:r>
    </w:p>
    <w:p w14:paraId="18CB65A7" w14:textId="77777777" w:rsidR="00817E97" w:rsidRPr="006E23A1" w:rsidRDefault="00817E97" w:rsidP="008B0AE6">
      <w:pPr>
        <w:spacing w:after="0"/>
        <w:jc w:val="both"/>
        <w:rPr>
          <w:rFonts w:ascii="Verdana" w:hAnsi="Verdana" w:cs="Calibri"/>
          <w:color w:val="2E74B5" w:themeColor="accent1" w:themeShade="BF"/>
          <w:sz w:val="20"/>
          <w:szCs w:val="20"/>
        </w:rPr>
      </w:pPr>
    </w:p>
    <w:p w14:paraId="2C8C8757" w14:textId="02EBAF37" w:rsidR="00F1211B" w:rsidRPr="006E23A1" w:rsidRDefault="00F1211B" w:rsidP="008B0AE6">
      <w:pPr>
        <w:spacing w:after="0"/>
        <w:rPr>
          <w:rFonts w:ascii="Verdana" w:hAnsi="Verdana" w:cs="Calibri"/>
          <w:sz w:val="20"/>
          <w:szCs w:val="20"/>
        </w:rPr>
      </w:pPr>
      <w:hyperlink r:id="rId48" w:history="1">
        <w:r w:rsidRPr="00C77D3E">
          <w:rPr>
            <w:rStyle w:val="Hipercze"/>
            <w:rFonts w:ascii="Verdana" w:hAnsi="Verdana" w:cs="Calibri"/>
            <w:b/>
            <w:color w:val="0070C0"/>
            <w:sz w:val="20"/>
            <w:szCs w:val="20"/>
          </w:rPr>
          <w:t>Tsonyo Tsonev przeciwko Bułgarii (</w:t>
        </w:r>
        <w:r w:rsidR="00E97A36" w:rsidRPr="00C77D3E">
          <w:rPr>
            <w:rStyle w:val="Hipercze"/>
            <w:rFonts w:ascii="Verdana" w:hAnsi="Verdana" w:cs="Calibri"/>
            <w:b/>
            <w:color w:val="0070C0"/>
            <w:sz w:val="20"/>
            <w:szCs w:val="20"/>
          </w:rPr>
          <w:t>nr</w:t>
        </w:r>
        <w:r w:rsidRPr="00C77D3E">
          <w:rPr>
            <w:rStyle w:val="Hipercze"/>
            <w:rFonts w:ascii="Verdana" w:hAnsi="Verdana" w:cs="Calibri"/>
            <w:b/>
            <w:color w:val="0070C0"/>
            <w:sz w:val="20"/>
            <w:szCs w:val="20"/>
          </w:rPr>
          <w:t xml:space="preserve"> 2)</w:t>
        </w:r>
      </w:hyperlink>
      <w:r w:rsidR="00EE6B3B" w:rsidRPr="006E23A1">
        <w:rPr>
          <w:rFonts w:ascii="Verdana" w:hAnsi="Verdana" w:cs="Calibri"/>
          <w:sz w:val="20"/>
          <w:szCs w:val="20"/>
        </w:rPr>
        <w:br/>
      </w:r>
      <w:r w:rsidR="00EE6B3B" w:rsidRPr="00C77D3E">
        <w:rPr>
          <w:rFonts w:ascii="Verdana" w:hAnsi="Verdana" w:cs="Calibri"/>
          <w:color w:val="767171" w:themeColor="background2" w:themeShade="80"/>
          <w:sz w:val="18"/>
          <w:szCs w:val="18"/>
        </w:rPr>
        <w:t>14 stycznia 2010</w:t>
      </w:r>
      <w:r w:rsidR="008563EA" w:rsidRPr="00C77D3E">
        <w:rPr>
          <w:rFonts w:ascii="Verdana" w:hAnsi="Verdana" w:cs="Calibri"/>
          <w:color w:val="767171" w:themeColor="background2" w:themeShade="80"/>
          <w:sz w:val="18"/>
          <w:szCs w:val="18"/>
        </w:rPr>
        <w:t xml:space="preserve"> </w:t>
      </w:r>
      <w:r w:rsidR="009C69F0" w:rsidRPr="00C77D3E">
        <w:rPr>
          <w:rFonts w:ascii="Verdana" w:hAnsi="Verdana" w:cs="Calibri"/>
          <w:color w:val="767171" w:themeColor="background2" w:themeShade="80"/>
          <w:sz w:val="18"/>
          <w:szCs w:val="18"/>
        </w:rPr>
        <w:t>r.</w:t>
      </w:r>
    </w:p>
    <w:p w14:paraId="2630D904" w14:textId="77777777"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 xml:space="preserve">Sprawa ta dotyczyła w szczególności </w:t>
      </w:r>
      <w:r w:rsidR="009D73EA" w:rsidRPr="006E23A1">
        <w:rPr>
          <w:rFonts w:ascii="Verdana" w:hAnsi="Verdana" w:cs="Calibri"/>
          <w:sz w:val="20"/>
          <w:szCs w:val="20"/>
        </w:rPr>
        <w:t xml:space="preserve">skargi </w:t>
      </w:r>
      <w:r w:rsidRPr="006E23A1">
        <w:rPr>
          <w:rFonts w:ascii="Verdana" w:hAnsi="Verdana" w:cs="Calibri"/>
          <w:sz w:val="20"/>
          <w:szCs w:val="20"/>
        </w:rPr>
        <w:t>skarżącego</w:t>
      </w:r>
      <w:r w:rsidR="009D73EA" w:rsidRPr="006E23A1">
        <w:rPr>
          <w:rFonts w:ascii="Verdana" w:hAnsi="Verdana" w:cs="Calibri"/>
          <w:sz w:val="20"/>
          <w:szCs w:val="20"/>
        </w:rPr>
        <w:t xml:space="preserve"> na to</w:t>
      </w:r>
      <w:r w:rsidRPr="006E23A1">
        <w:rPr>
          <w:rFonts w:ascii="Verdana" w:hAnsi="Verdana" w:cs="Calibri"/>
          <w:sz w:val="20"/>
          <w:szCs w:val="20"/>
        </w:rPr>
        <w:t xml:space="preserve">, że główny element zarzutów stawianych mu za naruszenie porządku publicznego - w następstwie incydentu, w którym zepsuł on drzwi mieszkania i pobił </w:t>
      </w:r>
      <w:r w:rsidR="009D73EA" w:rsidRPr="006E23A1">
        <w:rPr>
          <w:rFonts w:ascii="Verdana" w:hAnsi="Verdana" w:cs="Calibri"/>
          <w:sz w:val="20"/>
          <w:szCs w:val="20"/>
        </w:rPr>
        <w:t xml:space="preserve">lokatora </w:t>
      </w:r>
      <w:r w:rsidRPr="006E23A1">
        <w:rPr>
          <w:rFonts w:ascii="Verdana" w:hAnsi="Verdana" w:cs="Calibri"/>
          <w:sz w:val="20"/>
          <w:szCs w:val="20"/>
        </w:rPr>
        <w:t>- był zasadniczo taki sam, jak ten, za który został już ukarany grzywną w postępowaniu administracyjnym.</w:t>
      </w:r>
    </w:p>
    <w:p w14:paraId="3B024213" w14:textId="57EB6C36" w:rsidR="00F1211B" w:rsidRDefault="009D73EA" w:rsidP="008B0AE6">
      <w:pPr>
        <w:spacing w:after="0"/>
        <w:jc w:val="both"/>
        <w:rPr>
          <w:rFonts w:ascii="Verdana" w:hAnsi="Verdana" w:cs="Calibri"/>
          <w:color w:val="0070C0"/>
          <w:sz w:val="20"/>
          <w:szCs w:val="20"/>
        </w:rPr>
      </w:pPr>
      <w:r w:rsidRPr="00C77D3E">
        <w:rPr>
          <w:rFonts w:ascii="Verdana" w:hAnsi="Verdana" w:cs="Calibri"/>
          <w:color w:val="0070C0"/>
          <w:sz w:val="20"/>
          <w:szCs w:val="20"/>
        </w:rPr>
        <w:t>Trybunał zauważył, że skarżący</w:t>
      </w:r>
      <w:r w:rsidR="00F1211B" w:rsidRPr="00C77D3E">
        <w:rPr>
          <w:rFonts w:ascii="Verdana" w:hAnsi="Verdana" w:cs="Calibri"/>
          <w:color w:val="0070C0"/>
          <w:sz w:val="20"/>
          <w:szCs w:val="20"/>
        </w:rPr>
        <w:t xml:space="preserve"> został ukaran</w:t>
      </w:r>
      <w:r w:rsidR="008563EA" w:rsidRPr="00C77D3E">
        <w:rPr>
          <w:rFonts w:ascii="Verdana" w:hAnsi="Verdana" w:cs="Calibri"/>
          <w:color w:val="0070C0"/>
          <w:sz w:val="20"/>
          <w:szCs w:val="20"/>
        </w:rPr>
        <w:t>y</w:t>
      </w:r>
      <w:r w:rsidR="00F1211B" w:rsidRPr="00C77D3E">
        <w:rPr>
          <w:rFonts w:ascii="Verdana" w:hAnsi="Verdana" w:cs="Calibri"/>
          <w:color w:val="0070C0"/>
          <w:sz w:val="20"/>
          <w:szCs w:val="20"/>
        </w:rPr>
        <w:t xml:space="preserve"> grzywną w postępowaniach, które zgodnie z prawem krajowym mają charakter administracyjny, a nie karny. Jednakże</w:t>
      </w:r>
      <w:r w:rsidRPr="00C77D3E">
        <w:rPr>
          <w:rFonts w:ascii="Verdana" w:hAnsi="Verdana" w:cs="Calibri"/>
          <w:color w:val="0070C0"/>
          <w:sz w:val="20"/>
          <w:szCs w:val="20"/>
        </w:rPr>
        <w:t xml:space="preserve"> przestępstwo, za które skarżący</w:t>
      </w:r>
      <w:r w:rsidR="00F1211B" w:rsidRPr="00C77D3E">
        <w:rPr>
          <w:rFonts w:ascii="Verdana" w:hAnsi="Verdana" w:cs="Calibri"/>
          <w:color w:val="0070C0"/>
          <w:sz w:val="20"/>
          <w:szCs w:val="20"/>
        </w:rPr>
        <w:t xml:space="preserve"> z</w:t>
      </w:r>
      <w:r w:rsidRPr="00C77D3E">
        <w:rPr>
          <w:rFonts w:ascii="Verdana" w:hAnsi="Verdana" w:cs="Calibri"/>
          <w:color w:val="0070C0"/>
          <w:sz w:val="20"/>
          <w:szCs w:val="20"/>
        </w:rPr>
        <w:t>ostał ukarany</w:t>
      </w:r>
      <w:r w:rsidR="00F1211B" w:rsidRPr="00C77D3E">
        <w:rPr>
          <w:rFonts w:ascii="Verdana" w:hAnsi="Verdana" w:cs="Calibri"/>
          <w:color w:val="0070C0"/>
          <w:sz w:val="20"/>
          <w:szCs w:val="20"/>
        </w:rPr>
        <w:t xml:space="preserve"> grzywną, </w:t>
      </w:r>
      <w:r w:rsidR="008563EA" w:rsidRPr="00C77D3E">
        <w:rPr>
          <w:rFonts w:ascii="Verdana" w:hAnsi="Verdana" w:cs="Calibri"/>
          <w:color w:val="0070C0"/>
          <w:sz w:val="20"/>
          <w:szCs w:val="20"/>
        </w:rPr>
        <w:t>mieści się w sferze chronionej prawem karnym</w:t>
      </w:r>
      <w:r w:rsidR="00F1211B" w:rsidRPr="00C77D3E">
        <w:rPr>
          <w:rFonts w:ascii="Verdana" w:hAnsi="Verdana" w:cs="Calibri"/>
          <w:color w:val="0070C0"/>
          <w:sz w:val="20"/>
          <w:szCs w:val="20"/>
        </w:rPr>
        <w:t>,</w:t>
      </w:r>
      <w:r w:rsidR="008563EA" w:rsidRPr="00C77D3E">
        <w:rPr>
          <w:rFonts w:ascii="Verdana" w:hAnsi="Verdana" w:cs="Calibri"/>
          <w:color w:val="0070C0"/>
          <w:sz w:val="20"/>
          <w:szCs w:val="20"/>
        </w:rPr>
        <w:t xml:space="preserve"> </w:t>
      </w:r>
      <w:r w:rsidR="001B43B9" w:rsidRPr="00C77D3E">
        <w:rPr>
          <w:rFonts w:ascii="Verdana" w:hAnsi="Verdana" w:cs="Calibri"/>
          <w:color w:val="0070C0"/>
          <w:sz w:val="20"/>
          <w:szCs w:val="20"/>
        </w:rPr>
        <w:t>zważywszy,</w:t>
      </w:r>
      <w:r w:rsidR="008563EA" w:rsidRPr="00C77D3E">
        <w:rPr>
          <w:rFonts w:ascii="Verdana" w:hAnsi="Verdana" w:cs="Calibri"/>
          <w:color w:val="0070C0"/>
          <w:sz w:val="20"/>
          <w:szCs w:val="20"/>
        </w:rPr>
        <w:t xml:space="preserve"> że ma </w:t>
      </w:r>
      <w:r w:rsidR="00F1211B" w:rsidRPr="00C77D3E">
        <w:rPr>
          <w:rFonts w:ascii="Verdana" w:hAnsi="Verdana" w:cs="Calibri"/>
          <w:color w:val="0070C0"/>
          <w:sz w:val="20"/>
          <w:szCs w:val="20"/>
        </w:rPr>
        <w:t xml:space="preserve">charakterystyczne </w:t>
      </w:r>
      <w:r w:rsidR="008563EA" w:rsidRPr="00C77D3E">
        <w:rPr>
          <w:rFonts w:ascii="Verdana" w:hAnsi="Verdana" w:cs="Calibri"/>
          <w:color w:val="0070C0"/>
          <w:sz w:val="20"/>
          <w:szCs w:val="20"/>
        </w:rPr>
        <w:t xml:space="preserve">cechy </w:t>
      </w:r>
      <w:r w:rsidR="00F1211B" w:rsidRPr="00C77D3E">
        <w:rPr>
          <w:rFonts w:ascii="Verdana" w:hAnsi="Verdana" w:cs="Calibri"/>
          <w:color w:val="0070C0"/>
          <w:sz w:val="20"/>
          <w:szCs w:val="20"/>
        </w:rPr>
        <w:t>związane z przestępstw</w:t>
      </w:r>
      <w:r w:rsidR="00186933" w:rsidRPr="00C77D3E">
        <w:rPr>
          <w:rFonts w:ascii="Verdana" w:hAnsi="Verdana" w:cs="Calibri"/>
          <w:color w:val="0070C0"/>
          <w:sz w:val="20"/>
          <w:szCs w:val="20"/>
        </w:rPr>
        <w:t xml:space="preserve">ami, ponieważ </w:t>
      </w:r>
      <w:r w:rsidR="00F1211B" w:rsidRPr="00C77D3E">
        <w:rPr>
          <w:rFonts w:ascii="Verdana" w:hAnsi="Verdana" w:cs="Calibri"/>
          <w:color w:val="0070C0"/>
          <w:sz w:val="20"/>
          <w:szCs w:val="20"/>
        </w:rPr>
        <w:t xml:space="preserve">ma na celu </w:t>
      </w:r>
      <w:r w:rsidR="00186933" w:rsidRPr="00C77D3E">
        <w:rPr>
          <w:rFonts w:ascii="Verdana" w:hAnsi="Verdana" w:cs="Calibri"/>
          <w:color w:val="0070C0"/>
          <w:sz w:val="20"/>
          <w:szCs w:val="20"/>
        </w:rPr>
        <w:t>u</w:t>
      </w:r>
      <w:r w:rsidR="00F1211B" w:rsidRPr="00C77D3E">
        <w:rPr>
          <w:rFonts w:ascii="Verdana" w:hAnsi="Verdana" w:cs="Calibri"/>
          <w:color w:val="0070C0"/>
          <w:sz w:val="20"/>
          <w:szCs w:val="20"/>
        </w:rPr>
        <w:t xml:space="preserve">karanie i odstraszanie od zachowań społecznie </w:t>
      </w:r>
      <w:r w:rsidR="000D6CF6" w:rsidRPr="00C77D3E">
        <w:rPr>
          <w:rFonts w:ascii="Verdana" w:hAnsi="Verdana" w:cs="Calibri"/>
          <w:color w:val="0070C0"/>
          <w:sz w:val="20"/>
          <w:szCs w:val="20"/>
        </w:rPr>
        <w:t>nieakceptowanych</w:t>
      </w:r>
      <w:r w:rsidR="00F1211B" w:rsidRPr="00C77D3E">
        <w:rPr>
          <w:rFonts w:ascii="Verdana" w:hAnsi="Verdana" w:cs="Calibri"/>
          <w:color w:val="0070C0"/>
          <w:sz w:val="20"/>
          <w:szCs w:val="20"/>
        </w:rPr>
        <w:t>. Trybunał zauważył ponadto, że te same okoliczności - włamanie się do czyjegoś mieszkania i pobicie osoby - stanowiły podstawę zarówno grzywny nałożonej przez burmistrza, jak i oskarżenia wniesionego przez prokuraturę. Ponieważ nie wniesiono odwołania, grzywna stała się ostate</w:t>
      </w:r>
      <w:r w:rsidRPr="00C77D3E">
        <w:rPr>
          <w:rFonts w:ascii="Verdana" w:hAnsi="Verdana" w:cs="Calibri"/>
          <w:color w:val="0070C0"/>
          <w:sz w:val="20"/>
          <w:szCs w:val="20"/>
        </w:rPr>
        <w:t>czna. Sądy krajowe nie umorzyły</w:t>
      </w:r>
      <w:r w:rsidR="00F1211B" w:rsidRPr="00C77D3E">
        <w:rPr>
          <w:rFonts w:ascii="Verdana" w:hAnsi="Verdana" w:cs="Calibri"/>
          <w:color w:val="0070C0"/>
          <w:sz w:val="20"/>
          <w:szCs w:val="20"/>
        </w:rPr>
        <w:t xml:space="preserve"> późniejszego postępowania karnego, </w:t>
      </w:r>
      <w:r w:rsidRPr="00C77D3E">
        <w:rPr>
          <w:rFonts w:ascii="Verdana" w:hAnsi="Verdana" w:cs="Calibri"/>
          <w:color w:val="0070C0"/>
          <w:sz w:val="20"/>
          <w:szCs w:val="20"/>
        </w:rPr>
        <w:t xml:space="preserve">z </w:t>
      </w:r>
      <w:r w:rsidR="000D6CF6" w:rsidRPr="00C77D3E">
        <w:rPr>
          <w:rFonts w:ascii="Verdana" w:hAnsi="Verdana" w:cs="Calibri"/>
          <w:color w:val="0070C0"/>
          <w:sz w:val="20"/>
          <w:szCs w:val="20"/>
        </w:rPr>
        <w:t>tego</w:t>
      </w:r>
      <w:r w:rsidRPr="00C77D3E">
        <w:rPr>
          <w:rFonts w:ascii="Verdana" w:hAnsi="Verdana" w:cs="Calibri"/>
          <w:color w:val="0070C0"/>
          <w:sz w:val="20"/>
          <w:szCs w:val="20"/>
        </w:rPr>
        <w:t xml:space="preserve"> względu, że </w:t>
      </w:r>
      <w:r w:rsidR="00F1211B" w:rsidRPr="00C77D3E">
        <w:rPr>
          <w:rFonts w:ascii="Verdana" w:hAnsi="Verdana" w:cs="Calibri"/>
          <w:color w:val="0070C0"/>
          <w:sz w:val="20"/>
          <w:szCs w:val="20"/>
        </w:rPr>
        <w:t xml:space="preserve">Sąd Najwyższy konsekwentnie orzekał, że można wszcząć postępowanie karne przeciwko osobom, które zostały już ukarane w postępowaniu administracyjnym. W związku z tym Trybunał stwierdził </w:t>
      </w:r>
      <w:r w:rsidRPr="00C77D3E">
        <w:rPr>
          <w:rFonts w:ascii="Verdana" w:hAnsi="Verdana" w:cs="Calibri"/>
          <w:b/>
          <w:color w:val="0070C0"/>
          <w:sz w:val="20"/>
          <w:szCs w:val="20"/>
        </w:rPr>
        <w:t xml:space="preserve">naruszenie art. 4 </w:t>
      </w:r>
      <w:r w:rsidRPr="00C77D3E">
        <w:rPr>
          <w:rFonts w:ascii="Verdana" w:hAnsi="Verdana" w:cs="Calibri"/>
          <w:b/>
          <w:color w:val="0070C0"/>
          <w:sz w:val="20"/>
          <w:szCs w:val="20"/>
        </w:rPr>
        <w:lastRenderedPageBreak/>
        <w:t>P</w:t>
      </w:r>
      <w:r w:rsidR="00F1211B" w:rsidRPr="00C77D3E">
        <w:rPr>
          <w:rFonts w:ascii="Verdana" w:hAnsi="Verdana" w:cs="Calibri"/>
          <w:b/>
          <w:color w:val="0070C0"/>
          <w:sz w:val="20"/>
          <w:szCs w:val="20"/>
        </w:rPr>
        <w:t>rotok</w:t>
      </w:r>
      <w:r w:rsidRPr="00C77D3E">
        <w:rPr>
          <w:rFonts w:ascii="Verdana" w:hAnsi="Verdana" w:cs="Calibri"/>
          <w:b/>
          <w:color w:val="0070C0"/>
          <w:sz w:val="20"/>
          <w:szCs w:val="20"/>
        </w:rPr>
        <w:t xml:space="preserve">ołu </w:t>
      </w:r>
      <w:r w:rsidR="00C77D3E" w:rsidRPr="00C77D3E">
        <w:rPr>
          <w:rFonts w:ascii="Verdana" w:hAnsi="Verdana" w:cs="Calibri"/>
          <w:b/>
          <w:color w:val="0070C0"/>
          <w:sz w:val="20"/>
          <w:szCs w:val="20"/>
        </w:rPr>
        <w:t>n</w:t>
      </w:r>
      <w:r w:rsidR="00E97A36" w:rsidRPr="00C77D3E">
        <w:rPr>
          <w:rFonts w:ascii="Verdana" w:hAnsi="Verdana" w:cs="Calibri"/>
          <w:b/>
          <w:color w:val="0070C0"/>
          <w:sz w:val="20"/>
          <w:szCs w:val="20"/>
        </w:rPr>
        <w:t>r</w:t>
      </w:r>
      <w:r w:rsidR="00F1211B" w:rsidRPr="00C77D3E">
        <w:rPr>
          <w:rFonts w:ascii="Verdana" w:hAnsi="Verdana" w:cs="Calibri"/>
          <w:b/>
          <w:color w:val="0070C0"/>
          <w:sz w:val="20"/>
          <w:szCs w:val="20"/>
        </w:rPr>
        <w:t xml:space="preserve"> 7</w:t>
      </w:r>
      <w:r w:rsidR="00F1211B" w:rsidRPr="00C77D3E">
        <w:rPr>
          <w:rFonts w:ascii="Verdana" w:hAnsi="Verdana" w:cs="Calibri"/>
          <w:color w:val="0070C0"/>
          <w:sz w:val="20"/>
          <w:szCs w:val="20"/>
        </w:rPr>
        <w:t xml:space="preserve">, uznając, że </w:t>
      </w:r>
      <w:r w:rsidRPr="00C77D3E">
        <w:rPr>
          <w:rFonts w:ascii="Verdana" w:hAnsi="Verdana" w:cs="Calibri"/>
          <w:color w:val="0070C0"/>
          <w:sz w:val="20"/>
          <w:szCs w:val="20"/>
        </w:rPr>
        <w:t>skarżący</w:t>
      </w:r>
      <w:r w:rsidR="00F1211B" w:rsidRPr="00C77D3E">
        <w:rPr>
          <w:rFonts w:ascii="Verdana" w:hAnsi="Verdana" w:cs="Calibri"/>
          <w:color w:val="0070C0"/>
          <w:sz w:val="20"/>
          <w:szCs w:val="20"/>
        </w:rPr>
        <w:t xml:space="preserve"> został skazany - oddzielnie w postępowaniu administracyjnym i karnym - za to samo zachowanie, ten sam czyn i to samo przestępstwo.</w:t>
      </w:r>
    </w:p>
    <w:p w14:paraId="3526D4B6" w14:textId="7FE5DF97" w:rsidR="00631C5F" w:rsidRPr="00C77D3E" w:rsidRDefault="00631C5F" w:rsidP="008B0AE6">
      <w:pPr>
        <w:spacing w:after="0"/>
        <w:jc w:val="both"/>
        <w:rPr>
          <w:rFonts w:ascii="Verdana" w:hAnsi="Verdana" w:cs="Calibri"/>
          <w:color w:val="0070C0"/>
          <w:sz w:val="20"/>
          <w:szCs w:val="20"/>
        </w:rPr>
      </w:pPr>
      <w:r w:rsidRPr="006E23A1">
        <w:rPr>
          <w:rFonts w:ascii="Verdana" w:hAnsi="Verdana" w:cstheme="minorHAnsi"/>
          <w:i/>
          <w:sz w:val="20"/>
          <w:szCs w:val="20"/>
        </w:rPr>
        <w:t>Zob</w:t>
      </w:r>
      <w:r>
        <w:rPr>
          <w:rFonts w:ascii="Verdana" w:hAnsi="Verdana" w:cstheme="minorHAnsi"/>
          <w:i/>
          <w:sz w:val="20"/>
          <w:szCs w:val="20"/>
        </w:rPr>
        <w:t>.</w:t>
      </w:r>
      <w:r w:rsidRPr="006E23A1">
        <w:rPr>
          <w:rFonts w:ascii="Verdana" w:hAnsi="Verdana" w:cstheme="minorHAnsi"/>
          <w:i/>
          <w:sz w:val="20"/>
          <w:szCs w:val="20"/>
        </w:rPr>
        <w:t xml:space="preserve"> </w:t>
      </w:r>
      <w:r>
        <w:rPr>
          <w:rFonts w:ascii="Verdana" w:hAnsi="Verdana" w:cstheme="minorHAnsi"/>
          <w:i/>
          <w:sz w:val="20"/>
          <w:szCs w:val="20"/>
        </w:rPr>
        <w:t>także</w:t>
      </w:r>
      <w:r>
        <w:rPr>
          <w:rFonts w:ascii="Verdana" w:hAnsi="Verdana" w:cstheme="minorHAnsi"/>
          <w:sz w:val="20"/>
          <w:szCs w:val="20"/>
        </w:rPr>
        <w:t xml:space="preserve">: </w:t>
      </w:r>
      <w:hyperlink r:id="rId49" w:history="1">
        <w:r w:rsidRPr="00C77D3E">
          <w:rPr>
            <w:rStyle w:val="Hipercze"/>
            <w:rFonts w:ascii="Verdana" w:hAnsi="Verdana" w:cs="Calibri"/>
            <w:b/>
            <w:color w:val="0070C0"/>
            <w:sz w:val="20"/>
            <w:szCs w:val="20"/>
          </w:rPr>
          <w:t xml:space="preserve">Tsonyo Tsonev przeciwko Bułgarii (nr </w:t>
        </w:r>
        <w:r>
          <w:rPr>
            <w:rStyle w:val="Hipercze"/>
            <w:rFonts w:ascii="Verdana" w:hAnsi="Verdana" w:cs="Calibri"/>
            <w:b/>
            <w:color w:val="0070C0"/>
            <w:sz w:val="20"/>
            <w:szCs w:val="20"/>
          </w:rPr>
          <w:t>4</w:t>
        </w:r>
        <w:r w:rsidRPr="00C77D3E">
          <w:rPr>
            <w:rStyle w:val="Hipercze"/>
            <w:rFonts w:ascii="Verdana" w:hAnsi="Verdana" w:cs="Calibri"/>
            <w:b/>
            <w:color w:val="0070C0"/>
            <w:sz w:val="20"/>
            <w:szCs w:val="20"/>
          </w:rPr>
          <w:t>)</w:t>
        </w:r>
      </w:hyperlink>
      <w:r w:rsidRPr="006E23A1">
        <w:rPr>
          <w:rFonts w:ascii="Verdana" w:eastAsia="Times New Roman" w:hAnsi="Verdana" w:cstheme="minorHAnsi"/>
          <w:sz w:val="20"/>
          <w:szCs w:val="20"/>
          <w:lang w:eastAsia="pl-PL"/>
        </w:rPr>
        <w:t xml:space="preserve">, </w:t>
      </w:r>
      <w:r>
        <w:rPr>
          <w:rFonts w:ascii="Verdana" w:eastAsia="Times New Roman" w:hAnsi="Verdana" w:cstheme="minorHAnsi"/>
          <w:sz w:val="20"/>
          <w:szCs w:val="20"/>
          <w:lang w:eastAsia="pl-PL"/>
        </w:rPr>
        <w:t xml:space="preserve">wyrok </w:t>
      </w:r>
      <w:r w:rsidRPr="006E23A1">
        <w:rPr>
          <w:rFonts w:ascii="Verdana" w:eastAsia="Times New Roman" w:hAnsi="Verdana" w:cstheme="minorHAnsi"/>
          <w:sz w:val="20"/>
          <w:szCs w:val="20"/>
          <w:lang w:eastAsia="pl-PL"/>
        </w:rPr>
        <w:t>z</w:t>
      </w:r>
      <w:r>
        <w:rPr>
          <w:rFonts w:ascii="Verdana" w:eastAsia="Times New Roman" w:hAnsi="Verdana" w:cstheme="minorHAnsi"/>
          <w:sz w:val="20"/>
          <w:szCs w:val="20"/>
          <w:lang w:eastAsia="pl-PL"/>
        </w:rPr>
        <w:t xml:space="preserve"> dnia</w:t>
      </w:r>
      <w:r w:rsidRPr="006E23A1">
        <w:rPr>
          <w:rFonts w:ascii="Verdana" w:eastAsia="Times New Roman" w:hAnsi="Verdana" w:cstheme="minorHAnsi"/>
          <w:sz w:val="20"/>
          <w:szCs w:val="20"/>
          <w:lang w:eastAsia="pl-PL"/>
        </w:rPr>
        <w:t xml:space="preserve"> </w:t>
      </w:r>
      <w:r>
        <w:rPr>
          <w:rFonts w:ascii="Verdana" w:eastAsia="Times New Roman" w:hAnsi="Verdana" w:cstheme="minorHAnsi"/>
          <w:sz w:val="20"/>
          <w:szCs w:val="20"/>
          <w:lang w:eastAsia="pl-PL"/>
        </w:rPr>
        <w:t>6</w:t>
      </w:r>
      <w:r w:rsidRPr="006E23A1">
        <w:rPr>
          <w:rFonts w:ascii="Verdana" w:eastAsia="Times New Roman" w:hAnsi="Verdana" w:cstheme="minorHAnsi"/>
          <w:sz w:val="20"/>
          <w:szCs w:val="20"/>
          <w:lang w:eastAsia="pl-PL"/>
        </w:rPr>
        <w:t xml:space="preserve"> kwietnia 20</w:t>
      </w:r>
      <w:r>
        <w:rPr>
          <w:rFonts w:ascii="Verdana" w:eastAsia="Times New Roman" w:hAnsi="Verdana" w:cstheme="minorHAnsi"/>
          <w:sz w:val="20"/>
          <w:szCs w:val="20"/>
          <w:lang w:eastAsia="pl-PL"/>
        </w:rPr>
        <w:t>21 r.</w:t>
      </w:r>
    </w:p>
    <w:p w14:paraId="5CBDFDCA" w14:textId="77777777" w:rsidR="00C77D3E" w:rsidRPr="006E23A1" w:rsidRDefault="00C77D3E" w:rsidP="008B0AE6">
      <w:pPr>
        <w:spacing w:after="0"/>
        <w:jc w:val="both"/>
        <w:rPr>
          <w:rFonts w:ascii="Verdana" w:hAnsi="Verdana" w:cs="Calibri"/>
          <w:color w:val="2E74B5" w:themeColor="accent1" w:themeShade="BF"/>
          <w:sz w:val="20"/>
          <w:szCs w:val="20"/>
        </w:rPr>
      </w:pPr>
    </w:p>
    <w:p w14:paraId="60ADA1A6" w14:textId="28B7D105" w:rsidR="00F1211B" w:rsidRPr="006E23A1" w:rsidRDefault="00EE6B3B" w:rsidP="008B0AE6">
      <w:pPr>
        <w:spacing w:after="0"/>
        <w:rPr>
          <w:rFonts w:ascii="Verdana" w:hAnsi="Verdana" w:cs="Calibri"/>
          <w:sz w:val="20"/>
          <w:szCs w:val="20"/>
        </w:rPr>
      </w:pPr>
      <w:hyperlink r:id="rId50" w:history="1">
        <w:r w:rsidRPr="00C77D3E">
          <w:rPr>
            <w:rStyle w:val="Hipercze"/>
            <w:rFonts w:ascii="Verdana" w:hAnsi="Verdana" w:cs="Calibri"/>
            <w:b/>
            <w:sz w:val="20"/>
            <w:szCs w:val="20"/>
          </w:rPr>
          <w:t>Tomasović przeciwko Chorwacji</w:t>
        </w:r>
      </w:hyperlink>
      <w:r w:rsidRPr="006E23A1">
        <w:rPr>
          <w:rFonts w:ascii="Verdana" w:hAnsi="Verdana" w:cs="Calibri"/>
          <w:sz w:val="20"/>
          <w:szCs w:val="20"/>
        </w:rPr>
        <w:br/>
      </w:r>
      <w:r w:rsidR="00F1211B" w:rsidRPr="00C77D3E">
        <w:rPr>
          <w:rFonts w:ascii="Verdana" w:hAnsi="Verdana" w:cs="Calibri"/>
          <w:color w:val="767171" w:themeColor="background2" w:themeShade="80"/>
          <w:sz w:val="18"/>
          <w:szCs w:val="18"/>
        </w:rPr>
        <w:t>18 paździe</w:t>
      </w:r>
      <w:r w:rsidRPr="00C77D3E">
        <w:rPr>
          <w:rFonts w:ascii="Verdana" w:hAnsi="Verdana" w:cs="Calibri"/>
          <w:color w:val="767171" w:themeColor="background2" w:themeShade="80"/>
          <w:sz w:val="18"/>
          <w:szCs w:val="18"/>
        </w:rPr>
        <w:t xml:space="preserve">rnika </w:t>
      </w:r>
      <w:r w:rsidR="00C77D3E" w:rsidRPr="00C77D3E">
        <w:rPr>
          <w:rFonts w:ascii="Verdana" w:hAnsi="Verdana" w:cs="Calibri"/>
          <w:color w:val="767171" w:themeColor="background2" w:themeShade="80"/>
          <w:sz w:val="18"/>
          <w:szCs w:val="18"/>
        </w:rPr>
        <w:t>2011 r</w:t>
      </w:r>
      <w:r w:rsidR="00A46E71" w:rsidRPr="00C77D3E">
        <w:rPr>
          <w:rFonts w:ascii="Verdana" w:hAnsi="Verdana" w:cs="Calibri"/>
          <w:color w:val="767171" w:themeColor="background2" w:themeShade="80"/>
          <w:sz w:val="18"/>
          <w:szCs w:val="18"/>
        </w:rPr>
        <w:t>.</w:t>
      </w:r>
    </w:p>
    <w:p w14:paraId="001F59D7" w14:textId="79B220DC"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Skarżąca podnosiła, że była dwukrotnie sądzona i skazana za posiadanie heroiny,</w:t>
      </w:r>
      <w:r w:rsidR="00FA76FB" w:rsidRPr="006E23A1">
        <w:rPr>
          <w:rFonts w:ascii="Verdana" w:hAnsi="Verdana" w:cs="Calibri"/>
          <w:sz w:val="20"/>
          <w:szCs w:val="20"/>
        </w:rPr>
        <w:t xml:space="preserve"> to jest</w:t>
      </w:r>
      <w:r w:rsidRPr="006E23A1">
        <w:rPr>
          <w:rFonts w:ascii="Verdana" w:hAnsi="Verdana" w:cs="Calibri"/>
          <w:sz w:val="20"/>
          <w:szCs w:val="20"/>
        </w:rPr>
        <w:t xml:space="preserve"> jako drobne przestępstwo w marcu 2006 r., a następnie jako przestępstwo w marcu 2007</w:t>
      </w:r>
      <w:r w:rsidR="00C77D3E">
        <w:rPr>
          <w:rFonts w:ascii="Verdana" w:hAnsi="Verdana" w:cs="Calibri"/>
          <w:sz w:val="20"/>
          <w:szCs w:val="20"/>
        </w:rPr>
        <w:t> </w:t>
      </w:r>
      <w:r w:rsidRPr="006E23A1">
        <w:rPr>
          <w:rFonts w:ascii="Verdana" w:hAnsi="Verdana" w:cs="Calibri"/>
          <w:sz w:val="20"/>
          <w:szCs w:val="20"/>
        </w:rPr>
        <w:t>r.</w:t>
      </w:r>
    </w:p>
    <w:p w14:paraId="4DC63C3C" w14:textId="54AF73AC" w:rsidR="00F1211B" w:rsidRPr="00C77D3E" w:rsidRDefault="00F1211B" w:rsidP="008B0AE6">
      <w:pPr>
        <w:spacing w:after="0"/>
        <w:jc w:val="both"/>
        <w:rPr>
          <w:rFonts w:ascii="Verdana" w:hAnsi="Verdana" w:cs="Calibri"/>
          <w:color w:val="0070C0"/>
          <w:sz w:val="20"/>
          <w:szCs w:val="20"/>
        </w:rPr>
      </w:pPr>
      <w:r w:rsidRPr="00C77D3E">
        <w:rPr>
          <w:rFonts w:ascii="Verdana" w:hAnsi="Verdana" w:cs="Calibri"/>
          <w:color w:val="0070C0"/>
          <w:sz w:val="20"/>
          <w:szCs w:val="20"/>
        </w:rPr>
        <w:t xml:space="preserve">Trybunał stwierdził </w:t>
      </w:r>
      <w:r w:rsidR="00C0238C" w:rsidRPr="00C77D3E">
        <w:rPr>
          <w:rFonts w:ascii="Verdana" w:hAnsi="Verdana" w:cs="Calibri"/>
          <w:b/>
          <w:color w:val="0070C0"/>
          <w:sz w:val="20"/>
          <w:szCs w:val="20"/>
        </w:rPr>
        <w:t xml:space="preserve">naruszenie art. 4 Protokołu </w:t>
      </w:r>
      <w:r w:rsidR="00C77D3E" w:rsidRPr="00C77D3E">
        <w:rPr>
          <w:rFonts w:ascii="Verdana" w:hAnsi="Verdana" w:cs="Calibri"/>
          <w:b/>
          <w:color w:val="0070C0"/>
          <w:sz w:val="20"/>
          <w:szCs w:val="20"/>
        </w:rPr>
        <w:t>n</w:t>
      </w:r>
      <w:r w:rsidR="00E97A36" w:rsidRPr="00C77D3E">
        <w:rPr>
          <w:rFonts w:ascii="Verdana" w:hAnsi="Verdana" w:cs="Calibri"/>
          <w:b/>
          <w:color w:val="0070C0"/>
          <w:sz w:val="20"/>
          <w:szCs w:val="20"/>
        </w:rPr>
        <w:t>r</w:t>
      </w:r>
      <w:r w:rsidRPr="00C77D3E">
        <w:rPr>
          <w:rFonts w:ascii="Verdana" w:hAnsi="Verdana" w:cs="Calibri"/>
          <w:b/>
          <w:color w:val="0070C0"/>
          <w:sz w:val="20"/>
          <w:szCs w:val="20"/>
        </w:rPr>
        <w:t xml:space="preserve"> 7</w:t>
      </w:r>
      <w:r w:rsidRPr="00C77D3E">
        <w:rPr>
          <w:rFonts w:ascii="Verdana" w:hAnsi="Verdana" w:cs="Calibri"/>
          <w:color w:val="0070C0"/>
          <w:sz w:val="20"/>
          <w:szCs w:val="20"/>
        </w:rPr>
        <w:t>, stwierdzając, że skarżąca była ścigana i osądzona po raz drugi za przestępstwo, za które została już skazana. Trybunał odnotował w szczególności, że w odni</w:t>
      </w:r>
      <w:r w:rsidR="00C0238C" w:rsidRPr="00C77D3E">
        <w:rPr>
          <w:rFonts w:ascii="Verdana" w:hAnsi="Verdana" w:cs="Calibri"/>
          <w:color w:val="0070C0"/>
          <w:sz w:val="20"/>
          <w:szCs w:val="20"/>
        </w:rPr>
        <w:t>esieniu do drobnego przestępstwa</w:t>
      </w:r>
      <w:r w:rsidRPr="00C77D3E">
        <w:rPr>
          <w:rFonts w:ascii="Verdana" w:hAnsi="Verdana" w:cs="Calibri"/>
          <w:color w:val="0070C0"/>
          <w:sz w:val="20"/>
          <w:szCs w:val="20"/>
        </w:rPr>
        <w:t xml:space="preserve"> polegającego na tym, że 15 marca 2004 r. o godz. 22.35 </w:t>
      </w:r>
      <w:r w:rsidR="00355B5A" w:rsidRPr="00C77D3E">
        <w:rPr>
          <w:rFonts w:ascii="Verdana" w:hAnsi="Verdana" w:cs="Calibri"/>
          <w:color w:val="0070C0"/>
          <w:sz w:val="20"/>
          <w:szCs w:val="20"/>
        </w:rPr>
        <w:t>posiadała</w:t>
      </w:r>
      <w:r w:rsidRPr="00C77D3E">
        <w:rPr>
          <w:rFonts w:ascii="Verdana" w:hAnsi="Verdana" w:cs="Calibri"/>
          <w:color w:val="0070C0"/>
          <w:sz w:val="20"/>
          <w:szCs w:val="20"/>
        </w:rPr>
        <w:t xml:space="preserve"> 0,21 grama heroiny</w:t>
      </w:r>
      <w:r w:rsidR="00355B5A" w:rsidRPr="00C77D3E">
        <w:rPr>
          <w:rFonts w:ascii="Verdana" w:hAnsi="Verdana" w:cs="Calibri"/>
          <w:color w:val="0070C0"/>
          <w:sz w:val="20"/>
          <w:szCs w:val="20"/>
        </w:rPr>
        <w:t xml:space="preserve"> został uznana za winną</w:t>
      </w:r>
      <w:r w:rsidRPr="00C77D3E">
        <w:rPr>
          <w:rFonts w:ascii="Verdana" w:hAnsi="Verdana" w:cs="Calibri"/>
          <w:color w:val="0070C0"/>
          <w:sz w:val="20"/>
          <w:szCs w:val="20"/>
        </w:rPr>
        <w:t xml:space="preserve">. W odniesieniu do </w:t>
      </w:r>
      <w:r w:rsidR="00355B5A" w:rsidRPr="00C77D3E">
        <w:rPr>
          <w:rFonts w:ascii="Verdana" w:hAnsi="Verdana" w:cs="Calibri"/>
          <w:color w:val="0070C0"/>
          <w:sz w:val="20"/>
          <w:szCs w:val="20"/>
        </w:rPr>
        <w:t>przestępstwa</w:t>
      </w:r>
      <w:r w:rsidRPr="00C77D3E">
        <w:rPr>
          <w:rFonts w:ascii="Verdana" w:hAnsi="Verdana" w:cs="Calibri"/>
          <w:color w:val="0070C0"/>
          <w:sz w:val="20"/>
          <w:szCs w:val="20"/>
        </w:rPr>
        <w:t>, została ona uznana za winną posiadania 0,14 grama heroiny w dniu 15 marca 2004 r. o godz. 22:35.</w:t>
      </w:r>
      <w:r w:rsidR="00355B5A" w:rsidRPr="00C77D3E">
        <w:rPr>
          <w:rFonts w:ascii="Verdana" w:hAnsi="Verdana" w:cs="Calibri"/>
          <w:color w:val="0070C0"/>
          <w:sz w:val="20"/>
          <w:szCs w:val="20"/>
        </w:rPr>
        <w:t xml:space="preserve"> Trybunał mógł jedynie stwierdzić, że czyny stanowiące drobne przestępstwo, za które skarżąca została skazana, są zasadniczo tymi samymi czynami, które stanowią przestępstwo, za które została również skazana.</w:t>
      </w:r>
    </w:p>
    <w:p w14:paraId="38472108" w14:textId="77777777" w:rsidR="00C77D3E" w:rsidRPr="006E23A1" w:rsidRDefault="00C77D3E" w:rsidP="008B0AE6">
      <w:pPr>
        <w:spacing w:after="0"/>
        <w:jc w:val="both"/>
        <w:rPr>
          <w:rFonts w:ascii="Verdana" w:hAnsi="Verdana" w:cs="Calibri"/>
          <w:color w:val="2E74B5" w:themeColor="accent1" w:themeShade="BF"/>
          <w:sz w:val="20"/>
          <w:szCs w:val="20"/>
        </w:rPr>
      </w:pPr>
    </w:p>
    <w:p w14:paraId="4901AD4E" w14:textId="0BA41D7E" w:rsidR="00F1211B" w:rsidRPr="006E23A1" w:rsidRDefault="00F1211B" w:rsidP="008B0AE6">
      <w:pPr>
        <w:spacing w:after="0"/>
        <w:rPr>
          <w:rFonts w:ascii="Verdana" w:hAnsi="Verdana" w:cs="Calibri"/>
          <w:b/>
          <w:sz w:val="20"/>
          <w:szCs w:val="20"/>
          <w:u w:val="single"/>
        </w:rPr>
      </w:pPr>
      <w:hyperlink r:id="rId51" w:history="1">
        <w:r w:rsidRPr="00C77D3E">
          <w:rPr>
            <w:rStyle w:val="Hipercze"/>
            <w:rFonts w:ascii="Verdana" w:hAnsi="Verdana" w:cs="Calibri"/>
            <w:b/>
            <w:color w:val="0070C0"/>
            <w:sz w:val="20"/>
            <w:szCs w:val="20"/>
          </w:rPr>
          <w:t>Khmel przeciwko Rosji</w:t>
        </w:r>
      </w:hyperlink>
      <w:r w:rsidR="00EE6B3B" w:rsidRPr="006E23A1">
        <w:rPr>
          <w:rFonts w:ascii="Verdana" w:hAnsi="Verdana" w:cs="Calibri"/>
          <w:b/>
          <w:sz w:val="20"/>
          <w:szCs w:val="20"/>
          <w:u w:val="single"/>
        </w:rPr>
        <w:br/>
      </w:r>
      <w:r w:rsidR="00EE6B3B" w:rsidRPr="00C77D3E">
        <w:rPr>
          <w:rFonts w:ascii="Verdana" w:hAnsi="Verdana" w:cs="Calibri"/>
          <w:color w:val="767171" w:themeColor="background2" w:themeShade="80"/>
          <w:sz w:val="18"/>
          <w:szCs w:val="18"/>
        </w:rPr>
        <w:t>12 grudnia 2013</w:t>
      </w:r>
      <w:r w:rsidR="00186933" w:rsidRPr="00C77D3E">
        <w:rPr>
          <w:rFonts w:ascii="Verdana" w:hAnsi="Verdana" w:cs="Calibri"/>
          <w:color w:val="767171" w:themeColor="background2" w:themeShade="80"/>
          <w:sz w:val="18"/>
          <w:szCs w:val="18"/>
        </w:rPr>
        <w:t xml:space="preserve"> </w:t>
      </w:r>
      <w:r w:rsidR="00A07B24" w:rsidRPr="00C77D3E">
        <w:rPr>
          <w:rFonts w:ascii="Verdana" w:hAnsi="Verdana" w:cs="Calibri"/>
          <w:color w:val="767171" w:themeColor="background2" w:themeShade="80"/>
          <w:sz w:val="18"/>
          <w:szCs w:val="18"/>
        </w:rPr>
        <w:t>r.</w:t>
      </w:r>
    </w:p>
    <w:p w14:paraId="60625397" w14:textId="77777777" w:rsidR="00F1211B" w:rsidRPr="006E23A1" w:rsidRDefault="00926950" w:rsidP="008B0AE6">
      <w:pPr>
        <w:spacing w:after="0"/>
        <w:jc w:val="both"/>
        <w:rPr>
          <w:rFonts w:ascii="Verdana" w:hAnsi="Verdana" w:cs="Calibri"/>
          <w:sz w:val="20"/>
          <w:szCs w:val="20"/>
        </w:rPr>
      </w:pPr>
      <w:r w:rsidRPr="006E23A1">
        <w:rPr>
          <w:rFonts w:ascii="Verdana" w:hAnsi="Verdana" w:cs="Calibri"/>
          <w:sz w:val="20"/>
          <w:szCs w:val="20"/>
        </w:rPr>
        <w:t xml:space="preserve">Skarżący, poseł </w:t>
      </w:r>
      <w:r w:rsidR="00F1211B" w:rsidRPr="006E23A1">
        <w:rPr>
          <w:rFonts w:ascii="Verdana" w:hAnsi="Verdana" w:cs="Calibri"/>
          <w:sz w:val="20"/>
          <w:szCs w:val="20"/>
        </w:rPr>
        <w:t xml:space="preserve">parlamentu regionalnego, zabrany na posterunek policji z podejrzeniem prowadzenia pojazdu pod wpływem alkoholu, odmówił podania nazwiska, zachowywał się w sposób nieuprzejmy i nie opuścił budynku, gdy został o to poproszony. </w:t>
      </w:r>
      <w:r w:rsidRPr="006E23A1">
        <w:rPr>
          <w:rFonts w:ascii="Verdana" w:hAnsi="Verdana" w:cs="Calibri"/>
          <w:sz w:val="20"/>
          <w:szCs w:val="20"/>
        </w:rPr>
        <w:t>Zostało p</w:t>
      </w:r>
      <w:r w:rsidR="00F1211B" w:rsidRPr="006E23A1">
        <w:rPr>
          <w:rFonts w:ascii="Verdana" w:hAnsi="Verdana" w:cs="Calibri"/>
          <w:sz w:val="20"/>
          <w:szCs w:val="20"/>
        </w:rPr>
        <w:t xml:space="preserve">rzeciwko niemu wszczęto postępowanie administracyjne, w wyniku którego został uznany za winnego różnych przestępstw, w tym odmowy poddania się testowi alkoholowemu i drobnych zakłóceń. Został ukarany grzywną 1500 rubli rosyjskich. </w:t>
      </w:r>
      <w:r w:rsidRPr="006E23A1">
        <w:rPr>
          <w:rFonts w:ascii="Verdana" w:hAnsi="Verdana" w:cs="Calibri"/>
          <w:sz w:val="20"/>
          <w:szCs w:val="20"/>
        </w:rPr>
        <w:t>Następnie</w:t>
      </w:r>
      <w:r w:rsidR="00F1211B" w:rsidRPr="006E23A1">
        <w:rPr>
          <w:rFonts w:ascii="Verdana" w:hAnsi="Verdana" w:cs="Calibri"/>
          <w:sz w:val="20"/>
          <w:szCs w:val="20"/>
        </w:rPr>
        <w:t xml:space="preserve"> został również uznany w postępowaniu karnym za winnego gróźb i obraźliwych czynów </w:t>
      </w:r>
      <w:r w:rsidRPr="006E23A1">
        <w:rPr>
          <w:rFonts w:ascii="Verdana" w:hAnsi="Verdana" w:cs="Calibri"/>
          <w:sz w:val="20"/>
          <w:szCs w:val="20"/>
        </w:rPr>
        <w:t xml:space="preserve">wobec </w:t>
      </w:r>
      <w:r w:rsidR="00F1211B" w:rsidRPr="006E23A1">
        <w:rPr>
          <w:rFonts w:ascii="Verdana" w:hAnsi="Verdana" w:cs="Calibri"/>
          <w:sz w:val="20"/>
          <w:szCs w:val="20"/>
        </w:rPr>
        <w:t xml:space="preserve">funkcjonariusza publicznego w dniu, w którym udał się na posterunek policji, </w:t>
      </w:r>
      <w:r w:rsidRPr="006E23A1">
        <w:rPr>
          <w:rFonts w:ascii="Verdana" w:hAnsi="Verdana" w:cs="Calibri"/>
          <w:sz w:val="20"/>
          <w:szCs w:val="20"/>
        </w:rPr>
        <w:t>oraz</w:t>
      </w:r>
      <w:r w:rsidR="00F1211B" w:rsidRPr="006E23A1">
        <w:rPr>
          <w:rFonts w:ascii="Verdana" w:hAnsi="Verdana" w:cs="Calibri"/>
          <w:sz w:val="20"/>
          <w:szCs w:val="20"/>
        </w:rPr>
        <w:t xml:space="preserve"> ukarany grzywną w wysokości 7500 rubli. </w:t>
      </w:r>
      <w:r w:rsidRPr="006E23A1">
        <w:rPr>
          <w:rFonts w:ascii="Verdana" w:hAnsi="Verdana" w:cs="Calibri"/>
          <w:sz w:val="20"/>
          <w:szCs w:val="20"/>
        </w:rPr>
        <w:t xml:space="preserve">Wyroki </w:t>
      </w:r>
      <w:r w:rsidR="00F1211B" w:rsidRPr="006E23A1">
        <w:rPr>
          <w:rFonts w:ascii="Verdana" w:hAnsi="Verdana" w:cs="Calibri"/>
          <w:sz w:val="20"/>
          <w:szCs w:val="20"/>
        </w:rPr>
        <w:t>administracyjne i karne</w:t>
      </w:r>
      <w:r w:rsidRPr="006E23A1">
        <w:rPr>
          <w:rFonts w:ascii="Verdana" w:hAnsi="Verdana" w:cs="Calibri"/>
          <w:sz w:val="20"/>
          <w:szCs w:val="20"/>
        </w:rPr>
        <w:t xml:space="preserve"> zostały przez niego zaskarżone</w:t>
      </w:r>
      <w:r w:rsidR="00F1211B" w:rsidRPr="006E23A1">
        <w:rPr>
          <w:rFonts w:ascii="Verdana" w:hAnsi="Verdana" w:cs="Calibri"/>
          <w:sz w:val="20"/>
          <w:szCs w:val="20"/>
        </w:rPr>
        <w:t>. Skarżący zarzuca</w:t>
      </w:r>
      <w:r w:rsidRPr="006E23A1">
        <w:rPr>
          <w:rFonts w:ascii="Verdana" w:hAnsi="Verdana" w:cs="Calibri"/>
          <w:sz w:val="20"/>
          <w:szCs w:val="20"/>
        </w:rPr>
        <w:t>ł</w:t>
      </w:r>
      <w:r w:rsidR="00F1211B" w:rsidRPr="006E23A1">
        <w:rPr>
          <w:rFonts w:ascii="Verdana" w:hAnsi="Verdana" w:cs="Calibri"/>
          <w:sz w:val="20"/>
          <w:szCs w:val="20"/>
        </w:rPr>
        <w:t xml:space="preserve"> w szczególności, że wszczęcie przeciwko niemu zarówno postępowania administracyjnego, jak i karnego, stanowi podwójne</w:t>
      </w:r>
      <w:r w:rsidRPr="006E23A1">
        <w:rPr>
          <w:rFonts w:ascii="Verdana" w:hAnsi="Verdana" w:cs="Calibri"/>
          <w:sz w:val="20"/>
          <w:szCs w:val="20"/>
        </w:rPr>
        <w:t xml:space="preserve"> sądzenie i karanie</w:t>
      </w:r>
      <w:r w:rsidR="00F1211B" w:rsidRPr="006E23A1">
        <w:rPr>
          <w:rFonts w:ascii="Verdana" w:hAnsi="Verdana" w:cs="Calibri"/>
          <w:sz w:val="20"/>
          <w:szCs w:val="20"/>
        </w:rPr>
        <w:t>.</w:t>
      </w:r>
    </w:p>
    <w:p w14:paraId="372DA1EC" w14:textId="37201F1B" w:rsidR="00F1211B" w:rsidRPr="00631C5F" w:rsidRDefault="00F1211B" w:rsidP="008B0AE6">
      <w:pPr>
        <w:spacing w:after="0"/>
        <w:jc w:val="both"/>
        <w:rPr>
          <w:rFonts w:ascii="Verdana" w:hAnsi="Verdana" w:cs="Calibri"/>
          <w:color w:val="0070C0"/>
          <w:sz w:val="20"/>
          <w:szCs w:val="20"/>
        </w:rPr>
      </w:pPr>
      <w:r w:rsidRPr="00631C5F">
        <w:rPr>
          <w:rFonts w:ascii="Verdana" w:hAnsi="Verdana" w:cs="Calibri"/>
          <w:color w:val="0070C0"/>
          <w:sz w:val="20"/>
          <w:szCs w:val="20"/>
        </w:rPr>
        <w:t xml:space="preserve">Trybunał uznał, że </w:t>
      </w:r>
      <w:r w:rsidR="00926950" w:rsidRPr="00631C5F">
        <w:rPr>
          <w:rFonts w:ascii="Verdana" w:hAnsi="Verdana" w:cs="Calibri"/>
          <w:b/>
          <w:color w:val="0070C0"/>
          <w:sz w:val="20"/>
          <w:szCs w:val="20"/>
        </w:rPr>
        <w:t xml:space="preserve">doszło do naruszenia art. 4 Protokołu </w:t>
      </w:r>
      <w:r w:rsidR="00631C5F" w:rsidRPr="00631C5F">
        <w:rPr>
          <w:rFonts w:ascii="Verdana" w:hAnsi="Verdana" w:cs="Calibri"/>
          <w:b/>
          <w:color w:val="0070C0"/>
          <w:sz w:val="20"/>
          <w:szCs w:val="20"/>
        </w:rPr>
        <w:t>n</w:t>
      </w:r>
      <w:r w:rsidR="00E97A36" w:rsidRPr="00631C5F">
        <w:rPr>
          <w:rFonts w:ascii="Verdana" w:hAnsi="Verdana" w:cs="Calibri"/>
          <w:b/>
          <w:color w:val="0070C0"/>
          <w:sz w:val="20"/>
          <w:szCs w:val="20"/>
        </w:rPr>
        <w:t>r</w:t>
      </w:r>
      <w:r w:rsidRPr="00631C5F">
        <w:rPr>
          <w:rFonts w:ascii="Verdana" w:hAnsi="Verdana" w:cs="Calibri"/>
          <w:b/>
          <w:color w:val="0070C0"/>
          <w:sz w:val="20"/>
          <w:szCs w:val="20"/>
        </w:rPr>
        <w:t xml:space="preserve"> 7</w:t>
      </w:r>
      <w:r w:rsidRPr="00631C5F">
        <w:rPr>
          <w:rFonts w:ascii="Verdana" w:hAnsi="Verdana" w:cs="Calibri"/>
          <w:color w:val="0070C0"/>
          <w:sz w:val="20"/>
          <w:szCs w:val="20"/>
        </w:rPr>
        <w:t>. Okazało się,</w:t>
      </w:r>
      <w:r w:rsidR="00926950" w:rsidRPr="00631C5F">
        <w:rPr>
          <w:rFonts w:ascii="Verdana" w:hAnsi="Verdana" w:cs="Calibri"/>
          <w:color w:val="0070C0"/>
          <w:sz w:val="20"/>
          <w:szCs w:val="20"/>
        </w:rPr>
        <w:t xml:space="preserve"> że skarżący został skazany za „</w:t>
      </w:r>
      <w:r w:rsidRPr="00631C5F">
        <w:rPr>
          <w:rFonts w:ascii="Verdana" w:hAnsi="Verdana" w:cs="Calibri"/>
          <w:color w:val="0070C0"/>
          <w:sz w:val="20"/>
          <w:szCs w:val="20"/>
        </w:rPr>
        <w:t>uporczywą odmowę zast</w:t>
      </w:r>
      <w:r w:rsidR="00926950" w:rsidRPr="00631C5F">
        <w:rPr>
          <w:rFonts w:ascii="Verdana" w:hAnsi="Verdana" w:cs="Calibri"/>
          <w:color w:val="0070C0"/>
          <w:sz w:val="20"/>
          <w:szCs w:val="20"/>
        </w:rPr>
        <w:t>osowania się do nakazów policji”</w:t>
      </w:r>
      <w:r w:rsidR="00631C5F" w:rsidRPr="00631C5F">
        <w:rPr>
          <w:rFonts w:ascii="Verdana" w:hAnsi="Verdana" w:cs="Calibri"/>
          <w:color w:val="0070C0"/>
          <w:sz w:val="20"/>
          <w:szCs w:val="20"/>
        </w:rPr>
        <w:t xml:space="preserve"> </w:t>
      </w:r>
      <w:r w:rsidR="00926950" w:rsidRPr="00631C5F">
        <w:rPr>
          <w:rFonts w:ascii="Verdana" w:hAnsi="Verdana" w:cs="Calibri"/>
          <w:color w:val="0070C0"/>
          <w:sz w:val="20"/>
          <w:szCs w:val="20"/>
        </w:rPr>
        <w:t>i</w:t>
      </w:r>
      <w:r w:rsidR="00631C5F" w:rsidRPr="00631C5F">
        <w:rPr>
          <w:rFonts w:ascii="Verdana" w:hAnsi="Verdana" w:cs="Calibri"/>
          <w:color w:val="0070C0"/>
          <w:sz w:val="20"/>
          <w:szCs w:val="20"/>
        </w:rPr>
        <w:t> </w:t>
      </w:r>
      <w:r w:rsidR="00926950" w:rsidRPr="00631C5F">
        <w:rPr>
          <w:rFonts w:ascii="Verdana" w:hAnsi="Verdana" w:cs="Calibri"/>
          <w:color w:val="0070C0"/>
          <w:sz w:val="20"/>
          <w:szCs w:val="20"/>
        </w:rPr>
        <w:t>„</w:t>
      </w:r>
      <w:r w:rsidRPr="00631C5F">
        <w:rPr>
          <w:rFonts w:ascii="Verdana" w:hAnsi="Verdana" w:cs="Calibri"/>
          <w:color w:val="0070C0"/>
          <w:sz w:val="20"/>
          <w:szCs w:val="20"/>
        </w:rPr>
        <w:t>drobne zakłócenia po</w:t>
      </w:r>
      <w:r w:rsidR="00926950" w:rsidRPr="00631C5F">
        <w:rPr>
          <w:rFonts w:ascii="Verdana" w:hAnsi="Verdana" w:cs="Calibri"/>
          <w:color w:val="0070C0"/>
          <w:sz w:val="20"/>
          <w:szCs w:val="20"/>
        </w:rPr>
        <w:t>rządku publicznego”</w:t>
      </w:r>
      <w:r w:rsidRPr="00631C5F">
        <w:rPr>
          <w:rFonts w:ascii="Verdana" w:hAnsi="Verdana" w:cs="Calibri"/>
          <w:color w:val="0070C0"/>
          <w:sz w:val="20"/>
          <w:szCs w:val="20"/>
        </w:rPr>
        <w:t xml:space="preserve"> w postępowaniu administracyjnym, które</w:t>
      </w:r>
      <w:r w:rsidR="00926950" w:rsidRPr="00631C5F">
        <w:rPr>
          <w:rFonts w:ascii="Verdana" w:hAnsi="Verdana" w:cs="Calibri"/>
          <w:color w:val="0070C0"/>
          <w:sz w:val="20"/>
          <w:szCs w:val="20"/>
        </w:rPr>
        <w:t xml:space="preserve"> </w:t>
      </w:r>
      <w:r w:rsidR="0008308D" w:rsidRPr="00631C5F">
        <w:rPr>
          <w:rFonts w:ascii="Verdana" w:hAnsi="Verdana" w:cs="Calibri"/>
          <w:color w:val="0070C0"/>
          <w:sz w:val="20"/>
          <w:szCs w:val="20"/>
        </w:rPr>
        <w:t xml:space="preserve">winny zostać połączone w </w:t>
      </w:r>
      <w:r w:rsidR="00926950" w:rsidRPr="00631C5F">
        <w:rPr>
          <w:rFonts w:ascii="Verdana" w:hAnsi="Verdana" w:cs="Calibri"/>
          <w:color w:val="0070C0"/>
          <w:sz w:val="20"/>
          <w:szCs w:val="20"/>
        </w:rPr>
        <w:t>„postępowani</w:t>
      </w:r>
      <w:r w:rsidR="0008308D" w:rsidRPr="00631C5F">
        <w:rPr>
          <w:rFonts w:ascii="Verdana" w:hAnsi="Verdana" w:cs="Calibri"/>
          <w:color w:val="0070C0"/>
          <w:sz w:val="20"/>
          <w:szCs w:val="20"/>
        </w:rPr>
        <w:t>u</w:t>
      </w:r>
      <w:r w:rsidR="00926950" w:rsidRPr="00631C5F">
        <w:rPr>
          <w:rFonts w:ascii="Verdana" w:hAnsi="Verdana" w:cs="Calibri"/>
          <w:color w:val="0070C0"/>
          <w:sz w:val="20"/>
          <w:szCs w:val="20"/>
        </w:rPr>
        <w:t xml:space="preserve"> karn</w:t>
      </w:r>
      <w:r w:rsidR="0008308D" w:rsidRPr="00631C5F">
        <w:rPr>
          <w:rFonts w:ascii="Verdana" w:hAnsi="Verdana" w:cs="Calibri"/>
          <w:color w:val="0070C0"/>
          <w:sz w:val="20"/>
          <w:szCs w:val="20"/>
        </w:rPr>
        <w:t>ym</w:t>
      </w:r>
      <w:r w:rsidR="00926950" w:rsidRPr="00631C5F">
        <w:rPr>
          <w:rFonts w:ascii="Verdana" w:hAnsi="Verdana" w:cs="Calibri"/>
          <w:color w:val="0070C0"/>
          <w:sz w:val="20"/>
          <w:szCs w:val="20"/>
        </w:rPr>
        <w:t>” w autonomicznym r</w:t>
      </w:r>
      <w:r w:rsidRPr="00631C5F">
        <w:rPr>
          <w:rFonts w:ascii="Verdana" w:hAnsi="Verdana" w:cs="Calibri"/>
          <w:color w:val="0070C0"/>
          <w:sz w:val="20"/>
          <w:szCs w:val="20"/>
        </w:rPr>
        <w:t xml:space="preserve">ozumieniu </w:t>
      </w:r>
      <w:r w:rsidR="00926950" w:rsidRPr="00631C5F">
        <w:rPr>
          <w:rFonts w:ascii="Verdana" w:hAnsi="Verdana" w:cs="Calibri"/>
          <w:color w:val="0070C0"/>
          <w:sz w:val="20"/>
          <w:szCs w:val="20"/>
        </w:rPr>
        <w:t>Konwencji</w:t>
      </w:r>
      <w:r w:rsidRPr="00631C5F">
        <w:rPr>
          <w:rFonts w:ascii="Verdana" w:hAnsi="Verdana" w:cs="Calibri"/>
          <w:color w:val="0070C0"/>
          <w:sz w:val="20"/>
          <w:szCs w:val="20"/>
        </w:rPr>
        <w:t>. Po uprawomocnieniu się wyroku skazującego oskarżono go o popełnienie czynu zabronionego związanego z tymi samymi okolicznościami faktycznymi i został on ponownie skazany w kolejnym postępowaniu.</w:t>
      </w:r>
    </w:p>
    <w:p w14:paraId="4AD80B75" w14:textId="77777777" w:rsidR="00631C5F" w:rsidRPr="006E23A1" w:rsidRDefault="00631C5F" w:rsidP="008B0AE6">
      <w:pPr>
        <w:spacing w:after="0"/>
        <w:jc w:val="both"/>
        <w:rPr>
          <w:rFonts w:ascii="Verdana" w:hAnsi="Verdana" w:cs="Calibri"/>
          <w:color w:val="2E74B5" w:themeColor="accent1" w:themeShade="BF"/>
          <w:sz w:val="20"/>
          <w:szCs w:val="20"/>
        </w:rPr>
      </w:pPr>
    </w:p>
    <w:p w14:paraId="6CA99AF2" w14:textId="7B747E5F" w:rsidR="000B7114" w:rsidRPr="006E23A1" w:rsidRDefault="00F1211B" w:rsidP="008B0AE6">
      <w:pPr>
        <w:spacing w:after="0"/>
        <w:rPr>
          <w:rFonts w:ascii="Verdana" w:hAnsi="Verdana" w:cs="Calibri"/>
          <w:color w:val="767171" w:themeColor="background2" w:themeShade="80"/>
          <w:sz w:val="20"/>
          <w:szCs w:val="20"/>
        </w:rPr>
      </w:pPr>
      <w:hyperlink r:id="rId52" w:history="1">
        <w:r w:rsidRPr="00631C5F">
          <w:rPr>
            <w:rStyle w:val="Hipercze"/>
            <w:rFonts w:ascii="Verdana" w:hAnsi="Verdana" w:cs="Calibri"/>
            <w:b/>
            <w:sz w:val="20"/>
            <w:szCs w:val="20"/>
          </w:rPr>
          <w:t>Muslija przeciwko Bośni i Hercegowinie</w:t>
        </w:r>
      </w:hyperlink>
      <w:r w:rsidR="00EE6B3B" w:rsidRPr="006E23A1">
        <w:rPr>
          <w:rFonts w:ascii="Verdana" w:hAnsi="Verdana" w:cs="Calibri"/>
          <w:color w:val="2E74B5" w:themeColor="accent1" w:themeShade="BF"/>
          <w:sz w:val="20"/>
          <w:szCs w:val="20"/>
        </w:rPr>
        <w:br/>
      </w:r>
      <w:r w:rsidR="00EE6B3B" w:rsidRPr="00631C5F">
        <w:rPr>
          <w:rFonts w:ascii="Verdana" w:hAnsi="Verdana" w:cs="Calibri"/>
          <w:color w:val="767171" w:themeColor="background2" w:themeShade="80"/>
          <w:sz w:val="18"/>
          <w:szCs w:val="18"/>
        </w:rPr>
        <w:t>14 stycznia 2014</w:t>
      </w:r>
      <w:r w:rsidR="00E92546" w:rsidRPr="00631C5F">
        <w:rPr>
          <w:rFonts w:ascii="Verdana" w:hAnsi="Verdana" w:cs="Calibri"/>
          <w:color w:val="767171" w:themeColor="background2" w:themeShade="80"/>
          <w:sz w:val="18"/>
          <w:szCs w:val="18"/>
        </w:rPr>
        <w:t xml:space="preserve"> </w:t>
      </w:r>
      <w:r w:rsidR="00FB5524" w:rsidRPr="00631C5F">
        <w:rPr>
          <w:rFonts w:ascii="Verdana" w:hAnsi="Verdana" w:cs="Calibri"/>
          <w:color w:val="767171" w:themeColor="background2" w:themeShade="80"/>
          <w:sz w:val="18"/>
          <w:szCs w:val="18"/>
        </w:rPr>
        <w:t>r.</w:t>
      </w:r>
      <w:r w:rsidR="00FB5524" w:rsidRPr="006E23A1">
        <w:rPr>
          <w:rFonts w:ascii="Verdana" w:hAnsi="Verdana" w:cs="Calibri"/>
          <w:color w:val="767171" w:themeColor="background2" w:themeShade="80"/>
          <w:sz w:val="20"/>
          <w:szCs w:val="20"/>
        </w:rPr>
        <w:t xml:space="preserve"> </w:t>
      </w:r>
    </w:p>
    <w:p w14:paraId="41AA294E" w14:textId="5C677BB3" w:rsidR="000B7114" w:rsidRPr="006E23A1" w:rsidRDefault="000B7114" w:rsidP="008B0AE6">
      <w:pPr>
        <w:spacing w:after="0" w:line="256" w:lineRule="auto"/>
        <w:jc w:val="both"/>
        <w:rPr>
          <w:rFonts w:ascii="Verdana" w:eastAsia="Times New Roman" w:hAnsi="Verdana" w:cs="Calibri"/>
          <w:sz w:val="20"/>
          <w:szCs w:val="20"/>
          <w:lang w:eastAsia="pl-PL"/>
        </w:rPr>
      </w:pPr>
      <w:r w:rsidRPr="006E23A1">
        <w:rPr>
          <w:rFonts w:ascii="Verdana" w:eastAsia="Times New Roman" w:hAnsi="Verdana" w:cs="Calibri"/>
          <w:sz w:val="20"/>
          <w:szCs w:val="20"/>
          <w:lang w:eastAsia="pl-PL"/>
        </w:rPr>
        <w:t>W sierpniu 2004 r. sąd ds. drobnych przestępstw skazał skarżącego za wszczęcie awantury, stwierdzając, że 12 lutego 2003 r. o godz. 18</w:t>
      </w:r>
      <w:r w:rsidR="00631C5F">
        <w:rPr>
          <w:rFonts w:ascii="Verdana" w:eastAsia="Times New Roman" w:hAnsi="Verdana" w:cs="Calibri"/>
          <w:sz w:val="20"/>
          <w:szCs w:val="20"/>
          <w:lang w:eastAsia="pl-PL"/>
        </w:rPr>
        <w:t>:</w:t>
      </w:r>
      <w:r w:rsidRPr="006E23A1">
        <w:rPr>
          <w:rFonts w:ascii="Verdana" w:eastAsia="Times New Roman" w:hAnsi="Verdana" w:cs="Calibri"/>
          <w:sz w:val="20"/>
          <w:szCs w:val="20"/>
          <w:lang w:eastAsia="pl-PL"/>
        </w:rPr>
        <w:t xml:space="preserve">40 wszedł do mieszkania swojej byłej żony, uderzał ją w twarz oraz ciało. Nakazano mu zapłacić grzywnę w wysokości 150 marek zamiennych </w:t>
      </w:r>
      <w:r w:rsidR="00164883" w:rsidRPr="006E23A1">
        <w:rPr>
          <w:rFonts w:ascii="Verdana" w:eastAsia="Times New Roman" w:hAnsi="Verdana" w:cs="Calibri"/>
          <w:sz w:val="20"/>
          <w:szCs w:val="20"/>
          <w:lang w:eastAsia="pl-PL"/>
        </w:rPr>
        <w:t>(BAM). W styczniu 2008 r.</w:t>
      </w:r>
      <w:r w:rsidRPr="006E23A1">
        <w:rPr>
          <w:rFonts w:ascii="Verdana" w:eastAsia="Times New Roman" w:hAnsi="Verdana" w:cs="Calibri"/>
          <w:sz w:val="20"/>
          <w:szCs w:val="20"/>
          <w:lang w:eastAsia="pl-PL"/>
        </w:rPr>
        <w:t xml:space="preserve"> sąd miejski uznał skarżącego za winnego ciężkiego uszkodzenia ciała, stwierdzając, że o godzinie</w:t>
      </w:r>
      <w:r w:rsidR="00164883" w:rsidRPr="006E23A1">
        <w:rPr>
          <w:rFonts w:ascii="Verdana" w:eastAsia="Times New Roman" w:hAnsi="Verdana" w:cs="Calibri"/>
          <w:sz w:val="20"/>
          <w:szCs w:val="20"/>
          <w:lang w:eastAsia="pl-PL"/>
        </w:rPr>
        <w:t xml:space="preserve"> 19:</w:t>
      </w:r>
      <w:r w:rsidR="001B43B9" w:rsidRPr="006E23A1">
        <w:rPr>
          <w:rFonts w:ascii="Verdana" w:eastAsia="Times New Roman" w:hAnsi="Verdana" w:cs="Calibri"/>
          <w:sz w:val="20"/>
          <w:szCs w:val="20"/>
          <w:lang w:eastAsia="pl-PL"/>
        </w:rPr>
        <w:t>00 12</w:t>
      </w:r>
      <w:r w:rsidR="00164883" w:rsidRPr="006E23A1">
        <w:rPr>
          <w:rFonts w:ascii="Verdana" w:eastAsia="Times New Roman" w:hAnsi="Verdana" w:cs="Calibri"/>
          <w:sz w:val="20"/>
          <w:szCs w:val="20"/>
          <w:lang w:eastAsia="pl-PL"/>
        </w:rPr>
        <w:t xml:space="preserve"> lutego 2003 r.</w:t>
      </w:r>
      <w:r w:rsidRPr="006E23A1">
        <w:rPr>
          <w:rFonts w:ascii="Verdana" w:eastAsia="Times New Roman" w:hAnsi="Verdana" w:cs="Calibri"/>
          <w:sz w:val="20"/>
          <w:szCs w:val="20"/>
          <w:lang w:eastAsia="pl-PL"/>
        </w:rPr>
        <w:t xml:space="preserve"> wszedł on do mieszkania swojej byłej żony, złapał ją za gardło i kilkakrotnie uderz</w:t>
      </w:r>
      <w:r w:rsidR="00E92546" w:rsidRPr="006E23A1">
        <w:rPr>
          <w:rFonts w:ascii="Verdana" w:eastAsia="Times New Roman" w:hAnsi="Verdana" w:cs="Calibri"/>
          <w:sz w:val="20"/>
          <w:szCs w:val="20"/>
          <w:lang w:eastAsia="pl-PL"/>
        </w:rPr>
        <w:t>ył ją</w:t>
      </w:r>
      <w:r w:rsidRPr="006E23A1">
        <w:rPr>
          <w:rFonts w:ascii="Verdana" w:eastAsia="Times New Roman" w:hAnsi="Verdana" w:cs="Calibri"/>
          <w:sz w:val="20"/>
          <w:szCs w:val="20"/>
          <w:lang w:eastAsia="pl-PL"/>
        </w:rPr>
        <w:t xml:space="preserve">. Został skazany na karę pozbawienia </w:t>
      </w:r>
      <w:r w:rsidR="00880819">
        <w:rPr>
          <w:rFonts w:ascii="Verdana" w:eastAsia="Times New Roman" w:hAnsi="Verdana" w:cs="Calibri"/>
          <w:sz w:val="20"/>
          <w:szCs w:val="20"/>
          <w:lang w:eastAsia="pl-PL"/>
        </w:rPr>
        <w:t>wolności</w:t>
      </w:r>
      <w:r w:rsidRPr="006E23A1">
        <w:rPr>
          <w:rFonts w:ascii="Verdana" w:eastAsia="Times New Roman" w:hAnsi="Verdana" w:cs="Calibri"/>
          <w:sz w:val="20"/>
          <w:szCs w:val="20"/>
          <w:lang w:eastAsia="pl-PL"/>
        </w:rPr>
        <w:t xml:space="preserve">, która później została zmieniona na grzywnę w wysokości 9000 </w:t>
      </w:r>
      <w:r w:rsidR="00631C5F">
        <w:rPr>
          <w:rFonts w:ascii="Verdana" w:eastAsia="Times New Roman" w:hAnsi="Verdana" w:cs="Calibri"/>
          <w:sz w:val="20"/>
          <w:szCs w:val="20"/>
          <w:lang w:eastAsia="pl-PL"/>
        </w:rPr>
        <w:t>marek</w:t>
      </w:r>
      <w:r w:rsidRPr="006E23A1">
        <w:rPr>
          <w:rFonts w:ascii="Verdana" w:eastAsia="Times New Roman" w:hAnsi="Verdana" w:cs="Calibri"/>
          <w:sz w:val="20"/>
          <w:szCs w:val="20"/>
          <w:lang w:eastAsia="pl-PL"/>
        </w:rPr>
        <w:t xml:space="preserve">. Skarżący bezskutecznie odwoływał się od obydwu </w:t>
      </w:r>
      <w:r w:rsidRPr="006E23A1">
        <w:rPr>
          <w:rFonts w:ascii="Verdana" w:eastAsia="Times New Roman" w:hAnsi="Verdana" w:cs="Calibri"/>
          <w:sz w:val="20"/>
          <w:szCs w:val="20"/>
          <w:lang w:eastAsia="pl-PL"/>
        </w:rPr>
        <w:lastRenderedPageBreak/>
        <w:t>wyroków do Trybunału Konstytucyjnego. Skarżył, że został dwukrotnie sądzony i ukarany</w:t>
      </w:r>
      <w:r w:rsidR="00E92546" w:rsidRPr="006E23A1">
        <w:rPr>
          <w:rFonts w:ascii="Verdana" w:eastAsia="Times New Roman" w:hAnsi="Verdana" w:cs="Calibri"/>
          <w:sz w:val="20"/>
          <w:szCs w:val="20"/>
          <w:lang w:eastAsia="pl-PL"/>
        </w:rPr>
        <w:t xml:space="preserve"> za ten sam incydent</w:t>
      </w:r>
      <w:r w:rsidRPr="006E23A1">
        <w:rPr>
          <w:rFonts w:ascii="Verdana" w:eastAsia="Times New Roman" w:hAnsi="Verdana" w:cs="Calibri"/>
          <w:sz w:val="20"/>
          <w:szCs w:val="20"/>
          <w:lang w:eastAsia="pl-PL"/>
        </w:rPr>
        <w:t>.</w:t>
      </w:r>
    </w:p>
    <w:p w14:paraId="37FF64B0" w14:textId="5A1F3E3C" w:rsidR="000B7114" w:rsidRPr="00631C5F" w:rsidRDefault="000B7114" w:rsidP="008B0AE6">
      <w:pPr>
        <w:spacing w:after="0" w:line="256" w:lineRule="auto"/>
        <w:jc w:val="both"/>
        <w:rPr>
          <w:rFonts w:ascii="Verdana" w:eastAsia="Times New Roman" w:hAnsi="Verdana" w:cs="Calibri"/>
          <w:color w:val="0070C0"/>
          <w:sz w:val="20"/>
          <w:szCs w:val="20"/>
          <w:lang w:eastAsia="pl-PL"/>
        </w:rPr>
      </w:pPr>
      <w:r w:rsidRPr="00631C5F">
        <w:rPr>
          <w:rFonts w:ascii="Verdana" w:eastAsia="Times New Roman" w:hAnsi="Verdana" w:cs="Calibri"/>
          <w:color w:val="0070C0"/>
          <w:sz w:val="20"/>
          <w:szCs w:val="20"/>
          <w:lang w:eastAsia="pl-PL"/>
        </w:rPr>
        <w:t xml:space="preserve">Trybunał uznał, że </w:t>
      </w:r>
      <w:r w:rsidRPr="00631C5F">
        <w:rPr>
          <w:rFonts w:ascii="Verdana" w:eastAsia="Times New Roman" w:hAnsi="Verdana" w:cs="Calibri"/>
          <w:b/>
          <w:color w:val="0070C0"/>
          <w:sz w:val="20"/>
          <w:szCs w:val="20"/>
          <w:lang w:eastAsia="pl-PL"/>
        </w:rPr>
        <w:t xml:space="preserve">doszło naruszenia art. 4 Protokołu </w:t>
      </w:r>
      <w:r w:rsidR="00631C5F" w:rsidRPr="00631C5F">
        <w:rPr>
          <w:rFonts w:ascii="Verdana" w:eastAsia="Times New Roman" w:hAnsi="Verdana" w:cs="Calibri"/>
          <w:b/>
          <w:color w:val="0070C0"/>
          <w:sz w:val="20"/>
          <w:szCs w:val="20"/>
          <w:lang w:eastAsia="pl-PL"/>
        </w:rPr>
        <w:t>n</w:t>
      </w:r>
      <w:r w:rsidR="00E97A36" w:rsidRPr="00631C5F">
        <w:rPr>
          <w:rFonts w:ascii="Verdana" w:eastAsia="Times New Roman" w:hAnsi="Verdana" w:cs="Calibri"/>
          <w:b/>
          <w:color w:val="0070C0"/>
          <w:sz w:val="20"/>
          <w:szCs w:val="20"/>
          <w:lang w:eastAsia="pl-PL"/>
        </w:rPr>
        <w:t>r</w:t>
      </w:r>
      <w:r w:rsidRPr="00631C5F">
        <w:rPr>
          <w:rFonts w:ascii="Verdana" w:eastAsia="Times New Roman" w:hAnsi="Verdana" w:cs="Calibri"/>
          <w:b/>
          <w:color w:val="0070C0"/>
          <w:sz w:val="20"/>
          <w:szCs w:val="20"/>
          <w:lang w:eastAsia="pl-PL"/>
        </w:rPr>
        <w:t xml:space="preserve"> 7</w:t>
      </w:r>
      <w:r w:rsidRPr="00631C5F">
        <w:rPr>
          <w:rFonts w:ascii="Verdana" w:eastAsia="Times New Roman" w:hAnsi="Verdana" w:cs="Calibri"/>
          <w:color w:val="0070C0"/>
          <w:sz w:val="20"/>
          <w:szCs w:val="20"/>
          <w:lang w:eastAsia="pl-PL"/>
        </w:rPr>
        <w:t xml:space="preserve">. </w:t>
      </w:r>
      <w:r w:rsidR="00631C5F">
        <w:rPr>
          <w:rFonts w:ascii="Verdana" w:eastAsia="Times New Roman" w:hAnsi="Verdana" w:cs="Calibri"/>
          <w:color w:val="0070C0"/>
          <w:sz w:val="20"/>
          <w:szCs w:val="20"/>
          <w:lang w:eastAsia="pl-PL"/>
        </w:rPr>
        <w:t>Stwierdził</w:t>
      </w:r>
      <w:r w:rsidRPr="00631C5F">
        <w:rPr>
          <w:rFonts w:ascii="Verdana" w:eastAsia="Times New Roman" w:hAnsi="Verdana" w:cs="Calibri"/>
          <w:color w:val="0070C0"/>
          <w:sz w:val="20"/>
          <w:szCs w:val="20"/>
          <w:lang w:eastAsia="pl-PL"/>
        </w:rPr>
        <w:t xml:space="preserve">, że skarżący został „skazany" w postępowaniu w sprawie drobnych przestępstw, które </w:t>
      </w:r>
      <w:r w:rsidR="00A8670B" w:rsidRPr="00631C5F">
        <w:rPr>
          <w:rFonts w:ascii="Verdana" w:eastAsia="Times New Roman" w:hAnsi="Verdana" w:cs="Calibri"/>
          <w:color w:val="0070C0"/>
          <w:sz w:val="20"/>
          <w:szCs w:val="20"/>
          <w:lang w:eastAsia="pl-PL"/>
        </w:rPr>
        <w:t xml:space="preserve">w autonomicznym rozumieniu Konwencji było zbliżone do </w:t>
      </w:r>
      <w:r w:rsidRPr="00631C5F">
        <w:rPr>
          <w:rFonts w:ascii="Verdana" w:eastAsia="Times New Roman" w:hAnsi="Verdana" w:cs="Calibri"/>
          <w:color w:val="0070C0"/>
          <w:sz w:val="20"/>
          <w:szCs w:val="20"/>
          <w:lang w:eastAsia="pl-PL"/>
        </w:rPr>
        <w:t>„postępowania karnego”</w:t>
      </w:r>
      <w:r w:rsidR="00A8670B" w:rsidRPr="00631C5F">
        <w:rPr>
          <w:rFonts w:ascii="Verdana" w:eastAsia="Times New Roman" w:hAnsi="Verdana" w:cs="Calibri"/>
          <w:color w:val="0070C0"/>
          <w:sz w:val="20"/>
          <w:szCs w:val="20"/>
          <w:lang w:eastAsia="pl-PL"/>
        </w:rPr>
        <w:t xml:space="preserve">. </w:t>
      </w:r>
      <w:r w:rsidRPr="00631C5F">
        <w:rPr>
          <w:rFonts w:ascii="Verdana" w:eastAsia="Times New Roman" w:hAnsi="Verdana" w:cs="Calibri"/>
          <w:color w:val="0070C0"/>
          <w:sz w:val="20"/>
          <w:szCs w:val="20"/>
          <w:lang w:eastAsia="pl-PL"/>
        </w:rPr>
        <w:t>Po uprawomocnieniu się tego „wyroku skazującego” uznano go za winnego popełnienia przestępstwa, k</w:t>
      </w:r>
      <w:r w:rsidR="00A8670B" w:rsidRPr="00631C5F">
        <w:rPr>
          <w:rFonts w:ascii="Verdana" w:eastAsia="Times New Roman" w:hAnsi="Verdana" w:cs="Calibri"/>
          <w:color w:val="0070C0"/>
          <w:sz w:val="20"/>
          <w:szCs w:val="20"/>
          <w:lang w:eastAsia="pl-PL"/>
        </w:rPr>
        <w:t xml:space="preserve">tóre dotyczyło tego samego </w:t>
      </w:r>
      <w:r w:rsidR="00E92546" w:rsidRPr="00631C5F">
        <w:rPr>
          <w:rFonts w:ascii="Verdana" w:eastAsia="Times New Roman" w:hAnsi="Verdana" w:cs="Calibri"/>
          <w:color w:val="0070C0"/>
          <w:sz w:val="20"/>
          <w:szCs w:val="20"/>
          <w:lang w:eastAsia="pl-PL"/>
        </w:rPr>
        <w:t>zachowania</w:t>
      </w:r>
      <w:r w:rsidRPr="00631C5F">
        <w:rPr>
          <w:rFonts w:ascii="Verdana" w:eastAsia="Times New Roman" w:hAnsi="Verdana" w:cs="Calibri"/>
          <w:color w:val="0070C0"/>
          <w:sz w:val="20"/>
          <w:szCs w:val="20"/>
          <w:lang w:eastAsia="pl-PL"/>
        </w:rPr>
        <w:t xml:space="preserve">, co </w:t>
      </w:r>
      <w:r w:rsidR="00A8670B" w:rsidRPr="00631C5F">
        <w:rPr>
          <w:rFonts w:ascii="Verdana" w:eastAsia="Times New Roman" w:hAnsi="Verdana" w:cs="Calibri"/>
          <w:color w:val="0070C0"/>
          <w:sz w:val="20"/>
          <w:szCs w:val="20"/>
          <w:lang w:eastAsia="pl-PL"/>
        </w:rPr>
        <w:t>osądzone</w:t>
      </w:r>
      <w:r w:rsidRPr="00631C5F">
        <w:rPr>
          <w:rFonts w:ascii="Verdana" w:eastAsia="Times New Roman" w:hAnsi="Verdana" w:cs="Calibri"/>
          <w:color w:val="0070C0"/>
          <w:sz w:val="20"/>
          <w:szCs w:val="20"/>
          <w:lang w:eastAsia="pl-PL"/>
        </w:rPr>
        <w:t xml:space="preserve"> w postępowaniu w sprawie drobnego przestępstwa</w:t>
      </w:r>
      <w:r w:rsidR="00A8670B" w:rsidRPr="00631C5F">
        <w:rPr>
          <w:rFonts w:ascii="Verdana" w:eastAsia="Times New Roman" w:hAnsi="Verdana" w:cs="Calibri"/>
          <w:color w:val="0070C0"/>
          <w:sz w:val="20"/>
          <w:szCs w:val="20"/>
          <w:lang w:eastAsia="pl-PL"/>
        </w:rPr>
        <w:t xml:space="preserve"> oraz</w:t>
      </w:r>
      <w:r w:rsidRPr="00631C5F">
        <w:rPr>
          <w:rFonts w:ascii="Verdana" w:eastAsia="Times New Roman" w:hAnsi="Verdana" w:cs="Calibri"/>
          <w:color w:val="0070C0"/>
          <w:sz w:val="20"/>
          <w:szCs w:val="20"/>
          <w:lang w:eastAsia="pl-PL"/>
        </w:rPr>
        <w:t xml:space="preserve"> obejmował</w:t>
      </w:r>
      <w:r w:rsidR="00E92546" w:rsidRPr="00631C5F">
        <w:rPr>
          <w:rFonts w:ascii="Verdana" w:eastAsia="Times New Roman" w:hAnsi="Verdana" w:cs="Calibri"/>
          <w:color w:val="0070C0"/>
          <w:sz w:val="20"/>
          <w:szCs w:val="20"/>
          <w:lang w:eastAsia="pl-PL"/>
        </w:rPr>
        <w:t>o</w:t>
      </w:r>
      <w:r w:rsidRPr="00631C5F">
        <w:rPr>
          <w:rFonts w:ascii="Verdana" w:eastAsia="Times New Roman" w:hAnsi="Verdana" w:cs="Calibri"/>
          <w:color w:val="0070C0"/>
          <w:sz w:val="20"/>
          <w:szCs w:val="20"/>
          <w:lang w:eastAsia="pl-PL"/>
        </w:rPr>
        <w:t xml:space="preserve"> </w:t>
      </w:r>
      <w:r w:rsidR="00A8670B" w:rsidRPr="00631C5F">
        <w:rPr>
          <w:rFonts w:ascii="Verdana" w:eastAsia="Times New Roman" w:hAnsi="Verdana" w:cs="Calibri"/>
          <w:color w:val="0070C0"/>
          <w:sz w:val="20"/>
          <w:szCs w:val="20"/>
          <w:lang w:eastAsia="pl-PL"/>
        </w:rPr>
        <w:t xml:space="preserve">zasadniczo te same </w:t>
      </w:r>
      <w:r w:rsidR="00E92546" w:rsidRPr="00631C5F">
        <w:rPr>
          <w:rFonts w:ascii="Verdana" w:eastAsia="Times New Roman" w:hAnsi="Verdana" w:cs="Calibri"/>
          <w:color w:val="0070C0"/>
          <w:sz w:val="20"/>
          <w:szCs w:val="20"/>
          <w:lang w:eastAsia="pl-PL"/>
        </w:rPr>
        <w:t>fakty</w:t>
      </w:r>
      <w:r w:rsidR="00A8670B" w:rsidRPr="00631C5F">
        <w:rPr>
          <w:rFonts w:ascii="Verdana" w:eastAsia="Times New Roman" w:hAnsi="Verdana" w:cs="Calibri"/>
          <w:color w:val="0070C0"/>
          <w:sz w:val="20"/>
          <w:szCs w:val="20"/>
          <w:lang w:eastAsia="pl-PL"/>
        </w:rPr>
        <w:t xml:space="preserve">. Trybunał </w:t>
      </w:r>
      <w:r w:rsidRPr="00631C5F">
        <w:rPr>
          <w:rFonts w:ascii="Verdana" w:eastAsia="Times New Roman" w:hAnsi="Verdana" w:cs="Calibri"/>
          <w:color w:val="0070C0"/>
          <w:sz w:val="20"/>
          <w:szCs w:val="20"/>
          <w:lang w:eastAsia="pl-PL"/>
        </w:rPr>
        <w:t xml:space="preserve">Konstytucyjny nie zastosował się do zasad ustanowionych w sprawie </w:t>
      </w:r>
      <w:r w:rsidRPr="00EE1269">
        <w:rPr>
          <w:rFonts w:ascii="Verdana" w:eastAsia="Times New Roman" w:hAnsi="Verdana" w:cs="Calibri"/>
          <w:i/>
          <w:iCs/>
          <w:color w:val="0070C0"/>
          <w:sz w:val="20"/>
          <w:szCs w:val="20"/>
          <w:lang w:eastAsia="pl-PL"/>
        </w:rPr>
        <w:t>Sergeya Zolotukhina</w:t>
      </w:r>
      <w:r w:rsidRPr="00631C5F">
        <w:rPr>
          <w:rFonts w:ascii="Verdana" w:eastAsia="Times New Roman" w:hAnsi="Verdana" w:cs="Calibri"/>
          <w:color w:val="0070C0"/>
          <w:sz w:val="20"/>
          <w:szCs w:val="20"/>
          <w:lang w:eastAsia="pl-PL"/>
        </w:rPr>
        <w:t xml:space="preserve"> (</w:t>
      </w:r>
      <w:r w:rsidR="00631C5F">
        <w:rPr>
          <w:rFonts w:ascii="Verdana" w:eastAsia="Times New Roman" w:hAnsi="Verdana" w:cs="Calibri"/>
          <w:color w:val="0070C0"/>
          <w:sz w:val="20"/>
          <w:szCs w:val="20"/>
          <w:lang w:eastAsia="pl-PL"/>
        </w:rPr>
        <w:t>zob. powyżej</w:t>
      </w:r>
      <w:r w:rsidRPr="00631C5F">
        <w:rPr>
          <w:rFonts w:ascii="Verdana" w:eastAsia="Times New Roman" w:hAnsi="Verdana" w:cs="Calibri"/>
          <w:color w:val="0070C0"/>
          <w:sz w:val="20"/>
          <w:szCs w:val="20"/>
          <w:lang w:eastAsia="pl-PL"/>
        </w:rPr>
        <w:t>), a tym samym nie naprawił sytuacji skarżącego. Trybunał uznał zatem, że postępowanie wszczęte przeciwko skarżącemu na podstawie kodeksu karnego z 1998 r. dotycz</w:t>
      </w:r>
      <w:r w:rsidR="00A8670B" w:rsidRPr="00631C5F">
        <w:rPr>
          <w:rFonts w:ascii="Verdana" w:eastAsia="Times New Roman" w:hAnsi="Verdana" w:cs="Calibri"/>
          <w:color w:val="0070C0"/>
          <w:sz w:val="20"/>
          <w:szCs w:val="20"/>
          <w:lang w:eastAsia="pl-PL"/>
        </w:rPr>
        <w:t>yło zasadniczo tego samego przestępstwa</w:t>
      </w:r>
      <w:r w:rsidRPr="00631C5F">
        <w:rPr>
          <w:rFonts w:ascii="Verdana" w:eastAsia="Times New Roman" w:hAnsi="Verdana" w:cs="Calibri"/>
          <w:color w:val="0070C0"/>
          <w:sz w:val="20"/>
          <w:szCs w:val="20"/>
          <w:lang w:eastAsia="pl-PL"/>
        </w:rPr>
        <w:t>, za który został on już skazany ostateczną decyzją na mocy ustawy o porządku publicznym z 2000</w:t>
      </w:r>
      <w:r w:rsidR="00164883" w:rsidRPr="00631C5F">
        <w:rPr>
          <w:rFonts w:ascii="Verdana" w:eastAsia="Times New Roman" w:hAnsi="Verdana" w:cs="Calibri"/>
          <w:color w:val="0070C0"/>
          <w:sz w:val="20"/>
          <w:szCs w:val="20"/>
          <w:lang w:eastAsia="pl-PL"/>
        </w:rPr>
        <w:t xml:space="preserve"> r</w:t>
      </w:r>
      <w:r w:rsidRPr="00631C5F">
        <w:rPr>
          <w:rFonts w:ascii="Verdana" w:eastAsia="Times New Roman" w:hAnsi="Verdana" w:cs="Calibri"/>
          <w:color w:val="0070C0"/>
          <w:sz w:val="20"/>
          <w:szCs w:val="20"/>
          <w:lang w:eastAsia="pl-PL"/>
        </w:rPr>
        <w:t>.</w:t>
      </w:r>
    </w:p>
    <w:p w14:paraId="5BC67520" w14:textId="2B138E8C" w:rsidR="00F1211B" w:rsidRPr="006E23A1" w:rsidRDefault="00F1211B" w:rsidP="008B0AE6">
      <w:pPr>
        <w:spacing w:after="0"/>
        <w:jc w:val="both"/>
        <w:rPr>
          <w:rFonts w:ascii="Verdana" w:hAnsi="Verdana" w:cs="Calibri"/>
          <w:sz w:val="20"/>
          <w:szCs w:val="20"/>
        </w:rPr>
      </w:pPr>
      <w:r w:rsidRPr="006E23A1">
        <w:rPr>
          <w:rFonts w:ascii="Verdana" w:hAnsi="Verdana" w:cs="Calibri"/>
          <w:i/>
          <w:sz w:val="20"/>
          <w:szCs w:val="20"/>
        </w:rPr>
        <w:t>Zob</w:t>
      </w:r>
      <w:r w:rsidR="00631C5F">
        <w:rPr>
          <w:rFonts w:ascii="Verdana" w:hAnsi="Verdana" w:cs="Calibri"/>
          <w:i/>
          <w:sz w:val="20"/>
          <w:szCs w:val="20"/>
        </w:rPr>
        <w:t>.</w:t>
      </w:r>
      <w:r w:rsidRPr="006E23A1">
        <w:rPr>
          <w:rFonts w:ascii="Verdana" w:hAnsi="Verdana" w:cs="Calibri"/>
          <w:i/>
          <w:sz w:val="20"/>
          <w:szCs w:val="20"/>
        </w:rPr>
        <w:t xml:space="preserve"> także</w:t>
      </w:r>
      <w:r w:rsidRPr="006E23A1">
        <w:rPr>
          <w:rFonts w:ascii="Verdana" w:hAnsi="Verdana" w:cs="Calibri"/>
          <w:sz w:val="20"/>
          <w:szCs w:val="20"/>
        </w:rPr>
        <w:t xml:space="preserve">: </w:t>
      </w:r>
      <w:hyperlink r:id="rId53" w:history="1">
        <w:r w:rsidRPr="00EE1269">
          <w:rPr>
            <w:rStyle w:val="Hipercze"/>
            <w:rFonts w:ascii="Verdana" w:hAnsi="Verdana" w:cs="Calibri"/>
            <w:b/>
            <w:sz w:val="20"/>
            <w:szCs w:val="20"/>
          </w:rPr>
          <w:t>Milenković przeciwko Serbii</w:t>
        </w:r>
      </w:hyperlink>
      <w:r w:rsidR="00EE6B3B" w:rsidRPr="006E23A1">
        <w:rPr>
          <w:rFonts w:ascii="Verdana" w:hAnsi="Verdana" w:cs="Calibri"/>
          <w:sz w:val="20"/>
          <w:szCs w:val="20"/>
        </w:rPr>
        <w:t xml:space="preserve">, wyrok z </w:t>
      </w:r>
      <w:r w:rsidR="00EE1269">
        <w:rPr>
          <w:rFonts w:ascii="Verdana" w:hAnsi="Verdana" w:cs="Calibri"/>
          <w:sz w:val="20"/>
          <w:szCs w:val="20"/>
        </w:rPr>
        <w:t xml:space="preserve">dnia </w:t>
      </w:r>
      <w:r w:rsidRPr="006E23A1">
        <w:rPr>
          <w:rFonts w:ascii="Verdana" w:hAnsi="Verdana" w:cs="Calibri"/>
          <w:sz w:val="20"/>
          <w:szCs w:val="20"/>
        </w:rPr>
        <w:t>1 marca 2016 r.</w:t>
      </w:r>
    </w:p>
    <w:p w14:paraId="4278CB9C" w14:textId="77777777" w:rsidR="00631C5F" w:rsidRDefault="00631C5F" w:rsidP="008B0AE6">
      <w:pPr>
        <w:spacing w:after="0"/>
        <w:rPr>
          <w:rFonts w:ascii="Verdana" w:hAnsi="Verdana" w:cs="Calibri"/>
          <w:b/>
          <w:color w:val="2E74B5" w:themeColor="accent1" w:themeShade="BF"/>
          <w:sz w:val="20"/>
          <w:szCs w:val="20"/>
          <w:u w:val="single"/>
        </w:rPr>
      </w:pPr>
    </w:p>
    <w:p w14:paraId="67882783" w14:textId="48686628" w:rsidR="00F1211B" w:rsidRPr="006E23A1" w:rsidRDefault="00EE6B3B" w:rsidP="008B0AE6">
      <w:pPr>
        <w:spacing w:after="0"/>
        <w:rPr>
          <w:rFonts w:ascii="Verdana" w:hAnsi="Verdana" w:cs="Calibri"/>
          <w:color w:val="767171" w:themeColor="background2" w:themeShade="80"/>
          <w:sz w:val="20"/>
          <w:szCs w:val="20"/>
        </w:rPr>
      </w:pPr>
      <w:hyperlink r:id="rId54" w:history="1">
        <w:r w:rsidRPr="00EE1269">
          <w:rPr>
            <w:rStyle w:val="Hipercze"/>
            <w:rFonts w:ascii="Verdana" w:hAnsi="Verdana" w:cs="Calibri"/>
            <w:b/>
            <w:sz w:val="20"/>
            <w:szCs w:val="20"/>
          </w:rPr>
          <w:t xml:space="preserve">Grande Stevens i </w:t>
        </w:r>
        <w:r w:rsidR="00E92546" w:rsidRPr="00EE1269">
          <w:rPr>
            <w:rStyle w:val="Hipercze"/>
            <w:rFonts w:ascii="Verdana" w:hAnsi="Verdana" w:cs="Calibri"/>
            <w:b/>
            <w:sz w:val="20"/>
            <w:szCs w:val="20"/>
          </w:rPr>
          <w:t>I</w:t>
        </w:r>
        <w:r w:rsidRPr="00EE1269">
          <w:rPr>
            <w:rStyle w:val="Hipercze"/>
            <w:rFonts w:ascii="Verdana" w:hAnsi="Verdana" w:cs="Calibri"/>
            <w:b/>
            <w:sz w:val="20"/>
            <w:szCs w:val="20"/>
          </w:rPr>
          <w:t>nni</w:t>
        </w:r>
        <w:r w:rsidR="00F1211B" w:rsidRPr="00EE1269">
          <w:rPr>
            <w:rStyle w:val="Hipercze"/>
            <w:rFonts w:ascii="Verdana" w:hAnsi="Verdana" w:cs="Calibri"/>
            <w:b/>
            <w:sz w:val="20"/>
            <w:szCs w:val="20"/>
          </w:rPr>
          <w:t xml:space="preserve"> przeciwko Włochom</w:t>
        </w:r>
      </w:hyperlink>
      <w:r w:rsidRPr="006E23A1">
        <w:rPr>
          <w:rFonts w:ascii="Verdana" w:hAnsi="Verdana" w:cs="Calibri"/>
          <w:color w:val="767171" w:themeColor="background2" w:themeShade="80"/>
          <w:sz w:val="20"/>
          <w:szCs w:val="20"/>
        </w:rPr>
        <w:br/>
      </w:r>
      <w:r w:rsidRPr="00EE1269">
        <w:rPr>
          <w:rFonts w:ascii="Verdana" w:hAnsi="Verdana" w:cs="Calibri"/>
          <w:color w:val="767171" w:themeColor="background2" w:themeShade="80"/>
          <w:sz w:val="18"/>
          <w:szCs w:val="18"/>
        </w:rPr>
        <w:t>4 marca 2014</w:t>
      </w:r>
      <w:r w:rsidR="00E92546" w:rsidRPr="00EE1269">
        <w:rPr>
          <w:rFonts w:ascii="Verdana" w:hAnsi="Verdana" w:cs="Calibri"/>
          <w:color w:val="767171" w:themeColor="background2" w:themeShade="80"/>
          <w:sz w:val="18"/>
          <w:szCs w:val="18"/>
        </w:rPr>
        <w:t xml:space="preserve"> </w:t>
      </w:r>
      <w:r w:rsidR="00FB5524" w:rsidRPr="00EE1269">
        <w:rPr>
          <w:rFonts w:ascii="Verdana" w:hAnsi="Verdana" w:cs="Calibri"/>
          <w:color w:val="767171" w:themeColor="background2" w:themeShade="80"/>
          <w:sz w:val="18"/>
          <w:szCs w:val="18"/>
        </w:rPr>
        <w:t>r.</w:t>
      </w:r>
      <w:r w:rsidRPr="00EE1269">
        <w:rPr>
          <w:rFonts w:ascii="Verdana" w:hAnsi="Verdana" w:cs="Calibri"/>
          <w:color w:val="767171" w:themeColor="background2" w:themeShade="80"/>
          <w:sz w:val="18"/>
          <w:szCs w:val="18"/>
        </w:rPr>
        <w:t xml:space="preserve"> (Wielka I</w:t>
      </w:r>
      <w:r w:rsidR="00F1211B" w:rsidRPr="00EE1269">
        <w:rPr>
          <w:rFonts w:ascii="Verdana" w:hAnsi="Verdana" w:cs="Calibri"/>
          <w:color w:val="767171" w:themeColor="background2" w:themeShade="80"/>
          <w:sz w:val="18"/>
          <w:szCs w:val="18"/>
        </w:rPr>
        <w:t>zba)</w:t>
      </w:r>
    </w:p>
    <w:p w14:paraId="6D60B317" w14:textId="77BB7C26"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Skarżącymi były dwie spółki i ich prezes oraz upoważniony przedstawiciel jednej z nich, a także prawnik, który im doradzał. Sprawa dotyczyła ich odwoł</w:t>
      </w:r>
      <w:r w:rsidR="00D16D9C" w:rsidRPr="006E23A1">
        <w:rPr>
          <w:rFonts w:ascii="Verdana" w:hAnsi="Verdana" w:cs="Calibri"/>
          <w:sz w:val="20"/>
          <w:szCs w:val="20"/>
        </w:rPr>
        <w:t xml:space="preserve">ania od sankcji administracyjnych nałożonych na nich przez </w:t>
      </w:r>
      <w:r w:rsidR="00EE1269">
        <w:rPr>
          <w:rFonts w:ascii="Verdana" w:hAnsi="Verdana" w:cs="Calibri"/>
          <w:sz w:val="20"/>
          <w:szCs w:val="20"/>
        </w:rPr>
        <w:t>w</w:t>
      </w:r>
      <w:r w:rsidR="00052EDB" w:rsidRPr="006E23A1">
        <w:rPr>
          <w:rFonts w:ascii="Verdana" w:hAnsi="Verdana" w:cs="Calibri"/>
          <w:sz w:val="20"/>
          <w:szCs w:val="20"/>
        </w:rPr>
        <w:t xml:space="preserve">łoską </w:t>
      </w:r>
      <w:r w:rsidR="00E92546" w:rsidRPr="006E23A1">
        <w:rPr>
          <w:rFonts w:ascii="Verdana" w:hAnsi="Verdana" w:cs="Calibri"/>
          <w:sz w:val="20"/>
          <w:szCs w:val="20"/>
        </w:rPr>
        <w:t>K</w:t>
      </w:r>
      <w:r w:rsidR="00052EDB" w:rsidRPr="006E23A1">
        <w:rPr>
          <w:rFonts w:ascii="Verdana" w:hAnsi="Verdana" w:cs="Calibri"/>
          <w:sz w:val="20"/>
          <w:szCs w:val="20"/>
        </w:rPr>
        <w:t>omisję ds. spółek handlowych i papierów wartościowych</w:t>
      </w:r>
      <w:r w:rsidR="006517E7" w:rsidRPr="006E23A1">
        <w:rPr>
          <w:rFonts w:ascii="Verdana" w:hAnsi="Verdana" w:cs="Calibri"/>
          <w:sz w:val="20"/>
          <w:szCs w:val="20"/>
        </w:rPr>
        <w:t xml:space="preserve"> („Consob</w:t>
      </w:r>
      <w:r w:rsidR="006517E7" w:rsidRPr="006E23A1">
        <w:rPr>
          <w:rStyle w:val="Odwoanieprzypisudolnego"/>
          <w:rFonts w:ascii="Verdana" w:hAnsi="Verdana" w:cs="Calibri"/>
          <w:sz w:val="20"/>
          <w:szCs w:val="20"/>
        </w:rPr>
        <w:footnoteReference w:id="4"/>
      </w:r>
      <w:r w:rsidR="006517E7" w:rsidRPr="006E23A1">
        <w:rPr>
          <w:rFonts w:ascii="Verdana" w:hAnsi="Verdana" w:cs="Calibri"/>
          <w:sz w:val="20"/>
          <w:szCs w:val="20"/>
        </w:rPr>
        <w:t>”)</w:t>
      </w:r>
      <w:r w:rsidR="00052EDB" w:rsidRPr="006E23A1">
        <w:rPr>
          <w:rFonts w:ascii="Verdana" w:hAnsi="Verdana" w:cs="Calibri"/>
          <w:sz w:val="20"/>
          <w:szCs w:val="20"/>
        </w:rPr>
        <w:t xml:space="preserve"> </w:t>
      </w:r>
      <w:r w:rsidR="006517E7" w:rsidRPr="006E23A1">
        <w:rPr>
          <w:rFonts w:ascii="Verdana" w:hAnsi="Verdana" w:cs="Calibri"/>
          <w:sz w:val="20"/>
          <w:szCs w:val="20"/>
        </w:rPr>
        <w:t>oraz p</w:t>
      </w:r>
      <w:r w:rsidR="00995E7D" w:rsidRPr="006E23A1">
        <w:rPr>
          <w:rFonts w:ascii="Verdana" w:hAnsi="Verdana" w:cs="Calibri"/>
          <w:sz w:val="20"/>
          <w:szCs w:val="20"/>
        </w:rPr>
        <w:t>ostępowań karnych, które toczyły</w:t>
      </w:r>
      <w:r w:rsidR="006517E7" w:rsidRPr="006E23A1">
        <w:rPr>
          <w:rFonts w:ascii="Verdana" w:hAnsi="Verdana" w:cs="Calibri"/>
          <w:sz w:val="20"/>
          <w:szCs w:val="20"/>
        </w:rPr>
        <w:t xml:space="preserve"> się w st</w:t>
      </w:r>
      <w:r w:rsidR="00995E7D" w:rsidRPr="006E23A1">
        <w:rPr>
          <w:rFonts w:ascii="Verdana" w:hAnsi="Verdana" w:cs="Calibri"/>
          <w:sz w:val="20"/>
          <w:szCs w:val="20"/>
        </w:rPr>
        <w:t>osunku do n</w:t>
      </w:r>
      <w:r w:rsidR="00C0511E" w:rsidRPr="006E23A1">
        <w:rPr>
          <w:rFonts w:ascii="Verdana" w:hAnsi="Verdana" w:cs="Calibri"/>
          <w:sz w:val="20"/>
          <w:szCs w:val="20"/>
        </w:rPr>
        <w:t>ich, po tym jak zostali podejrza</w:t>
      </w:r>
      <w:r w:rsidR="00995E7D" w:rsidRPr="006E23A1">
        <w:rPr>
          <w:rFonts w:ascii="Verdana" w:hAnsi="Verdana" w:cs="Calibri"/>
          <w:sz w:val="20"/>
          <w:szCs w:val="20"/>
        </w:rPr>
        <w:t>ni</w:t>
      </w:r>
      <w:r w:rsidR="006517E7" w:rsidRPr="006E23A1">
        <w:rPr>
          <w:rFonts w:ascii="Verdana" w:hAnsi="Verdana" w:cs="Calibri"/>
          <w:sz w:val="20"/>
          <w:szCs w:val="20"/>
        </w:rPr>
        <w:t xml:space="preserve"> </w:t>
      </w:r>
      <w:r w:rsidR="00995E7D" w:rsidRPr="006E23A1">
        <w:rPr>
          <w:rFonts w:ascii="Verdana" w:hAnsi="Verdana" w:cs="Calibri"/>
          <w:sz w:val="20"/>
          <w:szCs w:val="20"/>
        </w:rPr>
        <w:t>o manipulacje rynkowe</w:t>
      </w:r>
      <w:r w:rsidR="006517E7" w:rsidRPr="006E23A1">
        <w:rPr>
          <w:rFonts w:ascii="Verdana" w:hAnsi="Verdana" w:cs="Calibri"/>
          <w:sz w:val="20"/>
          <w:szCs w:val="20"/>
        </w:rPr>
        <w:t xml:space="preserve"> </w:t>
      </w:r>
      <w:r w:rsidRPr="006E23A1">
        <w:rPr>
          <w:rFonts w:ascii="Verdana" w:hAnsi="Verdana" w:cs="Calibri"/>
          <w:sz w:val="20"/>
          <w:szCs w:val="20"/>
        </w:rPr>
        <w:t>w kontekście operacji finansowej z udziałem producenta sa</w:t>
      </w:r>
      <w:r w:rsidR="00995E7D" w:rsidRPr="006E23A1">
        <w:rPr>
          <w:rFonts w:ascii="Verdana" w:hAnsi="Verdana" w:cs="Calibri"/>
          <w:sz w:val="20"/>
          <w:szCs w:val="20"/>
        </w:rPr>
        <w:t>mochodów FIAT. Skarżący podnosili</w:t>
      </w:r>
      <w:r w:rsidRPr="006E23A1">
        <w:rPr>
          <w:rFonts w:ascii="Verdana" w:hAnsi="Verdana" w:cs="Calibri"/>
          <w:sz w:val="20"/>
          <w:szCs w:val="20"/>
        </w:rPr>
        <w:t xml:space="preserve"> między innymi, że wszczęto przeciwko nim postępowanie karne w związku z wydarzeniami, za które </w:t>
      </w:r>
      <w:r w:rsidR="00995E7D" w:rsidRPr="006E23A1">
        <w:rPr>
          <w:rFonts w:ascii="Verdana" w:hAnsi="Verdana" w:cs="Calibri"/>
          <w:sz w:val="20"/>
          <w:szCs w:val="20"/>
        </w:rPr>
        <w:t>została już na nich nałożona kara administracyjna</w:t>
      </w:r>
      <w:r w:rsidRPr="006E23A1">
        <w:rPr>
          <w:rFonts w:ascii="Verdana" w:hAnsi="Verdana" w:cs="Calibri"/>
          <w:sz w:val="20"/>
          <w:szCs w:val="20"/>
        </w:rPr>
        <w:t>. Rząd włoski poinformował, że Włochy złożyły oświadcze</w:t>
      </w:r>
      <w:r w:rsidR="00995E7D" w:rsidRPr="006E23A1">
        <w:rPr>
          <w:rFonts w:ascii="Verdana" w:hAnsi="Verdana" w:cs="Calibri"/>
          <w:sz w:val="20"/>
          <w:szCs w:val="20"/>
        </w:rPr>
        <w:t xml:space="preserve">nie, zgodnie z którym art. 2-4 Protokołu </w:t>
      </w:r>
      <w:r w:rsidR="00EE1269">
        <w:rPr>
          <w:rFonts w:ascii="Verdana" w:hAnsi="Verdana" w:cs="Calibri"/>
          <w:sz w:val="20"/>
          <w:szCs w:val="20"/>
        </w:rPr>
        <w:t>n</w:t>
      </w:r>
      <w:r w:rsidR="00E97A36">
        <w:rPr>
          <w:rFonts w:ascii="Verdana" w:hAnsi="Verdana" w:cs="Calibri"/>
          <w:sz w:val="20"/>
          <w:szCs w:val="20"/>
        </w:rPr>
        <w:t>r</w:t>
      </w:r>
      <w:r w:rsidRPr="006E23A1">
        <w:rPr>
          <w:rFonts w:ascii="Verdana" w:hAnsi="Verdana" w:cs="Calibri"/>
          <w:sz w:val="20"/>
          <w:szCs w:val="20"/>
        </w:rPr>
        <w:t xml:space="preserve"> 7 mają zastosowanie wyłącznie do przestępstw, postępowań i decyzji zaklasyfikowanych jako przestępstwa zgodnie z prawem włoskim, co nie miało miejsca w przypadku przestępstw zakazanych przez Consob.</w:t>
      </w:r>
    </w:p>
    <w:p w14:paraId="31C365C7" w14:textId="51E883D4" w:rsidR="00F1211B" w:rsidRPr="00EE1269" w:rsidRDefault="00F1211B" w:rsidP="008B0AE6">
      <w:pPr>
        <w:spacing w:after="0"/>
        <w:jc w:val="both"/>
        <w:rPr>
          <w:rFonts w:ascii="Verdana" w:hAnsi="Verdana" w:cs="Calibri"/>
          <w:color w:val="0070C0"/>
          <w:sz w:val="20"/>
          <w:szCs w:val="20"/>
        </w:rPr>
      </w:pPr>
      <w:r w:rsidRPr="00EE1269">
        <w:rPr>
          <w:rFonts w:ascii="Verdana" w:hAnsi="Verdana" w:cs="Calibri"/>
          <w:color w:val="0070C0"/>
          <w:sz w:val="20"/>
          <w:szCs w:val="20"/>
        </w:rPr>
        <w:t>Po pierwsze, Trybunał zauważył, że zastrzeże</w:t>
      </w:r>
      <w:r w:rsidR="00995E7D" w:rsidRPr="00EE1269">
        <w:rPr>
          <w:rFonts w:ascii="Verdana" w:hAnsi="Verdana" w:cs="Calibri"/>
          <w:color w:val="0070C0"/>
          <w:sz w:val="20"/>
          <w:szCs w:val="20"/>
        </w:rPr>
        <w:t xml:space="preserve">nie Włoch nie zawiera „krótkiego przedstawienia </w:t>
      </w:r>
      <w:r w:rsidRPr="00EE1269">
        <w:rPr>
          <w:rFonts w:ascii="Verdana" w:hAnsi="Verdana" w:cs="Calibri"/>
          <w:color w:val="0070C0"/>
          <w:sz w:val="20"/>
          <w:szCs w:val="20"/>
        </w:rPr>
        <w:t>prawa</w:t>
      </w:r>
      <w:r w:rsidR="00995E7D" w:rsidRPr="00EE1269">
        <w:rPr>
          <w:rFonts w:ascii="Verdana" w:hAnsi="Verdana" w:cs="Calibri"/>
          <w:color w:val="0070C0"/>
          <w:sz w:val="20"/>
          <w:szCs w:val="20"/>
        </w:rPr>
        <w:t>, którego dotyczyło”</w:t>
      </w:r>
      <w:r w:rsidRPr="00EE1269">
        <w:rPr>
          <w:rFonts w:ascii="Verdana" w:hAnsi="Verdana" w:cs="Calibri"/>
          <w:color w:val="0070C0"/>
          <w:sz w:val="20"/>
          <w:szCs w:val="20"/>
        </w:rPr>
        <w:t xml:space="preserve">, co jest sprzeczne z wymogami art. 57 Konwencji. Zastrzeżenie, które nie odnosiło się do tych szczególnych przepisów krajowego porządku prawnego, które wyłączają przestępstwa </w:t>
      </w:r>
      <w:r w:rsidR="00995E7D" w:rsidRPr="00EE1269">
        <w:rPr>
          <w:rFonts w:ascii="Verdana" w:hAnsi="Verdana" w:cs="Calibri"/>
          <w:color w:val="0070C0"/>
          <w:sz w:val="20"/>
          <w:szCs w:val="20"/>
        </w:rPr>
        <w:t xml:space="preserve">lub procedury z zakresu art. 4 Protokołu </w:t>
      </w:r>
      <w:r w:rsidR="008118E9">
        <w:rPr>
          <w:rFonts w:ascii="Verdana" w:hAnsi="Verdana" w:cs="Calibri"/>
          <w:color w:val="0070C0"/>
          <w:sz w:val="20"/>
          <w:szCs w:val="20"/>
        </w:rPr>
        <w:t>n</w:t>
      </w:r>
      <w:r w:rsidR="00E97A36" w:rsidRPr="00EE1269">
        <w:rPr>
          <w:rFonts w:ascii="Verdana" w:hAnsi="Verdana" w:cs="Calibri"/>
          <w:color w:val="0070C0"/>
          <w:sz w:val="20"/>
          <w:szCs w:val="20"/>
        </w:rPr>
        <w:t>r</w:t>
      </w:r>
      <w:r w:rsidRPr="00EE1269">
        <w:rPr>
          <w:rFonts w:ascii="Verdana" w:hAnsi="Verdana" w:cs="Calibri"/>
          <w:color w:val="0070C0"/>
          <w:sz w:val="20"/>
          <w:szCs w:val="20"/>
        </w:rPr>
        <w:t xml:space="preserve"> 7, ani nie wymieniało tych szczególnych przepisów tego porządku, nie dawało w wystarczającym stopniu gwarancji, że nie wykraczają one poza przepis wyraźnie wyłączony przez umawiające się państwo. W konsekwencji Trybunał stwierdził, że zastrzeżenie, na które powołują się Włochy, nie spełnia wymogów art. 57 i w związku z tym jest nieważne.</w:t>
      </w:r>
    </w:p>
    <w:p w14:paraId="302456D7" w14:textId="12EADD7C" w:rsidR="00F1211B" w:rsidRPr="00EE1269" w:rsidRDefault="00F1211B" w:rsidP="008B0AE6">
      <w:pPr>
        <w:spacing w:after="0"/>
        <w:jc w:val="both"/>
        <w:rPr>
          <w:rFonts w:ascii="Verdana" w:hAnsi="Verdana" w:cs="Calibri"/>
          <w:color w:val="0070C0"/>
          <w:sz w:val="20"/>
          <w:szCs w:val="20"/>
        </w:rPr>
      </w:pPr>
      <w:r w:rsidRPr="00EE1269">
        <w:rPr>
          <w:rFonts w:ascii="Verdana" w:hAnsi="Verdana" w:cs="Calibri"/>
          <w:color w:val="0070C0"/>
          <w:sz w:val="20"/>
          <w:szCs w:val="20"/>
        </w:rPr>
        <w:t>W odniesieniu do meritum</w:t>
      </w:r>
      <w:r w:rsidR="00995E7D" w:rsidRPr="00EE1269">
        <w:rPr>
          <w:rFonts w:ascii="Verdana" w:hAnsi="Verdana" w:cs="Calibri"/>
          <w:color w:val="0070C0"/>
          <w:sz w:val="20"/>
          <w:szCs w:val="20"/>
        </w:rPr>
        <w:t>,</w:t>
      </w:r>
      <w:r w:rsidRPr="00EE1269">
        <w:rPr>
          <w:rFonts w:ascii="Verdana" w:hAnsi="Verdana" w:cs="Calibri"/>
          <w:color w:val="0070C0"/>
          <w:sz w:val="20"/>
          <w:szCs w:val="20"/>
        </w:rPr>
        <w:t xml:space="preserve"> Trybunał stwierdził, zgodnie z art. 6 </w:t>
      </w:r>
      <w:r w:rsidR="00995E7D" w:rsidRPr="00EE1269">
        <w:rPr>
          <w:rFonts w:ascii="Verdana" w:hAnsi="Verdana" w:cs="Calibri"/>
          <w:color w:val="0070C0"/>
          <w:sz w:val="20"/>
          <w:szCs w:val="20"/>
        </w:rPr>
        <w:t>K</w:t>
      </w:r>
      <w:r w:rsidRPr="00EE1269">
        <w:rPr>
          <w:rFonts w:ascii="Verdana" w:hAnsi="Verdana" w:cs="Calibri"/>
          <w:color w:val="0070C0"/>
          <w:sz w:val="20"/>
          <w:szCs w:val="20"/>
        </w:rPr>
        <w:t>onwencji</w:t>
      </w:r>
      <w:r w:rsidR="00995E7D" w:rsidRPr="00EE1269">
        <w:rPr>
          <w:rFonts w:ascii="Verdana" w:hAnsi="Verdana" w:cs="Calibri"/>
          <w:color w:val="0070C0"/>
          <w:sz w:val="20"/>
          <w:szCs w:val="20"/>
        </w:rPr>
        <w:t xml:space="preserve"> (prawo do rzetelnego procesu sądowego)</w:t>
      </w:r>
      <w:r w:rsidRPr="00EE1269">
        <w:rPr>
          <w:rFonts w:ascii="Verdana" w:hAnsi="Verdana" w:cs="Calibri"/>
          <w:color w:val="0070C0"/>
          <w:sz w:val="20"/>
          <w:szCs w:val="20"/>
        </w:rPr>
        <w:t>, że rzeczywiście istnieją podstawy do uznan</w:t>
      </w:r>
      <w:r w:rsidR="00995E7D" w:rsidRPr="00EE1269">
        <w:rPr>
          <w:rFonts w:ascii="Verdana" w:hAnsi="Verdana" w:cs="Calibri"/>
          <w:color w:val="0070C0"/>
          <w:sz w:val="20"/>
          <w:szCs w:val="20"/>
        </w:rPr>
        <w:t xml:space="preserve">ia, że postępowanie przed </w:t>
      </w:r>
      <w:r w:rsidRPr="00EE1269">
        <w:rPr>
          <w:rFonts w:ascii="Verdana" w:hAnsi="Verdana" w:cs="Calibri"/>
          <w:color w:val="0070C0"/>
          <w:sz w:val="20"/>
          <w:szCs w:val="20"/>
        </w:rPr>
        <w:t>Consob dotyczy</w:t>
      </w:r>
      <w:r w:rsidR="00995E7D" w:rsidRPr="00EE1269">
        <w:rPr>
          <w:rFonts w:ascii="Verdana" w:hAnsi="Verdana" w:cs="Calibri"/>
          <w:color w:val="0070C0"/>
          <w:sz w:val="20"/>
          <w:szCs w:val="20"/>
        </w:rPr>
        <w:t>ło „oskarżenia w sprawie karnej”</w:t>
      </w:r>
      <w:r w:rsidRPr="00EE1269">
        <w:rPr>
          <w:rFonts w:ascii="Verdana" w:hAnsi="Verdana" w:cs="Calibri"/>
          <w:color w:val="0070C0"/>
          <w:sz w:val="20"/>
          <w:szCs w:val="20"/>
        </w:rPr>
        <w:t xml:space="preserve">. Podobnie </w:t>
      </w:r>
      <w:r w:rsidR="00751719" w:rsidRPr="00EE1269">
        <w:rPr>
          <w:rFonts w:ascii="Verdana" w:hAnsi="Verdana" w:cs="Calibri"/>
          <w:color w:val="0070C0"/>
          <w:sz w:val="20"/>
          <w:szCs w:val="20"/>
        </w:rPr>
        <w:t>decyzje wydane</w:t>
      </w:r>
      <w:r w:rsidRPr="00EE1269">
        <w:rPr>
          <w:rFonts w:ascii="Verdana" w:hAnsi="Verdana" w:cs="Calibri"/>
          <w:color w:val="0070C0"/>
          <w:sz w:val="20"/>
          <w:szCs w:val="20"/>
        </w:rPr>
        <w:t xml:space="preserve"> przez Consob, a częściowo zmniejszone przez sąd apelacyjny, stały się prawomocne w czerwcu 2009 r., kiedy to sąd kasacyjny wydał swoje wyroki. W związku z tym skarżący powinni byli zostać uznani za skazanych prawomocnym wyrokiem. Mimo to nowe postępowanie karne, które w międzyczasie wszczęto przeciwko nim, zostało utrzymane i zakończyło się wydaniem wyroków w pierwszej i drugiej instancji. P</w:t>
      </w:r>
      <w:r w:rsidR="00751719" w:rsidRPr="00EE1269">
        <w:rPr>
          <w:rFonts w:ascii="Verdana" w:hAnsi="Verdana" w:cs="Calibri"/>
          <w:color w:val="0070C0"/>
          <w:sz w:val="20"/>
          <w:szCs w:val="20"/>
        </w:rPr>
        <w:t xml:space="preserve">onadto postępowanie przed </w:t>
      </w:r>
      <w:r w:rsidRPr="00EE1269">
        <w:rPr>
          <w:rFonts w:ascii="Verdana" w:hAnsi="Verdana" w:cs="Calibri"/>
          <w:color w:val="0070C0"/>
          <w:sz w:val="20"/>
          <w:szCs w:val="20"/>
        </w:rPr>
        <w:t>Consob i sądami karnymi dotyczyło tego samego zachowania</w:t>
      </w:r>
      <w:r w:rsidR="00144427" w:rsidRPr="00EE1269">
        <w:rPr>
          <w:rFonts w:ascii="Verdana" w:hAnsi="Verdana" w:cs="Calibri"/>
          <w:color w:val="0070C0"/>
          <w:sz w:val="20"/>
          <w:szCs w:val="20"/>
        </w:rPr>
        <w:t>,</w:t>
      </w:r>
      <w:r w:rsidRPr="00EE1269">
        <w:rPr>
          <w:rFonts w:ascii="Verdana" w:hAnsi="Verdana" w:cs="Calibri"/>
          <w:color w:val="0070C0"/>
          <w:sz w:val="20"/>
          <w:szCs w:val="20"/>
        </w:rPr>
        <w:t xml:space="preserve"> tych samych osób</w:t>
      </w:r>
      <w:r w:rsidR="00144427" w:rsidRPr="00EE1269">
        <w:rPr>
          <w:rFonts w:ascii="Verdana" w:hAnsi="Verdana" w:cs="Calibri"/>
          <w:color w:val="0070C0"/>
          <w:sz w:val="20"/>
          <w:szCs w:val="20"/>
        </w:rPr>
        <w:t>,</w:t>
      </w:r>
      <w:r w:rsidRPr="00EE1269">
        <w:rPr>
          <w:rFonts w:ascii="Verdana" w:hAnsi="Verdana" w:cs="Calibri"/>
          <w:color w:val="0070C0"/>
          <w:sz w:val="20"/>
          <w:szCs w:val="20"/>
        </w:rPr>
        <w:t xml:space="preserve"> w tym samym dniu. Wynika z tego, że nowe p</w:t>
      </w:r>
      <w:r w:rsidR="00751719" w:rsidRPr="00EE1269">
        <w:rPr>
          <w:rFonts w:ascii="Verdana" w:hAnsi="Verdana" w:cs="Calibri"/>
          <w:color w:val="0070C0"/>
          <w:sz w:val="20"/>
          <w:szCs w:val="20"/>
        </w:rPr>
        <w:t>ostępowanie w sprawie drugiego „przestępstwa”</w:t>
      </w:r>
      <w:r w:rsidRPr="00EE1269">
        <w:rPr>
          <w:rFonts w:ascii="Verdana" w:hAnsi="Verdana" w:cs="Calibri"/>
          <w:color w:val="0070C0"/>
          <w:sz w:val="20"/>
          <w:szCs w:val="20"/>
        </w:rPr>
        <w:t xml:space="preserve"> toczyło się w okolicznościach identycznych z tymi, które były przed</w:t>
      </w:r>
      <w:r w:rsidR="00751719" w:rsidRPr="00EE1269">
        <w:rPr>
          <w:rFonts w:ascii="Verdana" w:hAnsi="Verdana" w:cs="Calibri"/>
          <w:color w:val="0070C0"/>
          <w:sz w:val="20"/>
          <w:szCs w:val="20"/>
        </w:rPr>
        <w:t>miotem pierwszego i ostatniego</w:t>
      </w:r>
      <w:r w:rsidRPr="00EE1269">
        <w:rPr>
          <w:rFonts w:ascii="Verdana" w:hAnsi="Verdana" w:cs="Calibri"/>
          <w:color w:val="0070C0"/>
          <w:sz w:val="20"/>
          <w:szCs w:val="20"/>
        </w:rPr>
        <w:t xml:space="preserve"> wyroku skazującego, co samo w sobie </w:t>
      </w:r>
      <w:r w:rsidRPr="00EE1269">
        <w:rPr>
          <w:rFonts w:ascii="Verdana" w:hAnsi="Verdana" w:cs="Calibri"/>
          <w:bCs/>
          <w:color w:val="0070C0"/>
          <w:sz w:val="20"/>
          <w:szCs w:val="20"/>
        </w:rPr>
        <w:t xml:space="preserve">stanowiło </w:t>
      </w:r>
      <w:r w:rsidRPr="00EE1269">
        <w:rPr>
          <w:rFonts w:ascii="Verdana" w:hAnsi="Verdana" w:cs="Calibri"/>
          <w:b/>
          <w:color w:val="0070C0"/>
          <w:sz w:val="20"/>
          <w:szCs w:val="20"/>
        </w:rPr>
        <w:t xml:space="preserve">naruszenie art. 4 Protokołu </w:t>
      </w:r>
      <w:r w:rsidR="00E97A36" w:rsidRPr="00EE1269">
        <w:rPr>
          <w:rFonts w:ascii="Verdana" w:hAnsi="Verdana" w:cs="Calibri"/>
          <w:b/>
          <w:color w:val="0070C0"/>
          <w:sz w:val="20"/>
          <w:szCs w:val="20"/>
        </w:rPr>
        <w:t>nr</w:t>
      </w:r>
      <w:r w:rsidRPr="00EE1269">
        <w:rPr>
          <w:rFonts w:ascii="Verdana" w:hAnsi="Verdana" w:cs="Calibri"/>
          <w:b/>
          <w:color w:val="0070C0"/>
          <w:sz w:val="20"/>
          <w:szCs w:val="20"/>
        </w:rPr>
        <w:t xml:space="preserve"> 7.</w:t>
      </w:r>
      <w:r w:rsidRPr="00EE1269">
        <w:rPr>
          <w:rFonts w:ascii="Verdana" w:hAnsi="Verdana" w:cs="Calibri"/>
          <w:color w:val="0070C0"/>
          <w:sz w:val="20"/>
          <w:szCs w:val="20"/>
        </w:rPr>
        <w:t xml:space="preserve"> W związku z tym do Włoch należ</w:t>
      </w:r>
      <w:r w:rsidR="00EE1269">
        <w:rPr>
          <w:rFonts w:ascii="Verdana" w:hAnsi="Verdana" w:cs="Calibri"/>
          <w:color w:val="0070C0"/>
          <w:sz w:val="20"/>
          <w:szCs w:val="20"/>
        </w:rPr>
        <w:t>ało</w:t>
      </w:r>
      <w:r w:rsidRPr="00EE1269">
        <w:rPr>
          <w:rFonts w:ascii="Verdana" w:hAnsi="Verdana" w:cs="Calibri"/>
          <w:color w:val="0070C0"/>
          <w:sz w:val="20"/>
          <w:szCs w:val="20"/>
        </w:rPr>
        <w:t xml:space="preserve"> zapewnienie jak </w:t>
      </w:r>
      <w:r w:rsidRPr="00EE1269">
        <w:rPr>
          <w:rFonts w:ascii="Verdana" w:hAnsi="Verdana" w:cs="Calibri"/>
          <w:color w:val="0070C0"/>
          <w:sz w:val="20"/>
          <w:szCs w:val="20"/>
        </w:rPr>
        <w:lastRenderedPageBreak/>
        <w:t>najszybszego zamknięcia nowego postępowania karnego przeciwko skarżącym, wszczętego z naruszeniem tego przepisu i które, zgodnie z najnowszymi otrzymanymi informacjami, nadal toczyło się przeciwko</w:t>
      </w:r>
      <w:r w:rsidR="00751719" w:rsidRPr="00EE1269">
        <w:rPr>
          <w:rFonts w:ascii="Verdana" w:hAnsi="Verdana" w:cs="Calibri"/>
          <w:color w:val="0070C0"/>
          <w:sz w:val="20"/>
          <w:szCs w:val="20"/>
        </w:rPr>
        <w:t xml:space="preserve"> trzeciemu i piątemu ze skarżących. </w:t>
      </w:r>
    </w:p>
    <w:p w14:paraId="26C512C1" w14:textId="77777777" w:rsidR="00EE1269" w:rsidRDefault="00EE1269" w:rsidP="00EE1269">
      <w:pPr>
        <w:spacing w:after="0"/>
        <w:jc w:val="both"/>
        <w:rPr>
          <w:rFonts w:ascii="Verdana" w:hAnsi="Verdana" w:cs="Calibri"/>
          <w:b/>
          <w:color w:val="2E74B5" w:themeColor="accent1" w:themeShade="BF"/>
          <w:sz w:val="20"/>
          <w:szCs w:val="20"/>
          <w:u w:val="single"/>
        </w:rPr>
      </w:pPr>
    </w:p>
    <w:p w14:paraId="7D243DE2" w14:textId="2D846F52" w:rsidR="00F1211B" w:rsidRPr="006E23A1" w:rsidRDefault="003A3226" w:rsidP="00EE1269">
      <w:pPr>
        <w:spacing w:after="0"/>
        <w:rPr>
          <w:rFonts w:ascii="Verdana" w:hAnsi="Verdana" w:cs="Calibri"/>
          <w:sz w:val="20"/>
          <w:szCs w:val="20"/>
        </w:rPr>
      </w:pPr>
      <w:hyperlink r:id="rId55" w:history="1">
        <w:r w:rsidRPr="00087D38">
          <w:rPr>
            <w:rStyle w:val="Hipercze"/>
            <w:rFonts w:ascii="Verdana" w:hAnsi="Verdana" w:cs="Calibri"/>
            <w:b/>
            <w:color w:val="0070C0"/>
            <w:sz w:val="20"/>
            <w:szCs w:val="20"/>
          </w:rPr>
          <w:t>Glantz przeciwko Finlandii</w:t>
        </w:r>
      </w:hyperlink>
      <w:r w:rsidRPr="00087D38">
        <w:rPr>
          <w:rFonts w:ascii="Verdana" w:hAnsi="Verdana" w:cs="Calibri"/>
          <w:b/>
          <w:color w:val="0070C0"/>
          <w:sz w:val="20"/>
          <w:szCs w:val="20"/>
        </w:rPr>
        <w:t xml:space="preserve">, </w:t>
      </w:r>
      <w:hyperlink r:id="rId56" w:history="1">
        <w:r w:rsidRPr="00087D38">
          <w:rPr>
            <w:rStyle w:val="Hipercze"/>
            <w:rFonts w:ascii="Verdana" w:hAnsi="Verdana" w:cs="Calibri"/>
            <w:b/>
            <w:color w:val="0070C0"/>
            <w:sz w:val="20"/>
            <w:szCs w:val="20"/>
          </w:rPr>
          <w:t>Häkkä przeciwko Finlandii</w:t>
        </w:r>
      </w:hyperlink>
      <w:r w:rsidRPr="00087D38">
        <w:rPr>
          <w:rFonts w:ascii="Verdana" w:hAnsi="Verdana" w:cs="Calibri"/>
          <w:b/>
          <w:color w:val="0070C0"/>
          <w:sz w:val="20"/>
          <w:szCs w:val="20"/>
        </w:rPr>
        <w:t xml:space="preserve">, </w:t>
      </w:r>
      <w:hyperlink r:id="rId57" w:history="1">
        <w:r w:rsidRPr="00087D38">
          <w:rPr>
            <w:rStyle w:val="Hipercze"/>
            <w:rFonts w:ascii="Verdana" w:hAnsi="Verdana" w:cs="Calibri"/>
            <w:b/>
            <w:color w:val="0070C0"/>
            <w:sz w:val="20"/>
            <w:szCs w:val="20"/>
          </w:rPr>
          <w:t>Nykänen przeciwko Finlandii</w:t>
        </w:r>
      </w:hyperlink>
      <w:r w:rsidR="00EE1269" w:rsidRPr="00087D38">
        <w:rPr>
          <w:rFonts w:ascii="Verdana" w:hAnsi="Verdana" w:cs="Calibri"/>
          <w:b/>
          <w:color w:val="0070C0"/>
          <w:sz w:val="20"/>
          <w:szCs w:val="20"/>
        </w:rPr>
        <w:t xml:space="preserve"> </w:t>
      </w:r>
      <w:r w:rsidRPr="00087D38">
        <w:rPr>
          <w:rFonts w:ascii="Verdana" w:hAnsi="Verdana" w:cs="Calibri"/>
          <w:b/>
          <w:color w:val="0070C0"/>
          <w:sz w:val="20"/>
          <w:szCs w:val="20"/>
        </w:rPr>
        <w:t xml:space="preserve">oraz </w:t>
      </w:r>
      <w:hyperlink r:id="rId58" w:history="1">
        <w:r w:rsidRPr="00087D38">
          <w:rPr>
            <w:rStyle w:val="Hipercze"/>
            <w:rFonts w:ascii="Verdana" w:hAnsi="Verdana" w:cs="Calibri"/>
            <w:b/>
            <w:color w:val="0070C0"/>
            <w:sz w:val="20"/>
            <w:szCs w:val="20"/>
          </w:rPr>
          <w:t>Pirttimäki przeciwko Finlandii</w:t>
        </w:r>
      </w:hyperlink>
      <w:r w:rsidRPr="006E23A1">
        <w:rPr>
          <w:rFonts w:ascii="Verdana" w:hAnsi="Verdana" w:cs="Calibri"/>
          <w:sz w:val="20"/>
          <w:szCs w:val="20"/>
        </w:rPr>
        <w:br/>
      </w:r>
      <w:r w:rsidRPr="00087D38">
        <w:rPr>
          <w:rFonts w:ascii="Verdana" w:hAnsi="Verdana" w:cs="Calibri"/>
          <w:color w:val="767171" w:themeColor="background2" w:themeShade="80"/>
          <w:sz w:val="18"/>
          <w:szCs w:val="18"/>
        </w:rPr>
        <w:t>20 maja 2014</w:t>
      </w:r>
      <w:r w:rsidR="00144427" w:rsidRPr="00087D38">
        <w:rPr>
          <w:rFonts w:ascii="Verdana" w:hAnsi="Verdana" w:cs="Calibri"/>
          <w:color w:val="767171" w:themeColor="background2" w:themeShade="80"/>
          <w:sz w:val="18"/>
          <w:szCs w:val="18"/>
        </w:rPr>
        <w:t xml:space="preserve"> </w:t>
      </w:r>
      <w:r w:rsidR="00C0511E" w:rsidRPr="00087D38">
        <w:rPr>
          <w:rFonts w:ascii="Verdana" w:hAnsi="Verdana" w:cs="Calibri"/>
          <w:color w:val="767171" w:themeColor="background2" w:themeShade="80"/>
          <w:sz w:val="18"/>
          <w:szCs w:val="18"/>
        </w:rPr>
        <w:t>r.</w:t>
      </w:r>
      <w:r w:rsidR="00C0511E" w:rsidRPr="006E23A1">
        <w:rPr>
          <w:rFonts w:ascii="Verdana" w:hAnsi="Verdana" w:cs="Calibri"/>
          <w:color w:val="767171" w:themeColor="background2" w:themeShade="80"/>
          <w:sz w:val="20"/>
          <w:szCs w:val="20"/>
        </w:rPr>
        <w:t xml:space="preserve"> </w:t>
      </w:r>
    </w:p>
    <w:p w14:paraId="726707C0" w14:textId="77777777"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 xml:space="preserve">Skarżący w tych czterech sprawach </w:t>
      </w:r>
      <w:r w:rsidR="00751719" w:rsidRPr="006E23A1">
        <w:rPr>
          <w:rFonts w:ascii="Verdana" w:hAnsi="Verdana" w:cs="Calibri"/>
          <w:sz w:val="20"/>
          <w:szCs w:val="20"/>
        </w:rPr>
        <w:t>podnosili</w:t>
      </w:r>
      <w:r w:rsidRPr="006E23A1">
        <w:rPr>
          <w:rFonts w:ascii="Verdana" w:hAnsi="Verdana" w:cs="Calibri"/>
          <w:sz w:val="20"/>
          <w:szCs w:val="20"/>
        </w:rPr>
        <w:t xml:space="preserve"> w szczególności, że zostali oskarżeni i skazani za te same czyny, które były już przedmiotem postępowania podatkowego, w ramach którego w prawomocnych decyzjach nałożono na nich dopłaty podatkowe.</w:t>
      </w:r>
    </w:p>
    <w:p w14:paraId="75A14C4E" w14:textId="42279A16" w:rsidR="00F1211B" w:rsidRPr="00087D38" w:rsidRDefault="00751719" w:rsidP="008B0AE6">
      <w:pPr>
        <w:spacing w:after="0"/>
        <w:jc w:val="both"/>
        <w:rPr>
          <w:rFonts w:ascii="Verdana" w:hAnsi="Verdana" w:cs="Calibri"/>
          <w:color w:val="0070C0"/>
          <w:sz w:val="20"/>
          <w:szCs w:val="20"/>
        </w:rPr>
      </w:pPr>
      <w:r w:rsidRPr="00087D38">
        <w:rPr>
          <w:rFonts w:ascii="Verdana" w:hAnsi="Verdana" w:cs="Calibri"/>
          <w:color w:val="0070C0"/>
          <w:sz w:val="20"/>
          <w:szCs w:val="20"/>
        </w:rPr>
        <w:t xml:space="preserve">Trybunał </w:t>
      </w:r>
      <w:r w:rsidR="00F1211B" w:rsidRPr="00087D38">
        <w:rPr>
          <w:rFonts w:ascii="Verdana" w:hAnsi="Verdana" w:cs="Calibri"/>
          <w:color w:val="0070C0"/>
          <w:sz w:val="20"/>
          <w:szCs w:val="20"/>
        </w:rPr>
        <w:t xml:space="preserve">stwierdził </w:t>
      </w:r>
      <w:r w:rsidRPr="00087D38">
        <w:rPr>
          <w:rFonts w:ascii="Verdana" w:hAnsi="Verdana" w:cs="Calibri"/>
          <w:b/>
          <w:color w:val="0070C0"/>
          <w:sz w:val="20"/>
          <w:szCs w:val="20"/>
        </w:rPr>
        <w:t xml:space="preserve">naruszenie art. 4 Protokołu </w:t>
      </w:r>
      <w:r w:rsidR="00087D38">
        <w:rPr>
          <w:rFonts w:ascii="Verdana" w:hAnsi="Verdana" w:cs="Calibri"/>
          <w:b/>
          <w:color w:val="0070C0"/>
          <w:sz w:val="20"/>
          <w:szCs w:val="20"/>
        </w:rPr>
        <w:t>n</w:t>
      </w:r>
      <w:r w:rsidR="00E97A36" w:rsidRPr="00087D38">
        <w:rPr>
          <w:rFonts w:ascii="Verdana" w:hAnsi="Verdana" w:cs="Calibri"/>
          <w:b/>
          <w:color w:val="0070C0"/>
          <w:sz w:val="20"/>
          <w:szCs w:val="20"/>
        </w:rPr>
        <w:t>r</w:t>
      </w:r>
      <w:r w:rsidR="00F1211B" w:rsidRPr="00087D38">
        <w:rPr>
          <w:rFonts w:ascii="Verdana" w:hAnsi="Verdana" w:cs="Calibri"/>
          <w:b/>
          <w:color w:val="0070C0"/>
          <w:sz w:val="20"/>
          <w:szCs w:val="20"/>
        </w:rPr>
        <w:t xml:space="preserve"> 7</w:t>
      </w:r>
      <w:r w:rsidR="00F1211B" w:rsidRPr="00087D38">
        <w:rPr>
          <w:rFonts w:ascii="Verdana" w:hAnsi="Verdana" w:cs="Calibri"/>
          <w:color w:val="0070C0"/>
          <w:sz w:val="20"/>
          <w:szCs w:val="20"/>
        </w:rPr>
        <w:t xml:space="preserve"> w sprawach Glantz</w:t>
      </w:r>
      <w:r w:rsidRPr="00087D38">
        <w:rPr>
          <w:rFonts w:ascii="Verdana" w:hAnsi="Verdana" w:cs="Calibri"/>
          <w:color w:val="0070C0"/>
          <w:sz w:val="20"/>
          <w:szCs w:val="20"/>
        </w:rPr>
        <w:t xml:space="preserve"> i Nykänen, uznając, że skarżący zostali dwukrotnie skazani</w:t>
      </w:r>
      <w:r w:rsidR="00F1211B" w:rsidRPr="00087D38">
        <w:rPr>
          <w:rFonts w:ascii="Verdana" w:hAnsi="Verdana" w:cs="Calibri"/>
          <w:color w:val="0070C0"/>
          <w:sz w:val="20"/>
          <w:szCs w:val="20"/>
        </w:rPr>
        <w:t xml:space="preserve"> za tę samą sprawę w dwóch oddzielnych postępowaniach. Orzekł jednak, że </w:t>
      </w:r>
      <w:r w:rsidR="00F1211B" w:rsidRPr="00087D38">
        <w:rPr>
          <w:rFonts w:ascii="Verdana" w:hAnsi="Verdana" w:cs="Calibri"/>
          <w:b/>
          <w:color w:val="0070C0"/>
          <w:sz w:val="20"/>
          <w:szCs w:val="20"/>
        </w:rPr>
        <w:t>n</w:t>
      </w:r>
      <w:r w:rsidRPr="00087D38">
        <w:rPr>
          <w:rFonts w:ascii="Verdana" w:hAnsi="Verdana" w:cs="Calibri"/>
          <w:b/>
          <w:color w:val="0070C0"/>
          <w:sz w:val="20"/>
          <w:szCs w:val="20"/>
        </w:rPr>
        <w:t xml:space="preserve">ie doszło do naruszenia art. 4 Protokołu </w:t>
      </w:r>
      <w:r w:rsidR="00087D38">
        <w:rPr>
          <w:rFonts w:ascii="Verdana" w:hAnsi="Verdana" w:cs="Calibri"/>
          <w:b/>
          <w:color w:val="0070C0"/>
          <w:sz w:val="20"/>
          <w:szCs w:val="20"/>
        </w:rPr>
        <w:t>n</w:t>
      </w:r>
      <w:r w:rsidR="00E97A36" w:rsidRPr="00087D38">
        <w:rPr>
          <w:rFonts w:ascii="Verdana" w:hAnsi="Verdana" w:cs="Calibri"/>
          <w:b/>
          <w:color w:val="0070C0"/>
          <w:sz w:val="20"/>
          <w:szCs w:val="20"/>
        </w:rPr>
        <w:t>r</w:t>
      </w:r>
      <w:r w:rsidR="00F1211B" w:rsidRPr="00087D38">
        <w:rPr>
          <w:rFonts w:ascii="Verdana" w:hAnsi="Verdana" w:cs="Calibri"/>
          <w:b/>
          <w:color w:val="0070C0"/>
          <w:sz w:val="20"/>
          <w:szCs w:val="20"/>
        </w:rPr>
        <w:t xml:space="preserve"> 7</w:t>
      </w:r>
      <w:r w:rsidR="00F1211B" w:rsidRPr="00087D38">
        <w:rPr>
          <w:rFonts w:ascii="Verdana" w:hAnsi="Verdana" w:cs="Calibri"/>
          <w:color w:val="0070C0"/>
          <w:sz w:val="20"/>
          <w:szCs w:val="20"/>
        </w:rPr>
        <w:t xml:space="preserve"> w przypadku Pirttimäki, uznając, że w tym przypadku dwa kwestionowane</w:t>
      </w:r>
      <w:r w:rsidR="00DA4C09" w:rsidRPr="00087D38">
        <w:rPr>
          <w:rFonts w:ascii="Verdana" w:hAnsi="Verdana" w:cs="Calibri"/>
          <w:color w:val="0070C0"/>
          <w:sz w:val="20"/>
          <w:szCs w:val="20"/>
        </w:rPr>
        <w:t>,</w:t>
      </w:r>
      <w:r w:rsidR="00F1211B" w:rsidRPr="00087D38">
        <w:rPr>
          <w:rFonts w:ascii="Verdana" w:hAnsi="Verdana" w:cs="Calibri"/>
          <w:color w:val="0070C0"/>
          <w:sz w:val="20"/>
          <w:szCs w:val="20"/>
        </w:rPr>
        <w:t xml:space="preserve"> </w:t>
      </w:r>
      <w:r w:rsidRPr="00087D38">
        <w:rPr>
          <w:rFonts w:ascii="Verdana" w:hAnsi="Verdana" w:cs="Calibri"/>
          <w:color w:val="0070C0"/>
          <w:sz w:val="20"/>
          <w:szCs w:val="20"/>
        </w:rPr>
        <w:t xml:space="preserve">toczące się odrębnie postępowania </w:t>
      </w:r>
      <w:r w:rsidR="00F1211B" w:rsidRPr="00087D38">
        <w:rPr>
          <w:rFonts w:ascii="Verdana" w:hAnsi="Verdana" w:cs="Calibri"/>
          <w:color w:val="0070C0"/>
          <w:sz w:val="20"/>
          <w:szCs w:val="20"/>
        </w:rPr>
        <w:t>nie stanowiły jednego zestawu konkretnych okoliczności faktycznych wynikających z identycznych faktów lub okoliczności, które</w:t>
      </w:r>
      <w:r w:rsidRPr="00087D38">
        <w:rPr>
          <w:rFonts w:ascii="Verdana" w:hAnsi="Verdana" w:cs="Calibri"/>
          <w:color w:val="0070C0"/>
          <w:sz w:val="20"/>
          <w:szCs w:val="20"/>
        </w:rPr>
        <w:t xml:space="preserve"> były zasadniczo takie same. Trybunał</w:t>
      </w:r>
      <w:r w:rsidR="00F1211B" w:rsidRPr="00087D38">
        <w:rPr>
          <w:rFonts w:ascii="Verdana" w:hAnsi="Verdana" w:cs="Calibri"/>
          <w:color w:val="0070C0"/>
          <w:sz w:val="20"/>
          <w:szCs w:val="20"/>
        </w:rPr>
        <w:t xml:space="preserve"> orzekł również, że w przypadku Häkkä </w:t>
      </w:r>
      <w:r w:rsidR="00F1211B" w:rsidRPr="00087D38">
        <w:rPr>
          <w:rFonts w:ascii="Verdana" w:hAnsi="Verdana" w:cs="Calibri"/>
          <w:b/>
          <w:color w:val="0070C0"/>
          <w:sz w:val="20"/>
          <w:szCs w:val="20"/>
        </w:rPr>
        <w:t>n</w:t>
      </w:r>
      <w:r w:rsidRPr="00087D38">
        <w:rPr>
          <w:rFonts w:ascii="Verdana" w:hAnsi="Verdana" w:cs="Calibri"/>
          <w:b/>
          <w:color w:val="0070C0"/>
          <w:sz w:val="20"/>
          <w:szCs w:val="20"/>
        </w:rPr>
        <w:t xml:space="preserve">ie doszło do naruszenia art. 4 Protokołu </w:t>
      </w:r>
      <w:r w:rsidR="00087D38">
        <w:rPr>
          <w:rFonts w:ascii="Verdana" w:hAnsi="Verdana" w:cs="Calibri"/>
          <w:b/>
          <w:color w:val="0070C0"/>
          <w:sz w:val="20"/>
          <w:szCs w:val="20"/>
        </w:rPr>
        <w:t>n</w:t>
      </w:r>
      <w:r w:rsidR="00E97A36" w:rsidRPr="00087D38">
        <w:rPr>
          <w:rFonts w:ascii="Verdana" w:hAnsi="Verdana" w:cs="Calibri"/>
          <w:b/>
          <w:color w:val="0070C0"/>
          <w:sz w:val="20"/>
          <w:szCs w:val="20"/>
        </w:rPr>
        <w:t>r</w:t>
      </w:r>
      <w:r w:rsidR="00F1211B" w:rsidRPr="00087D38">
        <w:rPr>
          <w:rFonts w:ascii="Verdana" w:hAnsi="Verdana" w:cs="Calibri"/>
          <w:b/>
          <w:color w:val="0070C0"/>
          <w:sz w:val="20"/>
          <w:szCs w:val="20"/>
        </w:rPr>
        <w:t xml:space="preserve"> 7</w:t>
      </w:r>
      <w:r w:rsidR="00F1211B" w:rsidRPr="00087D38">
        <w:rPr>
          <w:rFonts w:ascii="Verdana" w:hAnsi="Verdana" w:cs="Calibri"/>
          <w:color w:val="0070C0"/>
          <w:sz w:val="20"/>
          <w:szCs w:val="20"/>
        </w:rPr>
        <w:t>, ponieważ uznał, że skarżąc</w:t>
      </w:r>
      <w:r w:rsidR="00DA4C09" w:rsidRPr="00087D38">
        <w:rPr>
          <w:rFonts w:ascii="Verdana" w:hAnsi="Verdana" w:cs="Calibri"/>
          <w:color w:val="0070C0"/>
          <w:sz w:val="20"/>
          <w:szCs w:val="20"/>
        </w:rPr>
        <w:t>y</w:t>
      </w:r>
      <w:r w:rsidR="00F1211B" w:rsidRPr="00087D38">
        <w:rPr>
          <w:rFonts w:ascii="Verdana" w:hAnsi="Verdana" w:cs="Calibri"/>
          <w:color w:val="0070C0"/>
          <w:sz w:val="20"/>
          <w:szCs w:val="20"/>
        </w:rPr>
        <w:t xml:space="preserve"> ma realną możliwość zapobieżenia podwójnemu zagrożeniu, żądając najpierw sprostowania, a następnie odwołując się od decyzji podatkowych.</w:t>
      </w:r>
    </w:p>
    <w:p w14:paraId="6B6096EC" w14:textId="77777777" w:rsidR="00087D38" w:rsidRPr="006E23A1" w:rsidRDefault="00087D38" w:rsidP="008B0AE6">
      <w:pPr>
        <w:spacing w:after="0"/>
        <w:jc w:val="both"/>
        <w:rPr>
          <w:rFonts w:ascii="Verdana" w:hAnsi="Verdana" w:cs="Calibri"/>
          <w:color w:val="2E74B5" w:themeColor="accent1" w:themeShade="BF"/>
          <w:sz w:val="20"/>
          <w:szCs w:val="20"/>
        </w:rPr>
      </w:pPr>
    </w:p>
    <w:p w14:paraId="47F93A68" w14:textId="41CF140B" w:rsidR="00F1211B" w:rsidRPr="00FC457E" w:rsidRDefault="003A3226" w:rsidP="008B0AE6">
      <w:pPr>
        <w:spacing w:after="0"/>
        <w:rPr>
          <w:rFonts w:ascii="Verdana" w:hAnsi="Verdana" w:cs="Calibri"/>
          <w:sz w:val="18"/>
          <w:szCs w:val="18"/>
        </w:rPr>
      </w:pPr>
      <w:hyperlink r:id="rId59" w:history="1">
        <w:r w:rsidRPr="00FC457E">
          <w:rPr>
            <w:rStyle w:val="Hipercze"/>
            <w:rFonts w:ascii="Verdana" w:hAnsi="Verdana" w:cs="Calibri"/>
            <w:b/>
            <w:color w:val="0070C0"/>
            <w:sz w:val="20"/>
            <w:szCs w:val="20"/>
          </w:rPr>
          <w:t>Kiiveri przeciwko Finlandii</w:t>
        </w:r>
      </w:hyperlink>
      <w:r w:rsidRPr="00FC457E">
        <w:rPr>
          <w:rFonts w:ascii="Verdana" w:hAnsi="Verdana" w:cs="Calibri"/>
          <w:b/>
          <w:color w:val="0070C0"/>
          <w:sz w:val="20"/>
          <w:szCs w:val="20"/>
        </w:rPr>
        <w:t xml:space="preserve"> oraz </w:t>
      </w:r>
      <w:hyperlink r:id="rId60" w:history="1">
        <w:r w:rsidRPr="00FC457E">
          <w:rPr>
            <w:rStyle w:val="Hipercze"/>
            <w:rFonts w:ascii="Verdana" w:hAnsi="Verdana" w:cs="Calibri"/>
            <w:b/>
            <w:color w:val="0070C0"/>
            <w:sz w:val="20"/>
            <w:szCs w:val="20"/>
          </w:rPr>
          <w:t>Österlund przeciwko Finlandii</w:t>
        </w:r>
      </w:hyperlink>
      <w:r w:rsidRPr="006E23A1">
        <w:rPr>
          <w:rFonts w:ascii="Verdana" w:hAnsi="Verdana" w:cs="Calibri"/>
          <w:sz w:val="20"/>
          <w:szCs w:val="20"/>
        </w:rPr>
        <w:br/>
      </w:r>
      <w:r w:rsidRPr="00FC457E">
        <w:rPr>
          <w:rFonts w:ascii="Verdana" w:hAnsi="Verdana" w:cs="Calibri"/>
          <w:color w:val="767171" w:themeColor="background2" w:themeShade="80"/>
          <w:sz w:val="18"/>
          <w:szCs w:val="18"/>
        </w:rPr>
        <w:t>10 lutego 2015</w:t>
      </w:r>
      <w:r w:rsidR="00DA4C09" w:rsidRPr="00FC457E">
        <w:rPr>
          <w:rFonts w:ascii="Verdana" w:hAnsi="Verdana" w:cs="Calibri"/>
          <w:color w:val="767171" w:themeColor="background2" w:themeShade="80"/>
          <w:sz w:val="18"/>
          <w:szCs w:val="18"/>
        </w:rPr>
        <w:t xml:space="preserve"> </w:t>
      </w:r>
      <w:r w:rsidR="00C0511E" w:rsidRPr="00FC457E">
        <w:rPr>
          <w:rFonts w:ascii="Verdana" w:hAnsi="Verdana" w:cs="Calibri"/>
          <w:color w:val="767171" w:themeColor="background2" w:themeShade="80"/>
          <w:sz w:val="18"/>
          <w:szCs w:val="18"/>
        </w:rPr>
        <w:t>r.</w:t>
      </w:r>
    </w:p>
    <w:p w14:paraId="3F427B2D" w14:textId="77777777"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 xml:space="preserve">W obu przypadkach organy podatkowe przeprowadziły kontrole spółek skarżących i stwierdziły nieprawidłowości w ich deklaracjach podatkowych. W obu przypadkach nałożyły one na </w:t>
      </w:r>
      <w:r w:rsidR="00751719" w:rsidRPr="006E23A1">
        <w:rPr>
          <w:rFonts w:ascii="Verdana" w:hAnsi="Verdana" w:cs="Calibri"/>
          <w:sz w:val="20"/>
          <w:szCs w:val="20"/>
        </w:rPr>
        <w:t>skarżących</w:t>
      </w:r>
      <w:r w:rsidRPr="006E23A1">
        <w:rPr>
          <w:rFonts w:ascii="Verdana" w:hAnsi="Verdana" w:cs="Calibri"/>
          <w:sz w:val="20"/>
          <w:szCs w:val="20"/>
        </w:rPr>
        <w:t xml:space="preserve"> dodatkowe podatki i dopłaty. Równolegle policja wszczęła postępowanie karne w sprawie działalności</w:t>
      </w:r>
      <w:r w:rsidR="00751719" w:rsidRPr="006E23A1">
        <w:rPr>
          <w:rFonts w:ascii="Verdana" w:hAnsi="Verdana" w:cs="Calibri"/>
          <w:sz w:val="20"/>
          <w:szCs w:val="20"/>
        </w:rPr>
        <w:t xml:space="preserve"> finansowej skarżących. Pierwszy ze skarżących został skazany</w:t>
      </w:r>
      <w:r w:rsidRPr="006E23A1">
        <w:rPr>
          <w:rFonts w:ascii="Verdana" w:hAnsi="Verdana" w:cs="Calibri"/>
          <w:sz w:val="20"/>
          <w:szCs w:val="20"/>
        </w:rPr>
        <w:t xml:space="preserve"> za przestępstwa księgowe i </w:t>
      </w:r>
      <w:r w:rsidR="00751719" w:rsidRPr="006E23A1">
        <w:rPr>
          <w:rFonts w:ascii="Verdana" w:hAnsi="Verdana" w:cs="Calibri"/>
          <w:sz w:val="20"/>
          <w:szCs w:val="20"/>
        </w:rPr>
        <w:t>kwalifikowane</w:t>
      </w:r>
      <w:r w:rsidRPr="006E23A1">
        <w:rPr>
          <w:rFonts w:ascii="Verdana" w:hAnsi="Verdana" w:cs="Calibri"/>
          <w:sz w:val="20"/>
          <w:szCs w:val="20"/>
        </w:rPr>
        <w:t xml:space="preserve"> oszustwa podatkowe. Drugi z nich został skazany za</w:t>
      </w:r>
      <w:r w:rsidR="00751719" w:rsidRPr="006E23A1">
        <w:rPr>
          <w:rFonts w:ascii="Verdana" w:hAnsi="Verdana" w:cs="Calibri"/>
          <w:sz w:val="20"/>
          <w:szCs w:val="20"/>
        </w:rPr>
        <w:t xml:space="preserve"> kwalifikowane</w:t>
      </w:r>
      <w:r w:rsidRPr="006E23A1">
        <w:rPr>
          <w:rFonts w:ascii="Verdana" w:hAnsi="Verdana" w:cs="Calibri"/>
          <w:sz w:val="20"/>
          <w:szCs w:val="20"/>
        </w:rPr>
        <w:t xml:space="preserve"> oszustw</w:t>
      </w:r>
      <w:r w:rsidR="00751719" w:rsidRPr="006E23A1">
        <w:rPr>
          <w:rFonts w:ascii="Verdana" w:hAnsi="Verdana" w:cs="Calibri"/>
          <w:sz w:val="20"/>
          <w:szCs w:val="20"/>
        </w:rPr>
        <w:t>a podatkowe</w:t>
      </w:r>
      <w:r w:rsidRPr="006E23A1">
        <w:rPr>
          <w:rFonts w:ascii="Verdana" w:hAnsi="Verdana" w:cs="Calibri"/>
          <w:sz w:val="20"/>
          <w:szCs w:val="20"/>
        </w:rPr>
        <w:t>. Obydwaj skazani zostali</w:t>
      </w:r>
      <w:r w:rsidR="00751719" w:rsidRPr="006E23A1">
        <w:rPr>
          <w:rFonts w:ascii="Verdana" w:hAnsi="Verdana" w:cs="Calibri"/>
          <w:sz w:val="20"/>
          <w:szCs w:val="20"/>
        </w:rPr>
        <w:t xml:space="preserve"> na karę pozbawienia wolności oraz karę </w:t>
      </w:r>
      <w:r w:rsidRPr="006E23A1">
        <w:rPr>
          <w:rFonts w:ascii="Verdana" w:hAnsi="Verdana" w:cs="Calibri"/>
          <w:sz w:val="20"/>
          <w:szCs w:val="20"/>
        </w:rPr>
        <w:t>grz</w:t>
      </w:r>
      <w:r w:rsidR="00751719" w:rsidRPr="006E23A1">
        <w:rPr>
          <w:rFonts w:ascii="Verdana" w:hAnsi="Verdana" w:cs="Calibri"/>
          <w:sz w:val="20"/>
          <w:szCs w:val="20"/>
        </w:rPr>
        <w:t>ywny. Obaj skarżący podnosili</w:t>
      </w:r>
      <w:r w:rsidRPr="006E23A1">
        <w:rPr>
          <w:rFonts w:ascii="Verdana" w:hAnsi="Verdana" w:cs="Calibri"/>
          <w:sz w:val="20"/>
          <w:szCs w:val="20"/>
        </w:rPr>
        <w:t>, że zostali dwukrotnie osądzeni i ukarani na podstawie tych samych faktów.</w:t>
      </w:r>
    </w:p>
    <w:p w14:paraId="747C4D8D" w14:textId="37B41A41" w:rsidR="00F1211B" w:rsidRPr="00FC457E" w:rsidRDefault="00751719" w:rsidP="008B0AE6">
      <w:pPr>
        <w:spacing w:after="0"/>
        <w:jc w:val="both"/>
        <w:rPr>
          <w:rFonts w:ascii="Verdana" w:hAnsi="Verdana" w:cs="Calibri"/>
          <w:color w:val="0070C0"/>
          <w:sz w:val="20"/>
          <w:szCs w:val="20"/>
        </w:rPr>
      </w:pPr>
      <w:r w:rsidRPr="00FC457E">
        <w:rPr>
          <w:rFonts w:ascii="Verdana" w:hAnsi="Verdana" w:cs="Calibri"/>
          <w:color w:val="0070C0"/>
          <w:sz w:val="20"/>
          <w:szCs w:val="20"/>
        </w:rPr>
        <w:t>W obu przypadkach Trybunał</w:t>
      </w:r>
      <w:r w:rsidR="00F1211B" w:rsidRPr="00FC457E">
        <w:rPr>
          <w:rFonts w:ascii="Verdana" w:hAnsi="Verdana" w:cs="Calibri"/>
          <w:color w:val="0070C0"/>
          <w:sz w:val="20"/>
          <w:szCs w:val="20"/>
        </w:rPr>
        <w:t xml:space="preserve"> </w:t>
      </w:r>
      <w:r w:rsidRPr="00FC457E">
        <w:rPr>
          <w:rFonts w:ascii="Verdana" w:hAnsi="Verdana" w:cs="Calibri"/>
          <w:b/>
          <w:color w:val="0070C0"/>
          <w:sz w:val="20"/>
          <w:szCs w:val="20"/>
        </w:rPr>
        <w:t xml:space="preserve">stwierdził naruszenie art. 4 Protokołu </w:t>
      </w:r>
      <w:r w:rsidR="00FC457E" w:rsidRPr="00FC457E">
        <w:rPr>
          <w:rFonts w:ascii="Verdana" w:hAnsi="Verdana" w:cs="Calibri"/>
          <w:b/>
          <w:color w:val="0070C0"/>
          <w:sz w:val="20"/>
          <w:szCs w:val="20"/>
        </w:rPr>
        <w:t>n</w:t>
      </w:r>
      <w:r w:rsidR="00E97A36" w:rsidRPr="00FC457E">
        <w:rPr>
          <w:rFonts w:ascii="Verdana" w:hAnsi="Verdana" w:cs="Calibri"/>
          <w:b/>
          <w:color w:val="0070C0"/>
          <w:sz w:val="20"/>
          <w:szCs w:val="20"/>
        </w:rPr>
        <w:t>r</w:t>
      </w:r>
      <w:r w:rsidR="00F1211B" w:rsidRPr="00FC457E">
        <w:rPr>
          <w:rFonts w:ascii="Verdana" w:hAnsi="Verdana" w:cs="Calibri"/>
          <w:b/>
          <w:color w:val="0070C0"/>
          <w:sz w:val="20"/>
          <w:szCs w:val="20"/>
        </w:rPr>
        <w:t xml:space="preserve"> 7</w:t>
      </w:r>
      <w:r w:rsidR="00F1211B" w:rsidRPr="00FC457E">
        <w:rPr>
          <w:rFonts w:ascii="Verdana" w:hAnsi="Verdana" w:cs="Calibri"/>
          <w:color w:val="0070C0"/>
          <w:sz w:val="20"/>
          <w:szCs w:val="20"/>
        </w:rPr>
        <w:t>, uznając, że wnioskodawcy zostali dwukrotnie skazani za tę samą sprawę w dwóch oddzielnych postępowaniach.</w:t>
      </w:r>
    </w:p>
    <w:p w14:paraId="1AD99EA8" w14:textId="77777777" w:rsidR="00FC457E" w:rsidRPr="006E23A1" w:rsidRDefault="00FC457E" w:rsidP="008B0AE6">
      <w:pPr>
        <w:spacing w:after="0"/>
        <w:jc w:val="both"/>
        <w:rPr>
          <w:rFonts w:ascii="Verdana" w:hAnsi="Verdana" w:cs="Calibri"/>
          <w:color w:val="2E74B5" w:themeColor="accent1" w:themeShade="BF"/>
          <w:sz w:val="20"/>
          <w:szCs w:val="20"/>
        </w:rPr>
      </w:pPr>
    </w:p>
    <w:p w14:paraId="5FB8231D" w14:textId="13F394E0" w:rsidR="00F1211B" w:rsidRPr="006E23A1" w:rsidRDefault="00F1211B" w:rsidP="008B0AE6">
      <w:pPr>
        <w:spacing w:after="0"/>
        <w:rPr>
          <w:rFonts w:ascii="Verdana" w:hAnsi="Verdana" w:cs="Calibri"/>
          <w:sz w:val="20"/>
          <w:szCs w:val="20"/>
        </w:rPr>
      </w:pPr>
      <w:hyperlink r:id="rId61" w:history="1">
        <w:r w:rsidRPr="00876059">
          <w:rPr>
            <w:rStyle w:val="Hipercze"/>
            <w:rFonts w:ascii="Verdana" w:hAnsi="Verdana" w:cs="Calibri"/>
            <w:b/>
            <w:color w:val="0070C0"/>
            <w:sz w:val="20"/>
            <w:szCs w:val="20"/>
          </w:rPr>
          <w:t>Boman przeciwko Finlandii</w:t>
        </w:r>
      </w:hyperlink>
      <w:r w:rsidR="003A3226" w:rsidRPr="006E23A1">
        <w:rPr>
          <w:rFonts w:ascii="Verdana" w:hAnsi="Verdana" w:cs="Calibri"/>
          <w:sz w:val="20"/>
          <w:szCs w:val="20"/>
        </w:rPr>
        <w:br/>
      </w:r>
      <w:r w:rsidR="003A3226" w:rsidRPr="00876059">
        <w:rPr>
          <w:rFonts w:ascii="Verdana" w:hAnsi="Verdana" w:cs="Calibri"/>
          <w:color w:val="767171" w:themeColor="background2" w:themeShade="80"/>
          <w:sz w:val="18"/>
          <w:szCs w:val="18"/>
        </w:rPr>
        <w:t>17 lutego 2015</w:t>
      </w:r>
      <w:r w:rsidR="00DA4C09" w:rsidRPr="00876059">
        <w:rPr>
          <w:rFonts w:ascii="Verdana" w:hAnsi="Verdana" w:cs="Calibri"/>
          <w:color w:val="767171" w:themeColor="background2" w:themeShade="80"/>
          <w:sz w:val="18"/>
          <w:szCs w:val="18"/>
        </w:rPr>
        <w:t xml:space="preserve"> </w:t>
      </w:r>
      <w:r w:rsidR="00DB5316" w:rsidRPr="00876059">
        <w:rPr>
          <w:rFonts w:ascii="Verdana" w:hAnsi="Verdana" w:cs="Calibri"/>
          <w:color w:val="767171" w:themeColor="background2" w:themeShade="80"/>
          <w:sz w:val="18"/>
          <w:szCs w:val="18"/>
        </w:rPr>
        <w:t>r.</w:t>
      </w:r>
    </w:p>
    <w:p w14:paraId="36280A58" w14:textId="69EB0B55" w:rsidR="00F1211B" w:rsidRPr="006E23A1" w:rsidRDefault="00751719" w:rsidP="008B0AE6">
      <w:pPr>
        <w:spacing w:after="0"/>
        <w:jc w:val="both"/>
        <w:rPr>
          <w:rFonts w:ascii="Verdana" w:hAnsi="Verdana" w:cs="Calibri"/>
          <w:sz w:val="20"/>
          <w:szCs w:val="20"/>
        </w:rPr>
      </w:pPr>
      <w:r w:rsidRPr="006E23A1">
        <w:rPr>
          <w:rFonts w:ascii="Verdana" w:hAnsi="Verdana" w:cs="Calibri"/>
          <w:sz w:val="20"/>
          <w:szCs w:val="20"/>
        </w:rPr>
        <w:t xml:space="preserve">Na początku 2010 r. </w:t>
      </w:r>
      <w:r w:rsidR="00B806EE" w:rsidRPr="006E23A1">
        <w:rPr>
          <w:rFonts w:ascii="Verdana" w:hAnsi="Verdana" w:cs="Calibri"/>
          <w:sz w:val="20"/>
          <w:szCs w:val="20"/>
        </w:rPr>
        <w:t>skarżący został</w:t>
      </w:r>
      <w:r w:rsidRPr="006E23A1">
        <w:rPr>
          <w:rFonts w:ascii="Verdana" w:hAnsi="Verdana" w:cs="Calibri"/>
          <w:sz w:val="20"/>
          <w:szCs w:val="20"/>
        </w:rPr>
        <w:t xml:space="preserve"> </w:t>
      </w:r>
      <w:r w:rsidR="00B806EE" w:rsidRPr="006E23A1">
        <w:rPr>
          <w:rFonts w:ascii="Verdana" w:hAnsi="Verdana" w:cs="Calibri"/>
          <w:sz w:val="20"/>
          <w:szCs w:val="20"/>
        </w:rPr>
        <w:t>oskarżony</w:t>
      </w:r>
      <w:r w:rsidR="00F1211B" w:rsidRPr="006E23A1">
        <w:rPr>
          <w:rFonts w:ascii="Verdana" w:hAnsi="Verdana" w:cs="Calibri"/>
          <w:sz w:val="20"/>
          <w:szCs w:val="20"/>
        </w:rPr>
        <w:t xml:space="preserve"> o </w:t>
      </w:r>
      <w:r w:rsidRPr="006E23A1">
        <w:rPr>
          <w:rFonts w:ascii="Verdana" w:hAnsi="Verdana" w:cs="Calibri"/>
          <w:sz w:val="20"/>
          <w:szCs w:val="20"/>
        </w:rPr>
        <w:t>s</w:t>
      </w:r>
      <w:r w:rsidR="00F1211B" w:rsidRPr="006E23A1">
        <w:rPr>
          <w:rFonts w:ascii="Verdana" w:hAnsi="Verdana" w:cs="Calibri"/>
          <w:sz w:val="20"/>
          <w:szCs w:val="20"/>
        </w:rPr>
        <w:t xml:space="preserve">powodowanie poważnego </w:t>
      </w:r>
      <w:r w:rsidR="00B806EE" w:rsidRPr="006E23A1">
        <w:rPr>
          <w:rFonts w:ascii="Verdana" w:hAnsi="Verdana" w:cs="Calibri"/>
          <w:sz w:val="20"/>
          <w:szCs w:val="20"/>
        </w:rPr>
        <w:t>zagrożenia dla ruchu drogowego oraz jazdę bez uprawnień</w:t>
      </w:r>
      <w:r w:rsidR="00F1211B" w:rsidRPr="006E23A1">
        <w:rPr>
          <w:rFonts w:ascii="Verdana" w:hAnsi="Verdana" w:cs="Calibri"/>
          <w:sz w:val="20"/>
          <w:szCs w:val="20"/>
        </w:rPr>
        <w:t>. Prokurator wystąpił z wnioskiem o</w:t>
      </w:r>
      <w:r w:rsidR="00876059">
        <w:rPr>
          <w:rFonts w:ascii="Verdana" w:hAnsi="Verdana" w:cs="Calibri"/>
          <w:sz w:val="20"/>
          <w:szCs w:val="20"/>
        </w:rPr>
        <w:t> </w:t>
      </w:r>
      <w:r w:rsidR="00B806EE" w:rsidRPr="006E23A1">
        <w:rPr>
          <w:rFonts w:ascii="Verdana" w:hAnsi="Verdana" w:cs="Calibri"/>
          <w:sz w:val="20"/>
          <w:szCs w:val="20"/>
        </w:rPr>
        <w:t>orzeczenie wobec niego zakaz</w:t>
      </w:r>
      <w:r w:rsidR="00DA4C09" w:rsidRPr="006E23A1">
        <w:rPr>
          <w:rFonts w:ascii="Verdana" w:hAnsi="Verdana" w:cs="Calibri"/>
          <w:sz w:val="20"/>
          <w:szCs w:val="20"/>
        </w:rPr>
        <w:t>u</w:t>
      </w:r>
      <w:r w:rsidR="00B806EE" w:rsidRPr="006E23A1">
        <w:rPr>
          <w:rFonts w:ascii="Verdana" w:hAnsi="Verdana" w:cs="Calibri"/>
          <w:sz w:val="20"/>
          <w:szCs w:val="20"/>
        </w:rPr>
        <w:t xml:space="preserve"> prowadzenia pojazdów ze względu na spowodowanie przez niego </w:t>
      </w:r>
      <w:r w:rsidR="00F1211B" w:rsidRPr="006E23A1">
        <w:rPr>
          <w:rFonts w:ascii="Verdana" w:hAnsi="Verdana" w:cs="Calibri"/>
          <w:sz w:val="20"/>
          <w:szCs w:val="20"/>
        </w:rPr>
        <w:t xml:space="preserve">poważnego zagrożenia w </w:t>
      </w:r>
      <w:r w:rsidR="00B806EE" w:rsidRPr="006E23A1">
        <w:rPr>
          <w:rFonts w:ascii="Verdana" w:hAnsi="Verdana" w:cs="Calibri"/>
          <w:sz w:val="20"/>
          <w:szCs w:val="20"/>
        </w:rPr>
        <w:t>ruchu drogowym. Sąd rejonow</w:t>
      </w:r>
      <w:r w:rsidR="00F1211B" w:rsidRPr="006E23A1">
        <w:rPr>
          <w:rFonts w:ascii="Verdana" w:hAnsi="Verdana" w:cs="Calibri"/>
          <w:sz w:val="20"/>
          <w:szCs w:val="20"/>
        </w:rPr>
        <w:t xml:space="preserve">y skazał </w:t>
      </w:r>
      <w:r w:rsidR="00B806EE" w:rsidRPr="006E23A1">
        <w:rPr>
          <w:rFonts w:ascii="Verdana" w:hAnsi="Verdana" w:cs="Calibri"/>
          <w:sz w:val="20"/>
          <w:szCs w:val="20"/>
        </w:rPr>
        <w:t>skarżącego w kwietniu 2010 r. oraz nałożył na niego</w:t>
      </w:r>
      <w:r w:rsidR="00F1211B" w:rsidRPr="006E23A1">
        <w:rPr>
          <w:rFonts w:ascii="Verdana" w:hAnsi="Verdana" w:cs="Calibri"/>
          <w:sz w:val="20"/>
          <w:szCs w:val="20"/>
        </w:rPr>
        <w:t xml:space="preserve"> grzywną i </w:t>
      </w:r>
      <w:r w:rsidR="00B806EE" w:rsidRPr="006E23A1">
        <w:rPr>
          <w:rFonts w:ascii="Verdana" w:hAnsi="Verdana" w:cs="Calibri"/>
          <w:sz w:val="20"/>
          <w:szCs w:val="20"/>
        </w:rPr>
        <w:t xml:space="preserve">orzekł zakaz </w:t>
      </w:r>
      <w:r w:rsidR="00F1211B" w:rsidRPr="006E23A1">
        <w:rPr>
          <w:rFonts w:ascii="Verdana" w:hAnsi="Verdana" w:cs="Calibri"/>
          <w:sz w:val="20"/>
          <w:szCs w:val="20"/>
        </w:rPr>
        <w:t xml:space="preserve">prowadzenia pojazdów do 4 września 2010 r. W maju 2010 r. policja nałożyła na </w:t>
      </w:r>
      <w:r w:rsidR="0046191F" w:rsidRPr="006E23A1">
        <w:rPr>
          <w:rFonts w:ascii="Verdana" w:hAnsi="Verdana" w:cs="Calibri"/>
          <w:sz w:val="20"/>
          <w:szCs w:val="20"/>
        </w:rPr>
        <w:t xml:space="preserve">skarżącego </w:t>
      </w:r>
      <w:r w:rsidR="00F1211B" w:rsidRPr="006E23A1">
        <w:rPr>
          <w:rFonts w:ascii="Verdana" w:hAnsi="Verdana" w:cs="Calibri"/>
          <w:sz w:val="20"/>
          <w:szCs w:val="20"/>
        </w:rPr>
        <w:t>nowy dwumiesięczny zakaz pro</w:t>
      </w:r>
      <w:r w:rsidR="0046191F" w:rsidRPr="006E23A1">
        <w:rPr>
          <w:rFonts w:ascii="Verdana" w:hAnsi="Verdana" w:cs="Calibri"/>
          <w:sz w:val="20"/>
          <w:szCs w:val="20"/>
        </w:rPr>
        <w:t>wadzenia pojazdów, który miał</w:t>
      </w:r>
      <w:r w:rsidR="00F1211B" w:rsidRPr="006E23A1">
        <w:rPr>
          <w:rFonts w:ascii="Verdana" w:hAnsi="Verdana" w:cs="Calibri"/>
          <w:sz w:val="20"/>
          <w:szCs w:val="20"/>
        </w:rPr>
        <w:t xml:space="preserve"> rozpocząć się </w:t>
      </w:r>
      <w:r w:rsidR="0046191F" w:rsidRPr="006E23A1">
        <w:rPr>
          <w:rFonts w:ascii="Verdana" w:hAnsi="Verdana" w:cs="Calibri"/>
          <w:sz w:val="20"/>
          <w:szCs w:val="20"/>
        </w:rPr>
        <w:t>5 września. Skarżący podnosił, że toczyły się wobec niego dwa odrębne postępowania karn</w:t>
      </w:r>
      <w:r w:rsidR="00DA4C09" w:rsidRPr="006E23A1">
        <w:rPr>
          <w:rFonts w:ascii="Verdana" w:hAnsi="Verdana" w:cs="Calibri"/>
          <w:sz w:val="20"/>
          <w:szCs w:val="20"/>
        </w:rPr>
        <w:t>e</w:t>
      </w:r>
      <w:r w:rsidR="0046191F" w:rsidRPr="006E23A1">
        <w:rPr>
          <w:rFonts w:ascii="Verdana" w:hAnsi="Verdana" w:cs="Calibri"/>
          <w:sz w:val="20"/>
          <w:szCs w:val="20"/>
        </w:rPr>
        <w:t>, w</w:t>
      </w:r>
      <w:r w:rsidR="00876059">
        <w:rPr>
          <w:rFonts w:ascii="Verdana" w:hAnsi="Verdana" w:cs="Calibri"/>
          <w:sz w:val="20"/>
          <w:szCs w:val="20"/>
        </w:rPr>
        <w:t> </w:t>
      </w:r>
      <w:r w:rsidR="0046191F" w:rsidRPr="006E23A1">
        <w:rPr>
          <w:rFonts w:ascii="Verdana" w:hAnsi="Verdana" w:cs="Calibri"/>
          <w:sz w:val="20"/>
          <w:szCs w:val="20"/>
        </w:rPr>
        <w:t>których zostały na niego nałożone dwie</w:t>
      </w:r>
      <w:r w:rsidR="00F1211B" w:rsidRPr="006E23A1">
        <w:rPr>
          <w:rFonts w:ascii="Verdana" w:hAnsi="Verdana" w:cs="Calibri"/>
          <w:sz w:val="20"/>
          <w:szCs w:val="20"/>
        </w:rPr>
        <w:t xml:space="preserve"> kar</w:t>
      </w:r>
      <w:r w:rsidR="0046191F" w:rsidRPr="006E23A1">
        <w:rPr>
          <w:rFonts w:ascii="Verdana" w:hAnsi="Verdana" w:cs="Calibri"/>
          <w:sz w:val="20"/>
          <w:szCs w:val="20"/>
        </w:rPr>
        <w:t>y za przestępstwo wypływające z</w:t>
      </w:r>
      <w:r w:rsidR="00F1211B" w:rsidRPr="006E23A1">
        <w:rPr>
          <w:rFonts w:ascii="Verdana" w:hAnsi="Verdana" w:cs="Calibri"/>
          <w:sz w:val="20"/>
          <w:szCs w:val="20"/>
        </w:rPr>
        <w:t xml:space="preserve"> </w:t>
      </w:r>
      <w:r w:rsidR="00DA4C09" w:rsidRPr="006E23A1">
        <w:rPr>
          <w:rFonts w:ascii="Verdana" w:hAnsi="Verdana" w:cs="Calibri"/>
          <w:sz w:val="20"/>
          <w:szCs w:val="20"/>
        </w:rPr>
        <w:t>tych samych faktów</w:t>
      </w:r>
      <w:r w:rsidR="00F1211B" w:rsidRPr="006E23A1">
        <w:rPr>
          <w:rFonts w:ascii="Verdana" w:hAnsi="Verdana" w:cs="Calibri"/>
          <w:sz w:val="20"/>
          <w:szCs w:val="20"/>
        </w:rPr>
        <w:t>.</w:t>
      </w:r>
    </w:p>
    <w:p w14:paraId="3921A0A5" w14:textId="4D7EC3A6" w:rsidR="00F1211B" w:rsidRPr="00876059" w:rsidRDefault="00F1211B" w:rsidP="008B0AE6">
      <w:pPr>
        <w:spacing w:after="0"/>
        <w:jc w:val="both"/>
        <w:rPr>
          <w:rFonts w:ascii="Verdana" w:hAnsi="Verdana" w:cs="Calibri"/>
          <w:color w:val="0070C0"/>
          <w:sz w:val="20"/>
          <w:szCs w:val="20"/>
        </w:rPr>
      </w:pPr>
      <w:r w:rsidRPr="00876059">
        <w:rPr>
          <w:rFonts w:ascii="Verdana" w:hAnsi="Verdana" w:cs="Calibri"/>
          <w:color w:val="0070C0"/>
          <w:sz w:val="20"/>
          <w:szCs w:val="20"/>
        </w:rPr>
        <w:t>Trybunał uznał, że drugi zakaz prowadzenia pojazdów wydany przez policję w</w:t>
      </w:r>
      <w:r w:rsidR="00876059">
        <w:rPr>
          <w:rFonts w:ascii="Verdana" w:hAnsi="Verdana" w:cs="Calibri"/>
          <w:color w:val="0070C0"/>
          <w:sz w:val="20"/>
          <w:szCs w:val="20"/>
        </w:rPr>
        <w:t> </w:t>
      </w:r>
      <w:r w:rsidRPr="00876059">
        <w:rPr>
          <w:rFonts w:ascii="Verdana" w:hAnsi="Verdana" w:cs="Calibri"/>
          <w:color w:val="0070C0"/>
          <w:sz w:val="20"/>
          <w:szCs w:val="20"/>
        </w:rPr>
        <w:t xml:space="preserve">postępowaniu administracyjnym należy uznać za </w:t>
      </w:r>
      <w:r w:rsidR="0046191F" w:rsidRPr="00876059">
        <w:rPr>
          <w:rFonts w:ascii="Verdana" w:hAnsi="Verdana" w:cs="Calibri"/>
          <w:color w:val="0070C0"/>
          <w:sz w:val="20"/>
          <w:szCs w:val="20"/>
        </w:rPr>
        <w:t xml:space="preserve">karny w rozumieniu art. 4 Protokołu </w:t>
      </w:r>
      <w:r w:rsidR="00876059">
        <w:rPr>
          <w:rFonts w:ascii="Verdana" w:hAnsi="Verdana" w:cs="Calibri"/>
          <w:color w:val="0070C0"/>
          <w:sz w:val="20"/>
          <w:szCs w:val="20"/>
        </w:rPr>
        <w:t>n</w:t>
      </w:r>
      <w:r w:rsidR="00E97A36" w:rsidRPr="00876059">
        <w:rPr>
          <w:rFonts w:ascii="Verdana" w:hAnsi="Verdana" w:cs="Calibri"/>
          <w:color w:val="0070C0"/>
          <w:sz w:val="20"/>
          <w:szCs w:val="20"/>
        </w:rPr>
        <w:t>r</w:t>
      </w:r>
      <w:r w:rsidRPr="00876059">
        <w:rPr>
          <w:rFonts w:ascii="Verdana" w:hAnsi="Verdana" w:cs="Calibri"/>
          <w:color w:val="0070C0"/>
          <w:sz w:val="20"/>
          <w:szCs w:val="20"/>
        </w:rPr>
        <w:t xml:space="preserve"> 7. Ponadto stwierdził, że dwa </w:t>
      </w:r>
      <w:r w:rsidR="001B43B9" w:rsidRPr="00876059">
        <w:rPr>
          <w:rFonts w:ascii="Verdana" w:hAnsi="Verdana" w:cs="Calibri"/>
          <w:color w:val="0070C0"/>
          <w:sz w:val="20"/>
          <w:szCs w:val="20"/>
        </w:rPr>
        <w:t>kwestionowane postępowania dotyczyły</w:t>
      </w:r>
      <w:r w:rsidRPr="00876059">
        <w:rPr>
          <w:rFonts w:ascii="Verdana" w:hAnsi="Verdana" w:cs="Calibri"/>
          <w:color w:val="0070C0"/>
          <w:sz w:val="20"/>
          <w:szCs w:val="20"/>
        </w:rPr>
        <w:t xml:space="preserve"> jedn</w:t>
      </w:r>
      <w:r w:rsidR="00DA4C09" w:rsidRPr="00876059">
        <w:rPr>
          <w:rFonts w:ascii="Verdana" w:hAnsi="Verdana" w:cs="Calibri"/>
          <w:color w:val="0070C0"/>
          <w:sz w:val="20"/>
          <w:szCs w:val="20"/>
        </w:rPr>
        <w:t>ego</w:t>
      </w:r>
      <w:r w:rsidRPr="00876059">
        <w:rPr>
          <w:rFonts w:ascii="Verdana" w:hAnsi="Verdana" w:cs="Calibri"/>
          <w:color w:val="0070C0"/>
          <w:sz w:val="20"/>
          <w:szCs w:val="20"/>
        </w:rPr>
        <w:t xml:space="preserve"> zbi</w:t>
      </w:r>
      <w:r w:rsidR="00DA4C09" w:rsidRPr="00876059">
        <w:rPr>
          <w:rFonts w:ascii="Verdana" w:hAnsi="Verdana" w:cs="Calibri"/>
          <w:color w:val="0070C0"/>
          <w:sz w:val="20"/>
          <w:szCs w:val="20"/>
        </w:rPr>
        <w:t>oru</w:t>
      </w:r>
      <w:r w:rsidRPr="00876059">
        <w:rPr>
          <w:rFonts w:ascii="Verdana" w:hAnsi="Verdana" w:cs="Calibri"/>
          <w:color w:val="0070C0"/>
          <w:sz w:val="20"/>
          <w:szCs w:val="20"/>
        </w:rPr>
        <w:t xml:space="preserve"> konkretnych okoliczności faktycznych wynikających z identycznych faktów lub faktów, które były z</w:t>
      </w:r>
      <w:r w:rsidR="0046191F" w:rsidRPr="00876059">
        <w:rPr>
          <w:rFonts w:ascii="Verdana" w:hAnsi="Verdana" w:cs="Calibri"/>
          <w:color w:val="0070C0"/>
          <w:sz w:val="20"/>
          <w:szCs w:val="20"/>
        </w:rPr>
        <w:t xml:space="preserve">asadniczo takie same. Zauważył </w:t>
      </w:r>
      <w:r w:rsidRPr="00876059">
        <w:rPr>
          <w:rFonts w:ascii="Verdana" w:hAnsi="Verdana" w:cs="Calibri"/>
          <w:color w:val="0070C0"/>
          <w:sz w:val="20"/>
          <w:szCs w:val="20"/>
        </w:rPr>
        <w:t>również, że wyrok skazujący</w:t>
      </w:r>
      <w:r w:rsidR="0046191F" w:rsidRPr="00876059">
        <w:rPr>
          <w:rFonts w:ascii="Verdana" w:hAnsi="Verdana" w:cs="Calibri"/>
          <w:color w:val="0070C0"/>
          <w:sz w:val="20"/>
          <w:szCs w:val="20"/>
        </w:rPr>
        <w:t xml:space="preserve"> stał się „ostateczny”</w:t>
      </w:r>
      <w:r w:rsidRPr="00876059">
        <w:rPr>
          <w:rFonts w:ascii="Verdana" w:hAnsi="Verdana" w:cs="Calibri"/>
          <w:color w:val="0070C0"/>
          <w:sz w:val="20"/>
          <w:szCs w:val="20"/>
        </w:rPr>
        <w:t xml:space="preserve"> w autonomicznym znaczeni</w:t>
      </w:r>
      <w:r w:rsidR="0046191F" w:rsidRPr="00876059">
        <w:rPr>
          <w:rFonts w:ascii="Verdana" w:hAnsi="Verdana" w:cs="Calibri"/>
          <w:color w:val="0070C0"/>
          <w:sz w:val="20"/>
          <w:szCs w:val="20"/>
        </w:rPr>
        <w:t>u nadanym temu terminowi przez K</w:t>
      </w:r>
      <w:r w:rsidRPr="00876059">
        <w:rPr>
          <w:rFonts w:ascii="Verdana" w:hAnsi="Verdana" w:cs="Calibri"/>
          <w:color w:val="0070C0"/>
          <w:sz w:val="20"/>
          <w:szCs w:val="20"/>
        </w:rPr>
        <w:t xml:space="preserve">onwencję. </w:t>
      </w:r>
      <w:r w:rsidRPr="00876059">
        <w:rPr>
          <w:rFonts w:ascii="Verdana" w:hAnsi="Verdana" w:cs="Calibri"/>
          <w:color w:val="0070C0"/>
          <w:sz w:val="20"/>
          <w:szCs w:val="20"/>
        </w:rPr>
        <w:lastRenderedPageBreak/>
        <w:t xml:space="preserve">Wreszcie, w odniesieniu do kwestii, czy doszło do powielania postępowań, Trybunał zauważył w szczególności, że oba postępowania, a mianowicie postępowanie karne przeciwko skarżącemu i postępowanie w sprawie nałożenia zakazu prowadzenia pojazdów, są ze sobą nierozerwalnie związane co do istoty i czasu, </w:t>
      </w:r>
      <w:r w:rsidR="00961F2C" w:rsidRPr="00876059">
        <w:rPr>
          <w:rFonts w:ascii="Verdana" w:hAnsi="Verdana" w:cs="Calibri"/>
          <w:color w:val="0070C0"/>
          <w:sz w:val="20"/>
          <w:szCs w:val="20"/>
        </w:rPr>
        <w:t>co prowadzi do uznania,</w:t>
      </w:r>
      <w:r w:rsidRPr="00876059">
        <w:rPr>
          <w:rFonts w:ascii="Verdana" w:hAnsi="Verdana" w:cs="Calibri"/>
          <w:color w:val="0070C0"/>
          <w:sz w:val="20"/>
          <w:szCs w:val="20"/>
        </w:rPr>
        <w:t xml:space="preserve"> że środki te zostały podjęte przeciwko skarżącemu w ramach jednego postępowania w rozum</w:t>
      </w:r>
      <w:r w:rsidR="0046191F" w:rsidRPr="00876059">
        <w:rPr>
          <w:rFonts w:ascii="Verdana" w:hAnsi="Verdana" w:cs="Calibri"/>
          <w:color w:val="0070C0"/>
          <w:sz w:val="20"/>
          <w:szCs w:val="20"/>
        </w:rPr>
        <w:t xml:space="preserve">ieniu art. 4 protokołu </w:t>
      </w:r>
      <w:r w:rsidR="00E97A36" w:rsidRPr="00876059">
        <w:rPr>
          <w:rFonts w:ascii="Verdana" w:hAnsi="Verdana" w:cs="Calibri"/>
          <w:color w:val="0070C0"/>
          <w:sz w:val="20"/>
          <w:szCs w:val="20"/>
        </w:rPr>
        <w:t>nr</w:t>
      </w:r>
      <w:r w:rsidR="0046191F" w:rsidRPr="00876059">
        <w:rPr>
          <w:rFonts w:ascii="Verdana" w:hAnsi="Verdana" w:cs="Calibri"/>
          <w:color w:val="0070C0"/>
          <w:sz w:val="20"/>
          <w:szCs w:val="20"/>
        </w:rPr>
        <w:t xml:space="preserve"> 7. Trybunał  orzekł</w:t>
      </w:r>
      <w:r w:rsidRPr="00876059">
        <w:rPr>
          <w:rFonts w:ascii="Verdana" w:hAnsi="Verdana" w:cs="Calibri"/>
          <w:color w:val="0070C0"/>
          <w:sz w:val="20"/>
          <w:szCs w:val="20"/>
        </w:rPr>
        <w:t xml:space="preserve"> zatem, że </w:t>
      </w:r>
      <w:r w:rsidRPr="00876059">
        <w:rPr>
          <w:rFonts w:ascii="Verdana" w:hAnsi="Verdana" w:cs="Calibri"/>
          <w:b/>
          <w:color w:val="0070C0"/>
          <w:sz w:val="20"/>
          <w:szCs w:val="20"/>
        </w:rPr>
        <w:t xml:space="preserve">nie doszło </w:t>
      </w:r>
      <w:r w:rsidR="0046191F" w:rsidRPr="00876059">
        <w:rPr>
          <w:rFonts w:ascii="Verdana" w:hAnsi="Verdana" w:cs="Calibri"/>
          <w:b/>
          <w:color w:val="0070C0"/>
          <w:sz w:val="20"/>
          <w:szCs w:val="20"/>
        </w:rPr>
        <w:t xml:space="preserve">do naruszenia art. 4 Protokołu </w:t>
      </w:r>
      <w:r w:rsidR="00876059" w:rsidRPr="00876059">
        <w:rPr>
          <w:rFonts w:ascii="Verdana" w:hAnsi="Verdana" w:cs="Calibri"/>
          <w:b/>
          <w:color w:val="0070C0"/>
          <w:sz w:val="20"/>
          <w:szCs w:val="20"/>
        </w:rPr>
        <w:t>n</w:t>
      </w:r>
      <w:r w:rsidR="00E97A36" w:rsidRPr="00876059">
        <w:rPr>
          <w:rFonts w:ascii="Verdana" w:hAnsi="Verdana" w:cs="Calibri"/>
          <w:b/>
          <w:color w:val="0070C0"/>
          <w:sz w:val="20"/>
          <w:szCs w:val="20"/>
        </w:rPr>
        <w:t>r</w:t>
      </w:r>
      <w:r w:rsidRPr="00876059">
        <w:rPr>
          <w:rFonts w:ascii="Verdana" w:hAnsi="Verdana" w:cs="Calibri"/>
          <w:b/>
          <w:color w:val="0070C0"/>
          <w:sz w:val="20"/>
          <w:szCs w:val="20"/>
        </w:rPr>
        <w:t xml:space="preserve"> 7,</w:t>
      </w:r>
      <w:r w:rsidRPr="00876059">
        <w:rPr>
          <w:rFonts w:ascii="Verdana" w:hAnsi="Verdana" w:cs="Calibri"/>
          <w:color w:val="0070C0"/>
          <w:sz w:val="20"/>
          <w:szCs w:val="20"/>
        </w:rPr>
        <w:t xml:space="preserve"> uznając, że </w:t>
      </w:r>
      <w:r w:rsidR="0046191F" w:rsidRPr="00876059">
        <w:rPr>
          <w:rFonts w:ascii="Verdana" w:hAnsi="Verdana" w:cs="Calibri"/>
          <w:color w:val="0070C0"/>
          <w:sz w:val="20"/>
          <w:szCs w:val="20"/>
        </w:rPr>
        <w:t>skarżący</w:t>
      </w:r>
      <w:r w:rsidRPr="00876059">
        <w:rPr>
          <w:rFonts w:ascii="Verdana" w:hAnsi="Verdana" w:cs="Calibri"/>
          <w:color w:val="0070C0"/>
          <w:sz w:val="20"/>
          <w:szCs w:val="20"/>
        </w:rPr>
        <w:t xml:space="preserve"> nie </w:t>
      </w:r>
      <w:r w:rsidR="00961F2C" w:rsidRPr="00876059">
        <w:rPr>
          <w:rFonts w:ascii="Verdana" w:hAnsi="Verdana" w:cs="Calibri"/>
          <w:color w:val="0070C0"/>
          <w:sz w:val="20"/>
          <w:szCs w:val="20"/>
        </w:rPr>
        <w:t xml:space="preserve">został dwukrotnie skazany za ten sam czyn </w:t>
      </w:r>
      <w:r w:rsidRPr="00876059">
        <w:rPr>
          <w:rFonts w:ascii="Verdana" w:hAnsi="Verdana" w:cs="Calibri"/>
          <w:color w:val="0070C0"/>
          <w:sz w:val="20"/>
          <w:szCs w:val="20"/>
        </w:rPr>
        <w:t>w dwóch odrębnych postępowaniach.</w:t>
      </w:r>
    </w:p>
    <w:p w14:paraId="28C0DEB8" w14:textId="77777777" w:rsidR="00876059" w:rsidRDefault="00876059" w:rsidP="008B0AE6">
      <w:pPr>
        <w:spacing w:after="0"/>
        <w:rPr>
          <w:rFonts w:ascii="Verdana" w:hAnsi="Verdana" w:cs="Calibri"/>
          <w:b/>
          <w:color w:val="2E74B5" w:themeColor="accent1" w:themeShade="BF"/>
          <w:sz w:val="20"/>
          <w:szCs w:val="20"/>
          <w:u w:val="single"/>
        </w:rPr>
      </w:pPr>
    </w:p>
    <w:p w14:paraId="5A1CA924" w14:textId="59F7DE4C" w:rsidR="00F1211B" w:rsidRPr="006E23A1" w:rsidRDefault="00EE6B3B" w:rsidP="008B0AE6">
      <w:pPr>
        <w:spacing w:after="0"/>
        <w:rPr>
          <w:rFonts w:ascii="Verdana" w:hAnsi="Verdana" w:cs="Calibri"/>
          <w:sz w:val="20"/>
          <w:szCs w:val="20"/>
        </w:rPr>
      </w:pPr>
      <w:hyperlink r:id="rId62" w:history="1">
        <w:r w:rsidRPr="00876059">
          <w:rPr>
            <w:rStyle w:val="Hipercze"/>
            <w:rFonts w:ascii="Verdana" w:hAnsi="Verdana" w:cs="Calibri"/>
            <w:b/>
            <w:color w:val="0070C0"/>
            <w:sz w:val="20"/>
            <w:szCs w:val="20"/>
          </w:rPr>
          <w:t>Kapetanios i inni</w:t>
        </w:r>
        <w:r w:rsidR="00F1211B" w:rsidRPr="00876059">
          <w:rPr>
            <w:rStyle w:val="Hipercze"/>
            <w:rFonts w:ascii="Verdana" w:hAnsi="Verdana" w:cs="Calibri"/>
            <w:b/>
            <w:color w:val="0070C0"/>
            <w:sz w:val="20"/>
            <w:szCs w:val="20"/>
          </w:rPr>
          <w:t xml:space="preserve"> przeciwko Grecji</w:t>
        </w:r>
      </w:hyperlink>
      <w:r w:rsidRPr="006E23A1">
        <w:rPr>
          <w:rFonts w:ascii="Verdana" w:hAnsi="Verdana" w:cs="Calibri"/>
          <w:sz w:val="20"/>
          <w:szCs w:val="20"/>
        </w:rPr>
        <w:br/>
      </w:r>
      <w:r w:rsidRPr="00876059">
        <w:rPr>
          <w:rFonts w:ascii="Verdana" w:hAnsi="Verdana" w:cs="Calibri"/>
          <w:color w:val="767171" w:themeColor="background2" w:themeShade="80"/>
          <w:sz w:val="18"/>
          <w:szCs w:val="18"/>
        </w:rPr>
        <w:t>30 kwietnia 2015</w:t>
      </w:r>
      <w:r w:rsidR="00D70037" w:rsidRPr="00876059">
        <w:rPr>
          <w:rFonts w:ascii="Verdana" w:hAnsi="Verdana" w:cs="Calibri"/>
          <w:color w:val="767171" w:themeColor="background2" w:themeShade="80"/>
          <w:sz w:val="18"/>
          <w:szCs w:val="18"/>
        </w:rPr>
        <w:t xml:space="preserve"> </w:t>
      </w:r>
      <w:r w:rsidR="00707523" w:rsidRPr="00876059">
        <w:rPr>
          <w:rFonts w:ascii="Verdana" w:hAnsi="Verdana" w:cs="Calibri"/>
          <w:color w:val="767171" w:themeColor="background2" w:themeShade="80"/>
          <w:sz w:val="18"/>
          <w:szCs w:val="18"/>
        </w:rPr>
        <w:t>r.</w:t>
      </w:r>
    </w:p>
    <w:p w14:paraId="1891A3B2" w14:textId="69760E8E" w:rsidR="00F1211B" w:rsidRPr="006E23A1" w:rsidRDefault="00781AEC" w:rsidP="008B0AE6">
      <w:pPr>
        <w:spacing w:after="0"/>
        <w:jc w:val="both"/>
        <w:rPr>
          <w:rFonts w:ascii="Verdana" w:hAnsi="Verdana" w:cs="Calibri"/>
          <w:sz w:val="20"/>
          <w:szCs w:val="20"/>
        </w:rPr>
      </w:pPr>
      <w:r w:rsidRPr="006E23A1">
        <w:rPr>
          <w:rFonts w:ascii="Verdana" w:hAnsi="Verdana" w:cs="Calibri"/>
          <w:sz w:val="20"/>
          <w:szCs w:val="20"/>
        </w:rPr>
        <w:t xml:space="preserve">Przeciwko każdemu </w:t>
      </w:r>
      <w:r w:rsidR="00F1211B" w:rsidRPr="006E23A1">
        <w:rPr>
          <w:rFonts w:ascii="Verdana" w:hAnsi="Verdana" w:cs="Calibri"/>
          <w:sz w:val="20"/>
          <w:szCs w:val="20"/>
        </w:rPr>
        <w:t xml:space="preserve">z trzech skarżących wszczęto postępowanie karne w sprawie zarzutów dotyczących przemytu, </w:t>
      </w:r>
      <w:r w:rsidRPr="006E23A1">
        <w:rPr>
          <w:rFonts w:ascii="Verdana" w:hAnsi="Verdana" w:cs="Calibri"/>
          <w:sz w:val="20"/>
          <w:szCs w:val="20"/>
        </w:rPr>
        <w:t xml:space="preserve">ale zostali oni uniewinnieni przez sąd karny oraz sąd apelacyjny. Jednocześnie </w:t>
      </w:r>
      <w:r w:rsidR="00D70037" w:rsidRPr="006E23A1">
        <w:rPr>
          <w:rFonts w:ascii="Verdana" w:hAnsi="Verdana" w:cs="Calibri"/>
          <w:sz w:val="20"/>
          <w:szCs w:val="20"/>
        </w:rPr>
        <w:t>zostali zobowiązani do zapłaty</w:t>
      </w:r>
      <w:r w:rsidR="00F1211B" w:rsidRPr="006E23A1">
        <w:rPr>
          <w:rFonts w:ascii="Verdana" w:hAnsi="Verdana" w:cs="Calibri"/>
          <w:sz w:val="20"/>
          <w:szCs w:val="20"/>
        </w:rPr>
        <w:t xml:space="preserve"> grzyw</w:t>
      </w:r>
      <w:r w:rsidR="00D70037" w:rsidRPr="006E23A1">
        <w:rPr>
          <w:rFonts w:ascii="Verdana" w:hAnsi="Verdana" w:cs="Calibri"/>
          <w:sz w:val="20"/>
          <w:szCs w:val="20"/>
        </w:rPr>
        <w:t>ie</w:t>
      </w:r>
      <w:r w:rsidR="00F1211B" w:rsidRPr="006E23A1">
        <w:rPr>
          <w:rFonts w:ascii="Verdana" w:hAnsi="Verdana" w:cs="Calibri"/>
          <w:sz w:val="20"/>
          <w:szCs w:val="20"/>
        </w:rPr>
        <w:t>n administracyjn</w:t>
      </w:r>
      <w:r w:rsidR="00D70037" w:rsidRPr="006E23A1">
        <w:rPr>
          <w:rFonts w:ascii="Verdana" w:hAnsi="Verdana" w:cs="Calibri"/>
          <w:sz w:val="20"/>
          <w:szCs w:val="20"/>
        </w:rPr>
        <w:t>ych</w:t>
      </w:r>
      <w:r w:rsidR="00F1211B" w:rsidRPr="006E23A1">
        <w:rPr>
          <w:rFonts w:ascii="Verdana" w:hAnsi="Verdana" w:cs="Calibri"/>
          <w:sz w:val="20"/>
          <w:szCs w:val="20"/>
        </w:rPr>
        <w:t xml:space="preserve"> za nielegalny </w:t>
      </w:r>
      <w:r w:rsidR="0038025D">
        <w:rPr>
          <w:rFonts w:ascii="Verdana" w:hAnsi="Verdana" w:cs="Calibri"/>
          <w:sz w:val="20"/>
          <w:szCs w:val="20"/>
        </w:rPr>
        <w:t>import</w:t>
      </w:r>
      <w:r w:rsidR="00F1211B" w:rsidRPr="006E23A1">
        <w:rPr>
          <w:rFonts w:ascii="Verdana" w:hAnsi="Verdana" w:cs="Calibri"/>
          <w:sz w:val="20"/>
          <w:szCs w:val="20"/>
        </w:rPr>
        <w:t xml:space="preserve"> lub grzyw</w:t>
      </w:r>
      <w:r w:rsidR="00D70037" w:rsidRPr="006E23A1">
        <w:rPr>
          <w:rFonts w:ascii="Verdana" w:hAnsi="Verdana" w:cs="Calibri"/>
          <w:sz w:val="20"/>
          <w:szCs w:val="20"/>
        </w:rPr>
        <w:t>ie</w:t>
      </w:r>
      <w:r w:rsidR="00F1211B" w:rsidRPr="006E23A1">
        <w:rPr>
          <w:rFonts w:ascii="Verdana" w:hAnsi="Verdana" w:cs="Calibri"/>
          <w:sz w:val="20"/>
          <w:szCs w:val="20"/>
        </w:rPr>
        <w:t>n fiskal</w:t>
      </w:r>
      <w:r w:rsidRPr="006E23A1">
        <w:rPr>
          <w:rFonts w:ascii="Verdana" w:hAnsi="Verdana" w:cs="Calibri"/>
          <w:sz w:val="20"/>
          <w:szCs w:val="20"/>
        </w:rPr>
        <w:t>n</w:t>
      </w:r>
      <w:r w:rsidR="00D70037" w:rsidRPr="006E23A1">
        <w:rPr>
          <w:rFonts w:ascii="Verdana" w:hAnsi="Verdana" w:cs="Calibri"/>
          <w:sz w:val="20"/>
          <w:szCs w:val="20"/>
        </w:rPr>
        <w:t>ych</w:t>
      </w:r>
      <w:r w:rsidRPr="006E23A1">
        <w:rPr>
          <w:rFonts w:ascii="Verdana" w:hAnsi="Verdana" w:cs="Calibri"/>
          <w:sz w:val="20"/>
          <w:szCs w:val="20"/>
        </w:rPr>
        <w:t xml:space="preserve"> za przemyt. Skarżący</w:t>
      </w:r>
      <w:r w:rsidR="00F1211B" w:rsidRPr="006E23A1">
        <w:rPr>
          <w:rFonts w:ascii="Verdana" w:hAnsi="Verdana" w:cs="Calibri"/>
          <w:sz w:val="20"/>
          <w:szCs w:val="20"/>
        </w:rPr>
        <w:t xml:space="preserve"> </w:t>
      </w:r>
      <w:r w:rsidRPr="006E23A1">
        <w:rPr>
          <w:rFonts w:ascii="Verdana" w:hAnsi="Verdana" w:cs="Calibri"/>
          <w:sz w:val="20"/>
          <w:szCs w:val="20"/>
        </w:rPr>
        <w:t xml:space="preserve">podnosili </w:t>
      </w:r>
      <w:r w:rsidR="00F1211B" w:rsidRPr="006E23A1">
        <w:rPr>
          <w:rFonts w:ascii="Verdana" w:hAnsi="Verdana" w:cs="Calibri"/>
          <w:sz w:val="20"/>
          <w:szCs w:val="20"/>
        </w:rPr>
        <w:t xml:space="preserve">w szczególności, że sądy administracyjne, nie uwzględniając ich wyroków uniewinniających wydanych przez sądy karne, naruszyły zasadę </w:t>
      </w:r>
      <w:r w:rsidR="00F1211B" w:rsidRPr="006E23A1">
        <w:rPr>
          <w:rFonts w:ascii="Verdana" w:hAnsi="Verdana" w:cs="Calibri"/>
          <w:i/>
          <w:sz w:val="20"/>
          <w:szCs w:val="20"/>
        </w:rPr>
        <w:t>n</w:t>
      </w:r>
      <w:r w:rsidR="00876059">
        <w:rPr>
          <w:rFonts w:ascii="Verdana" w:hAnsi="Verdana" w:cs="Calibri"/>
          <w:i/>
          <w:sz w:val="20"/>
          <w:szCs w:val="20"/>
        </w:rPr>
        <w:t>e</w:t>
      </w:r>
      <w:r w:rsidR="00F1211B" w:rsidRPr="006E23A1">
        <w:rPr>
          <w:rFonts w:ascii="Verdana" w:hAnsi="Verdana" w:cs="Calibri"/>
          <w:i/>
          <w:sz w:val="20"/>
          <w:szCs w:val="20"/>
        </w:rPr>
        <w:t xml:space="preserve"> bis in idem</w:t>
      </w:r>
      <w:r w:rsidR="00F1211B" w:rsidRPr="006E23A1">
        <w:rPr>
          <w:rFonts w:ascii="Verdana" w:hAnsi="Verdana" w:cs="Calibri"/>
          <w:sz w:val="20"/>
          <w:szCs w:val="20"/>
        </w:rPr>
        <w:t>.</w:t>
      </w:r>
    </w:p>
    <w:p w14:paraId="3EB481B7" w14:textId="711955D8" w:rsidR="00F1211B" w:rsidRPr="00876059" w:rsidRDefault="00781AEC" w:rsidP="008B0AE6">
      <w:pPr>
        <w:spacing w:after="0"/>
        <w:jc w:val="both"/>
        <w:rPr>
          <w:rFonts w:ascii="Verdana" w:hAnsi="Verdana" w:cs="Calibri"/>
          <w:color w:val="0070C0"/>
          <w:sz w:val="20"/>
          <w:szCs w:val="20"/>
        </w:rPr>
      </w:pPr>
      <w:r w:rsidRPr="00876059">
        <w:rPr>
          <w:rFonts w:ascii="Verdana" w:hAnsi="Verdana" w:cs="Calibri"/>
          <w:color w:val="0070C0"/>
          <w:sz w:val="20"/>
          <w:szCs w:val="20"/>
        </w:rPr>
        <w:t xml:space="preserve">Trybunał </w:t>
      </w:r>
      <w:r w:rsidR="00F1211B" w:rsidRPr="00876059">
        <w:rPr>
          <w:rFonts w:ascii="Verdana" w:hAnsi="Verdana" w:cs="Calibri"/>
          <w:color w:val="0070C0"/>
          <w:sz w:val="20"/>
          <w:szCs w:val="20"/>
        </w:rPr>
        <w:t>zauważył</w:t>
      </w:r>
      <w:r w:rsidR="00614BD1" w:rsidRPr="00876059">
        <w:rPr>
          <w:rFonts w:ascii="Verdana" w:hAnsi="Verdana" w:cs="Calibri"/>
          <w:color w:val="0070C0"/>
          <w:sz w:val="20"/>
          <w:szCs w:val="20"/>
        </w:rPr>
        <w:t>, po pierwsze, że w rozumieniu K</w:t>
      </w:r>
      <w:r w:rsidR="00F1211B" w:rsidRPr="00876059">
        <w:rPr>
          <w:rFonts w:ascii="Verdana" w:hAnsi="Verdana" w:cs="Calibri"/>
          <w:color w:val="0070C0"/>
          <w:sz w:val="20"/>
          <w:szCs w:val="20"/>
        </w:rPr>
        <w:t>onwencji przedmiotowe kary administracyjne miały charakter karny, biorąc pod uwagę surowość</w:t>
      </w:r>
      <w:r w:rsidR="00614BD1" w:rsidRPr="00876059">
        <w:rPr>
          <w:rFonts w:ascii="Verdana" w:hAnsi="Verdana" w:cs="Calibri"/>
          <w:color w:val="0070C0"/>
          <w:sz w:val="20"/>
          <w:szCs w:val="20"/>
        </w:rPr>
        <w:t xml:space="preserve"> grzywien nałożonych na skarżących</w:t>
      </w:r>
      <w:r w:rsidR="00F1211B" w:rsidRPr="00876059">
        <w:rPr>
          <w:rFonts w:ascii="Verdana" w:hAnsi="Verdana" w:cs="Calibri"/>
          <w:color w:val="0070C0"/>
          <w:sz w:val="20"/>
          <w:szCs w:val="20"/>
        </w:rPr>
        <w:t>, które waha</w:t>
      </w:r>
      <w:r w:rsidR="00D70037" w:rsidRPr="00876059">
        <w:rPr>
          <w:rFonts w:ascii="Verdana" w:hAnsi="Verdana" w:cs="Calibri"/>
          <w:color w:val="0070C0"/>
          <w:sz w:val="20"/>
          <w:szCs w:val="20"/>
        </w:rPr>
        <w:t xml:space="preserve">ły się między dwu i trzykrotnością </w:t>
      </w:r>
      <w:r w:rsidR="00F1211B" w:rsidRPr="00876059">
        <w:rPr>
          <w:rFonts w:ascii="Verdana" w:hAnsi="Verdana" w:cs="Calibri"/>
          <w:color w:val="0070C0"/>
          <w:sz w:val="20"/>
          <w:szCs w:val="20"/>
        </w:rPr>
        <w:t xml:space="preserve">należności celnych, oraz surowość maksymalnych grzywien, jakie mogły zostać nałożone, które wzrosły dziesięciokrotnie w stosunku do kwot należnych z tytułu należności celnych. W konsekwencji Trybunał orzekł, że skarga jest dopuszczalna na </w:t>
      </w:r>
      <w:r w:rsidR="00614BD1" w:rsidRPr="00876059">
        <w:rPr>
          <w:rFonts w:ascii="Verdana" w:hAnsi="Verdana" w:cs="Calibri"/>
          <w:color w:val="0070C0"/>
          <w:sz w:val="20"/>
          <w:szCs w:val="20"/>
        </w:rPr>
        <w:t xml:space="preserve">podstawie art. 4 Protokołu </w:t>
      </w:r>
      <w:r w:rsidR="00E97A36" w:rsidRPr="00876059">
        <w:rPr>
          <w:rFonts w:ascii="Verdana" w:hAnsi="Verdana" w:cs="Calibri"/>
          <w:color w:val="0070C0"/>
          <w:sz w:val="20"/>
          <w:szCs w:val="20"/>
        </w:rPr>
        <w:t>nr</w:t>
      </w:r>
      <w:r w:rsidR="00614BD1" w:rsidRPr="00876059">
        <w:rPr>
          <w:rFonts w:ascii="Verdana" w:hAnsi="Verdana" w:cs="Calibri"/>
          <w:color w:val="0070C0"/>
          <w:sz w:val="20"/>
          <w:szCs w:val="20"/>
        </w:rPr>
        <w:t xml:space="preserve"> 7</w:t>
      </w:r>
      <w:r w:rsidR="0038025D">
        <w:rPr>
          <w:rStyle w:val="Odwoanieprzypisudolnego"/>
          <w:rFonts w:ascii="Verdana" w:hAnsi="Verdana" w:cs="Calibri"/>
          <w:color w:val="0070C0"/>
          <w:sz w:val="20"/>
          <w:szCs w:val="20"/>
        </w:rPr>
        <w:footnoteReference w:id="5"/>
      </w:r>
      <w:r w:rsidR="00F1211B" w:rsidRPr="00876059">
        <w:rPr>
          <w:rFonts w:ascii="Verdana" w:hAnsi="Verdana" w:cs="Calibri"/>
          <w:color w:val="0070C0"/>
          <w:sz w:val="20"/>
          <w:szCs w:val="20"/>
        </w:rPr>
        <w:t xml:space="preserve">. Trybunał zauważył ponadto, że wyroki uniewinniające stały się prawomocne odpowiednio </w:t>
      </w:r>
      <w:r w:rsidR="00614BD1" w:rsidRPr="00876059">
        <w:rPr>
          <w:rFonts w:ascii="Verdana" w:hAnsi="Verdana" w:cs="Calibri"/>
          <w:color w:val="0070C0"/>
          <w:sz w:val="20"/>
          <w:szCs w:val="20"/>
        </w:rPr>
        <w:t xml:space="preserve">w 1992, 2000 i 1998 r., oraz że </w:t>
      </w:r>
      <w:r w:rsidR="002535BC" w:rsidRPr="00876059">
        <w:rPr>
          <w:rFonts w:ascii="Verdana" w:hAnsi="Verdana" w:cs="Calibri"/>
          <w:color w:val="0070C0"/>
          <w:sz w:val="20"/>
          <w:szCs w:val="20"/>
        </w:rPr>
        <w:t>drugie</w:t>
      </w:r>
      <w:r w:rsidR="00F1211B" w:rsidRPr="00876059">
        <w:rPr>
          <w:rFonts w:ascii="Verdana" w:hAnsi="Verdana" w:cs="Calibri"/>
          <w:color w:val="0070C0"/>
          <w:sz w:val="20"/>
          <w:szCs w:val="20"/>
        </w:rPr>
        <w:t xml:space="preserve"> postęp</w:t>
      </w:r>
      <w:r w:rsidR="00614BD1" w:rsidRPr="00876059">
        <w:rPr>
          <w:rFonts w:ascii="Verdana" w:hAnsi="Verdana" w:cs="Calibri"/>
          <w:color w:val="0070C0"/>
          <w:sz w:val="20"/>
          <w:szCs w:val="20"/>
        </w:rPr>
        <w:t>owani</w:t>
      </w:r>
      <w:r w:rsidR="002535BC" w:rsidRPr="00876059">
        <w:rPr>
          <w:rFonts w:ascii="Verdana" w:hAnsi="Verdana" w:cs="Calibri"/>
          <w:color w:val="0070C0"/>
          <w:sz w:val="20"/>
          <w:szCs w:val="20"/>
        </w:rPr>
        <w:t>e</w:t>
      </w:r>
      <w:r w:rsidR="00614BD1" w:rsidRPr="00876059">
        <w:rPr>
          <w:rFonts w:ascii="Verdana" w:hAnsi="Verdana" w:cs="Calibri"/>
          <w:color w:val="0070C0"/>
          <w:sz w:val="20"/>
          <w:szCs w:val="20"/>
        </w:rPr>
        <w:t xml:space="preserve"> nie został</w:t>
      </w:r>
      <w:r w:rsidR="002535BC" w:rsidRPr="00876059">
        <w:rPr>
          <w:rFonts w:ascii="Verdana" w:hAnsi="Verdana" w:cs="Calibri"/>
          <w:color w:val="0070C0"/>
          <w:sz w:val="20"/>
          <w:szCs w:val="20"/>
        </w:rPr>
        <w:t>o</w:t>
      </w:r>
      <w:r w:rsidR="00614BD1" w:rsidRPr="00876059">
        <w:rPr>
          <w:rFonts w:ascii="Verdana" w:hAnsi="Verdana" w:cs="Calibri"/>
          <w:color w:val="0070C0"/>
          <w:sz w:val="20"/>
          <w:szCs w:val="20"/>
        </w:rPr>
        <w:t xml:space="preserve"> je</w:t>
      </w:r>
      <w:r w:rsidR="002535BC" w:rsidRPr="00876059">
        <w:rPr>
          <w:rFonts w:ascii="Verdana" w:hAnsi="Verdana" w:cs="Calibri"/>
          <w:color w:val="0070C0"/>
          <w:sz w:val="20"/>
          <w:szCs w:val="20"/>
        </w:rPr>
        <w:t>szcze</w:t>
      </w:r>
      <w:r w:rsidR="00614BD1" w:rsidRPr="00876059">
        <w:rPr>
          <w:rFonts w:ascii="Verdana" w:hAnsi="Verdana" w:cs="Calibri"/>
          <w:color w:val="0070C0"/>
          <w:sz w:val="20"/>
          <w:szCs w:val="20"/>
        </w:rPr>
        <w:t xml:space="preserve"> zakończone</w:t>
      </w:r>
      <w:r w:rsidR="00F1211B" w:rsidRPr="00876059">
        <w:rPr>
          <w:rFonts w:ascii="Verdana" w:hAnsi="Verdana" w:cs="Calibri"/>
          <w:color w:val="0070C0"/>
          <w:sz w:val="20"/>
          <w:szCs w:val="20"/>
        </w:rPr>
        <w:t>.</w:t>
      </w:r>
      <w:r w:rsidR="0038025D">
        <w:rPr>
          <w:rFonts w:ascii="Verdana" w:hAnsi="Verdana" w:cs="Calibri"/>
          <w:color w:val="0070C0"/>
          <w:sz w:val="20"/>
          <w:szCs w:val="20"/>
        </w:rPr>
        <w:t xml:space="preserve"> </w:t>
      </w:r>
      <w:r w:rsidR="00614BD1" w:rsidRPr="00876059">
        <w:rPr>
          <w:rFonts w:ascii="Verdana" w:hAnsi="Verdana" w:cs="Calibri"/>
          <w:color w:val="0070C0"/>
          <w:sz w:val="20"/>
          <w:szCs w:val="20"/>
        </w:rPr>
        <w:t>Ponadto w przypadku każdego</w:t>
      </w:r>
      <w:r w:rsidR="00F1211B" w:rsidRPr="00876059">
        <w:rPr>
          <w:rFonts w:ascii="Verdana" w:hAnsi="Verdana" w:cs="Calibri"/>
          <w:color w:val="0070C0"/>
          <w:sz w:val="20"/>
          <w:szCs w:val="20"/>
        </w:rPr>
        <w:t xml:space="preserve"> ze skarżących oba postępowania, administracyjne i karne, odnosiły się konkretnie do nielegalnego przywozu tych samych przedmiotów, a tym samym do tego samego zachowania w tych samych okresach. Trybunał zauważył jednak, że zasada </w:t>
      </w:r>
      <w:r w:rsidR="00F1211B" w:rsidRPr="00876059">
        <w:rPr>
          <w:rFonts w:ascii="Verdana" w:hAnsi="Verdana" w:cs="Calibri"/>
          <w:i/>
          <w:color w:val="0070C0"/>
          <w:sz w:val="20"/>
          <w:szCs w:val="20"/>
        </w:rPr>
        <w:t>n</w:t>
      </w:r>
      <w:r w:rsidR="00876059" w:rsidRPr="00876059">
        <w:rPr>
          <w:rFonts w:ascii="Verdana" w:hAnsi="Verdana" w:cs="Calibri"/>
          <w:i/>
          <w:color w:val="0070C0"/>
          <w:sz w:val="20"/>
          <w:szCs w:val="20"/>
        </w:rPr>
        <w:t>e</w:t>
      </w:r>
      <w:r w:rsidR="00F1211B" w:rsidRPr="00876059">
        <w:rPr>
          <w:rFonts w:ascii="Verdana" w:hAnsi="Verdana" w:cs="Calibri"/>
          <w:i/>
          <w:color w:val="0070C0"/>
          <w:sz w:val="20"/>
          <w:szCs w:val="20"/>
        </w:rPr>
        <w:t xml:space="preserve"> bis in idem</w:t>
      </w:r>
      <w:r w:rsidR="00F1211B" w:rsidRPr="00876059">
        <w:rPr>
          <w:rFonts w:ascii="Verdana" w:hAnsi="Verdana" w:cs="Calibri"/>
          <w:color w:val="0070C0"/>
          <w:sz w:val="20"/>
          <w:szCs w:val="20"/>
        </w:rPr>
        <w:t xml:space="preserve"> nie zostałaby naruszona, gdyby możliwe formy kary: kara pozbawienia wolności i kara pieniężna zostały przewidziane w ramach jednego postępowania sądowego lub gdyby sąd karny zawiesił postępowanie sądowe po wszczęciu postępowania administracyjnego, a następnie zamknął postępowanie karne po potwierdzeniu grzywny przez Naczelny Sąd Administracyjny.</w:t>
      </w:r>
      <w:r w:rsidR="00614BD1" w:rsidRPr="00876059">
        <w:rPr>
          <w:rFonts w:ascii="Verdana" w:hAnsi="Verdana" w:cs="Calibri"/>
          <w:color w:val="0070C0"/>
          <w:sz w:val="20"/>
          <w:szCs w:val="20"/>
        </w:rPr>
        <w:t xml:space="preserve"> Ponieważ tak się nie stało, Trybunał</w:t>
      </w:r>
      <w:r w:rsidR="00F1211B" w:rsidRPr="00876059">
        <w:rPr>
          <w:rFonts w:ascii="Verdana" w:hAnsi="Verdana" w:cs="Calibri"/>
          <w:color w:val="0070C0"/>
          <w:sz w:val="20"/>
          <w:szCs w:val="20"/>
        </w:rPr>
        <w:t xml:space="preserve"> </w:t>
      </w:r>
      <w:r w:rsidR="00F1211B" w:rsidRPr="00876059">
        <w:rPr>
          <w:rFonts w:ascii="Verdana" w:hAnsi="Verdana" w:cs="Calibri"/>
          <w:b/>
          <w:color w:val="0070C0"/>
          <w:sz w:val="20"/>
          <w:szCs w:val="20"/>
        </w:rPr>
        <w:t xml:space="preserve">stwierdził naruszenie art. 4 protokołu </w:t>
      </w:r>
      <w:r w:rsidR="00E97A36" w:rsidRPr="00876059">
        <w:rPr>
          <w:rFonts w:ascii="Verdana" w:hAnsi="Verdana" w:cs="Calibri"/>
          <w:b/>
          <w:color w:val="0070C0"/>
          <w:sz w:val="20"/>
          <w:szCs w:val="20"/>
        </w:rPr>
        <w:t>nr</w:t>
      </w:r>
      <w:r w:rsidR="00F1211B" w:rsidRPr="00876059">
        <w:rPr>
          <w:rFonts w:ascii="Verdana" w:hAnsi="Verdana" w:cs="Calibri"/>
          <w:b/>
          <w:color w:val="0070C0"/>
          <w:sz w:val="20"/>
          <w:szCs w:val="20"/>
        </w:rPr>
        <w:t xml:space="preserve"> 7 </w:t>
      </w:r>
      <w:r w:rsidR="00F1211B" w:rsidRPr="00876059">
        <w:rPr>
          <w:rFonts w:ascii="Verdana" w:hAnsi="Verdana" w:cs="Calibri"/>
          <w:color w:val="0070C0"/>
          <w:sz w:val="20"/>
          <w:szCs w:val="20"/>
        </w:rPr>
        <w:t>w odniesieniu do trzech skarżących.</w:t>
      </w:r>
    </w:p>
    <w:p w14:paraId="21914B85" w14:textId="77777777" w:rsidR="00876059" w:rsidRPr="006E23A1" w:rsidRDefault="00876059" w:rsidP="008B0AE6">
      <w:pPr>
        <w:spacing w:after="0"/>
        <w:jc w:val="both"/>
        <w:rPr>
          <w:rFonts w:ascii="Verdana" w:hAnsi="Verdana" w:cs="Calibri"/>
          <w:color w:val="2E74B5" w:themeColor="accent1" w:themeShade="BF"/>
          <w:sz w:val="20"/>
          <w:szCs w:val="20"/>
        </w:rPr>
      </w:pPr>
    </w:p>
    <w:p w14:paraId="2DE11695" w14:textId="622B8718" w:rsidR="00F1211B" w:rsidRPr="006E23A1" w:rsidRDefault="00F1211B" w:rsidP="008B0AE6">
      <w:pPr>
        <w:spacing w:after="0"/>
        <w:rPr>
          <w:rFonts w:ascii="Verdana" w:hAnsi="Verdana" w:cs="Calibri"/>
          <w:sz w:val="20"/>
          <w:szCs w:val="20"/>
        </w:rPr>
      </w:pPr>
      <w:hyperlink r:id="rId63" w:history="1">
        <w:r w:rsidRPr="00912A93">
          <w:rPr>
            <w:rStyle w:val="Hipercze"/>
            <w:rFonts w:ascii="Verdana" w:hAnsi="Verdana" w:cs="Calibri"/>
            <w:b/>
            <w:sz w:val="20"/>
            <w:szCs w:val="20"/>
          </w:rPr>
          <w:t>Igor Tarasov przeciwko Ukrainie</w:t>
        </w:r>
      </w:hyperlink>
      <w:r w:rsidR="00EE6B3B" w:rsidRPr="006E23A1">
        <w:rPr>
          <w:rFonts w:ascii="Verdana" w:hAnsi="Verdana" w:cs="Calibri"/>
          <w:sz w:val="20"/>
          <w:szCs w:val="20"/>
        </w:rPr>
        <w:br/>
      </w:r>
      <w:r w:rsidR="00EE6B3B" w:rsidRPr="00912A93">
        <w:rPr>
          <w:rFonts w:ascii="Verdana" w:hAnsi="Verdana" w:cs="Calibri"/>
          <w:color w:val="767171" w:themeColor="background2" w:themeShade="80"/>
          <w:sz w:val="18"/>
          <w:szCs w:val="18"/>
        </w:rPr>
        <w:t>16 czerwca 2016</w:t>
      </w:r>
      <w:r w:rsidR="002535BC" w:rsidRPr="00912A93">
        <w:rPr>
          <w:rFonts w:ascii="Verdana" w:hAnsi="Verdana" w:cs="Calibri"/>
          <w:color w:val="767171" w:themeColor="background2" w:themeShade="80"/>
          <w:sz w:val="18"/>
          <w:szCs w:val="18"/>
        </w:rPr>
        <w:t xml:space="preserve"> </w:t>
      </w:r>
      <w:r w:rsidR="00707523" w:rsidRPr="00912A93">
        <w:rPr>
          <w:rFonts w:ascii="Verdana" w:hAnsi="Verdana" w:cs="Calibri"/>
          <w:color w:val="767171" w:themeColor="background2" w:themeShade="80"/>
          <w:sz w:val="18"/>
          <w:szCs w:val="18"/>
        </w:rPr>
        <w:t>r.</w:t>
      </w:r>
    </w:p>
    <w:p w14:paraId="2F2C2873" w14:textId="77777777"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Sprawa ta dotyczyła postępowania administracyjnego i karnego wszczętego p</w:t>
      </w:r>
      <w:r w:rsidR="009E4CBB" w:rsidRPr="006E23A1">
        <w:rPr>
          <w:rFonts w:ascii="Verdana" w:hAnsi="Verdana" w:cs="Calibri"/>
          <w:sz w:val="20"/>
          <w:szCs w:val="20"/>
        </w:rPr>
        <w:t xml:space="preserve">rzeciwko skarżącemu w związku z bójką w barze. W szczególności skarżący podnosił, że </w:t>
      </w:r>
      <w:r w:rsidR="002535BC" w:rsidRPr="006E23A1">
        <w:rPr>
          <w:rFonts w:ascii="Verdana" w:hAnsi="Verdana" w:cs="Calibri"/>
          <w:sz w:val="20"/>
          <w:szCs w:val="20"/>
        </w:rPr>
        <w:t xml:space="preserve">był dwukrotnie </w:t>
      </w:r>
      <w:r w:rsidRPr="006E23A1">
        <w:rPr>
          <w:rFonts w:ascii="Verdana" w:hAnsi="Verdana" w:cs="Calibri"/>
          <w:sz w:val="20"/>
          <w:szCs w:val="20"/>
        </w:rPr>
        <w:t>sądzon</w:t>
      </w:r>
      <w:r w:rsidR="002535BC" w:rsidRPr="006E23A1">
        <w:rPr>
          <w:rFonts w:ascii="Verdana" w:hAnsi="Verdana" w:cs="Calibri"/>
          <w:sz w:val="20"/>
          <w:szCs w:val="20"/>
        </w:rPr>
        <w:t>y</w:t>
      </w:r>
      <w:r w:rsidRPr="006E23A1">
        <w:rPr>
          <w:rFonts w:ascii="Verdana" w:hAnsi="Verdana" w:cs="Calibri"/>
          <w:sz w:val="20"/>
          <w:szCs w:val="20"/>
        </w:rPr>
        <w:t xml:space="preserve"> i </w:t>
      </w:r>
      <w:r w:rsidR="002535BC" w:rsidRPr="006E23A1">
        <w:rPr>
          <w:rFonts w:ascii="Verdana" w:hAnsi="Verdana" w:cs="Calibri"/>
          <w:sz w:val="20"/>
          <w:szCs w:val="20"/>
        </w:rPr>
        <w:t>u</w:t>
      </w:r>
      <w:r w:rsidRPr="006E23A1">
        <w:rPr>
          <w:rFonts w:ascii="Verdana" w:hAnsi="Verdana" w:cs="Calibri"/>
          <w:sz w:val="20"/>
          <w:szCs w:val="20"/>
        </w:rPr>
        <w:t>karan</w:t>
      </w:r>
      <w:r w:rsidR="002535BC" w:rsidRPr="006E23A1">
        <w:rPr>
          <w:rFonts w:ascii="Verdana" w:hAnsi="Verdana" w:cs="Calibri"/>
          <w:sz w:val="20"/>
          <w:szCs w:val="20"/>
        </w:rPr>
        <w:t>y</w:t>
      </w:r>
      <w:r w:rsidRPr="006E23A1">
        <w:rPr>
          <w:rFonts w:ascii="Verdana" w:hAnsi="Verdana" w:cs="Calibri"/>
          <w:sz w:val="20"/>
          <w:szCs w:val="20"/>
        </w:rPr>
        <w:t xml:space="preserve"> za to samo przestępstwo.</w:t>
      </w:r>
    </w:p>
    <w:p w14:paraId="4C1880D8" w14:textId="2A25D64C" w:rsidR="00F1211B" w:rsidRPr="00912A93" w:rsidRDefault="00F1211B" w:rsidP="008B0AE6">
      <w:pPr>
        <w:spacing w:after="0"/>
        <w:jc w:val="both"/>
        <w:rPr>
          <w:rFonts w:ascii="Verdana" w:hAnsi="Verdana" w:cs="Calibri"/>
          <w:color w:val="0070C0"/>
          <w:sz w:val="20"/>
          <w:szCs w:val="20"/>
        </w:rPr>
      </w:pPr>
      <w:r w:rsidRPr="00912A93">
        <w:rPr>
          <w:rFonts w:ascii="Verdana" w:hAnsi="Verdana" w:cs="Calibri"/>
          <w:color w:val="0070C0"/>
          <w:sz w:val="20"/>
          <w:szCs w:val="20"/>
        </w:rPr>
        <w:t xml:space="preserve">Trybunał orzekł, że </w:t>
      </w:r>
      <w:r w:rsidR="009E4CBB" w:rsidRPr="00744D6C">
        <w:rPr>
          <w:rFonts w:ascii="Verdana" w:hAnsi="Verdana" w:cs="Calibri"/>
          <w:bCs/>
          <w:color w:val="0070C0"/>
          <w:sz w:val="20"/>
          <w:szCs w:val="20"/>
        </w:rPr>
        <w:t xml:space="preserve">doszło do </w:t>
      </w:r>
      <w:r w:rsidR="009E4CBB" w:rsidRPr="00912A93">
        <w:rPr>
          <w:rFonts w:ascii="Verdana" w:hAnsi="Verdana" w:cs="Calibri"/>
          <w:b/>
          <w:color w:val="0070C0"/>
          <w:sz w:val="20"/>
          <w:szCs w:val="20"/>
        </w:rPr>
        <w:t xml:space="preserve">naruszenia art. 4 Protokołu </w:t>
      </w:r>
      <w:r w:rsidR="00912A93">
        <w:rPr>
          <w:rFonts w:ascii="Verdana" w:hAnsi="Verdana" w:cs="Calibri"/>
          <w:b/>
          <w:color w:val="0070C0"/>
          <w:sz w:val="20"/>
          <w:szCs w:val="20"/>
        </w:rPr>
        <w:t>n</w:t>
      </w:r>
      <w:r w:rsidR="00E97A36" w:rsidRPr="00912A93">
        <w:rPr>
          <w:rFonts w:ascii="Verdana" w:hAnsi="Verdana" w:cs="Calibri"/>
          <w:b/>
          <w:color w:val="0070C0"/>
          <w:sz w:val="20"/>
          <w:szCs w:val="20"/>
        </w:rPr>
        <w:t>r</w:t>
      </w:r>
      <w:r w:rsidRPr="00912A93">
        <w:rPr>
          <w:rFonts w:ascii="Verdana" w:hAnsi="Verdana" w:cs="Calibri"/>
          <w:b/>
          <w:color w:val="0070C0"/>
          <w:sz w:val="20"/>
          <w:szCs w:val="20"/>
        </w:rPr>
        <w:t xml:space="preserve"> 7</w:t>
      </w:r>
      <w:r w:rsidRPr="00912A93">
        <w:rPr>
          <w:rFonts w:ascii="Verdana" w:hAnsi="Verdana" w:cs="Calibri"/>
          <w:color w:val="0070C0"/>
          <w:sz w:val="20"/>
          <w:szCs w:val="20"/>
        </w:rPr>
        <w:t xml:space="preserve">, stwierdzając, że oba zestawy postępowań były postępowaniami karnymi oraz że władze ukraińskie powieliły postępowania karne, które dotyczyły zasadniczo tych samych czynów, co stanowi naruszenie zasady </w:t>
      </w:r>
      <w:r w:rsidRPr="00912A93">
        <w:rPr>
          <w:rFonts w:ascii="Verdana" w:hAnsi="Verdana" w:cs="Calibri"/>
          <w:i/>
          <w:color w:val="0070C0"/>
          <w:sz w:val="20"/>
          <w:szCs w:val="20"/>
        </w:rPr>
        <w:t>n</w:t>
      </w:r>
      <w:r w:rsidR="00912A93" w:rsidRPr="00912A93">
        <w:rPr>
          <w:rFonts w:ascii="Verdana" w:hAnsi="Verdana" w:cs="Calibri"/>
          <w:i/>
          <w:color w:val="0070C0"/>
          <w:sz w:val="20"/>
          <w:szCs w:val="20"/>
        </w:rPr>
        <w:t>e</w:t>
      </w:r>
      <w:r w:rsidRPr="00912A93">
        <w:rPr>
          <w:rFonts w:ascii="Verdana" w:hAnsi="Verdana" w:cs="Calibri"/>
          <w:i/>
          <w:color w:val="0070C0"/>
          <w:sz w:val="20"/>
          <w:szCs w:val="20"/>
        </w:rPr>
        <w:t xml:space="preserve"> bis in idem</w:t>
      </w:r>
      <w:r w:rsidRPr="00912A93">
        <w:rPr>
          <w:rFonts w:ascii="Verdana" w:hAnsi="Verdana" w:cs="Calibri"/>
          <w:color w:val="0070C0"/>
          <w:sz w:val="20"/>
          <w:szCs w:val="20"/>
        </w:rPr>
        <w:t>.</w:t>
      </w:r>
    </w:p>
    <w:p w14:paraId="292A60ED" w14:textId="77777777" w:rsidR="00912A93" w:rsidRDefault="00912A93" w:rsidP="008B0AE6">
      <w:pPr>
        <w:spacing w:after="0"/>
        <w:rPr>
          <w:rFonts w:ascii="Verdana" w:hAnsi="Verdana" w:cs="Calibri"/>
          <w:b/>
          <w:color w:val="2E74B5" w:themeColor="accent1" w:themeShade="BF"/>
          <w:sz w:val="20"/>
          <w:szCs w:val="20"/>
          <w:u w:val="single"/>
        </w:rPr>
      </w:pPr>
    </w:p>
    <w:p w14:paraId="6313B9BB" w14:textId="1995F6FD" w:rsidR="00F1211B" w:rsidRPr="006E23A1" w:rsidRDefault="00EE6B3B" w:rsidP="008B0AE6">
      <w:pPr>
        <w:spacing w:after="0"/>
        <w:rPr>
          <w:rFonts w:ascii="Verdana" w:hAnsi="Verdana" w:cs="Calibri"/>
          <w:sz w:val="20"/>
          <w:szCs w:val="20"/>
        </w:rPr>
      </w:pPr>
      <w:hyperlink r:id="rId64" w:history="1">
        <w:r w:rsidRPr="00744D6C">
          <w:rPr>
            <w:rStyle w:val="Hipercze"/>
            <w:rFonts w:ascii="Verdana" w:hAnsi="Verdana" w:cs="Calibri"/>
            <w:b/>
            <w:color w:val="0070C0"/>
            <w:sz w:val="20"/>
            <w:szCs w:val="20"/>
          </w:rPr>
          <w:t>Rivard przeciwko</w:t>
        </w:r>
        <w:r w:rsidR="00F1211B" w:rsidRPr="00744D6C">
          <w:rPr>
            <w:rStyle w:val="Hipercze"/>
            <w:rFonts w:ascii="Verdana" w:hAnsi="Verdana" w:cs="Calibri"/>
            <w:b/>
            <w:color w:val="0070C0"/>
            <w:sz w:val="20"/>
            <w:szCs w:val="20"/>
          </w:rPr>
          <w:t xml:space="preserve"> S</w:t>
        </w:r>
        <w:r w:rsidRPr="00744D6C">
          <w:rPr>
            <w:rStyle w:val="Hipercze"/>
            <w:rFonts w:ascii="Verdana" w:hAnsi="Verdana" w:cs="Calibri"/>
            <w:b/>
            <w:color w:val="0070C0"/>
            <w:sz w:val="20"/>
            <w:szCs w:val="20"/>
          </w:rPr>
          <w:t>zwajcarii</w:t>
        </w:r>
      </w:hyperlink>
      <w:r w:rsidRPr="006E23A1">
        <w:rPr>
          <w:rFonts w:ascii="Verdana" w:hAnsi="Verdana" w:cs="Calibri"/>
          <w:sz w:val="20"/>
          <w:szCs w:val="20"/>
        </w:rPr>
        <w:br/>
      </w:r>
      <w:r w:rsidRPr="00744D6C">
        <w:rPr>
          <w:rFonts w:ascii="Verdana" w:hAnsi="Verdana" w:cs="Calibri"/>
          <w:color w:val="767171" w:themeColor="background2" w:themeShade="80"/>
          <w:sz w:val="18"/>
          <w:szCs w:val="18"/>
        </w:rPr>
        <w:t>4 października 2016</w:t>
      </w:r>
      <w:r w:rsidR="002535BC" w:rsidRPr="00744D6C">
        <w:rPr>
          <w:rFonts w:ascii="Verdana" w:hAnsi="Verdana" w:cs="Calibri"/>
          <w:color w:val="767171" w:themeColor="background2" w:themeShade="80"/>
          <w:sz w:val="18"/>
          <w:szCs w:val="18"/>
        </w:rPr>
        <w:t xml:space="preserve"> </w:t>
      </w:r>
      <w:r w:rsidR="00707523" w:rsidRPr="00744D6C">
        <w:rPr>
          <w:rFonts w:ascii="Verdana" w:hAnsi="Verdana" w:cs="Calibri"/>
          <w:color w:val="767171" w:themeColor="background2" w:themeShade="80"/>
          <w:sz w:val="18"/>
          <w:szCs w:val="18"/>
        </w:rPr>
        <w:t>r.</w:t>
      </w:r>
    </w:p>
    <w:p w14:paraId="06C91DEB" w14:textId="5927B780"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 xml:space="preserve">Skarżący w niniejszej sprawie podniósł, że nałożenie grzywny przez sąd karny, a następnie cofnięcie mu prawa jazdy przez organ administracyjny za to samo </w:t>
      </w:r>
      <w:r w:rsidRPr="006E23A1">
        <w:rPr>
          <w:rFonts w:ascii="Verdana" w:hAnsi="Verdana" w:cs="Calibri"/>
          <w:sz w:val="20"/>
          <w:szCs w:val="20"/>
        </w:rPr>
        <w:lastRenderedPageBreak/>
        <w:t>wykroczenie, tj. przekroczenie ograniczenia prędkości na autostradzie, jest sprzeczne z</w:t>
      </w:r>
      <w:r w:rsidR="00422011">
        <w:rPr>
          <w:rFonts w:ascii="Verdana" w:hAnsi="Verdana" w:cs="Calibri"/>
          <w:sz w:val="20"/>
          <w:szCs w:val="20"/>
        </w:rPr>
        <w:t> </w:t>
      </w:r>
      <w:r w:rsidRPr="006E23A1">
        <w:rPr>
          <w:rFonts w:ascii="Verdana" w:hAnsi="Verdana" w:cs="Calibri"/>
          <w:sz w:val="20"/>
          <w:szCs w:val="20"/>
        </w:rPr>
        <w:t xml:space="preserve">zasadą </w:t>
      </w:r>
      <w:r w:rsidRPr="006E23A1">
        <w:rPr>
          <w:rFonts w:ascii="Verdana" w:hAnsi="Verdana" w:cs="Calibri"/>
          <w:i/>
          <w:sz w:val="20"/>
          <w:szCs w:val="20"/>
        </w:rPr>
        <w:t>n</w:t>
      </w:r>
      <w:r w:rsidR="00744D6C">
        <w:rPr>
          <w:rFonts w:ascii="Verdana" w:hAnsi="Verdana" w:cs="Calibri"/>
          <w:i/>
          <w:sz w:val="20"/>
          <w:szCs w:val="20"/>
        </w:rPr>
        <w:t>e</w:t>
      </w:r>
      <w:r w:rsidRPr="006E23A1">
        <w:rPr>
          <w:rFonts w:ascii="Verdana" w:hAnsi="Verdana" w:cs="Calibri"/>
          <w:i/>
          <w:sz w:val="20"/>
          <w:szCs w:val="20"/>
        </w:rPr>
        <w:t xml:space="preserve"> bis in idem</w:t>
      </w:r>
      <w:r w:rsidRPr="006E23A1">
        <w:rPr>
          <w:rFonts w:ascii="Verdana" w:hAnsi="Verdana" w:cs="Calibri"/>
          <w:sz w:val="20"/>
          <w:szCs w:val="20"/>
        </w:rPr>
        <w:t>.</w:t>
      </w:r>
    </w:p>
    <w:p w14:paraId="6C8D71D2" w14:textId="639BE572" w:rsidR="00F1211B" w:rsidRPr="00744D6C" w:rsidRDefault="00F1211B" w:rsidP="008B0AE6">
      <w:pPr>
        <w:spacing w:after="0"/>
        <w:jc w:val="both"/>
        <w:rPr>
          <w:rFonts w:ascii="Verdana" w:hAnsi="Verdana" w:cs="Calibri"/>
          <w:color w:val="0070C0"/>
          <w:sz w:val="20"/>
          <w:szCs w:val="20"/>
        </w:rPr>
      </w:pPr>
      <w:r w:rsidRPr="00744D6C">
        <w:rPr>
          <w:rFonts w:ascii="Verdana" w:hAnsi="Verdana" w:cs="Calibri"/>
          <w:color w:val="0070C0"/>
          <w:sz w:val="20"/>
          <w:szCs w:val="20"/>
        </w:rPr>
        <w:t xml:space="preserve">Trybunał orzekł, że </w:t>
      </w:r>
      <w:r w:rsidRPr="00744D6C">
        <w:rPr>
          <w:rFonts w:ascii="Verdana" w:hAnsi="Verdana" w:cs="Calibri"/>
          <w:b/>
          <w:color w:val="0070C0"/>
          <w:sz w:val="20"/>
          <w:szCs w:val="20"/>
        </w:rPr>
        <w:t xml:space="preserve">nie doszło </w:t>
      </w:r>
      <w:r w:rsidR="005E2A5E" w:rsidRPr="00744D6C">
        <w:rPr>
          <w:rFonts w:ascii="Verdana" w:hAnsi="Verdana" w:cs="Calibri"/>
          <w:b/>
          <w:color w:val="0070C0"/>
          <w:sz w:val="20"/>
          <w:szCs w:val="20"/>
        </w:rPr>
        <w:t xml:space="preserve">do naruszenia art. 4 Protokołu </w:t>
      </w:r>
      <w:r w:rsidR="00744D6C" w:rsidRPr="00744D6C">
        <w:rPr>
          <w:rFonts w:ascii="Verdana" w:hAnsi="Verdana" w:cs="Calibri"/>
          <w:b/>
          <w:color w:val="0070C0"/>
          <w:sz w:val="20"/>
          <w:szCs w:val="20"/>
        </w:rPr>
        <w:t>n</w:t>
      </w:r>
      <w:r w:rsidR="00E97A36" w:rsidRPr="00744D6C">
        <w:rPr>
          <w:rFonts w:ascii="Verdana" w:hAnsi="Verdana" w:cs="Calibri"/>
          <w:b/>
          <w:color w:val="0070C0"/>
          <w:sz w:val="20"/>
          <w:szCs w:val="20"/>
        </w:rPr>
        <w:t>r</w:t>
      </w:r>
      <w:r w:rsidRPr="00744D6C">
        <w:rPr>
          <w:rFonts w:ascii="Verdana" w:hAnsi="Verdana" w:cs="Calibri"/>
          <w:b/>
          <w:color w:val="0070C0"/>
          <w:sz w:val="20"/>
          <w:szCs w:val="20"/>
        </w:rPr>
        <w:t xml:space="preserve"> 7</w:t>
      </w:r>
      <w:r w:rsidR="005E2A5E" w:rsidRPr="00744D6C">
        <w:rPr>
          <w:rFonts w:ascii="Verdana" w:hAnsi="Verdana" w:cs="Calibri"/>
          <w:color w:val="0070C0"/>
          <w:sz w:val="20"/>
          <w:szCs w:val="20"/>
        </w:rPr>
        <w:t>. Stwierdził</w:t>
      </w:r>
      <w:r w:rsidRPr="00744D6C">
        <w:rPr>
          <w:rFonts w:ascii="Verdana" w:hAnsi="Verdana" w:cs="Calibri"/>
          <w:color w:val="0070C0"/>
          <w:sz w:val="20"/>
          <w:szCs w:val="20"/>
        </w:rPr>
        <w:t xml:space="preserve"> w szczególności, że czyny stanowiące podstawę obu postępowań prz</w:t>
      </w:r>
      <w:r w:rsidR="005E2A5E" w:rsidRPr="00744D6C">
        <w:rPr>
          <w:rFonts w:ascii="Verdana" w:hAnsi="Verdana" w:cs="Calibri"/>
          <w:color w:val="0070C0"/>
          <w:sz w:val="20"/>
          <w:szCs w:val="20"/>
        </w:rPr>
        <w:t>eciwko skarżącemu były identyczne, jednak</w:t>
      </w:r>
      <w:r w:rsidRPr="00744D6C">
        <w:rPr>
          <w:rFonts w:ascii="Verdana" w:hAnsi="Verdana" w:cs="Calibri"/>
          <w:color w:val="0070C0"/>
          <w:sz w:val="20"/>
          <w:szCs w:val="20"/>
        </w:rPr>
        <w:t xml:space="preserve"> zauważył, że procedura cofnięcia zezwolenia stanowiła rodzaj dodatkowej kary uzupełniającej wyrok skazujący (grzywn</w:t>
      </w:r>
      <w:r w:rsidR="00744D6C" w:rsidRPr="00744D6C">
        <w:rPr>
          <w:rFonts w:ascii="Verdana" w:hAnsi="Verdana" w:cs="Calibri"/>
          <w:color w:val="0070C0"/>
          <w:sz w:val="20"/>
          <w:szCs w:val="20"/>
        </w:rPr>
        <w:t>ę</w:t>
      </w:r>
      <w:r w:rsidRPr="00744D6C">
        <w:rPr>
          <w:rFonts w:ascii="Verdana" w:hAnsi="Verdana" w:cs="Calibri"/>
          <w:color w:val="0070C0"/>
          <w:sz w:val="20"/>
          <w:szCs w:val="20"/>
        </w:rPr>
        <w:t>). Trybunał stwierdził zatem, że istnieje wystarczająco ścisły związek materialny i czasowy między postępowaniem administracyjnym i karnym, aby uznać je za dwa aspekty jednolitego systemu, i w związku z tym orzekł, że nie istniały dwie grupy postępowań. Trybunał orzekł zatem, że nie można wywnioskować, że skarżący został ukarany lub ścigany za przestępstwo, za które został już skazany prawomocnym wyrokiem.</w:t>
      </w:r>
    </w:p>
    <w:p w14:paraId="45DABDE4" w14:textId="77777777" w:rsidR="00744D6C" w:rsidRDefault="00744D6C" w:rsidP="008B0AE6">
      <w:pPr>
        <w:spacing w:after="0"/>
        <w:rPr>
          <w:rFonts w:ascii="Verdana" w:hAnsi="Verdana" w:cs="Calibri"/>
          <w:b/>
          <w:color w:val="2E74B5" w:themeColor="accent1" w:themeShade="BF"/>
          <w:sz w:val="20"/>
          <w:szCs w:val="20"/>
          <w:u w:val="single"/>
        </w:rPr>
      </w:pPr>
    </w:p>
    <w:p w14:paraId="09548100" w14:textId="2E1A330F" w:rsidR="00F1211B" w:rsidRPr="006E23A1" w:rsidRDefault="00F1211B" w:rsidP="008B0AE6">
      <w:pPr>
        <w:spacing w:after="0"/>
        <w:rPr>
          <w:rFonts w:ascii="Verdana" w:hAnsi="Verdana" w:cs="Calibri"/>
          <w:sz w:val="20"/>
          <w:szCs w:val="20"/>
        </w:rPr>
      </w:pPr>
      <w:hyperlink r:id="rId65" w:history="1">
        <w:r w:rsidRPr="00744D6C">
          <w:rPr>
            <w:rStyle w:val="Hipercze"/>
            <w:rFonts w:ascii="Verdana" w:hAnsi="Verdana" w:cs="Calibri"/>
            <w:b/>
            <w:color w:val="0070C0"/>
            <w:sz w:val="20"/>
            <w:szCs w:val="20"/>
          </w:rPr>
          <w:t>Ramda przeciwko Francji</w:t>
        </w:r>
      </w:hyperlink>
      <w:r w:rsidR="00EE6B3B" w:rsidRPr="006E23A1">
        <w:rPr>
          <w:rFonts w:ascii="Verdana" w:hAnsi="Verdana" w:cs="Calibri"/>
          <w:sz w:val="20"/>
          <w:szCs w:val="20"/>
        </w:rPr>
        <w:br/>
      </w:r>
      <w:r w:rsidR="00EE6B3B" w:rsidRPr="00744D6C">
        <w:rPr>
          <w:rFonts w:ascii="Verdana" w:hAnsi="Verdana" w:cs="Calibri"/>
          <w:color w:val="767171" w:themeColor="background2" w:themeShade="80"/>
          <w:sz w:val="18"/>
          <w:szCs w:val="18"/>
        </w:rPr>
        <w:t>19 grudnia 2017</w:t>
      </w:r>
      <w:r w:rsidR="002535BC" w:rsidRPr="00744D6C">
        <w:rPr>
          <w:rFonts w:ascii="Verdana" w:hAnsi="Verdana" w:cs="Calibri"/>
          <w:color w:val="767171" w:themeColor="background2" w:themeShade="80"/>
          <w:sz w:val="18"/>
          <w:szCs w:val="18"/>
        </w:rPr>
        <w:t xml:space="preserve"> </w:t>
      </w:r>
      <w:r w:rsidR="00193D1D" w:rsidRPr="00744D6C">
        <w:rPr>
          <w:rFonts w:ascii="Verdana" w:hAnsi="Verdana" w:cs="Calibri"/>
          <w:color w:val="767171" w:themeColor="background2" w:themeShade="80"/>
          <w:sz w:val="18"/>
          <w:szCs w:val="18"/>
        </w:rPr>
        <w:t>r.</w:t>
      </w:r>
    </w:p>
    <w:p w14:paraId="09E58C49" w14:textId="2FC8C8C8" w:rsidR="00F1211B" w:rsidRPr="006E23A1" w:rsidRDefault="005E2A5E" w:rsidP="008B0AE6">
      <w:pPr>
        <w:spacing w:after="0"/>
        <w:jc w:val="both"/>
        <w:rPr>
          <w:rFonts w:ascii="Verdana" w:hAnsi="Verdana" w:cs="Calibri"/>
          <w:sz w:val="20"/>
          <w:szCs w:val="20"/>
        </w:rPr>
      </w:pPr>
      <w:r w:rsidRPr="006E23A1">
        <w:rPr>
          <w:rFonts w:ascii="Verdana" w:hAnsi="Verdana" w:cs="Calibri"/>
          <w:sz w:val="20"/>
          <w:szCs w:val="20"/>
        </w:rPr>
        <w:t>Skarżący, obywatel Algierii, został poddany</w:t>
      </w:r>
      <w:r w:rsidR="00F1211B" w:rsidRPr="006E23A1">
        <w:rPr>
          <w:rFonts w:ascii="Verdana" w:hAnsi="Verdana" w:cs="Calibri"/>
          <w:sz w:val="20"/>
          <w:szCs w:val="20"/>
        </w:rPr>
        <w:t xml:space="preserve"> ekstradycji ze Zjednoczonego Królestwa do Francji pod zarzutem szeregu ataków terrorystycznych we Francji w 1995 r. Po raz pierwszy został osądzony i skazany przez sąd karny (</w:t>
      </w:r>
      <w:r w:rsidRPr="006E23A1">
        <w:rPr>
          <w:rFonts w:ascii="Verdana" w:hAnsi="Verdana" w:cs="Calibri"/>
          <w:i/>
          <w:sz w:val="20"/>
          <w:szCs w:val="20"/>
        </w:rPr>
        <w:t>tribunal correctionel</w:t>
      </w:r>
      <w:r w:rsidR="00F1211B" w:rsidRPr="006E23A1">
        <w:rPr>
          <w:rFonts w:ascii="Verdana" w:hAnsi="Verdana" w:cs="Calibri"/>
          <w:sz w:val="20"/>
          <w:szCs w:val="20"/>
        </w:rPr>
        <w:t>) na podstawie zarzutów dotyczących jego udziału w grupie mającej na celu przygotowanie ataków terrorystycznych. Następnie został osądzony i skazany przez sąd przysięgłych (</w:t>
      </w:r>
      <w:r w:rsidR="00F1211B" w:rsidRPr="006E23A1">
        <w:rPr>
          <w:rFonts w:ascii="Verdana" w:hAnsi="Verdana" w:cs="Calibri"/>
          <w:i/>
          <w:sz w:val="20"/>
          <w:szCs w:val="20"/>
        </w:rPr>
        <w:t>cour d'assises</w:t>
      </w:r>
      <w:r w:rsidR="00F1211B" w:rsidRPr="006E23A1">
        <w:rPr>
          <w:rFonts w:ascii="Verdana" w:hAnsi="Verdana" w:cs="Calibri"/>
          <w:sz w:val="20"/>
          <w:szCs w:val="20"/>
        </w:rPr>
        <w:t>) na podstawie zarzutów współudziału w popełnieniu szeregu</w:t>
      </w:r>
      <w:r w:rsidR="002535BC" w:rsidRPr="006E23A1">
        <w:rPr>
          <w:rFonts w:ascii="Verdana" w:hAnsi="Verdana" w:cs="Calibri"/>
          <w:sz w:val="20"/>
          <w:szCs w:val="20"/>
        </w:rPr>
        <w:t xml:space="preserve"> szczególnych</w:t>
      </w:r>
      <w:r w:rsidR="00F1211B" w:rsidRPr="006E23A1">
        <w:rPr>
          <w:rFonts w:ascii="Verdana" w:hAnsi="Verdana" w:cs="Calibri"/>
          <w:sz w:val="20"/>
          <w:szCs w:val="20"/>
        </w:rPr>
        <w:t xml:space="preserve"> przestępstw, takich jak morderstwo i usiłowanie zabójstwa. </w:t>
      </w:r>
      <w:r w:rsidR="00C17677" w:rsidRPr="006E23A1">
        <w:rPr>
          <w:rFonts w:ascii="Verdana" w:hAnsi="Verdana" w:cs="Calibri"/>
          <w:sz w:val="20"/>
          <w:szCs w:val="20"/>
        </w:rPr>
        <w:t>Podnosił</w:t>
      </w:r>
      <w:r w:rsidR="00F1211B" w:rsidRPr="006E23A1">
        <w:rPr>
          <w:rFonts w:ascii="Verdana" w:hAnsi="Verdana" w:cs="Calibri"/>
          <w:sz w:val="20"/>
          <w:szCs w:val="20"/>
        </w:rPr>
        <w:t xml:space="preserve"> w szczególności naruszenie zasady </w:t>
      </w:r>
      <w:r w:rsidR="00F1211B" w:rsidRPr="006E23A1">
        <w:rPr>
          <w:rFonts w:ascii="Verdana" w:hAnsi="Verdana" w:cs="Calibri"/>
          <w:i/>
          <w:sz w:val="20"/>
          <w:szCs w:val="20"/>
        </w:rPr>
        <w:t xml:space="preserve">ne bis in </w:t>
      </w:r>
      <w:proofErr w:type="spellStart"/>
      <w:r w:rsidR="00F1211B" w:rsidRPr="006E23A1">
        <w:rPr>
          <w:rFonts w:ascii="Verdana" w:hAnsi="Verdana" w:cs="Calibri"/>
          <w:i/>
          <w:sz w:val="20"/>
          <w:szCs w:val="20"/>
        </w:rPr>
        <w:t>idem</w:t>
      </w:r>
      <w:proofErr w:type="spellEnd"/>
      <w:r w:rsidR="00F1211B" w:rsidRPr="006E23A1">
        <w:rPr>
          <w:rFonts w:ascii="Verdana" w:hAnsi="Verdana" w:cs="Calibri"/>
          <w:i/>
          <w:sz w:val="20"/>
          <w:szCs w:val="20"/>
        </w:rPr>
        <w:t xml:space="preserve"> </w:t>
      </w:r>
      <w:r w:rsidR="00F1211B" w:rsidRPr="006E23A1">
        <w:rPr>
          <w:rFonts w:ascii="Verdana" w:hAnsi="Verdana" w:cs="Calibri"/>
          <w:sz w:val="20"/>
          <w:szCs w:val="20"/>
        </w:rPr>
        <w:t>w związku</w:t>
      </w:r>
      <w:r w:rsidR="0018579C">
        <w:rPr>
          <w:rFonts w:ascii="Verdana" w:hAnsi="Verdana" w:cs="Calibri"/>
          <w:sz w:val="20"/>
          <w:szCs w:val="20"/>
        </w:rPr>
        <w:t xml:space="preserve"> z</w:t>
      </w:r>
      <w:r w:rsidR="00F1211B" w:rsidRPr="006E23A1">
        <w:rPr>
          <w:rFonts w:ascii="Verdana" w:hAnsi="Verdana" w:cs="Calibri"/>
          <w:sz w:val="20"/>
          <w:szCs w:val="20"/>
        </w:rPr>
        <w:t xml:space="preserve"> </w:t>
      </w:r>
      <w:r w:rsidR="00C17677" w:rsidRPr="006E23A1">
        <w:rPr>
          <w:rFonts w:ascii="Verdana" w:hAnsi="Verdana" w:cs="Calibri"/>
          <w:sz w:val="20"/>
          <w:szCs w:val="20"/>
        </w:rPr>
        <w:t>wydaniem wyroku skazującego</w:t>
      </w:r>
      <w:r w:rsidR="00F1211B" w:rsidRPr="006E23A1">
        <w:rPr>
          <w:rFonts w:ascii="Verdana" w:hAnsi="Verdana" w:cs="Calibri"/>
          <w:sz w:val="20"/>
          <w:szCs w:val="20"/>
        </w:rPr>
        <w:t>, mimo że wcześniej został skazany prawomocnym wyrokiem przez sąd karny.</w:t>
      </w:r>
    </w:p>
    <w:p w14:paraId="4643713C" w14:textId="7D3C7BB0" w:rsidR="00F1211B" w:rsidRPr="00744D6C" w:rsidRDefault="00F1211B" w:rsidP="008B0AE6">
      <w:pPr>
        <w:spacing w:after="0"/>
        <w:jc w:val="both"/>
        <w:rPr>
          <w:rFonts w:ascii="Verdana" w:hAnsi="Verdana" w:cs="Calibri"/>
          <w:color w:val="0070C0"/>
          <w:sz w:val="20"/>
          <w:szCs w:val="20"/>
        </w:rPr>
      </w:pPr>
      <w:r w:rsidRPr="00744D6C">
        <w:rPr>
          <w:rFonts w:ascii="Verdana" w:hAnsi="Verdana" w:cs="Calibri"/>
          <w:color w:val="0070C0"/>
          <w:sz w:val="20"/>
          <w:szCs w:val="20"/>
        </w:rPr>
        <w:t xml:space="preserve">Sąd uznał, że </w:t>
      </w:r>
      <w:r w:rsidRPr="00744D6C">
        <w:rPr>
          <w:rFonts w:ascii="Verdana" w:hAnsi="Verdana" w:cs="Calibri"/>
          <w:b/>
          <w:color w:val="0070C0"/>
          <w:sz w:val="20"/>
          <w:szCs w:val="20"/>
        </w:rPr>
        <w:t>n</w:t>
      </w:r>
      <w:r w:rsidR="008F2E34" w:rsidRPr="00744D6C">
        <w:rPr>
          <w:rFonts w:ascii="Verdana" w:hAnsi="Verdana" w:cs="Calibri"/>
          <w:b/>
          <w:color w:val="0070C0"/>
          <w:sz w:val="20"/>
          <w:szCs w:val="20"/>
        </w:rPr>
        <w:t xml:space="preserve">ie doszło do naruszenia art. 4 Protokołu </w:t>
      </w:r>
      <w:r w:rsidR="00744D6C" w:rsidRPr="00744D6C">
        <w:rPr>
          <w:rFonts w:ascii="Verdana" w:hAnsi="Verdana" w:cs="Calibri"/>
          <w:b/>
          <w:color w:val="0070C0"/>
          <w:sz w:val="20"/>
          <w:szCs w:val="20"/>
        </w:rPr>
        <w:t>n</w:t>
      </w:r>
      <w:r w:rsidR="00E97A36" w:rsidRPr="00744D6C">
        <w:rPr>
          <w:rFonts w:ascii="Verdana" w:hAnsi="Verdana" w:cs="Calibri"/>
          <w:b/>
          <w:color w:val="0070C0"/>
          <w:sz w:val="20"/>
          <w:szCs w:val="20"/>
        </w:rPr>
        <w:t>r</w:t>
      </w:r>
      <w:r w:rsidRPr="00744D6C">
        <w:rPr>
          <w:rFonts w:ascii="Verdana" w:hAnsi="Verdana" w:cs="Calibri"/>
          <w:b/>
          <w:color w:val="0070C0"/>
          <w:sz w:val="20"/>
          <w:szCs w:val="20"/>
        </w:rPr>
        <w:t xml:space="preserve"> 7</w:t>
      </w:r>
      <w:r w:rsidRPr="00744D6C">
        <w:rPr>
          <w:rFonts w:ascii="Verdana" w:hAnsi="Verdana" w:cs="Calibri"/>
          <w:color w:val="0070C0"/>
          <w:sz w:val="20"/>
          <w:szCs w:val="20"/>
        </w:rPr>
        <w:t>, stwierdzając, że skarżący nie był ścigany ani skazywany w ramach postępowania karnego za czyny, które były zasadniczo takie same jak czyny, za które został skazany prawomocnym wyrokiem w rama</w:t>
      </w:r>
      <w:r w:rsidR="008F2E34" w:rsidRPr="00744D6C">
        <w:rPr>
          <w:rFonts w:ascii="Verdana" w:hAnsi="Verdana" w:cs="Calibri"/>
          <w:color w:val="0070C0"/>
          <w:sz w:val="20"/>
          <w:szCs w:val="20"/>
        </w:rPr>
        <w:t>ch wcześniejszego postępowania</w:t>
      </w:r>
      <w:r w:rsidRPr="00744D6C">
        <w:rPr>
          <w:rFonts w:ascii="Verdana" w:hAnsi="Verdana" w:cs="Calibri"/>
          <w:color w:val="0070C0"/>
          <w:sz w:val="20"/>
          <w:szCs w:val="20"/>
        </w:rPr>
        <w:t>. Trybunał przypomniał również, że Umawiające się Państwa mają prawo zająć zdecydowane stanowisko wobec osób uczestniczących w</w:t>
      </w:r>
      <w:r w:rsidR="00092A31">
        <w:rPr>
          <w:rFonts w:ascii="Verdana" w:hAnsi="Verdana" w:cs="Calibri"/>
          <w:color w:val="0070C0"/>
          <w:sz w:val="20"/>
          <w:szCs w:val="20"/>
        </w:rPr>
        <w:t> </w:t>
      </w:r>
      <w:r w:rsidRPr="00744D6C">
        <w:rPr>
          <w:rFonts w:ascii="Verdana" w:hAnsi="Verdana" w:cs="Calibri"/>
          <w:color w:val="0070C0"/>
          <w:sz w:val="20"/>
          <w:szCs w:val="20"/>
        </w:rPr>
        <w:t>aktach terrorystycznych, na które w żaden sposób nie mogą się zgodzić, oraz że przestępstwa współudziału w zabójstwie i usiłowaniu zabójstwa, za które oskarżony został skazany, stanowią poważne naruszenie praw podstawowych, o których mowa w</w:t>
      </w:r>
      <w:r w:rsidR="00092A31">
        <w:rPr>
          <w:rFonts w:ascii="Verdana" w:hAnsi="Verdana" w:cs="Calibri"/>
          <w:color w:val="0070C0"/>
          <w:sz w:val="20"/>
          <w:szCs w:val="20"/>
        </w:rPr>
        <w:t> </w:t>
      </w:r>
      <w:r w:rsidRPr="00744D6C">
        <w:rPr>
          <w:rFonts w:ascii="Verdana" w:hAnsi="Verdana" w:cs="Calibri"/>
          <w:color w:val="0070C0"/>
          <w:sz w:val="20"/>
          <w:szCs w:val="20"/>
        </w:rPr>
        <w:t xml:space="preserve">art. 2 </w:t>
      </w:r>
      <w:r w:rsidR="008F2E34" w:rsidRPr="00744D6C">
        <w:rPr>
          <w:rFonts w:ascii="Verdana" w:hAnsi="Verdana" w:cs="Calibri"/>
          <w:color w:val="0070C0"/>
          <w:sz w:val="20"/>
          <w:szCs w:val="20"/>
        </w:rPr>
        <w:t>Konwencji (prawo do życia)</w:t>
      </w:r>
      <w:r w:rsidRPr="00744D6C">
        <w:rPr>
          <w:rFonts w:ascii="Verdana" w:hAnsi="Verdana" w:cs="Calibri"/>
          <w:color w:val="0070C0"/>
          <w:sz w:val="20"/>
          <w:szCs w:val="20"/>
        </w:rPr>
        <w:t>, i w związku z którymi państwa maj</w:t>
      </w:r>
      <w:r w:rsidR="008F2E34" w:rsidRPr="00744D6C">
        <w:rPr>
          <w:rFonts w:ascii="Verdana" w:hAnsi="Verdana" w:cs="Calibri"/>
          <w:color w:val="0070C0"/>
          <w:sz w:val="20"/>
          <w:szCs w:val="20"/>
        </w:rPr>
        <w:t xml:space="preserve">ą obowiązek ścigać i karać te przestępstwa </w:t>
      </w:r>
      <w:r w:rsidRPr="00744D6C">
        <w:rPr>
          <w:rFonts w:ascii="Verdana" w:hAnsi="Verdana" w:cs="Calibri"/>
          <w:color w:val="0070C0"/>
          <w:sz w:val="20"/>
          <w:szCs w:val="20"/>
        </w:rPr>
        <w:t>pod warunkiem przestrzegania gwarancji procesowych zainteresowanych osób, podobnie jak w niniejsze</w:t>
      </w:r>
      <w:r w:rsidR="008F2E34" w:rsidRPr="00744D6C">
        <w:rPr>
          <w:rFonts w:ascii="Verdana" w:hAnsi="Verdana" w:cs="Calibri"/>
          <w:color w:val="0070C0"/>
          <w:sz w:val="20"/>
          <w:szCs w:val="20"/>
        </w:rPr>
        <w:t xml:space="preserve">j sprawie w przypadku skarżącego. </w:t>
      </w:r>
    </w:p>
    <w:p w14:paraId="76512803" w14:textId="77777777" w:rsidR="00744D6C" w:rsidRDefault="00744D6C" w:rsidP="008B0AE6">
      <w:pPr>
        <w:spacing w:after="0"/>
        <w:jc w:val="both"/>
        <w:rPr>
          <w:rFonts w:ascii="Verdana" w:hAnsi="Verdana" w:cs="Calibri"/>
          <w:i/>
          <w:sz w:val="20"/>
          <w:szCs w:val="20"/>
        </w:rPr>
      </w:pPr>
    </w:p>
    <w:p w14:paraId="533C7EC6" w14:textId="25AA1D08" w:rsidR="00092A31" w:rsidRPr="00092A31" w:rsidRDefault="00092A31" w:rsidP="00092A31">
      <w:pPr>
        <w:spacing w:after="0"/>
        <w:rPr>
          <w:rFonts w:ascii="Verdana" w:hAnsi="Verdana" w:cs="Calibri"/>
          <w:sz w:val="20"/>
          <w:szCs w:val="20"/>
        </w:rPr>
      </w:pPr>
      <w:hyperlink r:id="rId66" w:history="1">
        <w:r w:rsidRPr="00092A31">
          <w:rPr>
            <w:rStyle w:val="Hipercze"/>
            <w:rFonts w:ascii="Verdana" w:hAnsi="Verdana" w:cs="Calibri"/>
            <w:b/>
            <w:color w:val="0070C0"/>
            <w:sz w:val="20"/>
            <w:szCs w:val="20"/>
          </w:rPr>
          <w:t>Mihalache przeciwko Rumunii</w:t>
        </w:r>
      </w:hyperlink>
      <w:r w:rsidRPr="006E23A1">
        <w:rPr>
          <w:rFonts w:ascii="Verdana" w:hAnsi="Verdana" w:cs="Calibri"/>
          <w:sz w:val="20"/>
          <w:szCs w:val="20"/>
        </w:rPr>
        <w:br/>
      </w:r>
      <w:r>
        <w:rPr>
          <w:rFonts w:ascii="Verdana" w:hAnsi="Verdana" w:cs="Calibri"/>
          <w:color w:val="767171" w:themeColor="background2" w:themeShade="80"/>
          <w:sz w:val="18"/>
          <w:szCs w:val="18"/>
        </w:rPr>
        <w:t>8</w:t>
      </w:r>
      <w:r w:rsidRPr="00744D6C">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lipca</w:t>
      </w:r>
      <w:r w:rsidRPr="00744D6C">
        <w:rPr>
          <w:rFonts w:ascii="Verdana" w:hAnsi="Verdana" w:cs="Calibri"/>
          <w:color w:val="767171" w:themeColor="background2" w:themeShade="80"/>
          <w:sz w:val="18"/>
          <w:szCs w:val="18"/>
        </w:rPr>
        <w:t xml:space="preserve"> 201</w:t>
      </w:r>
      <w:r>
        <w:rPr>
          <w:rFonts w:ascii="Verdana" w:hAnsi="Verdana" w:cs="Calibri"/>
          <w:color w:val="767171" w:themeColor="background2" w:themeShade="80"/>
          <w:sz w:val="18"/>
          <w:szCs w:val="18"/>
        </w:rPr>
        <w:t>9</w:t>
      </w:r>
      <w:r w:rsidRPr="00744D6C">
        <w:rPr>
          <w:rFonts w:ascii="Verdana" w:hAnsi="Verdana" w:cs="Calibri"/>
          <w:color w:val="767171" w:themeColor="background2" w:themeShade="80"/>
          <w:sz w:val="18"/>
          <w:szCs w:val="18"/>
        </w:rPr>
        <w:t xml:space="preserve"> r.</w:t>
      </w:r>
      <w:r>
        <w:rPr>
          <w:rFonts w:ascii="Verdana" w:hAnsi="Verdana" w:cs="Calibri"/>
          <w:color w:val="767171" w:themeColor="background2" w:themeShade="80"/>
          <w:sz w:val="18"/>
          <w:szCs w:val="18"/>
        </w:rPr>
        <w:t xml:space="preserve"> (Wielka Izba)</w:t>
      </w:r>
    </w:p>
    <w:p w14:paraId="748A363A" w14:textId="77777777" w:rsidR="00092A31" w:rsidRDefault="00092A31" w:rsidP="00092A31">
      <w:pPr>
        <w:spacing w:after="0"/>
        <w:jc w:val="both"/>
        <w:rPr>
          <w:rFonts w:ascii="Verdana" w:hAnsi="Verdana" w:cs="Calibri"/>
          <w:sz w:val="20"/>
          <w:szCs w:val="20"/>
        </w:rPr>
      </w:pPr>
      <w:r w:rsidRPr="00092A31">
        <w:rPr>
          <w:rFonts w:ascii="Verdana" w:hAnsi="Verdana" w:cs="Calibri"/>
          <w:sz w:val="20"/>
          <w:szCs w:val="20"/>
        </w:rPr>
        <w:t xml:space="preserve">Skarżący w niniejszej sprawie podniósł, że był dwukrotnie ścigany za odmowę poddania się badaniu krwi w ramach kontroli policyjnej w celu ustalenia poziomu alkoholu we krwi oraz że wznowienie postępowania przeciwko niemu było niezgodne z kryteriami określonymi w art. 4 Protokołu nr 7. </w:t>
      </w:r>
    </w:p>
    <w:p w14:paraId="145BF472" w14:textId="311D2ED7" w:rsidR="00744D6C" w:rsidRPr="007235DA" w:rsidRDefault="00092A31" w:rsidP="008B0AE6">
      <w:pPr>
        <w:spacing w:after="0"/>
        <w:jc w:val="both"/>
        <w:rPr>
          <w:rFonts w:ascii="Verdana" w:hAnsi="Verdana" w:cs="Calibri"/>
          <w:i/>
          <w:color w:val="0070C0"/>
          <w:sz w:val="20"/>
          <w:szCs w:val="20"/>
        </w:rPr>
      </w:pPr>
      <w:r w:rsidRPr="007235DA">
        <w:rPr>
          <w:rFonts w:ascii="Verdana" w:hAnsi="Verdana" w:cs="Calibri"/>
          <w:color w:val="0070C0"/>
          <w:sz w:val="20"/>
          <w:szCs w:val="20"/>
        </w:rPr>
        <w:t xml:space="preserve">Trybunał uznał, że doszło do </w:t>
      </w:r>
      <w:r w:rsidRPr="007235DA">
        <w:rPr>
          <w:rFonts w:ascii="Verdana" w:hAnsi="Verdana" w:cs="Calibri"/>
          <w:b/>
          <w:bCs/>
          <w:color w:val="0070C0"/>
          <w:sz w:val="20"/>
          <w:szCs w:val="20"/>
        </w:rPr>
        <w:t>naruszenia art. 4 Protokołu nr 7</w:t>
      </w:r>
      <w:r w:rsidRPr="007235DA">
        <w:rPr>
          <w:rFonts w:ascii="Verdana" w:hAnsi="Verdana" w:cs="Calibri"/>
          <w:color w:val="0070C0"/>
          <w:sz w:val="20"/>
          <w:szCs w:val="20"/>
        </w:rPr>
        <w:t xml:space="preserve">, stwierdzając, że skarżący był dwukrotnie ścigany za to samo przestępstwo, a wznowienie postępowania nie było uzasadnione. Zauważył w szczególności, że skarżący był przedmiotem pierwszego postępowania karnego, w trakcie którego prokuratura nałożyła na niego grzywnę administracyjną, która stała się ostateczna po upływie terminu określonego w art. 2491 </w:t>
      </w:r>
      <w:r w:rsidR="007235DA" w:rsidRPr="007235DA">
        <w:rPr>
          <w:rFonts w:ascii="Verdana" w:hAnsi="Verdana" w:cs="Calibri"/>
          <w:color w:val="0070C0"/>
          <w:sz w:val="20"/>
          <w:szCs w:val="20"/>
        </w:rPr>
        <w:t>k</w:t>
      </w:r>
      <w:r w:rsidRPr="007235DA">
        <w:rPr>
          <w:rFonts w:ascii="Verdana" w:hAnsi="Verdana" w:cs="Calibri"/>
          <w:color w:val="0070C0"/>
          <w:sz w:val="20"/>
          <w:szCs w:val="20"/>
        </w:rPr>
        <w:t>odeksu postępowania karnego. Następnie prokuratura wyższego szczebla uchyliła decyzję prokuratora niższego szczebla i skierowała skarżącego na rozprawę. Został on skazany na rok pozbawienia wolności w zawieszeniu.</w:t>
      </w:r>
    </w:p>
    <w:p w14:paraId="5AE125D8" w14:textId="46588D04" w:rsidR="007235DA" w:rsidRPr="007235DA" w:rsidRDefault="007235DA" w:rsidP="007235DA">
      <w:pPr>
        <w:spacing w:after="0"/>
        <w:jc w:val="both"/>
        <w:rPr>
          <w:rFonts w:ascii="Verdana" w:hAnsi="Verdana" w:cs="Calibri"/>
          <w:sz w:val="20"/>
          <w:szCs w:val="20"/>
        </w:rPr>
      </w:pPr>
      <w:r w:rsidRPr="006E23A1">
        <w:rPr>
          <w:rFonts w:ascii="Verdana" w:hAnsi="Verdana" w:cs="Calibri"/>
          <w:i/>
          <w:sz w:val="20"/>
          <w:szCs w:val="20"/>
        </w:rPr>
        <w:t>Zob</w:t>
      </w:r>
      <w:r>
        <w:rPr>
          <w:rFonts w:ascii="Verdana" w:hAnsi="Verdana" w:cs="Calibri"/>
          <w:i/>
          <w:sz w:val="20"/>
          <w:szCs w:val="20"/>
        </w:rPr>
        <w:t>.</w:t>
      </w:r>
      <w:r w:rsidRPr="006E23A1">
        <w:rPr>
          <w:rFonts w:ascii="Verdana" w:hAnsi="Verdana" w:cs="Calibri"/>
          <w:i/>
          <w:sz w:val="20"/>
          <w:szCs w:val="20"/>
        </w:rPr>
        <w:t xml:space="preserve"> także</w:t>
      </w:r>
      <w:r w:rsidRPr="006E23A1">
        <w:rPr>
          <w:rFonts w:ascii="Verdana" w:hAnsi="Verdana" w:cs="Calibri"/>
          <w:sz w:val="20"/>
          <w:szCs w:val="20"/>
        </w:rPr>
        <w:t xml:space="preserve">: </w:t>
      </w:r>
      <w:hyperlink r:id="rId67" w:history="1">
        <w:r>
          <w:rPr>
            <w:rStyle w:val="Hipercze"/>
            <w:rFonts w:ascii="Verdana" w:hAnsi="Verdana" w:cs="Calibri"/>
            <w:b/>
            <w:sz w:val="20"/>
            <w:szCs w:val="20"/>
          </w:rPr>
          <w:t>Rarinca</w:t>
        </w:r>
        <w:r w:rsidRPr="00EE1269">
          <w:rPr>
            <w:rStyle w:val="Hipercze"/>
            <w:rFonts w:ascii="Verdana" w:hAnsi="Verdana" w:cs="Calibri"/>
            <w:b/>
            <w:sz w:val="20"/>
            <w:szCs w:val="20"/>
          </w:rPr>
          <w:t xml:space="preserve"> przeciwko </w:t>
        </w:r>
        <w:r>
          <w:rPr>
            <w:rStyle w:val="Hipercze"/>
            <w:rFonts w:ascii="Verdana" w:hAnsi="Verdana" w:cs="Calibri"/>
            <w:b/>
            <w:sz w:val="20"/>
            <w:szCs w:val="20"/>
          </w:rPr>
          <w:t>Rumunii</w:t>
        </w:r>
      </w:hyperlink>
      <w:r w:rsidRPr="006E23A1">
        <w:rPr>
          <w:rFonts w:ascii="Verdana" w:hAnsi="Verdana" w:cs="Calibri"/>
          <w:sz w:val="20"/>
          <w:szCs w:val="20"/>
        </w:rPr>
        <w:t xml:space="preserve">, </w:t>
      </w:r>
      <w:r>
        <w:rPr>
          <w:rFonts w:ascii="Verdana" w:hAnsi="Verdana" w:cs="Calibri"/>
          <w:sz w:val="20"/>
          <w:szCs w:val="20"/>
        </w:rPr>
        <w:t>decyzja (Komitet) w sprawie niedopuszczalności</w:t>
      </w:r>
      <w:r w:rsidRPr="006E23A1">
        <w:rPr>
          <w:rFonts w:ascii="Verdana" w:hAnsi="Verdana" w:cs="Calibri"/>
          <w:sz w:val="20"/>
          <w:szCs w:val="20"/>
        </w:rPr>
        <w:t xml:space="preserve"> z </w:t>
      </w:r>
      <w:r>
        <w:rPr>
          <w:rFonts w:ascii="Verdana" w:hAnsi="Verdana" w:cs="Calibri"/>
          <w:sz w:val="20"/>
          <w:szCs w:val="20"/>
        </w:rPr>
        <w:t xml:space="preserve">dnia </w:t>
      </w:r>
      <w:r w:rsidRPr="006E23A1">
        <w:rPr>
          <w:rFonts w:ascii="Verdana" w:hAnsi="Verdana" w:cs="Calibri"/>
          <w:sz w:val="20"/>
          <w:szCs w:val="20"/>
        </w:rPr>
        <w:t>1 marca 2016 r.</w:t>
      </w:r>
      <w:r>
        <w:rPr>
          <w:rFonts w:ascii="Verdana" w:hAnsi="Verdana" w:cs="Calibri"/>
          <w:sz w:val="20"/>
          <w:szCs w:val="20"/>
        </w:rPr>
        <w:t>;</w:t>
      </w:r>
      <w:hyperlink r:id="rId68" w:history="1">
        <w:r w:rsidRPr="001A2FFE">
          <w:rPr>
            <w:rStyle w:val="Hipercze"/>
            <w:rFonts w:ascii="Verdana" w:hAnsi="Verdana" w:cs="Calibri"/>
            <w:sz w:val="20"/>
            <w:szCs w:val="20"/>
          </w:rPr>
          <w:t xml:space="preserve"> </w:t>
        </w:r>
        <w:r w:rsidRPr="001A2FFE">
          <w:rPr>
            <w:rStyle w:val="Hipercze"/>
            <w:rFonts w:ascii="Verdana" w:hAnsi="Verdana" w:cs="Calibri"/>
            <w:b/>
            <w:bCs/>
            <w:sz w:val="20"/>
            <w:szCs w:val="20"/>
          </w:rPr>
          <w:t>Stăvilă przeciwko Rumunii</w:t>
        </w:r>
      </w:hyperlink>
      <w:r>
        <w:rPr>
          <w:rFonts w:ascii="Verdana" w:hAnsi="Verdana" w:cs="Calibri"/>
          <w:sz w:val="20"/>
          <w:szCs w:val="20"/>
        </w:rPr>
        <w:t>, wyrok z dnia 1</w:t>
      </w:r>
      <w:r w:rsidR="001A2FFE">
        <w:rPr>
          <w:rFonts w:ascii="Verdana" w:hAnsi="Verdana" w:cs="Calibri"/>
          <w:sz w:val="20"/>
          <w:szCs w:val="20"/>
        </w:rPr>
        <w:t> </w:t>
      </w:r>
      <w:r>
        <w:rPr>
          <w:rFonts w:ascii="Verdana" w:hAnsi="Verdana" w:cs="Calibri"/>
          <w:sz w:val="20"/>
          <w:szCs w:val="20"/>
        </w:rPr>
        <w:t>marca 2022 r.</w:t>
      </w:r>
    </w:p>
    <w:p w14:paraId="4BA85CC4" w14:textId="77777777" w:rsidR="00744D6C" w:rsidRDefault="00744D6C" w:rsidP="008B0AE6">
      <w:pPr>
        <w:spacing w:after="0"/>
        <w:jc w:val="both"/>
        <w:rPr>
          <w:rFonts w:ascii="Verdana" w:hAnsi="Verdana" w:cs="Calibri"/>
          <w:i/>
          <w:sz w:val="20"/>
          <w:szCs w:val="20"/>
        </w:rPr>
      </w:pPr>
    </w:p>
    <w:p w14:paraId="093A634C" w14:textId="67662CB4" w:rsidR="007235DA" w:rsidRPr="00092A31" w:rsidRDefault="001A2FFE" w:rsidP="007235DA">
      <w:pPr>
        <w:spacing w:after="0"/>
        <w:rPr>
          <w:rFonts w:ascii="Verdana" w:hAnsi="Verdana" w:cs="Calibri"/>
          <w:sz w:val="20"/>
          <w:szCs w:val="20"/>
        </w:rPr>
      </w:pPr>
      <w:hyperlink r:id="rId69" w:history="1">
        <w:r>
          <w:rPr>
            <w:rStyle w:val="Hipercze"/>
            <w:rFonts w:ascii="Verdana" w:hAnsi="Verdana" w:cs="Calibri"/>
            <w:b/>
            <w:color w:val="0070C0"/>
            <w:sz w:val="20"/>
            <w:szCs w:val="20"/>
          </w:rPr>
          <w:t>Korneyeva</w:t>
        </w:r>
        <w:r w:rsidR="007235DA" w:rsidRPr="00092A31">
          <w:rPr>
            <w:rStyle w:val="Hipercze"/>
            <w:rFonts w:ascii="Verdana" w:hAnsi="Verdana" w:cs="Calibri"/>
            <w:b/>
            <w:color w:val="0070C0"/>
            <w:sz w:val="20"/>
            <w:szCs w:val="20"/>
          </w:rPr>
          <w:t xml:space="preserve"> przeciwko </w:t>
        </w:r>
        <w:r>
          <w:rPr>
            <w:rStyle w:val="Hipercze"/>
            <w:rFonts w:ascii="Verdana" w:hAnsi="Verdana" w:cs="Calibri"/>
            <w:b/>
            <w:color w:val="0070C0"/>
            <w:sz w:val="20"/>
            <w:szCs w:val="20"/>
          </w:rPr>
          <w:t>Rosji</w:t>
        </w:r>
      </w:hyperlink>
      <w:r w:rsidR="007235DA" w:rsidRPr="006E23A1">
        <w:rPr>
          <w:rFonts w:ascii="Verdana" w:hAnsi="Verdana" w:cs="Calibri"/>
          <w:sz w:val="20"/>
          <w:szCs w:val="20"/>
        </w:rPr>
        <w:br/>
      </w:r>
      <w:r w:rsidR="007235DA">
        <w:rPr>
          <w:rFonts w:ascii="Verdana" w:hAnsi="Verdana" w:cs="Calibri"/>
          <w:color w:val="767171" w:themeColor="background2" w:themeShade="80"/>
          <w:sz w:val="18"/>
          <w:szCs w:val="18"/>
        </w:rPr>
        <w:t>8</w:t>
      </w:r>
      <w:r w:rsidR="007235DA" w:rsidRPr="00744D6C">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października</w:t>
      </w:r>
      <w:r w:rsidR="007235DA" w:rsidRPr="00744D6C">
        <w:rPr>
          <w:rFonts w:ascii="Verdana" w:hAnsi="Verdana" w:cs="Calibri"/>
          <w:color w:val="767171" w:themeColor="background2" w:themeShade="80"/>
          <w:sz w:val="18"/>
          <w:szCs w:val="18"/>
        </w:rPr>
        <w:t xml:space="preserve"> 201</w:t>
      </w:r>
      <w:r w:rsidR="007235DA">
        <w:rPr>
          <w:rFonts w:ascii="Verdana" w:hAnsi="Verdana" w:cs="Calibri"/>
          <w:color w:val="767171" w:themeColor="background2" w:themeShade="80"/>
          <w:sz w:val="18"/>
          <w:szCs w:val="18"/>
        </w:rPr>
        <w:t>9</w:t>
      </w:r>
      <w:r w:rsidR="007235DA" w:rsidRPr="00744D6C">
        <w:rPr>
          <w:rFonts w:ascii="Verdana" w:hAnsi="Verdana" w:cs="Calibri"/>
          <w:color w:val="767171" w:themeColor="background2" w:themeShade="80"/>
          <w:sz w:val="18"/>
          <w:szCs w:val="18"/>
        </w:rPr>
        <w:t xml:space="preserve"> r.</w:t>
      </w:r>
      <w:r w:rsidR="007235DA">
        <w:rPr>
          <w:rFonts w:ascii="Verdana" w:hAnsi="Verdana" w:cs="Calibri"/>
          <w:color w:val="767171" w:themeColor="background2" w:themeShade="80"/>
          <w:sz w:val="18"/>
          <w:szCs w:val="18"/>
        </w:rPr>
        <w:t xml:space="preserve"> </w:t>
      </w:r>
    </w:p>
    <w:p w14:paraId="34C42390" w14:textId="28E9C269" w:rsidR="001A2FFE" w:rsidRDefault="001A2FFE" w:rsidP="001A2FFE">
      <w:pPr>
        <w:spacing w:after="0"/>
        <w:jc w:val="both"/>
        <w:rPr>
          <w:rFonts w:ascii="Verdana" w:hAnsi="Verdana" w:cs="Calibri"/>
          <w:sz w:val="20"/>
          <w:szCs w:val="20"/>
        </w:rPr>
      </w:pPr>
      <w:r w:rsidRPr="001A2FFE">
        <w:rPr>
          <w:rFonts w:ascii="Verdana" w:hAnsi="Verdana" w:cs="Calibri"/>
          <w:sz w:val="20"/>
          <w:szCs w:val="20"/>
        </w:rPr>
        <w:t xml:space="preserve">Sprawa ta dotyczyła skazania skarżącego za dwa odrębne przestępstwa, które powstały w podobnych okolicznościach nieautoryzowanego </w:t>
      </w:r>
      <w:r>
        <w:rPr>
          <w:rFonts w:ascii="Verdana" w:hAnsi="Verdana" w:cs="Calibri"/>
          <w:sz w:val="20"/>
          <w:szCs w:val="20"/>
        </w:rPr>
        <w:t>protestu</w:t>
      </w:r>
      <w:r w:rsidRPr="001A2FFE">
        <w:rPr>
          <w:rFonts w:ascii="Verdana" w:hAnsi="Verdana" w:cs="Calibri"/>
          <w:sz w:val="20"/>
          <w:szCs w:val="20"/>
        </w:rPr>
        <w:t>.</w:t>
      </w:r>
    </w:p>
    <w:p w14:paraId="687A942B" w14:textId="443098BE" w:rsidR="00744D6C" w:rsidRPr="001A2FFE" w:rsidRDefault="001A2FFE" w:rsidP="008B0AE6">
      <w:pPr>
        <w:spacing w:after="0"/>
        <w:jc w:val="both"/>
        <w:rPr>
          <w:rFonts w:ascii="Verdana" w:hAnsi="Verdana" w:cs="Calibri"/>
          <w:color w:val="0070C0"/>
          <w:sz w:val="20"/>
          <w:szCs w:val="20"/>
        </w:rPr>
      </w:pPr>
      <w:r w:rsidRPr="001A2FFE">
        <w:rPr>
          <w:rFonts w:ascii="Verdana" w:hAnsi="Verdana" w:cs="Calibri"/>
          <w:color w:val="0070C0"/>
          <w:sz w:val="20"/>
          <w:szCs w:val="20"/>
        </w:rPr>
        <w:t xml:space="preserve">Trybunał uznał, że w sprawie skarżącego doszło do </w:t>
      </w:r>
      <w:r w:rsidRPr="001A2FFE">
        <w:rPr>
          <w:rFonts w:ascii="Verdana" w:hAnsi="Verdana" w:cs="Calibri"/>
          <w:b/>
          <w:bCs/>
          <w:color w:val="0070C0"/>
          <w:sz w:val="20"/>
          <w:szCs w:val="20"/>
        </w:rPr>
        <w:t>naruszenia art. 4 Protokołu nr</w:t>
      </w:r>
      <w:r>
        <w:rPr>
          <w:rFonts w:ascii="Verdana" w:hAnsi="Verdana" w:cs="Calibri"/>
          <w:b/>
          <w:bCs/>
          <w:color w:val="0070C0"/>
          <w:sz w:val="20"/>
          <w:szCs w:val="20"/>
        </w:rPr>
        <w:t> </w:t>
      </w:r>
      <w:r w:rsidRPr="001A2FFE">
        <w:rPr>
          <w:rFonts w:ascii="Verdana" w:hAnsi="Verdana" w:cs="Calibri"/>
          <w:b/>
          <w:bCs/>
          <w:color w:val="0070C0"/>
          <w:sz w:val="20"/>
          <w:szCs w:val="20"/>
        </w:rPr>
        <w:t xml:space="preserve">7. </w:t>
      </w:r>
      <w:r w:rsidRPr="001A2FFE">
        <w:rPr>
          <w:rFonts w:ascii="Verdana" w:hAnsi="Verdana" w:cs="Calibri"/>
          <w:color w:val="0070C0"/>
          <w:sz w:val="20"/>
          <w:szCs w:val="20"/>
        </w:rPr>
        <w:t xml:space="preserve">Trybunał odrzucił w szczególności argument Rządu Rosyjskiego, że powielanie postępowań przeciwko skarżącemu było uzasadnione odrębnymi obszarami objętymi dwoma różnymi zarzutami. Stwierdził ponadto, że fakty będące podstawą każdego oskarżenia pokrywały się. Biorąc pod uwagę własne orzecznictwo i orzeczenie </w:t>
      </w:r>
      <w:r w:rsidR="0018579C">
        <w:rPr>
          <w:rFonts w:ascii="Verdana" w:hAnsi="Verdana" w:cs="Calibri"/>
          <w:color w:val="0070C0"/>
          <w:sz w:val="20"/>
          <w:szCs w:val="20"/>
        </w:rPr>
        <w:t>Izby</w:t>
      </w:r>
      <w:r w:rsidRPr="001A2FFE">
        <w:rPr>
          <w:rFonts w:ascii="Verdana" w:hAnsi="Verdana" w:cs="Calibri"/>
          <w:color w:val="0070C0"/>
          <w:sz w:val="20"/>
          <w:szCs w:val="20"/>
        </w:rPr>
        <w:t xml:space="preserve"> Sądu Najwyższego Rosji w podobnych okolicznościach, Trybunał stwierdził, że skarżący został dwukrotnie osądzony i skazany za to samo przestępstwo. Ponadto, na podstawie </w:t>
      </w:r>
      <w:r>
        <w:rPr>
          <w:rFonts w:ascii="Verdana" w:hAnsi="Verdana" w:cs="Calibri"/>
          <w:color w:val="0070C0"/>
          <w:sz w:val="20"/>
          <w:szCs w:val="20"/>
        </w:rPr>
        <w:t>art.</w:t>
      </w:r>
      <w:r w:rsidRPr="001A2FFE">
        <w:rPr>
          <w:rFonts w:ascii="Verdana" w:hAnsi="Verdana" w:cs="Calibri"/>
          <w:color w:val="0070C0"/>
          <w:sz w:val="20"/>
          <w:szCs w:val="20"/>
        </w:rPr>
        <w:t xml:space="preserve"> 46 (moc wiążąca i wykonanie wyroków) Konwencji, zauważając, że miał ponad 100 skarg dotyczących kwestii podobnych do tych w sprawie skarżącego, Trybunał stwierdził, że </w:t>
      </w:r>
      <w:r>
        <w:rPr>
          <w:rFonts w:ascii="Verdana" w:hAnsi="Verdana" w:cs="Calibri"/>
          <w:color w:val="0070C0"/>
          <w:sz w:val="20"/>
          <w:szCs w:val="20"/>
        </w:rPr>
        <w:t>Rosja</w:t>
      </w:r>
      <w:r w:rsidRPr="001A2FFE">
        <w:rPr>
          <w:rFonts w:ascii="Verdana" w:hAnsi="Verdana" w:cs="Calibri"/>
          <w:color w:val="0070C0"/>
          <w:sz w:val="20"/>
          <w:szCs w:val="20"/>
        </w:rPr>
        <w:t>, wraz z Komitetem Ministrów Rady Europy,</w:t>
      </w:r>
      <w:r>
        <w:rPr>
          <w:rFonts w:ascii="Verdana" w:hAnsi="Verdana" w:cs="Calibri"/>
          <w:color w:val="0070C0"/>
          <w:sz w:val="20"/>
          <w:szCs w:val="20"/>
        </w:rPr>
        <w:t xml:space="preserve"> powinna</w:t>
      </w:r>
      <w:r w:rsidRPr="001A2FFE">
        <w:rPr>
          <w:rFonts w:ascii="Verdana" w:hAnsi="Verdana" w:cs="Calibri"/>
          <w:color w:val="0070C0"/>
          <w:sz w:val="20"/>
          <w:szCs w:val="20"/>
        </w:rPr>
        <w:t xml:space="preserve"> rozważyć, jakie środki mogą być odpowiednie,</w:t>
      </w:r>
      <w:r>
        <w:rPr>
          <w:rFonts w:ascii="Verdana" w:hAnsi="Verdana" w:cs="Calibri"/>
          <w:color w:val="0070C0"/>
          <w:sz w:val="20"/>
          <w:szCs w:val="20"/>
        </w:rPr>
        <w:t xml:space="preserve"> tak,</w:t>
      </w:r>
      <w:r w:rsidRPr="001A2FFE">
        <w:rPr>
          <w:rFonts w:ascii="Verdana" w:hAnsi="Verdana" w:cs="Calibri"/>
          <w:color w:val="0070C0"/>
          <w:sz w:val="20"/>
          <w:szCs w:val="20"/>
        </w:rPr>
        <w:t xml:space="preserve"> aby ułatwić szybkie i skuteczne wyeliminowanie nieprawidłowości w krajowym systemie ochrony praw człowieka, na przykład poprzez dalsze wyjaśnienie zakresu zasady </w:t>
      </w:r>
      <w:r w:rsidRPr="001A2FFE">
        <w:rPr>
          <w:rFonts w:ascii="Verdana" w:hAnsi="Verdana" w:cs="Calibri"/>
          <w:i/>
          <w:iCs/>
          <w:color w:val="0070C0"/>
          <w:sz w:val="20"/>
          <w:szCs w:val="20"/>
        </w:rPr>
        <w:t>ne bis in idem</w:t>
      </w:r>
      <w:r w:rsidRPr="001A2FFE">
        <w:rPr>
          <w:rFonts w:ascii="Verdana" w:hAnsi="Verdana" w:cs="Calibri"/>
          <w:color w:val="0070C0"/>
          <w:sz w:val="20"/>
          <w:szCs w:val="20"/>
        </w:rPr>
        <w:t xml:space="preserve"> w sprawach CAO (Kodeks wykroczeń administracyjnych) w sposób zgodny z podejściem Trybunału w tej sprawie i zapewnienie jej praktycznego zastosowania w ramach obowiązujących krajowych środków odwoławczych.</w:t>
      </w:r>
    </w:p>
    <w:p w14:paraId="0EBA8452" w14:textId="77777777" w:rsidR="00744D6C" w:rsidRDefault="00744D6C" w:rsidP="008B0AE6">
      <w:pPr>
        <w:spacing w:after="0"/>
        <w:jc w:val="both"/>
        <w:rPr>
          <w:rFonts w:ascii="Verdana" w:hAnsi="Verdana" w:cs="Calibri"/>
          <w:i/>
          <w:sz w:val="20"/>
          <w:szCs w:val="20"/>
        </w:rPr>
      </w:pPr>
    </w:p>
    <w:p w14:paraId="245BE4CA" w14:textId="7257007C" w:rsidR="00F1211B" w:rsidRPr="006E23A1" w:rsidRDefault="00F1211B" w:rsidP="008B0AE6">
      <w:pPr>
        <w:spacing w:after="0"/>
        <w:jc w:val="both"/>
        <w:rPr>
          <w:rFonts w:ascii="Verdana" w:hAnsi="Verdana" w:cs="Calibri"/>
          <w:sz w:val="20"/>
          <w:szCs w:val="20"/>
        </w:rPr>
      </w:pPr>
      <w:r w:rsidRPr="006E23A1">
        <w:rPr>
          <w:rFonts w:ascii="Verdana" w:hAnsi="Verdana" w:cs="Calibri"/>
          <w:i/>
          <w:sz w:val="20"/>
          <w:szCs w:val="20"/>
        </w:rPr>
        <w:t>Zobacz również</w:t>
      </w:r>
      <w:r w:rsidRPr="006E23A1">
        <w:rPr>
          <w:rFonts w:ascii="Verdana" w:hAnsi="Verdana" w:cs="Calibri"/>
          <w:sz w:val="20"/>
          <w:szCs w:val="20"/>
        </w:rPr>
        <w:t>, ostatnio:</w:t>
      </w:r>
    </w:p>
    <w:p w14:paraId="6C87D44E" w14:textId="77777777" w:rsidR="001A2FFE" w:rsidRDefault="001A2FFE" w:rsidP="008B0AE6">
      <w:pPr>
        <w:spacing w:after="0"/>
        <w:jc w:val="both"/>
        <w:rPr>
          <w:rFonts w:ascii="Verdana" w:hAnsi="Verdana" w:cs="Calibri"/>
          <w:b/>
          <w:color w:val="2E74B5" w:themeColor="accent1" w:themeShade="BF"/>
          <w:sz w:val="20"/>
          <w:szCs w:val="20"/>
          <w:u w:val="single"/>
        </w:rPr>
      </w:pPr>
    </w:p>
    <w:p w14:paraId="7464D2A0" w14:textId="2ADFF35C" w:rsidR="00F1211B" w:rsidRPr="006E23A1" w:rsidRDefault="00F1211B" w:rsidP="008B0AE6">
      <w:pPr>
        <w:spacing w:after="0"/>
        <w:jc w:val="both"/>
        <w:rPr>
          <w:rFonts w:ascii="Verdana" w:hAnsi="Verdana" w:cs="Calibri"/>
          <w:b/>
          <w:color w:val="2E74B5" w:themeColor="accent1" w:themeShade="BF"/>
          <w:sz w:val="20"/>
          <w:szCs w:val="20"/>
          <w:u w:val="single"/>
        </w:rPr>
      </w:pPr>
      <w:r w:rsidRPr="006E23A1">
        <w:rPr>
          <w:rFonts w:ascii="Verdana" w:hAnsi="Verdana" w:cs="Calibri"/>
          <w:b/>
          <w:color w:val="2E74B5" w:themeColor="accent1" w:themeShade="BF"/>
          <w:sz w:val="20"/>
          <w:szCs w:val="20"/>
          <w:u w:val="single"/>
        </w:rPr>
        <w:t>Šimkus przeciwko Litwie</w:t>
      </w:r>
    </w:p>
    <w:p w14:paraId="5FA9FB3C" w14:textId="2BD8D38F" w:rsidR="00744D6C" w:rsidRDefault="00EE6B3B" w:rsidP="008B0AE6">
      <w:pPr>
        <w:spacing w:after="0"/>
        <w:jc w:val="both"/>
        <w:rPr>
          <w:rFonts w:ascii="Verdana" w:hAnsi="Verdana" w:cs="Calibri"/>
          <w:color w:val="767171" w:themeColor="background2" w:themeShade="80"/>
          <w:sz w:val="18"/>
          <w:szCs w:val="18"/>
        </w:rPr>
      </w:pPr>
      <w:r w:rsidRPr="001A2FFE">
        <w:rPr>
          <w:rFonts w:ascii="Verdana" w:hAnsi="Verdana" w:cs="Calibri"/>
          <w:color w:val="767171" w:themeColor="background2" w:themeShade="80"/>
          <w:sz w:val="18"/>
          <w:szCs w:val="18"/>
        </w:rPr>
        <w:t>13 czerwca 2017</w:t>
      </w:r>
      <w:r w:rsidR="002535BC" w:rsidRPr="001A2FFE">
        <w:rPr>
          <w:rFonts w:ascii="Verdana" w:hAnsi="Verdana" w:cs="Calibri"/>
          <w:color w:val="767171" w:themeColor="background2" w:themeShade="80"/>
          <w:sz w:val="18"/>
          <w:szCs w:val="18"/>
        </w:rPr>
        <w:t xml:space="preserve"> </w:t>
      </w:r>
      <w:r w:rsidR="00193D1D" w:rsidRPr="001A2FFE">
        <w:rPr>
          <w:rFonts w:ascii="Verdana" w:hAnsi="Verdana" w:cs="Calibri"/>
          <w:color w:val="767171" w:themeColor="background2" w:themeShade="80"/>
          <w:sz w:val="18"/>
          <w:szCs w:val="18"/>
        </w:rPr>
        <w:t>r.</w:t>
      </w:r>
    </w:p>
    <w:p w14:paraId="77A9D588" w14:textId="77777777" w:rsidR="001A2FFE" w:rsidRPr="001A2FFE" w:rsidRDefault="001A2FFE" w:rsidP="008B0AE6">
      <w:pPr>
        <w:spacing w:after="0"/>
        <w:jc w:val="both"/>
        <w:rPr>
          <w:rFonts w:ascii="Verdana" w:hAnsi="Verdana" w:cs="Calibri"/>
          <w:color w:val="767171" w:themeColor="background2" w:themeShade="80"/>
          <w:sz w:val="18"/>
          <w:szCs w:val="18"/>
        </w:rPr>
      </w:pPr>
    </w:p>
    <w:p w14:paraId="7389AB43" w14:textId="538CE7EB" w:rsidR="00F1211B" w:rsidRPr="00422011" w:rsidRDefault="00F1211B" w:rsidP="008B0AE6">
      <w:pPr>
        <w:spacing w:after="0"/>
        <w:jc w:val="both"/>
        <w:rPr>
          <w:rFonts w:ascii="Verdana" w:hAnsi="Verdana" w:cs="Calibri"/>
          <w:i/>
          <w:color w:val="3B3838" w:themeColor="background2" w:themeShade="40"/>
          <w:sz w:val="24"/>
          <w:szCs w:val="24"/>
        </w:rPr>
      </w:pPr>
      <w:r w:rsidRPr="00422011">
        <w:rPr>
          <w:rFonts w:ascii="Verdana" w:hAnsi="Verdana" w:cs="Calibri"/>
          <w:i/>
          <w:color w:val="3B3838" w:themeColor="background2" w:themeShade="40"/>
          <w:sz w:val="24"/>
          <w:szCs w:val="24"/>
        </w:rPr>
        <w:t>Postępowania równoległe</w:t>
      </w:r>
    </w:p>
    <w:p w14:paraId="2A07A615" w14:textId="77777777" w:rsidR="001A2FFE" w:rsidRDefault="001A2FFE" w:rsidP="008B0AE6">
      <w:pPr>
        <w:spacing w:after="0"/>
        <w:rPr>
          <w:rFonts w:ascii="Verdana" w:hAnsi="Verdana" w:cs="Calibri"/>
          <w:b/>
          <w:color w:val="2E74B5" w:themeColor="accent1" w:themeShade="BF"/>
          <w:sz w:val="20"/>
          <w:szCs w:val="20"/>
          <w:u w:val="single"/>
        </w:rPr>
      </w:pPr>
    </w:p>
    <w:p w14:paraId="037C1B62" w14:textId="0A6010CE" w:rsidR="00F1211B" w:rsidRPr="006E23A1" w:rsidRDefault="00F1211B" w:rsidP="008B0AE6">
      <w:pPr>
        <w:spacing w:after="0"/>
        <w:rPr>
          <w:rFonts w:ascii="Verdana" w:hAnsi="Verdana" w:cs="Calibri"/>
          <w:sz w:val="20"/>
          <w:szCs w:val="20"/>
        </w:rPr>
      </w:pPr>
      <w:hyperlink r:id="rId70" w:history="1">
        <w:r w:rsidRPr="00A0534B">
          <w:rPr>
            <w:rStyle w:val="Hipercze"/>
            <w:rFonts w:ascii="Verdana" w:hAnsi="Verdana" w:cs="Calibri"/>
            <w:b/>
            <w:color w:val="0070C0"/>
            <w:sz w:val="20"/>
            <w:szCs w:val="20"/>
          </w:rPr>
          <w:t>A. i B. przeciwko Norwegii (</w:t>
        </w:r>
        <w:r w:rsidR="00E97A36" w:rsidRPr="00A0534B">
          <w:rPr>
            <w:rStyle w:val="Hipercze"/>
            <w:rFonts w:ascii="Verdana" w:hAnsi="Verdana" w:cs="Calibri"/>
            <w:b/>
            <w:color w:val="0070C0"/>
            <w:sz w:val="20"/>
            <w:szCs w:val="20"/>
          </w:rPr>
          <w:t>nr</w:t>
        </w:r>
        <w:r w:rsidRPr="00A0534B">
          <w:rPr>
            <w:rStyle w:val="Hipercze"/>
            <w:rFonts w:ascii="Verdana" w:hAnsi="Verdana" w:cs="Calibri"/>
            <w:b/>
            <w:color w:val="0070C0"/>
            <w:sz w:val="20"/>
            <w:szCs w:val="20"/>
          </w:rPr>
          <w:t xml:space="preserve"> 24130/11 i 29758/11)</w:t>
        </w:r>
      </w:hyperlink>
      <w:r w:rsidRPr="00A0534B">
        <w:rPr>
          <w:rFonts w:ascii="Verdana" w:hAnsi="Verdana" w:cs="Calibri"/>
          <w:bCs/>
          <w:color w:val="767171" w:themeColor="background2" w:themeShade="80"/>
          <w:sz w:val="18"/>
          <w:szCs w:val="18"/>
        </w:rPr>
        <w:t xml:space="preserve"> (zob. także powyżej, w części "Zakres")</w:t>
      </w:r>
      <w:r w:rsidR="00EE6B3B" w:rsidRPr="006E23A1">
        <w:rPr>
          <w:rFonts w:ascii="Verdana" w:hAnsi="Verdana" w:cs="Calibri"/>
          <w:b/>
          <w:sz w:val="20"/>
          <w:szCs w:val="20"/>
          <w:u w:val="single"/>
        </w:rPr>
        <w:br/>
      </w:r>
      <w:r w:rsidR="00EE6B3B" w:rsidRPr="00A0534B">
        <w:rPr>
          <w:rFonts w:ascii="Verdana" w:hAnsi="Verdana" w:cs="Calibri"/>
          <w:color w:val="767171" w:themeColor="background2" w:themeShade="80"/>
          <w:sz w:val="18"/>
          <w:szCs w:val="18"/>
        </w:rPr>
        <w:t>15 listopada 2016</w:t>
      </w:r>
      <w:r w:rsidR="00A0534B">
        <w:rPr>
          <w:rFonts w:ascii="Verdana" w:hAnsi="Verdana" w:cs="Calibri"/>
          <w:color w:val="767171" w:themeColor="background2" w:themeShade="80"/>
          <w:sz w:val="18"/>
          <w:szCs w:val="18"/>
        </w:rPr>
        <w:t xml:space="preserve"> </w:t>
      </w:r>
      <w:r w:rsidR="00193D1D" w:rsidRPr="00A0534B">
        <w:rPr>
          <w:rFonts w:ascii="Verdana" w:hAnsi="Verdana" w:cs="Calibri"/>
          <w:color w:val="767171" w:themeColor="background2" w:themeShade="80"/>
          <w:sz w:val="18"/>
          <w:szCs w:val="18"/>
        </w:rPr>
        <w:t>r</w:t>
      </w:r>
      <w:r w:rsidR="00A0534B">
        <w:rPr>
          <w:rFonts w:ascii="Verdana" w:hAnsi="Verdana" w:cs="Calibri"/>
          <w:color w:val="767171" w:themeColor="background2" w:themeShade="80"/>
          <w:sz w:val="18"/>
          <w:szCs w:val="18"/>
        </w:rPr>
        <w:t>.</w:t>
      </w:r>
      <w:r w:rsidR="00EE6B3B" w:rsidRPr="00A0534B">
        <w:rPr>
          <w:rFonts w:ascii="Verdana" w:hAnsi="Verdana" w:cs="Calibri"/>
          <w:color w:val="767171" w:themeColor="background2" w:themeShade="80"/>
          <w:sz w:val="18"/>
          <w:szCs w:val="18"/>
        </w:rPr>
        <w:t xml:space="preserve"> (Wielka I</w:t>
      </w:r>
      <w:r w:rsidRPr="00A0534B">
        <w:rPr>
          <w:rFonts w:ascii="Verdana" w:hAnsi="Verdana" w:cs="Calibri"/>
          <w:color w:val="767171" w:themeColor="background2" w:themeShade="80"/>
          <w:sz w:val="18"/>
          <w:szCs w:val="18"/>
        </w:rPr>
        <w:t>zba)</w:t>
      </w:r>
    </w:p>
    <w:p w14:paraId="4B3343C3" w14:textId="475B40E6" w:rsidR="00F1211B" w:rsidRPr="006E23A1" w:rsidRDefault="00F1211B" w:rsidP="008B0AE6">
      <w:pPr>
        <w:spacing w:after="0"/>
        <w:jc w:val="both"/>
        <w:rPr>
          <w:rFonts w:ascii="Verdana" w:hAnsi="Verdana" w:cs="Calibri"/>
          <w:sz w:val="20"/>
          <w:szCs w:val="20"/>
        </w:rPr>
      </w:pPr>
      <w:r w:rsidRPr="006E23A1">
        <w:rPr>
          <w:rFonts w:ascii="Verdana" w:hAnsi="Verdana" w:cs="Calibri"/>
          <w:sz w:val="20"/>
          <w:szCs w:val="20"/>
        </w:rPr>
        <w:t>Sprawa ta dotyczyła dwóch podatników, którzy twierdzili, że byli dwukrotnie ścigani i karani - w postępowaniu administracyjnym i karnym - z</w:t>
      </w:r>
      <w:r w:rsidR="008F2E34" w:rsidRPr="006E23A1">
        <w:rPr>
          <w:rFonts w:ascii="Verdana" w:hAnsi="Verdana" w:cs="Calibri"/>
          <w:sz w:val="20"/>
          <w:szCs w:val="20"/>
        </w:rPr>
        <w:t>a to samo przestępstwo. Skarżący podnosili w szczególności, że zostali przesłuchani</w:t>
      </w:r>
      <w:r w:rsidRPr="006E23A1">
        <w:rPr>
          <w:rFonts w:ascii="Verdana" w:hAnsi="Verdana" w:cs="Calibri"/>
          <w:sz w:val="20"/>
          <w:szCs w:val="20"/>
        </w:rPr>
        <w:t xml:space="preserve"> przez prokuraturę jako osoby oskarżone, a następnie </w:t>
      </w:r>
      <w:r w:rsidR="008F2E34" w:rsidRPr="006E23A1">
        <w:rPr>
          <w:rFonts w:ascii="Verdana" w:hAnsi="Verdana" w:cs="Calibri"/>
          <w:sz w:val="20"/>
          <w:szCs w:val="20"/>
        </w:rPr>
        <w:t>zostali oskarżeni, organy podatkowe nałożyły na nich kary podatkowe, które zapłacili</w:t>
      </w:r>
      <w:r w:rsidRPr="006E23A1">
        <w:rPr>
          <w:rFonts w:ascii="Verdana" w:hAnsi="Verdana" w:cs="Calibri"/>
          <w:sz w:val="20"/>
          <w:szCs w:val="20"/>
        </w:rPr>
        <w:t>, a następni</w:t>
      </w:r>
      <w:r w:rsidR="008F2E34" w:rsidRPr="006E23A1">
        <w:rPr>
          <w:rFonts w:ascii="Verdana" w:hAnsi="Verdana" w:cs="Calibri"/>
          <w:sz w:val="20"/>
          <w:szCs w:val="20"/>
        </w:rPr>
        <w:t xml:space="preserve">e </w:t>
      </w:r>
      <w:r w:rsidR="0018579C">
        <w:rPr>
          <w:rFonts w:ascii="Verdana" w:hAnsi="Verdana" w:cs="Calibri"/>
          <w:sz w:val="20"/>
          <w:szCs w:val="20"/>
        </w:rPr>
        <w:t>byli</w:t>
      </w:r>
      <w:r w:rsidR="008F2E34" w:rsidRPr="006E23A1">
        <w:rPr>
          <w:rFonts w:ascii="Verdana" w:hAnsi="Verdana" w:cs="Calibri"/>
          <w:sz w:val="20"/>
          <w:szCs w:val="20"/>
        </w:rPr>
        <w:t xml:space="preserve"> sądzeni i </w:t>
      </w:r>
      <w:r w:rsidR="0018579C">
        <w:rPr>
          <w:rFonts w:ascii="Verdana" w:hAnsi="Verdana" w:cs="Calibri"/>
          <w:sz w:val="20"/>
          <w:szCs w:val="20"/>
        </w:rPr>
        <w:t xml:space="preserve">zostali </w:t>
      </w:r>
      <w:r w:rsidR="008F2E34" w:rsidRPr="006E23A1">
        <w:rPr>
          <w:rFonts w:ascii="Verdana" w:hAnsi="Verdana" w:cs="Calibri"/>
          <w:sz w:val="20"/>
          <w:szCs w:val="20"/>
        </w:rPr>
        <w:t>skazani</w:t>
      </w:r>
      <w:r w:rsidRPr="006E23A1">
        <w:rPr>
          <w:rFonts w:ascii="Verdana" w:hAnsi="Verdana" w:cs="Calibri"/>
          <w:sz w:val="20"/>
          <w:szCs w:val="20"/>
        </w:rPr>
        <w:t xml:space="preserve"> w postępowaniu karnym.</w:t>
      </w:r>
    </w:p>
    <w:p w14:paraId="08BB5C6C" w14:textId="75F644D7" w:rsidR="00F1211B" w:rsidRPr="00A0534B" w:rsidRDefault="00F1211B" w:rsidP="008B0AE6">
      <w:pPr>
        <w:spacing w:after="0"/>
        <w:jc w:val="both"/>
        <w:rPr>
          <w:rFonts w:ascii="Verdana" w:hAnsi="Verdana" w:cs="Calibri"/>
          <w:color w:val="0070C0"/>
          <w:sz w:val="20"/>
          <w:szCs w:val="20"/>
        </w:rPr>
      </w:pPr>
      <w:r w:rsidRPr="00A0534B">
        <w:rPr>
          <w:rFonts w:ascii="Verdana" w:hAnsi="Verdana" w:cs="Calibri"/>
          <w:color w:val="0070C0"/>
          <w:sz w:val="20"/>
          <w:szCs w:val="20"/>
        </w:rPr>
        <w:t>W tej sprawie Wielka Izba zauważyła w szczególności, że o ile na umawiających się państwach spoczywa szczególny obowiązek staranności w celu ochrony szczególnych interesów jednostki, które mają być chronio</w:t>
      </w:r>
      <w:r w:rsidR="008F2E34" w:rsidRPr="00A0534B">
        <w:rPr>
          <w:rFonts w:ascii="Verdana" w:hAnsi="Verdana" w:cs="Calibri"/>
          <w:color w:val="0070C0"/>
          <w:sz w:val="20"/>
          <w:szCs w:val="20"/>
        </w:rPr>
        <w:t>ne na mocy art. 4 P</w:t>
      </w:r>
      <w:r w:rsidRPr="00A0534B">
        <w:rPr>
          <w:rFonts w:ascii="Verdana" w:hAnsi="Verdana" w:cs="Calibri"/>
          <w:color w:val="0070C0"/>
          <w:sz w:val="20"/>
          <w:szCs w:val="20"/>
        </w:rPr>
        <w:t xml:space="preserve">rotokołu </w:t>
      </w:r>
      <w:r w:rsidR="00E97A36" w:rsidRPr="00A0534B">
        <w:rPr>
          <w:rFonts w:ascii="Verdana" w:hAnsi="Verdana" w:cs="Calibri"/>
          <w:color w:val="0070C0"/>
          <w:sz w:val="20"/>
          <w:szCs w:val="20"/>
        </w:rPr>
        <w:t>nr</w:t>
      </w:r>
      <w:r w:rsidRPr="00A0534B">
        <w:rPr>
          <w:rFonts w:ascii="Verdana" w:hAnsi="Verdana" w:cs="Calibri"/>
          <w:color w:val="0070C0"/>
          <w:sz w:val="20"/>
          <w:szCs w:val="20"/>
        </w:rPr>
        <w:t xml:space="preserve"> 7, o tyle należy również pozostawić organom krajowym wybór środków służących temu celowi. W sprawach spo</w:t>
      </w:r>
      <w:r w:rsidR="008F2E34" w:rsidRPr="00A0534B">
        <w:rPr>
          <w:rFonts w:ascii="Verdana" w:hAnsi="Verdana" w:cs="Calibri"/>
          <w:color w:val="0070C0"/>
          <w:sz w:val="20"/>
          <w:szCs w:val="20"/>
        </w:rPr>
        <w:t xml:space="preserve">rnych, o których mowa w art. 4 Protokołu </w:t>
      </w:r>
      <w:r w:rsidR="00A0534B">
        <w:rPr>
          <w:rFonts w:ascii="Verdana" w:hAnsi="Verdana" w:cs="Calibri"/>
          <w:color w:val="0070C0"/>
          <w:sz w:val="20"/>
          <w:szCs w:val="20"/>
        </w:rPr>
        <w:t>n</w:t>
      </w:r>
      <w:r w:rsidR="00E97A36" w:rsidRPr="00A0534B">
        <w:rPr>
          <w:rFonts w:ascii="Verdana" w:hAnsi="Verdana" w:cs="Calibri"/>
          <w:color w:val="0070C0"/>
          <w:sz w:val="20"/>
          <w:szCs w:val="20"/>
        </w:rPr>
        <w:t>r</w:t>
      </w:r>
      <w:r w:rsidRPr="00A0534B">
        <w:rPr>
          <w:rFonts w:ascii="Verdana" w:hAnsi="Verdana" w:cs="Calibri"/>
          <w:color w:val="0070C0"/>
          <w:sz w:val="20"/>
          <w:szCs w:val="20"/>
        </w:rPr>
        <w:t xml:space="preserve"> 7, do Trybunału należy ustalenie, czy dany środek krajowy, którego dotyczy skarga, niesie ze sobą, co do istoty lub skutku, podwójne zagrożenie ze szkodą dla jednostki, czy też przeciwnie, jest on wynikiem zintegrowanego systemu umożliwiającego zajęcie się różnymi aspektami wykroczenia w sposób przewidywalny i proporcjonalny, tworząc spójną całość, tak aby dana osoba nie doznała w ten sposób niesprawiedliwo</w:t>
      </w:r>
      <w:r w:rsidR="008F2E34" w:rsidRPr="00A0534B">
        <w:rPr>
          <w:rFonts w:ascii="Verdana" w:hAnsi="Verdana" w:cs="Calibri"/>
          <w:color w:val="0070C0"/>
          <w:sz w:val="20"/>
          <w:szCs w:val="20"/>
        </w:rPr>
        <w:t xml:space="preserve">ści. Skutkiem art. 4 Protokołu </w:t>
      </w:r>
      <w:r w:rsidR="00A0534B">
        <w:rPr>
          <w:rFonts w:ascii="Verdana" w:hAnsi="Verdana" w:cs="Calibri"/>
          <w:color w:val="0070C0"/>
          <w:sz w:val="20"/>
          <w:szCs w:val="20"/>
        </w:rPr>
        <w:t>n</w:t>
      </w:r>
      <w:r w:rsidR="00E97A36" w:rsidRPr="00A0534B">
        <w:rPr>
          <w:rFonts w:ascii="Verdana" w:hAnsi="Verdana" w:cs="Calibri"/>
          <w:color w:val="0070C0"/>
          <w:sz w:val="20"/>
          <w:szCs w:val="20"/>
        </w:rPr>
        <w:t>r</w:t>
      </w:r>
      <w:r w:rsidRPr="00A0534B">
        <w:rPr>
          <w:rFonts w:ascii="Verdana" w:hAnsi="Verdana" w:cs="Calibri"/>
          <w:color w:val="0070C0"/>
          <w:sz w:val="20"/>
          <w:szCs w:val="20"/>
        </w:rPr>
        <w:t xml:space="preserve"> 7 nie może</w:t>
      </w:r>
      <w:r w:rsidR="008F2E34" w:rsidRPr="00A0534B">
        <w:rPr>
          <w:rFonts w:ascii="Verdana" w:hAnsi="Verdana" w:cs="Calibri"/>
          <w:color w:val="0070C0"/>
          <w:sz w:val="20"/>
          <w:szCs w:val="20"/>
        </w:rPr>
        <w:t xml:space="preserve"> być zakaz organizowania przez umawiające się p</w:t>
      </w:r>
      <w:r w:rsidRPr="00A0534B">
        <w:rPr>
          <w:rFonts w:ascii="Verdana" w:hAnsi="Verdana" w:cs="Calibri"/>
          <w:color w:val="0070C0"/>
          <w:sz w:val="20"/>
          <w:szCs w:val="20"/>
        </w:rPr>
        <w:t xml:space="preserve">aństwa ich systemów prawnych w sposób przewidujący nałożenie standardowej kary administracyjnej </w:t>
      </w:r>
      <w:r w:rsidR="00776695" w:rsidRPr="00A0534B">
        <w:rPr>
          <w:rFonts w:ascii="Verdana" w:hAnsi="Verdana" w:cs="Calibri"/>
          <w:color w:val="0070C0"/>
          <w:sz w:val="20"/>
          <w:szCs w:val="20"/>
        </w:rPr>
        <w:t>za</w:t>
      </w:r>
      <w:r w:rsidRPr="00A0534B">
        <w:rPr>
          <w:rFonts w:ascii="Verdana" w:hAnsi="Verdana" w:cs="Calibri"/>
          <w:color w:val="0070C0"/>
          <w:sz w:val="20"/>
          <w:szCs w:val="20"/>
        </w:rPr>
        <w:t xml:space="preserve"> niesłusznie niezapłacony podatek (aczkolwiek kara kwalifikuj</w:t>
      </w:r>
      <w:r w:rsidR="00776695" w:rsidRPr="00A0534B">
        <w:rPr>
          <w:rFonts w:ascii="Verdana" w:hAnsi="Verdana" w:cs="Calibri"/>
          <w:color w:val="0070C0"/>
          <w:sz w:val="20"/>
          <w:szCs w:val="20"/>
        </w:rPr>
        <w:t>e</w:t>
      </w:r>
      <w:r w:rsidRPr="00A0534B">
        <w:rPr>
          <w:rFonts w:ascii="Verdana" w:hAnsi="Verdana" w:cs="Calibri"/>
          <w:color w:val="0070C0"/>
          <w:sz w:val="20"/>
          <w:szCs w:val="20"/>
        </w:rPr>
        <w:t xml:space="preserve"> się jako </w:t>
      </w:r>
      <w:r w:rsidR="005A279D" w:rsidRPr="00A0534B">
        <w:rPr>
          <w:rFonts w:ascii="Verdana" w:hAnsi="Verdana" w:cs="Calibri"/>
          <w:color w:val="0070C0"/>
          <w:sz w:val="20"/>
          <w:szCs w:val="20"/>
        </w:rPr>
        <w:t xml:space="preserve">„karna” </w:t>
      </w:r>
      <w:r w:rsidRPr="00A0534B">
        <w:rPr>
          <w:rFonts w:ascii="Verdana" w:hAnsi="Verdana" w:cs="Calibri"/>
          <w:color w:val="0070C0"/>
          <w:sz w:val="20"/>
          <w:szCs w:val="20"/>
        </w:rPr>
        <w:t xml:space="preserve">w rozumieniu gwarancji sprawiedliwego procesu określonych w Konwencji) również w tych poważniejszych przypadkach, w których właściwe może być ściganie. Celem art. 4 Protokołu </w:t>
      </w:r>
      <w:r w:rsidR="00E97A36" w:rsidRPr="00A0534B">
        <w:rPr>
          <w:rFonts w:ascii="Verdana" w:hAnsi="Verdana" w:cs="Calibri"/>
          <w:color w:val="0070C0"/>
          <w:sz w:val="20"/>
          <w:szCs w:val="20"/>
        </w:rPr>
        <w:t>nr</w:t>
      </w:r>
      <w:r w:rsidRPr="00A0534B">
        <w:rPr>
          <w:rFonts w:ascii="Verdana" w:hAnsi="Verdana" w:cs="Calibri"/>
          <w:color w:val="0070C0"/>
          <w:sz w:val="20"/>
          <w:szCs w:val="20"/>
        </w:rPr>
        <w:t xml:space="preserve"> 7 jest zapobieżenie podwójnemu ściganiu lub karaniu </w:t>
      </w:r>
      <w:r w:rsidR="00776695" w:rsidRPr="00A0534B">
        <w:rPr>
          <w:rFonts w:ascii="Verdana" w:hAnsi="Verdana" w:cs="Calibri"/>
          <w:color w:val="0070C0"/>
          <w:sz w:val="20"/>
          <w:szCs w:val="20"/>
        </w:rPr>
        <w:t xml:space="preserve">osoby </w:t>
      </w:r>
      <w:r w:rsidRPr="00A0534B">
        <w:rPr>
          <w:rFonts w:ascii="Verdana" w:hAnsi="Verdana" w:cs="Calibri"/>
          <w:color w:val="0070C0"/>
          <w:sz w:val="20"/>
          <w:szCs w:val="20"/>
        </w:rPr>
        <w:t>za to samo przestępstwo</w:t>
      </w:r>
      <w:r w:rsidR="005A279D" w:rsidRPr="00A0534B">
        <w:rPr>
          <w:rFonts w:ascii="Verdana" w:hAnsi="Verdana" w:cs="Calibri"/>
          <w:color w:val="0070C0"/>
          <w:sz w:val="20"/>
          <w:szCs w:val="20"/>
        </w:rPr>
        <w:t xml:space="preserve">. Nie zakazuje </w:t>
      </w:r>
      <w:r w:rsidR="00C114A8" w:rsidRPr="00A0534B">
        <w:rPr>
          <w:rFonts w:ascii="Verdana" w:hAnsi="Verdana" w:cs="Calibri"/>
          <w:color w:val="0070C0"/>
          <w:sz w:val="20"/>
          <w:szCs w:val="20"/>
        </w:rPr>
        <w:t>on jednak systemów prawnych</w:t>
      </w:r>
      <w:r w:rsidR="005A279D" w:rsidRPr="00A0534B">
        <w:rPr>
          <w:rFonts w:ascii="Verdana" w:hAnsi="Verdana" w:cs="Calibri"/>
          <w:color w:val="0070C0"/>
          <w:sz w:val="20"/>
          <w:szCs w:val="20"/>
        </w:rPr>
        <w:t xml:space="preserve">, które przyjmują </w:t>
      </w:r>
      <w:r w:rsidR="005A279D" w:rsidRPr="00A0534B">
        <w:rPr>
          <w:rFonts w:ascii="Verdana" w:hAnsi="Verdana" w:cs="Calibri"/>
          <w:color w:val="0070C0"/>
          <w:sz w:val="20"/>
          <w:szCs w:val="20"/>
        </w:rPr>
        <w:lastRenderedPageBreak/>
        <w:t>„zintegrowane”</w:t>
      </w:r>
      <w:r w:rsidRPr="00A0534B">
        <w:rPr>
          <w:rFonts w:ascii="Verdana" w:hAnsi="Verdana" w:cs="Calibri"/>
          <w:color w:val="0070C0"/>
          <w:sz w:val="20"/>
          <w:szCs w:val="20"/>
        </w:rPr>
        <w:t xml:space="preserve"> podejście do danego wykroczenia społecznego, a w szczególności podejścia polegającego na równoległym udzielaniu przez różne organy i do różnych celów odpowiedzi prawnej na to wykroczenie.</w:t>
      </w:r>
    </w:p>
    <w:p w14:paraId="16D540C7" w14:textId="31332236" w:rsidR="00F1211B" w:rsidRPr="00A0534B" w:rsidRDefault="00F1211B" w:rsidP="008B0AE6">
      <w:pPr>
        <w:spacing w:after="0"/>
        <w:jc w:val="both"/>
        <w:rPr>
          <w:rFonts w:ascii="Verdana" w:hAnsi="Verdana" w:cs="Calibri"/>
          <w:color w:val="0070C0"/>
          <w:sz w:val="20"/>
          <w:szCs w:val="20"/>
        </w:rPr>
      </w:pPr>
      <w:r w:rsidRPr="00A0534B">
        <w:rPr>
          <w:rFonts w:ascii="Verdana" w:hAnsi="Verdana" w:cs="Calibri"/>
          <w:color w:val="0070C0"/>
          <w:sz w:val="20"/>
          <w:szCs w:val="20"/>
        </w:rPr>
        <w:t xml:space="preserve">W niniejszym przypadku Wielka Izba stwierdziła, że </w:t>
      </w:r>
      <w:r w:rsidRPr="00A0534B">
        <w:rPr>
          <w:rFonts w:ascii="Verdana" w:hAnsi="Verdana" w:cs="Calibri"/>
          <w:b/>
          <w:color w:val="0070C0"/>
          <w:sz w:val="20"/>
          <w:szCs w:val="20"/>
        </w:rPr>
        <w:t xml:space="preserve">nie doszło do naruszenia art. 4 protokołu </w:t>
      </w:r>
      <w:r w:rsidR="00E97A36" w:rsidRPr="00A0534B">
        <w:rPr>
          <w:rFonts w:ascii="Verdana" w:hAnsi="Verdana" w:cs="Calibri"/>
          <w:b/>
          <w:color w:val="0070C0"/>
          <w:sz w:val="20"/>
          <w:szCs w:val="20"/>
        </w:rPr>
        <w:t>nr</w:t>
      </w:r>
      <w:r w:rsidRPr="00A0534B">
        <w:rPr>
          <w:rFonts w:ascii="Verdana" w:hAnsi="Verdana" w:cs="Calibri"/>
          <w:b/>
          <w:color w:val="0070C0"/>
          <w:sz w:val="20"/>
          <w:szCs w:val="20"/>
        </w:rPr>
        <w:t xml:space="preserve"> 7</w:t>
      </w:r>
      <w:r w:rsidRPr="00A0534B">
        <w:rPr>
          <w:rFonts w:ascii="Verdana" w:hAnsi="Verdana" w:cs="Calibri"/>
          <w:color w:val="0070C0"/>
          <w:sz w:val="20"/>
          <w:szCs w:val="20"/>
        </w:rPr>
        <w:t>. Po pierwsze, Komisja zauważyła, że nie ma powodu, aby wątpić w powody, dla których norweski ustawodawca zdecydował się na uregulowanie społecznie szkodliwego zachowania polegającego na niepłaceniu podatków za pomocą zintegrowanego</w:t>
      </w:r>
      <w:r w:rsidR="0040719F" w:rsidRPr="00A0534B">
        <w:rPr>
          <w:rFonts w:ascii="Verdana" w:hAnsi="Verdana" w:cs="Calibri"/>
          <w:color w:val="0070C0"/>
          <w:sz w:val="20"/>
          <w:szCs w:val="20"/>
        </w:rPr>
        <w:t>,</w:t>
      </w:r>
      <w:r w:rsidRPr="00A0534B">
        <w:rPr>
          <w:rFonts w:ascii="Verdana" w:hAnsi="Verdana" w:cs="Calibri"/>
          <w:color w:val="0070C0"/>
          <w:sz w:val="20"/>
          <w:szCs w:val="20"/>
        </w:rPr>
        <w:t xml:space="preserve"> podwójnego (administracyjnego/karnego) postępowania. Nie zakwestionowała również powodów, dla których władze norweskie zdecydowały się na oddzielne potraktowanie poważniejszego i społecznie nagannego aspektu nadużycia finansowego w kontekście postępowania karnego, a nie zwykłej procedury administracyjnej. Następnie Trybunał stwierdził, że prowadzenie podwójnego postępowania, z możliwością połączenia różnych kar, było możliwe do przewidzenia dla skarżących, którzy od samego początku musieli wiedzieć, że postępowanie karne oraz nałożenie kar podatkowych było możliwe, a nawet prawdopodobne, w odniesieniu do okoliczności faktycznych ich sprawy. Wielka Izba zauważyła również, że postępowania administracyjne i karne były prowadzone równolegle i wzajemnie ze sobą powiązane. Na czyny ustalone w jednym z postępowań powo</w:t>
      </w:r>
      <w:r w:rsidR="0040719F" w:rsidRPr="00A0534B">
        <w:rPr>
          <w:rFonts w:ascii="Verdana" w:hAnsi="Verdana" w:cs="Calibri"/>
          <w:color w:val="0070C0"/>
          <w:sz w:val="20"/>
          <w:szCs w:val="20"/>
        </w:rPr>
        <w:t>łano się w drugim postępowaniu</w:t>
      </w:r>
      <w:r w:rsidRPr="00A0534B">
        <w:rPr>
          <w:rFonts w:ascii="Verdana" w:hAnsi="Verdana" w:cs="Calibri"/>
          <w:color w:val="0070C0"/>
          <w:sz w:val="20"/>
          <w:szCs w:val="20"/>
        </w:rPr>
        <w:t>, a jeśli chodzi o proporcjonalność ogólnej kary, kara nałożona w postępowaniu karnym uwzględniała karę podatkową. W związku z tym Wielka Izba stwierdziła, że chociaż dwa różne organy nałożyły różne kary w ramach różnych procedur, to jednak nastąpiło wystarczające zbliżenie zarówno co do ich treści, jak i co do czasu, tak aby mogły zostać uznane za część ogólnego systemu sankcji na mocy prawa norweskiego.</w:t>
      </w:r>
    </w:p>
    <w:p w14:paraId="73B59EA5" w14:textId="77777777" w:rsidR="00A0534B" w:rsidRDefault="00A0534B" w:rsidP="008B0AE6">
      <w:pPr>
        <w:spacing w:after="0"/>
        <w:rPr>
          <w:rFonts w:ascii="Verdana" w:hAnsi="Verdana" w:cs="Calibri"/>
          <w:b/>
          <w:color w:val="2E74B5" w:themeColor="accent1" w:themeShade="BF"/>
          <w:sz w:val="20"/>
          <w:szCs w:val="20"/>
          <w:u w:val="single"/>
        </w:rPr>
      </w:pPr>
    </w:p>
    <w:p w14:paraId="0E22C5D9" w14:textId="1A8B7EF6" w:rsidR="00F1211B" w:rsidRPr="006E23A1" w:rsidRDefault="00EE6B3B" w:rsidP="008B0AE6">
      <w:pPr>
        <w:spacing w:after="0"/>
        <w:rPr>
          <w:rFonts w:ascii="Verdana" w:hAnsi="Verdana" w:cs="Calibri"/>
          <w:sz w:val="20"/>
          <w:szCs w:val="20"/>
        </w:rPr>
      </w:pPr>
      <w:hyperlink r:id="rId71" w:history="1">
        <w:r w:rsidRPr="00A0534B">
          <w:rPr>
            <w:rStyle w:val="Hipercze"/>
            <w:rFonts w:ascii="Verdana" w:hAnsi="Verdana" w:cs="Calibri"/>
            <w:b/>
            <w:color w:val="0070C0"/>
            <w:sz w:val="20"/>
            <w:szCs w:val="20"/>
          </w:rPr>
          <w:t xml:space="preserve">Johannesson i </w:t>
        </w:r>
        <w:r w:rsidR="004E1837" w:rsidRPr="00A0534B">
          <w:rPr>
            <w:rStyle w:val="Hipercze"/>
            <w:rFonts w:ascii="Verdana" w:hAnsi="Verdana" w:cs="Calibri"/>
            <w:b/>
            <w:color w:val="0070C0"/>
            <w:sz w:val="20"/>
            <w:szCs w:val="20"/>
          </w:rPr>
          <w:t>I</w:t>
        </w:r>
        <w:r w:rsidRPr="00A0534B">
          <w:rPr>
            <w:rStyle w:val="Hipercze"/>
            <w:rFonts w:ascii="Verdana" w:hAnsi="Verdana" w:cs="Calibri"/>
            <w:b/>
            <w:color w:val="0070C0"/>
            <w:sz w:val="20"/>
            <w:szCs w:val="20"/>
          </w:rPr>
          <w:t>nni</w:t>
        </w:r>
        <w:r w:rsidR="00F1211B" w:rsidRPr="00A0534B">
          <w:rPr>
            <w:rStyle w:val="Hipercze"/>
            <w:rFonts w:ascii="Verdana" w:hAnsi="Verdana" w:cs="Calibri"/>
            <w:b/>
            <w:color w:val="0070C0"/>
            <w:sz w:val="20"/>
            <w:szCs w:val="20"/>
          </w:rPr>
          <w:t xml:space="preserve"> przeciwko Islandii</w:t>
        </w:r>
      </w:hyperlink>
      <w:r w:rsidRPr="00A0534B">
        <w:rPr>
          <w:rFonts w:ascii="Verdana" w:hAnsi="Verdana" w:cs="Calibri"/>
          <w:color w:val="0070C0"/>
          <w:sz w:val="20"/>
          <w:szCs w:val="20"/>
        </w:rPr>
        <w:br/>
      </w:r>
      <w:r w:rsidRPr="00A0534B">
        <w:rPr>
          <w:rFonts w:ascii="Verdana" w:hAnsi="Verdana" w:cs="Calibri"/>
          <w:color w:val="767171" w:themeColor="background2" w:themeShade="80"/>
          <w:sz w:val="18"/>
          <w:szCs w:val="18"/>
        </w:rPr>
        <w:t>18 maja 201</w:t>
      </w:r>
      <w:r w:rsidR="000D6CF6" w:rsidRPr="00A0534B">
        <w:rPr>
          <w:rFonts w:ascii="Verdana" w:hAnsi="Verdana" w:cs="Calibri"/>
          <w:color w:val="767171" w:themeColor="background2" w:themeShade="80"/>
          <w:sz w:val="18"/>
          <w:szCs w:val="18"/>
        </w:rPr>
        <w:t>7</w:t>
      </w:r>
      <w:r w:rsidR="004E1837" w:rsidRPr="00A0534B">
        <w:rPr>
          <w:rFonts w:ascii="Verdana" w:hAnsi="Verdana" w:cs="Calibri"/>
          <w:color w:val="767171" w:themeColor="background2" w:themeShade="80"/>
          <w:sz w:val="18"/>
          <w:szCs w:val="18"/>
        </w:rPr>
        <w:t xml:space="preserve"> </w:t>
      </w:r>
      <w:r w:rsidR="000D6CF6" w:rsidRPr="00A0534B">
        <w:rPr>
          <w:rFonts w:ascii="Verdana" w:hAnsi="Verdana" w:cs="Calibri"/>
          <w:color w:val="767171" w:themeColor="background2" w:themeShade="80"/>
          <w:sz w:val="18"/>
          <w:szCs w:val="18"/>
        </w:rPr>
        <w:t>r.</w:t>
      </w:r>
    </w:p>
    <w:p w14:paraId="670CC81B" w14:textId="6DF5F5E9" w:rsidR="00F1211B" w:rsidRPr="006E23A1" w:rsidRDefault="00A80A98" w:rsidP="008B0AE6">
      <w:pPr>
        <w:spacing w:after="0"/>
        <w:jc w:val="both"/>
        <w:rPr>
          <w:rFonts w:ascii="Verdana" w:hAnsi="Verdana" w:cs="Calibri"/>
          <w:sz w:val="20"/>
          <w:szCs w:val="20"/>
        </w:rPr>
      </w:pPr>
      <w:r w:rsidRPr="006E23A1">
        <w:rPr>
          <w:rFonts w:ascii="Verdana" w:hAnsi="Verdana" w:cs="Calibri"/>
          <w:sz w:val="20"/>
          <w:szCs w:val="20"/>
        </w:rPr>
        <w:t>Skarżący</w:t>
      </w:r>
      <w:r w:rsidR="00F1211B" w:rsidRPr="006E23A1">
        <w:rPr>
          <w:rFonts w:ascii="Verdana" w:hAnsi="Verdana" w:cs="Calibri"/>
          <w:sz w:val="20"/>
          <w:szCs w:val="20"/>
        </w:rPr>
        <w:t xml:space="preserve">, dwie osoby fizyczne i jedna spółka </w:t>
      </w:r>
      <w:r w:rsidRPr="006E23A1">
        <w:rPr>
          <w:rFonts w:ascii="Verdana" w:hAnsi="Verdana" w:cs="Calibri"/>
          <w:sz w:val="20"/>
          <w:szCs w:val="20"/>
        </w:rPr>
        <w:t>skarżyły się, że dwukrotnie byli sądzeni</w:t>
      </w:r>
      <w:r w:rsidR="00F1211B" w:rsidRPr="006E23A1">
        <w:rPr>
          <w:rFonts w:ascii="Verdana" w:hAnsi="Verdana" w:cs="Calibri"/>
          <w:sz w:val="20"/>
          <w:szCs w:val="20"/>
        </w:rPr>
        <w:t xml:space="preserve"> za to samo zachowanie, polegające na niezłożeniu dokładnych deklaracji podatkowych: </w:t>
      </w:r>
      <w:r w:rsidR="00A0534B">
        <w:rPr>
          <w:rFonts w:ascii="Verdana" w:hAnsi="Verdana" w:cs="Calibri"/>
          <w:sz w:val="20"/>
          <w:szCs w:val="20"/>
        </w:rPr>
        <w:t xml:space="preserve">najpierw </w:t>
      </w:r>
      <w:r w:rsidR="00F1211B" w:rsidRPr="006E23A1">
        <w:rPr>
          <w:rFonts w:ascii="Verdana" w:hAnsi="Verdana" w:cs="Calibri"/>
          <w:sz w:val="20"/>
          <w:szCs w:val="20"/>
        </w:rPr>
        <w:t xml:space="preserve">poprzez nałożenie dodatkowych obciążeń podatkowych, a </w:t>
      </w:r>
      <w:r w:rsidR="00A0534B">
        <w:rPr>
          <w:rFonts w:ascii="Verdana" w:hAnsi="Verdana" w:cs="Calibri"/>
          <w:sz w:val="20"/>
          <w:szCs w:val="20"/>
        </w:rPr>
        <w:t>następnie</w:t>
      </w:r>
      <w:r w:rsidR="00F1211B" w:rsidRPr="006E23A1">
        <w:rPr>
          <w:rFonts w:ascii="Verdana" w:hAnsi="Verdana" w:cs="Calibri"/>
          <w:sz w:val="20"/>
          <w:szCs w:val="20"/>
        </w:rPr>
        <w:t xml:space="preserve"> poprzez późniejsze postępowanie karne i skazanie za poważne przestępstwa podatkowe.</w:t>
      </w:r>
    </w:p>
    <w:p w14:paraId="7065AF70" w14:textId="7B7DBC54" w:rsidR="00F1211B" w:rsidRDefault="00A80A98" w:rsidP="008B0AE6">
      <w:pPr>
        <w:spacing w:after="0"/>
        <w:jc w:val="both"/>
        <w:rPr>
          <w:rFonts w:ascii="Verdana" w:hAnsi="Verdana" w:cs="Calibri"/>
          <w:color w:val="0070C0"/>
          <w:sz w:val="20"/>
          <w:szCs w:val="20"/>
        </w:rPr>
      </w:pPr>
      <w:r w:rsidRPr="00A0534B">
        <w:rPr>
          <w:rFonts w:ascii="Verdana" w:hAnsi="Verdana" w:cs="Calibri"/>
          <w:color w:val="0070C0"/>
          <w:sz w:val="20"/>
          <w:szCs w:val="20"/>
        </w:rPr>
        <w:t xml:space="preserve">Trybunał stwierdził, że doszło do </w:t>
      </w:r>
      <w:r w:rsidRPr="00A0534B">
        <w:rPr>
          <w:rFonts w:ascii="Verdana" w:hAnsi="Verdana" w:cs="Calibri"/>
          <w:b/>
          <w:color w:val="0070C0"/>
          <w:sz w:val="20"/>
          <w:szCs w:val="20"/>
        </w:rPr>
        <w:t xml:space="preserve">naruszenia art. 4 Protokołu </w:t>
      </w:r>
      <w:r w:rsidR="00A0534B">
        <w:rPr>
          <w:rFonts w:ascii="Verdana" w:hAnsi="Verdana" w:cs="Calibri"/>
          <w:b/>
          <w:color w:val="0070C0"/>
          <w:sz w:val="20"/>
          <w:szCs w:val="20"/>
        </w:rPr>
        <w:t>n</w:t>
      </w:r>
      <w:r w:rsidR="00E97A36" w:rsidRPr="00A0534B">
        <w:rPr>
          <w:rFonts w:ascii="Verdana" w:hAnsi="Verdana" w:cs="Calibri"/>
          <w:b/>
          <w:color w:val="0070C0"/>
          <w:sz w:val="20"/>
          <w:szCs w:val="20"/>
        </w:rPr>
        <w:t>r</w:t>
      </w:r>
      <w:r w:rsidR="00F1211B" w:rsidRPr="00A0534B">
        <w:rPr>
          <w:rFonts w:ascii="Verdana" w:hAnsi="Verdana" w:cs="Calibri"/>
          <w:b/>
          <w:color w:val="0070C0"/>
          <w:sz w:val="20"/>
          <w:szCs w:val="20"/>
        </w:rPr>
        <w:t xml:space="preserve"> 7</w:t>
      </w:r>
      <w:r w:rsidR="00F1211B" w:rsidRPr="00A0534B">
        <w:rPr>
          <w:rFonts w:ascii="Verdana" w:hAnsi="Verdana" w:cs="Calibri"/>
          <w:color w:val="0070C0"/>
          <w:sz w:val="20"/>
          <w:szCs w:val="20"/>
        </w:rPr>
        <w:t xml:space="preserve"> w odniesieniu do dwóch skarżących indywidualnych, uznając, że byli oni dwukrotnie sądzeni i ukarani za to samo zachowanie. W szczególności wynikało to z faktu, że obie gr</w:t>
      </w:r>
      <w:r w:rsidRPr="00A0534B">
        <w:rPr>
          <w:rFonts w:ascii="Verdana" w:hAnsi="Verdana" w:cs="Calibri"/>
          <w:color w:val="0070C0"/>
          <w:sz w:val="20"/>
          <w:szCs w:val="20"/>
        </w:rPr>
        <w:t>upy postępowań miały charakter „karny”</w:t>
      </w:r>
      <w:r w:rsidR="00F1211B" w:rsidRPr="00A0534B">
        <w:rPr>
          <w:rFonts w:ascii="Verdana" w:hAnsi="Verdana" w:cs="Calibri"/>
          <w:color w:val="0070C0"/>
          <w:sz w:val="20"/>
          <w:szCs w:val="20"/>
        </w:rPr>
        <w:t xml:space="preserve">, opierały się zasadniczo na tych samych faktach i nie były wystarczająco powiązane, aby można było uznać, że organy uniknęły powielania postępowań. W tym względzie Trybunał przypomniał, że chociaż art. 4 protokołu </w:t>
      </w:r>
      <w:r w:rsidR="00E97A36" w:rsidRPr="00A0534B">
        <w:rPr>
          <w:rFonts w:ascii="Verdana" w:hAnsi="Verdana" w:cs="Calibri"/>
          <w:color w:val="0070C0"/>
          <w:sz w:val="20"/>
          <w:szCs w:val="20"/>
        </w:rPr>
        <w:t>nr</w:t>
      </w:r>
      <w:r w:rsidR="00F1211B" w:rsidRPr="00A0534B">
        <w:rPr>
          <w:rFonts w:ascii="Verdana" w:hAnsi="Verdana" w:cs="Calibri"/>
          <w:color w:val="0070C0"/>
          <w:sz w:val="20"/>
          <w:szCs w:val="20"/>
        </w:rPr>
        <w:t xml:space="preserve"> 7 nie wyklucza prowadzenia równoległych postępowań administracyjnych i karnych w odniesieniu do tego samego czynu zabronionego pod groźbą kary, oba zestawy postępowań muszą mieć wystarczająco ścisły związek merytoryczny i czasowy, aby uniknąć powielania. W niniejszej sprawie Trybunał stwierdził, że nie istniał wystarczająco ścisły związek co do istoty i czasu pomiędzy obydwoma postępo</w:t>
      </w:r>
      <w:r w:rsidRPr="00A0534B">
        <w:rPr>
          <w:rFonts w:ascii="Verdana" w:hAnsi="Verdana" w:cs="Calibri"/>
          <w:color w:val="0070C0"/>
          <w:sz w:val="20"/>
          <w:szCs w:val="20"/>
        </w:rPr>
        <w:t>waniami, aby uniknąć ich powiele</w:t>
      </w:r>
      <w:r w:rsidR="00F1211B" w:rsidRPr="00A0534B">
        <w:rPr>
          <w:rFonts w:ascii="Verdana" w:hAnsi="Verdana" w:cs="Calibri"/>
          <w:color w:val="0070C0"/>
          <w:sz w:val="20"/>
          <w:szCs w:val="20"/>
        </w:rPr>
        <w:t xml:space="preserve">nia. Miało to miejsce w szczególności z dwóch powodów. Po pierwsze, czas trwania obu postępowań pokrywał się jedynie w ograniczonym stopniu. Ich łączna długość wynosiła około dziewięciu lat i trzech miesięcy, a mimo to były one </w:t>
      </w:r>
      <w:r w:rsidRPr="00A0534B">
        <w:rPr>
          <w:rFonts w:ascii="Verdana" w:hAnsi="Verdana" w:cs="Calibri"/>
          <w:color w:val="0070C0"/>
          <w:sz w:val="20"/>
          <w:szCs w:val="20"/>
        </w:rPr>
        <w:t>prowadzone równolegle przez</w:t>
      </w:r>
      <w:r w:rsidR="00F1211B" w:rsidRPr="00A0534B">
        <w:rPr>
          <w:rFonts w:ascii="Verdana" w:hAnsi="Verdana" w:cs="Calibri"/>
          <w:color w:val="0070C0"/>
          <w:sz w:val="20"/>
          <w:szCs w:val="20"/>
        </w:rPr>
        <w:t xml:space="preserve"> nieco </w:t>
      </w:r>
      <w:r w:rsidRPr="00A0534B">
        <w:rPr>
          <w:rFonts w:ascii="Verdana" w:hAnsi="Verdana" w:cs="Calibri"/>
          <w:color w:val="0070C0"/>
          <w:sz w:val="20"/>
          <w:szCs w:val="20"/>
        </w:rPr>
        <w:t xml:space="preserve">ponad rok. Obydwaj </w:t>
      </w:r>
      <w:r w:rsidR="000D6CF6" w:rsidRPr="00A0534B">
        <w:rPr>
          <w:rFonts w:ascii="Verdana" w:hAnsi="Verdana" w:cs="Calibri"/>
          <w:color w:val="0070C0"/>
          <w:sz w:val="20"/>
          <w:szCs w:val="20"/>
        </w:rPr>
        <w:t>skarżący</w:t>
      </w:r>
      <w:r w:rsidR="00F1211B" w:rsidRPr="00A0534B">
        <w:rPr>
          <w:rFonts w:ascii="Verdana" w:hAnsi="Verdana" w:cs="Calibri"/>
          <w:color w:val="0070C0"/>
          <w:sz w:val="20"/>
          <w:szCs w:val="20"/>
        </w:rPr>
        <w:t xml:space="preserve"> zostali postawieni w stan oskarżenia w postępowaniu karnym w grudniu 2008 r., 15 i 16 miesięcy po tym, jak Urząd Skarbowy wydał decyzje w sprawie odwołań od decyzji podatkowych. Po drugie, w obu postępowaniach zebrano i oceniono oddzielnie dowody, ponieważ policja przeprowadziła własne, niezależne dochodzenie. Odpowiedzialność skarżących została zatem oceniona przez różne organy i sądy w postępowaniach, które były w dużej mierze od siebie niezależne. W odniesieniu do skargi wniesionej przez skarżącą spółkę Sąd uznał ją za </w:t>
      </w:r>
      <w:r w:rsidR="00F1211B" w:rsidRPr="00A0534B">
        <w:rPr>
          <w:rFonts w:ascii="Verdana" w:hAnsi="Verdana" w:cs="Calibri"/>
          <w:b/>
          <w:color w:val="0070C0"/>
          <w:sz w:val="20"/>
          <w:szCs w:val="20"/>
        </w:rPr>
        <w:t>niedopuszczalną</w:t>
      </w:r>
      <w:r w:rsidR="00F1211B" w:rsidRPr="00A0534B">
        <w:rPr>
          <w:rFonts w:ascii="Verdana" w:hAnsi="Verdana" w:cs="Calibri"/>
          <w:color w:val="0070C0"/>
          <w:sz w:val="20"/>
          <w:szCs w:val="20"/>
        </w:rPr>
        <w:t>, ponieważ nie wykazała ona, że chce kont</w:t>
      </w:r>
      <w:r w:rsidRPr="00A0534B">
        <w:rPr>
          <w:rFonts w:ascii="Verdana" w:hAnsi="Verdana" w:cs="Calibri"/>
          <w:color w:val="0070C0"/>
          <w:sz w:val="20"/>
          <w:szCs w:val="20"/>
        </w:rPr>
        <w:t>ynuować postępowanie przed Trybunałem</w:t>
      </w:r>
      <w:r w:rsidR="00F1211B" w:rsidRPr="00A0534B">
        <w:rPr>
          <w:rFonts w:ascii="Verdana" w:hAnsi="Verdana" w:cs="Calibri"/>
          <w:color w:val="0070C0"/>
          <w:sz w:val="20"/>
          <w:szCs w:val="20"/>
        </w:rPr>
        <w:t>.</w:t>
      </w:r>
    </w:p>
    <w:p w14:paraId="7C4FD772" w14:textId="7292C5E9" w:rsidR="00870624" w:rsidRPr="006E23A1" w:rsidRDefault="00870624" w:rsidP="00870624">
      <w:pPr>
        <w:spacing w:after="0"/>
        <w:rPr>
          <w:rFonts w:ascii="Verdana" w:hAnsi="Verdana" w:cs="Calibri"/>
          <w:sz w:val="20"/>
          <w:szCs w:val="20"/>
        </w:rPr>
      </w:pPr>
      <w:hyperlink r:id="rId72" w:history="1">
        <w:r w:rsidRPr="00870624">
          <w:rPr>
            <w:rStyle w:val="Hipercze"/>
            <w:rFonts w:ascii="Verdana" w:hAnsi="Verdana" w:cs="Calibri"/>
            <w:b/>
            <w:color w:val="0070C0"/>
            <w:sz w:val="20"/>
            <w:szCs w:val="20"/>
          </w:rPr>
          <w:t>Nodet przeciwko Francji</w:t>
        </w:r>
      </w:hyperlink>
      <w:r w:rsidRPr="00A0534B">
        <w:rPr>
          <w:rFonts w:ascii="Verdana" w:hAnsi="Verdana" w:cs="Calibri"/>
          <w:color w:val="0070C0"/>
          <w:sz w:val="20"/>
          <w:szCs w:val="20"/>
        </w:rPr>
        <w:br/>
      </w:r>
      <w:r>
        <w:rPr>
          <w:rFonts w:ascii="Verdana" w:hAnsi="Verdana" w:cs="Calibri"/>
          <w:color w:val="767171" w:themeColor="background2" w:themeShade="80"/>
          <w:sz w:val="18"/>
          <w:szCs w:val="18"/>
        </w:rPr>
        <w:t>6</w:t>
      </w:r>
      <w:r w:rsidRPr="00A0534B">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czerwca</w:t>
      </w:r>
      <w:r w:rsidRPr="00A0534B">
        <w:rPr>
          <w:rFonts w:ascii="Verdana" w:hAnsi="Verdana" w:cs="Calibri"/>
          <w:color w:val="767171" w:themeColor="background2" w:themeShade="80"/>
          <w:sz w:val="18"/>
          <w:szCs w:val="18"/>
        </w:rPr>
        <w:t xml:space="preserve"> 201</w:t>
      </w:r>
      <w:r>
        <w:rPr>
          <w:rFonts w:ascii="Verdana" w:hAnsi="Verdana" w:cs="Calibri"/>
          <w:color w:val="767171" w:themeColor="background2" w:themeShade="80"/>
          <w:sz w:val="18"/>
          <w:szCs w:val="18"/>
        </w:rPr>
        <w:t>9</w:t>
      </w:r>
      <w:r w:rsidRPr="00A0534B">
        <w:rPr>
          <w:rFonts w:ascii="Verdana" w:hAnsi="Verdana" w:cs="Calibri"/>
          <w:color w:val="767171" w:themeColor="background2" w:themeShade="80"/>
          <w:sz w:val="18"/>
          <w:szCs w:val="18"/>
        </w:rPr>
        <w:t xml:space="preserve"> r.</w:t>
      </w:r>
    </w:p>
    <w:p w14:paraId="699A34E0" w14:textId="77777777" w:rsidR="00870624" w:rsidRDefault="00870624" w:rsidP="00870624">
      <w:pPr>
        <w:spacing w:after="0"/>
        <w:jc w:val="both"/>
        <w:rPr>
          <w:rFonts w:ascii="Verdana" w:hAnsi="Verdana" w:cs="Calibri"/>
          <w:sz w:val="20"/>
          <w:szCs w:val="20"/>
        </w:rPr>
      </w:pPr>
      <w:r w:rsidRPr="00870624">
        <w:rPr>
          <w:rFonts w:ascii="Verdana" w:hAnsi="Verdana" w:cs="Calibri"/>
          <w:sz w:val="20"/>
          <w:szCs w:val="20"/>
        </w:rPr>
        <w:t>Skarżący, analityk finansowy, został ukarany grzywną przez organ regulacyjny rynków finansowych, AMF, za manipulację ceną akcji, a następnie przez sądy karne za przestępstwo utrudniania prawidłowego funkcjonowania rynku giełdowego poprzez to samo działanie. Skarżył się, że został dwukrotnie ukarany za to samo przestępstwo.</w:t>
      </w:r>
    </w:p>
    <w:p w14:paraId="68902484" w14:textId="72BFC3CC" w:rsidR="00870624" w:rsidRPr="00870624" w:rsidRDefault="00870624" w:rsidP="00870624">
      <w:pPr>
        <w:spacing w:after="0"/>
        <w:jc w:val="both"/>
        <w:rPr>
          <w:rFonts w:ascii="Verdana" w:hAnsi="Verdana" w:cs="Calibri"/>
          <w:sz w:val="20"/>
          <w:szCs w:val="20"/>
        </w:rPr>
      </w:pPr>
      <w:r w:rsidRPr="00870624">
        <w:rPr>
          <w:rFonts w:ascii="Verdana" w:hAnsi="Verdana" w:cs="Calibri"/>
          <w:color w:val="0070C0"/>
          <w:sz w:val="20"/>
          <w:szCs w:val="20"/>
        </w:rPr>
        <w:t xml:space="preserve">Trybunał uznał, że doszło do </w:t>
      </w:r>
      <w:r w:rsidRPr="00870624">
        <w:rPr>
          <w:rFonts w:ascii="Verdana" w:hAnsi="Verdana" w:cs="Calibri"/>
          <w:b/>
          <w:bCs/>
          <w:color w:val="0070C0"/>
          <w:sz w:val="20"/>
          <w:szCs w:val="20"/>
        </w:rPr>
        <w:t xml:space="preserve">naruszenia art. 4 Protokołu nr 7 </w:t>
      </w:r>
      <w:r w:rsidRPr="00870624">
        <w:rPr>
          <w:rFonts w:ascii="Verdana" w:hAnsi="Verdana" w:cs="Calibri"/>
          <w:color w:val="0070C0"/>
          <w:sz w:val="20"/>
          <w:szCs w:val="20"/>
        </w:rPr>
        <w:t>w odniesieniu do skarżącego. Trybunał zauważył, po pierwsze, że nie istniał wystarczająco ścisły związek merytoryczny między dwoma postępowaniami, AMF i sądami karnymi, biorąc pod uwagę cele i do pewnego stopnia powtarzalność w gromadzeniu dowodów przez różnych śledczych; po drugie, przede wszystkim, nie istniał wystarczająco ścisły związek czasowy, aby postępowanie można było uznać za część zintegrowanego mechanizmu sankcji przewidzianego przez prawo francuskie. Trybunał stwierdził zatem, że skarżący poniósł nieproporcjonalną szkodę z powodu podwójnego oskarżenia i podwójnego skazania, przez AMF i sądy karne, za te same fakty.</w:t>
      </w:r>
    </w:p>
    <w:p w14:paraId="0F77E65D" w14:textId="77777777" w:rsidR="00870624" w:rsidRDefault="00870624" w:rsidP="00870624">
      <w:pPr>
        <w:spacing w:after="0"/>
        <w:rPr>
          <w:rFonts w:ascii="Verdana" w:hAnsi="Verdana" w:cs="Calibri"/>
          <w:b/>
          <w:color w:val="0070C0"/>
          <w:sz w:val="20"/>
          <w:szCs w:val="20"/>
          <w:u w:val="single"/>
        </w:rPr>
      </w:pPr>
    </w:p>
    <w:p w14:paraId="547A3BB9" w14:textId="67706896" w:rsidR="00870624" w:rsidRPr="006E23A1" w:rsidRDefault="00870624" w:rsidP="00870624">
      <w:pPr>
        <w:spacing w:after="0"/>
        <w:rPr>
          <w:rFonts w:ascii="Verdana" w:hAnsi="Verdana" w:cs="Calibri"/>
          <w:sz w:val="20"/>
          <w:szCs w:val="20"/>
        </w:rPr>
      </w:pPr>
      <w:hyperlink r:id="rId73" w:history="1">
        <w:r>
          <w:rPr>
            <w:rStyle w:val="Hipercze"/>
            <w:rFonts w:ascii="Verdana" w:hAnsi="Verdana" w:cs="Calibri"/>
            <w:b/>
            <w:color w:val="0070C0"/>
            <w:sz w:val="20"/>
            <w:szCs w:val="20"/>
          </w:rPr>
          <w:t xml:space="preserve">Velkov </w:t>
        </w:r>
        <w:r w:rsidRPr="00A0534B">
          <w:rPr>
            <w:rStyle w:val="Hipercze"/>
            <w:rFonts w:ascii="Verdana" w:hAnsi="Verdana" w:cs="Calibri"/>
            <w:b/>
            <w:color w:val="0070C0"/>
            <w:sz w:val="20"/>
            <w:szCs w:val="20"/>
          </w:rPr>
          <w:t xml:space="preserve">przeciwko </w:t>
        </w:r>
        <w:r>
          <w:rPr>
            <w:rStyle w:val="Hipercze"/>
            <w:rFonts w:ascii="Verdana" w:hAnsi="Verdana" w:cs="Calibri"/>
            <w:b/>
            <w:color w:val="0070C0"/>
            <w:sz w:val="20"/>
            <w:szCs w:val="20"/>
          </w:rPr>
          <w:t>Bułgarii</w:t>
        </w:r>
      </w:hyperlink>
      <w:r w:rsidRPr="00A0534B">
        <w:rPr>
          <w:rFonts w:ascii="Verdana" w:hAnsi="Verdana" w:cs="Calibri"/>
          <w:color w:val="0070C0"/>
          <w:sz w:val="20"/>
          <w:szCs w:val="20"/>
        </w:rPr>
        <w:br/>
      </w:r>
      <w:r>
        <w:rPr>
          <w:rFonts w:ascii="Verdana" w:hAnsi="Verdana" w:cs="Calibri"/>
          <w:color w:val="767171" w:themeColor="background2" w:themeShade="80"/>
          <w:sz w:val="18"/>
          <w:szCs w:val="18"/>
        </w:rPr>
        <w:t>21</w:t>
      </w:r>
      <w:r w:rsidRPr="00A0534B">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lipca</w:t>
      </w:r>
      <w:r w:rsidRPr="00A0534B">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20</w:t>
      </w:r>
      <w:r w:rsidRPr="00A0534B">
        <w:rPr>
          <w:rFonts w:ascii="Verdana" w:hAnsi="Verdana" w:cs="Calibri"/>
          <w:color w:val="767171" w:themeColor="background2" w:themeShade="80"/>
          <w:sz w:val="18"/>
          <w:szCs w:val="18"/>
        </w:rPr>
        <w:t xml:space="preserve"> r.</w:t>
      </w:r>
    </w:p>
    <w:p w14:paraId="3713D551" w14:textId="77777777" w:rsidR="00EC761C" w:rsidRDefault="00EC761C" w:rsidP="00EC761C">
      <w:pPr>
        <w:spacing w:after="0"/>
        <w:jc w:val="both"/>
        <w:rPr>
          <w:rFonts w:ascii="Verdana" w:hAnsi="Verdana" w:cs="Calibri"/>
          <w:sz w:val="20"/>
          <w:szCs w:val="20"/>
        </w:rPr>
      </w:pPr>
      <w:r w:rsidRPr="00EC761C">
        <w:rPr>
          <w:rFonts w:ascii="Verdana" w:hAnsi="Verdana" w:cs="Calibri"/>
          <w:sz w:val="20"/>
          <w:szCs w:val="20"/>
        </w:rPr>
        <w:t>Sprawa ta dotyczyła skargi skarżącego, że został on dwukrotnie skazany za to samo przestępstwo naruszenia spokoju podczas meczu piłki nożnej, w kontekście postępowania administracyjnego i karnego.</w:t>
      </w:r>
    </w:p>
    <w:p w14:paraId="585CBD1F" w14:textId="69004CAE" w:rsidR="00EC761C" w:rsidRPr="00EC761C" w:rsidRDefault="00EC761C" w:rsidP="00EC761C">
      <w:pPr>
        <w:spacing w:after="0"/>
        <w:jc w:val="both"/>
        <w:rPr>
          <w:rFonts w:ascii="Verdana" w:hAnsi="Verdana" w:cs="Calibri"/>
          <w:color w:val="0070C0"/>
          <w:sz w:val="20"/>
          <w:szCs w:val="20"/>
        </w:rPr>
      </w:pPr>
      <w:r w:rsidRPr="00EC761C">
        <w:rPr>
          <w:rFonts w:ascii="Verdana" w:hAnsi="Verdana" w:cs="Calibri"/>
          <w:color w:val="0070C0"/>
          <w:sz w:val="20"/>
          <w:szCs w:val="20"/>
        </w:rPr>
        <w:t xml:space="preserve">Trybunał uznał, że doszło do </w:t>
      </w:r>
      <w:r w:rsidRPr="00EC761C">
        <w:rPr>
          <w:rFonts w:ascii="Verdana" w:hAnsi="Verdana" w:cs="Calibri"/>
          <w:b/>
          <w:bCs/>
          <w:color w:val="0070C0"/>
          <w:sz w:val="20"/>
          <w:szCs w:val="20"/>
        </w:rPr>
        <w:t>naruszenia art. 4 Protokołu nr 7</w:t>
      </w:r>
      <w:r w:rsidRPr="00EC761C">
        <w:rPr>
          <w:rFonts w:ascii="Verdana" w:hAnsi="Verdana" w:cs="Calibri"/>
          <w:color w:val="0070C0"/>
          <w:sz w:val="20"/>
          <w:szCs w:val="20"/>
        </w:rPr>
        <w:t xml:space="preserve">, stwierdzając, że ze względu na brak wystarczająco ścisłego związku merytorycznego między postępowaniem administracyjnym i karnym przeciwko skarżącemu, był on dwukrotnie ścigany i karany za to samo przestępstwo, z naruszeniem zasady </w:t>
      </w:r>
      <w:r w:rsidRPr="00EC761C">
        <w:rPr>
          <w:rFonts w:ascii="Verdana" w:hAnsi="Verdana" w:cs="Calibri"/>
          <w:i/>
          <w:iCs/>
          <w:color w:val="0070C0"/>
          <w:sz w:val="20"/>
          <w:szCs w:val="20"/>
        </w:rPr>
        <w:t>ne bis in idem</w:t>
      </w:r>
      <w:r w:rsidRPr="00EC761C">
        <w:rPr>
          <w:rFonts w:ascii="Verdana" w:hAnsi="Verdana" w:cs="Calibri"/>
          <w:color w:val="0070C0"/>
          <w:sz w:val="20"/>
          <w:szCs w:val="20"/>
        </w:rPr>
        <w:t>. Trybunał zauważył w szczególności, że chociaż istniał ścisły związek czasowy między postępowaniem administracyjnym i karnym przeciwko skarżącemu, nie istniał wystarczająco ścisły związek merytoryczny między tymi dwoma postępowaniami.</w:t>
      </w:r>
    </w:p>
    <w:p w14:paraId="6C736F52" w14:textId="77777777" w:rsidR="00EC761C" w:rsidRPr="00A0534B" w:rsidRDefault="00EC761C" w:rsidP="00EC761C">
      <w:pPr>
        <w:spacing w:after="0"/>
        <w:jc w:val="both"/>
        <w:rPr>
          <w:rFonts w:ascii="Verdana" w:hAnsi="Verdana" w:cs="Calibri"/>
          <w:color w:val="0070C0"/>
          <w:sz w:val="20"/>
          <w:szCs w:val="20"/>
        </w:rPr>
      </w:pPr>
    </w:p>
    <w:p w14:paraId="78223083" w14:textId="4C01EAC2" w:rsidR="00870624" w:rsidRPr="006E23A1" w:rsidRDefault="00EC761C" w:rsidP="00870624">
      <w:pPr>
        <w:spacing w:after="0"/>
        <w:rPr>
          <w:rFonts w:ascii="Verdana" w:hAnsi="Verdana" w:cs="Calibri"/>
          <w:sz w:val="20"/>
          <w:szCs w:val="20"/>
        </w:rPr>
      </w:pPr>
      <w:hyperlink r:id="rId74" w:history="1">
        <w:r w:rsidRPr="00EC761C">
          <w:rPr>
            <w:rStyle w:val="Hipercze"/>
            <w:rFonts w:ascii="Verdana" w:hAnsi="Verdana" w:cs="Calibri"/>
            <w:b/>
            <w:bCs/>
            <w:sz w:val="20"/>
            <w:szCs w:val="20"/>
          </w:rPr>
          <w:t>Bajčić przeciwko Chorwacji</w:t>
        </w:r>
      </w:hyperlink>
      <w:r w:rsidR="00870624" w:rsidRPr="00A0534B">
        <w:rPr>
          <w:rFonts w:ascii="Verdana" w:hAnsi="Verdana" w:cs="Calibri"/>
          <w:color w:val="0070C0"/>
          <w:sz w:val="20"/>
          <w:szCs w:val="20"/>
        </w:rPr>
        <w:br/>
      </w:r>
      <w:r w:rsidR="00870624" w:rsidRPr="00A0534B">
        <w:rPr>
          <w:rFonts w:ascii="Verdana" w:hAnsi="Verdana" w:cs="Calibri"/>
          <w:color w:val="767171" w:themeColor="background2" w:themeShade="80"/>
          <w:sz w:val="18"/>
          <w:szCs w:val="18"/>
        </w:rPr>
        <w:t xml:space="preserve">8 </w:t>
      </w:r>
      <w:r>
        <w:rPr>
          <w:rFonts w:ascii="Verdana" w:hAnsi="Verdana" w:cs="Calibri"/>
          <w:color w:val="767171" w:themeColor="background2" w:themeShade="80"/>
          <w:sz w:val="18"/>
          <w:szCs w:val="18"/>
        </w:rPr>
        <w:t>października</w:t>
      </w:r>
      <w:r w:rsidR="00870624" w:rsidRPr="00A0534B">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20</w:t>
      </w:r>
      <w:r w:rsidR="00870624" w:rsidRPr="00A0534B">
        <w:rPr>
          <w:rFonts w:ascii="Verdana" w:hAnsi="Verdana" w:cs="Calibri"/>
          <w:color w:val="767171" w:themeColor="background2" w:themeShade="80"/>
          <w:sz w:val="18"/>
          <w:szCs w:val="18"/>
        </w:rPr>
        <w:t xml:space="preserve"> r.</w:t>
      </w:r>
    </w:p>
    <w:p w14:paraId="6039EF68" w14:textId="77777777" w:rsidR="00EC761C" w:rsidRDefault="00EC761C" w:rsidP="00EC761C">
      <w:pPr>
        <w:spacing w:after="0"/>
        <w:jc w:val="both"/>
        <w:rPr>
          <w:rFonts w:ascii="Verdana" w:hAnsi="Verdana" w:cs="Calibri"/>
          <w:sz w:val="20"/>
          <w:szCs w:val="20"/>
        </w:rPr>
      </w:pPr>
      <w:r w:rsidRPr="00EC761C">
        <w:rPr>
          <w:rFonts w:ascii="Verdana" w:hAnsi="Verdana" w:cs="Calibri"/>
          <w:sz w:val="20"/>
          <w:szCs w:val="20"/>
        </w:rPr>
        <w:t>Sprawa ta dotyczyła skargi skarżącego, że został on dwukrotnie osądzony i ukarany za to samo wykroczenie drogowe. W szczególności został on najpierw skazany w postępowaniu w sprawie drobnego wykroczenia za przekroczenie prędkości, a następnie w postępowaniu karnym za spowodowanie śmiertelnego wypadku drogowego. W pierwszym postępowaniu został ukarany grzywną, a w drugim karą pozbawienia wolności.</w:t>
      </w:r>
    </w:p>
    <w:p w14:paraId="3C80F659" w14:textId="10C6FB94" w:rsidR="00EC761C" w:rsidRDefault="00EC761C" w:rsidP="00EC761C">
      <w:pPr>
        <w:spacing w:after="0"/>
        <w:jc w:val="both"/>
        <w:rPr>
          <w:rFonts w:ascii="Verdana" w:hAnsi="Verdana" w:cs="Calibri"/>
          <w:color w:val="0070C0"/>
          <w:sz w:val="20"/>
          <w:szCs w:val="20"/>
        </w:rPr>
      </w:pPr>
      <w:r w:rsidRPr="00EC761C">
        <w:rPr>
          <w:rFonts w:ascii="Verdana" w:hAnsi="Verdana" w:cs="Calibri"/>
          <w:color w:val="0070C0"/>
          <w:sz w:val="20"/>
          <w:szCs w:val="20"/>
        </w:rPr>
        <w:t xml:space="preserve">Trybunał uznał, </w:t>
      </w:r>
      <w:r w:rsidRPr="00EC761C">
        <w:rPr>
          <w:rFonts w:ascii="Verdana" w:hAnsi="Verdana" w:cs="Calibri"/>
          <w:b/>
          <w:bCs/>
          <w:color w:val="0070C0"/>
          <w:sz w:val="20"/>
          <w:szCs w:val="20"/>
        </w:rPr>
        <w:t>że nie doszło do naruszenia art. 4 § 1 Protokołu nr 7</w:t>
      </w:r>
      <w:r w:rsidRPr="00EC761C">
        <w:rPr>
          <w:rFonts w:ascii="Verdana" w:hAnsi="Verdana" w:cs="Calibri"/>
          <w:color w:val="0070C0"/>
          <w:sz w:val="20"/>
          <w:szCs w:val="20"/>
        </w:rPr>
        <w:t xml:space="preserve"> w odniesieniu do skarżącego. Trybunał zauważył w szczególności, że cele kary, w ramach których uwzględniono różne aspekty tego samego zachowania, powinny być rozpatrywane jako całość. W przypadku skarżącego takie cele zostały zrealizowane w ramach dwóch uzupełniających się postępowań, które były wystarczająco powiązane pod względem merytorycznym i czasowym, aby można je było uznać za część integralnego systemu sankcji na mocy prawa chorwackiego za nieprzestrzeganie przepisów bezpieczeństwa ruchu drogowego, co w rezultacie spowodowało śmiertelny wypadek drogowy. Trybunał nie stwierdził zatem nadużycia prawa państwa do nałożenia kary w sprawie skarżącego. Trybunał nie mógł również stwierdzić, że skarżący poniósł nieproporcjonalną szkodę wynikającą z powielania postępowań i kar.</w:t>
      </w:r>
    </w:p>
    <w:p w14:paraId="1EF5F885" w14:textId="77777777" w:rsidR="00EC761C" w:rsidRPr="00A0534B" w:rsidRDefault="00EC761C" w:rsidP="00EC761C">
      <w:pPr>
        <w:spacing w:after="0"/>
        <w:jc w:val="both"/>
        <w:rPr>
          <w:rFonts w:ascii="Verdana" w:hAnsi="Verdana" w:cs="Calibri"/>
          <w:color w:val="0070C0"/>
          <w:sz w:val="20"/>
          <w:szCs w:val="20"/>
        </w:rPr>
      </w:pPr>
    </w:p>
    <w:p w14:paraId="5D4BD30B" w14:textId="54C7E9BB" w:rsidR="00EC761C" w:rsidRPr="006E23A1" w:rsidRDefault="00EC761C" w:rsidP="00EC761C">
      <w:pPr>
        <w:spacing w:after="0"/>
        <w:rPr>
          <w:rFonts w:ascii="Verdana" w:hAnsi="Verdana" w:cs="Calibri"/>
          <w:sz w:val="20"/>
          <w:szCs w:val="20"/>
        </w:rPr>
      </w:pPr>
      <w:hyperlink r:id="rId75" w:history="1">
        <w:r>
          <w:rPr>
            <w:rStyle w:val="Hipercze"/>
            <w:rFonts w:ascii="Verdana" w:hAnsi="Verdana" w:cs="Calibri"/>
            <w:b/>
            <w:bCs/>
            <w:sz w:val="20"/>
            <w:szCs w:val="20"/>
          </w:rPr>
          <w:t>Galovi</w:t>
        </w:r>
        <w:r w:rsidRPr="00EC761C">
          <w:rPr>
            <w:rStyle w:val="Hipercze"/>
            <w:rFonts w:ascii="Verdana" w:hAnsi="Verdana" w:cs="Calibri"/>
            <w:b/>
            <w:bCs/>
            <w:sz w:val="20"/>
            <w:szCs w:val="20"/>
          </w:rPr>
          <w:t>ć przeciwko Chorwacji</w:t>
        </w:r>
      </w:hyperlink>
      <w:r w:rsidRPr="00A0534B">
        <w:rPr>
          <w:rFonts w:ascii="Verdana" w:hAnsi="Verdana" w:cs="Calibri"/>
          <w:color w:val="0070C0"/>
          <w:sz w:val="20"/>
          <w:szCs w:val="20"/>
        </w:rPr>
        <w:br/>
      </w:r>
      <w:r>
        <w:rPr>
          <w:rFonts w:ascii="Verdana" w:hAnsi="Verdana" w:cs="Calibri"/>
          <w:color w:val="767171" w:themeColor="background2" w:themeShade="80"/>
          <w:sz w:val="18"/>
          <w:szCs w:val="18"/>
        </w:rPr>
        <w:t>31</w:t>
      </w:r>
      <w:r w:rsidRPr="00A0534B">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sierpnia</w:t>
      </w:r>
      <w:r w:rsidRPr="00A0534B">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21</w:t>
      </w:r>
      <w:r w:rsidRPr="00A0534B">
        <w:rPr>
          <w:rFonts w:ascii="Verdana" w:hAnsi="Verdana" w:cs="Calibri"/>
          <w:color w:val="767171" w:themeColor="background2" w:themeShade="80"/>
          <w:sz w:val="18"/>
          <w:szCs w:val="18"/>
        </w:rPr>
        <w:t xml:space="preserve"> r.</w:t>
      </w:r>
    </w:p>
    <w:p w14:paraId="33DBC635" w14:textId="2BBEBFF2" w:rsidR="00EC761C" w:rsidRPr="00EC761C" w:rsidRDefault="00EC761C" w:rsidP="00EC761C">
      <w:pPr>
        <w:spacing w:after="0"/>
        <w:jc w:val="both"/>
        <w:rPr>
          <w:rFonts w:ascii="Verdana" w:hAnsi="Verdana" w:cs="Calibri"/>
          <w:sz w:val="20"/>
          <w:szCs w:val="20"/>
        </w:rPr>
      </w:pPr>
      <w:r w:rsidRPr="00EC761C">
        <w:rPr>
          <w:rFonts w:ascii="Verdana" w:hAnsi="Verdana" w:cs="Calibri"/>
          <w:sz w:val="20"/>
          <w:szCs w:val="20"/>
        </w:rPr>
        <w:t>Sprawa ta dotyczyła wyroków skazujących skarżącego za przemoc domową w kilku postępowaniach w sprawie drobnych przestępstw oraz w postępowaniu karnym z</w:t>
      </w:r>
      <w:r w:rsidR="00630A45">
        <w:rPr>
          <w:rFonts w:ascii="Verdana" w:hAnsi="Verdana" w:cs="Calibri"/>
          <w:sz w:val="20"/>
          <w:szCs w:val="20"/>
        </w:rPr>
        <w:t> </w:t>
      </w:r>
      <w:r w:rsidRPr="00EC761C">
        <w:rPr>
          <w:rFonts w:ascii="Verdana" w:hAnsi="Verdana" w:cs="Calibri"/>
          <w:sz w:val="20"/>
          <w:szCs w:val="20"/>
        </w:rPr>
        <w:t>oskarżenia.</w:t>
      </w:r>
    </w:p>
    <w:p w14:paraId="2B1F141E" w14:textId="3A6F0A54" w:rsidR="00EC761C" w:rsidRPr="00EC761C" w:rsidRDefault="00EC761C" w:rsidP="00EC761C">
      <w:pPr>
        <w:spacing w:after="0"/>
        <w:jc w:val="both"/>
        <w:rPr>
          <w:rFonts w:ascii="Verdana" w:hAnsi="Verdana" w:cs="Calibri"/>
          <w:color w:val="0070C0"/>
          <w:sz w:val="20"/>
          <w:szCs w:val="20"/>
        </w:rPr>
      </w:pPr>
      <w:r w:rsidRPr="00EC761C">
        <w:rPr>
          <w:rFonts w:ascii="Verdana" w:hAnsi="Verdana" w:cs="Calibri"/>
          <w:color w:val="0070C0"/>
          <w:sz w:val="20"/>
          <w:szCs w:val="20"/>
        </w:rPr>
        <w:lastRenderedPageBreak/>
        <w:t xml:space="preserve">Trybunał uznał, że </w:t>
      </w:r>
      <w:r w:rsidRPr="00EC761C">
        <w:rPr>
          <w:rFonts w:ascii="Verdana" w:hAnsi="Verdana" w:cs="Calibri"/>
          <w:b/>
          <w:bCs/>
          <w:color w:val="0070C0"/>
          <w:sz w:val="20"/>
          <w:szCs w:val="20"/>
        </w:rPr>
        <w:t>nie doszło do naruszenia art. 4 Protokołu nr 7</w:t>
      </w:r>
      <w:r w:rsidRPr="00EC761C">
        <w:rPr>
          <w:rFonts w:ascii="Verdana" w:hAnsi="Verdana" w:cs="Calibri"/>
          <w:color w:val="0070C0"/>
          <w:sz w:val="20"/>
          <w:szCs w:val="20"/>
        </w:rPr>
        <w:t xml:space="preserve"> w odniesieniu do skarżącego. Zauważając w szczególności, że postępowania i kary przeciwko skarżącemu były wystarczająco powiązane pod względem merytorycznym i czasowym oraz tworzyły spójną i proporcjonalną całość, Trybunał stwierdził, że system prawny w Chorwacji pozwolił na ukaranie zarówno poszczególnych czynów, jak i wzorca zachowania skarżącego w sposób skuteczny, proporcjonalny i odstraszający.</w:t>
      </w:r>
    </w:p>
    <w:p w14:paraId="2768D8BF" w14:textId="77777777" w:rsidR="00870624" w:rsidRDefault="00870624" w:rsidP="008B0AE6">
      <w:pPr>
        <w:spacing w:after="0"/>
        <w:jc w:val="both"/>
        <w:rPr>
          <w:rFonts w:ascii="Verdana" w:hAnsi="Verdana" w:cs="Calibri"/>
          <w:color w:val="0070C0"/>
          <w:sz w:val="20"/>
          <w:szCs w:val="20"/>
        </w:rPr>
      </w:pPr>
    </w:p>
    <w:p w14:paraId="6EDA8E8A" w14:textId="48F4492B" w:rsidR="00630A45" w:rsidRPr="00630A45" w:rsidRDefault="00630A45" w:rsidP="008B0AE6">
      <w:pPr>
        <w:spacing w:after="0"/>
        <w:jc w:val="both"/>
        <w:rPr>
          <w:rFonts w:ascii="Verdana" w:hAnsi="Verdana" w:cs="Calibri"/>
          <w:sz w:val="20"/>
          <w:szCs w:val="20"/>
        </w:rPr>
      </w:pPr>
      <w:r w:rsidRPr="00630A45">
        <w:rPr>
          <w:rFonts w:ascii="Verdana" w:hAnsi="Verdana" w:cs="Calibri"/>
          <w:i/>
          <w:iCs/>
          <w:sz w:val="20"/>
          <w:szCs w:val="20"/>
        </w:rPr>
        <w:t xml:space="preserve">Zob. także, </w:t>
      </w:r>
      <w:r w:rsidRPr="00630A45">
        <w:rPr>
          <w:rFonts w:ascii="Verdana" w:hAnsi="Verdana" w:cs="Calibri"/>
          <w:sz w:val="20"/>
          <w:szCs w:val="20"/>
        </w:rPr>
        <w:t>ostatnio:</w:t>
      </w:r>
    </w:p>
    <w:p w14:paraId="28C098B8" w14:textId="77777777" w:rsidR="00630A45" w:rsidRDefault="00630A45" w:rsidP="008B0AE6">
      <w:pPr>
        <w:spacing w:after="0"/>
        <w:rPr>
          <w:rFonts w:ascii="Verdana" w:hAnsi="Verdana" w:cs="Calibri"/>
          <w:b/>
          <w:color w:val="2E74B5" w:themeColor="accent1" w:themeShade="BF"/>
          <w:sz w:val="20"/>
          <w:szCs w:val="20"/>
          <w:u w:val="single"/>
        </w:rPr>
      </w:pPr>
    </w:p>
    <w:p w14:paraId="1C69AA20" w14:textId="1A03A23C" w:rsidR="00F1211B" w:rsidRDefault="00630A45" w:rsidP="008B0AE6">
      <w:pPr>
        <w:spacing w:after="0"/>
        <w:rPr>
          <w:rFonts w:ascii="Verdana" w:hAnsi="Verdana" w:cs="Calibri"/>
          <w:color w:val="767171" w:themeColor="background2" w:themeShade="80"/>
          <w:sz w:val="18"/>
          <w:szCs w:val="18"/>
        </w:rPr>
      </w:pPr>
      <w:hyperlink r:id="rId76" w:history="1">
        <w:r w:rsidRPr="00630A45">
          <w:rPr>
            <w:rStyle w:val="Hipercze"/>
            <w:rFonts w:ascii="Verdana" w:hAnsi="Verdana" w:cs="Calibri"/>
            <w:b/>
            <w:bCs/>
            <w:sz w:val="20"/>
            <w:szCs w:val="20"/>
          </w:rPr>
          <w:t xml:space="preserve">Bjarni Ármannsson </w:t>
        </w:r>
        <w:r w:rsidR="00F1211B" w:rsidRPr="00630A45">
          <w:rPr>
            <w:rStyle w:val="Hipercze"/>
            <w:rFonts w:ascii="Verdana" w:hAnsi="Verdana" w:cs="Calibri"/>
            <w:b/>
            <w:sz w:val="20"/>
            <w:szCs w:val="20"/>
          </w:rPr>
          <w:t xml:space="preserve">przeciwko </w:t>
        </w:r>
        <w:r>
          <w:rPr>
            <w:rStyle w:val="Hipercze"/>
            <w:rFonts w:ascii="Verdana" w:hAnsi="Verdana" w:cs="Calibri"/>
            <w:b/>
            <w:sz w:val="20"/>
            <w:szCs w:val="20"/>
          </w:rPr>
          <w:t>Islandii</w:t>
        </w:r>
      </w:hyperlink>
      <w:r w:rsidR="0077794E" w:rsidRPr="006E23A1">
        <w:rPr>
          <w:rFonts w:ascii="Verdana" w:hAnsi="Verdana" w:cs="Calibri"/>
          <w:b/>
          <w:sz w:val="20"/>
          <w:szCs w:val="20"/>
          <w:u w:val="single"/>
        </w:rPr>
        <w:br/>
      </w:r>
      <w:r w:rsidR="00F1211B" w:rsidRPr="00630A45">
        <w:rPr>
          <w:rFonts w:ascii="Verdana" w:hAnsi="Verdana" w:cs="Calibri"/>
          <w:color w:val="767171" w:themeColor="background2" w:themeShade="80"/>
          <w:sz w:val="18"/>
          <w:szCs w:val="18"/>
        </w:rPr>
        <w:t>1</w:t>
      </w:r>
      <w:r>
        <w:rPr>
          <w:rFonts w:ascii="Verdana" w:hAnsi="Verdana" w:cs="Calibri"/>
          <w:color w:val="767171" w:themeColor="background2" w:themeShade="80"/>
          <w:sz w:val="18"/>
          <w:szCs w:val="18"/>
        </w:rPr>
        <w:t>6</w:t>
      </w:r>
      <w:r w:rsidR="00F1211B" w:rsidRPr="00630A45">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kwietnia</w:t>
      </w:r>
      <w:r w:rsidR="00F1211B" w:rsidRPr="00630A45">
        <w:rPr>
          <w:rFonts w:ascii="Verdana" w:hAnsi="Verdana" w:cs="Calibri"/>
          <w:color w:val="767171" w:themeColor="background2" w:themeShade="80"/>
          <w:sz w:val="18"/>
          <w:szCs w:val="18"/>
        </w:rPr>
        <w:t xml:space="preserve"> 201</w:t>
      </w:r>
      <w:r>
        <w:rPr>
          <w:rFonts w:ascii="Verdana" w:hAnsi="Verdana" w:cs="Calibri"/>
          <w:color w:val="767171" w:themeColor="background2" w:themeShade="80"/>
          <w:sz w:val="18"/>
          <w:szCs w:val="18"/>
        </w:rPr>
        <w:t>9</w:t>
      </w:r>
      <w:r w:rsidR="009C44E7" w:rsidRPr="00630A45">
        <w:rPr>
          <w:rFonts w:ascii="Verdana" w:hAnsi="Verdana" w:cs="Calibri"/>
          <w:color w:val="767171" w:themeColor="background2" w:themeShade="80"/>
          <w:sz w:val="18"/>
          <w:szCs w:val="18"/>
        </w:rPr>
        <w:t xml:space="preserve"> </w:t>
      </w:r>
      <w:r w:rsidR="005A3E99" w:rsidRPr="00630A45">
        <w:rPr>
          <w:rFonts w:ascii="Verdana" w:hAnsi="Verdana" w:cs="Calibri"/>
          <w:color w:val="767171" w:themeColor="background2" w:themeShade="80"/>
          <w:sz w:val="18"/>
          <w:szCs w:val="18"/>
        </w:rPr>
        <w:t>r.</w:t>
      </w:r>
      <w:r>
        <w:rPr>
          <w:rFonts w:ascii="Verdana" w:hAnsi="Verdana" w:cs="Calibri"/>
          <w:color w:val="767171" w:themeColor="background2" w:themeShade="80"/>
          <w:sz w:val="18"/>
          <w:szCs w:val="18"/>
        </w:rPr>
        <w:t xml:space="preserve"> (Komitet)</w:t>
      </w:r>
    </w:p>
    <w:p w14:paraId="19278204" w14:textId="77777777" w:rsidR="00630A45" w:rsidRDefault="00630A45" w:rsidP="008B0AE6">
      <w:pPr>
        <w:spacing w:after="0"/>
        <w:rPr>
          <w:rFonts w:ascii="Verdana" w:hAnsi="Verdana" w:cs="Calibri"/>
          <w:color w:val="767171" w:themeColor="background2" w:themeShade="80"/>
          <w:sz w:val="18"/>
          <w:szCs w:val="18"/>
        </w:rPr>
      </w:pPr>
    </w:p>
    <w:p w14:paraId="0EFD0521" w14:textId="176B8464" w:rsidR="00630A45" w:rsidRPr="006E23A1" w:rsidRDefault="00630A45" w:rsidP="00630A45">
      <w:pPr>
        <w:spacing w:after="0"/>
        <w:rPr>
          <w:rFonts w:ascii="Verdana" w:hAnsi="Verdana" w:cs="Calibri"/>
          <w:b/>
          <w:sz w:val="20"/>
          <w:szCs w:val="20"/>
          <w:u w:val="single"/>
        </w:rPr>
      </w:pPr>
      <w:hyperlink r:id="rId77" w:history="1">
        <w:r w:rsidRPr="00630A45">
          <w:rPr>
            <w:rStyle w:val="Hipercze"/>
            <w:rFonts w:ascii="Verdana" w:hAnsi="Verdana" w:cs="Calibri"/>
            <w:b/>
            <w:bCs/>
            <w:sz w:val="20"/>
            <w:szCs w:val="20"/>
          </w:rPr>
          <w:t xml:space="preserve">Bragi Guðmundur Kristjánsson </w:t>
        </w:r>
        <w:r w:rsidRPr="00630A45">
          <w:rPr>
            <w:rStyle w:val="Hipercze"/>
            <w:rFonts w:ascii="Verdana" w:hAnsi="Verdana" w:cs="Calibri"/>
            <w:b/>
            <w:sz w:val="20"/>
            <w:szCs w:val="20"/>
          </w:rPr>
          <w:t>przeciwko Islandii</w:t>
        </w:r>
      </w:hyperlink>
      <w:r w:rsidRPr="006E23A1">
        <w:rPr>
          <w:rFonts w:ascii="Verdana" w:hAnsi="Verdana" w:cs="Calibri"/>
          <w:b/>
          <w:sz w:val="20"/>
          <w:szCs w:val="20"/>
          <w:u w:val="single"/>
        </w:rPr>
        <w:br/>
      </w:r>
      <w:r>
        <w:rPr>
          <w:rFonts w:ascii="Verdana" w:hAnsi="Verdana" w:cs="Calibri"/>
          <w:color w:val="767171" w:themeColor="background2" w:themeShade="80"/>
          <w:sz w:val="18"/>
          <w:szCs w:val="18"/>
        </w:rPr>
        <w:t>31</w:t>
      </w:r>
      <w:r w:rsidRPr="00630A45">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sierpnia</w:t>
      </w:r>
      <w:r w:rsidRPr="00630A45">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21</w:t>
      </w:r>
      <w:r w:rsidRPr="00630A45">
        <w:rPr>
          <w:rFonts w:ascii="Verdana" w:hAnsi="Verdana" w:cs="Calibri"/>
          <w:color w:val="767171" w:themeColor="background2" w:themeShade="80"/>
          <w:sz w:val="18"/>
          <w:szCs w:val="18"/>
        </w:rPr>
        <w:t xml:space="preserve"> r.</w:t>
      </w:r>
      <w:r>
        <w:rPr>
          <w:rFonts w:ascii="Verdana" w:hAnsi="Verdana" w:cs="Calibri"/>
          <w:color w:val="767171" w:themeColor="background2" w:themeShade="80"/>
          <w:sz w:val="18"/>
          <w:szCs w:val="18"/>
        </w:rPr>
        <w:t xml:space="preserve"> </w:t>
      </w:r>
    </w:p>
    <w:p w14:paraId="547105EC" w14:textId="77777777" w:rsidR="00630A45" w:rsidRDefault="00630A45" w:rsidP="008B0AE6">
      <w:pPr>
        <w:spacing w:after="0"/>
        <w:rPr>
          <w:rFonts w:ascii="Verdana" w:hAnsi="Verdana" w:cs="Calibri"/>
          <w:b/>
          <w:sz w:val="20"/>
          <w:szCs w:val="20"/>
          <w:u w:val="single"/>
        </w:rPr>
      </w:pPr>
    </w:p>
    <w:p w14:paraId="2D43D525" w14:textId="09369702" w:rsidR="00630A45" w:rsidRPr="006E23A1" w:rsidRDefault="00630A45" w:rsidP="00630A45">
      <w:pPr>
        <w:spacing w:after="0"/>
        <w:rPr>
          <w:rFonts w:ascii="Verdana" w:hAnsi="Verdana" w:cs="Calibri"/>
          <w:b/>
          <w:sz w:val="20"/>
          <w:szCs w:val="20"/>
          <w:u w:val="single"/>
        </w:rPr>
      </w:pPr>
      <w:hyperlink r:id="rId78" w:history="1">
        <w:r w:rsidRPr="00630A45">
          <w:rPr>
            <w:rStyle w:val="Hipercze"/>
            <w:rFonts w:ascii="Verdana" w:hAnsi="Verdana" w:cs="Calibri"/>
            <w:b/>
            <w:bCs/>
            <w:sz w:val="20"/>
            <w:szCs w:val="20"/>
          </w:rPr>
          <w:t xml:space="preserve">Milošević </w:t>
        </w:r>
        <w:r w:rsidRPr="00630A45">
          <w:rPr>
            <w:rStyle w:val="Hipercze"/>
            <w:rFonts w:ascii="Verdana" w:hAnsi="Verdana" w:cs="Calibri"/>
            <w:b/>
            <w:sz w:val="20"/>
            <w:szCs w:val="20"/>
          </w:rPr>
          <w:t xml:space="preserve">przeciwko </w:t>
        </w:r>
        <w:r>
          <w:rPr>
            <w:rStyle w:val="Hipercze"/>
            <w:rFonts w:ascii="Verdana" w:hAnsi="Verdana" w:cs="Calibri"/>
            <w:b/>
            <w:sz w:val="20"/>
            <w:szCs w:val="20"/>
          </w:rPr>
          <w:t>Chorwacji</w:t>
        </w:r>
      </w:hyperlink>
      <w:r w:rsidRPr="006E23A1">
        <w:rPr>
          <w:rFonts w:ascii="Verdana" w:hAnsi="Verdana" w:cs="Calibri"/>
          <w:b/>
          <w:sz w:val="20"/>
          <w:szCs w:val="20"/>
          <w:u w:val="single"/>
        </w:rPr>
        <w:br/>
      </w:r>
      <w:r>
        <w:rPr>
          <w:rFonts w:ascii="Verdana" w:hAnsi="Verdana" w:cs="Calibri"/>
          <w:color w:val="767171" w:themeColor="background2" w:themeShade="80"/>
          <w:sz w:val="18"/>
          <w:szCs w:val="18"/>
        </w:rPr>
        <w:t>31</w:t>
      </w:r>
      <w:r w:rsidRPr="00630A45">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sierpnia</w:t>
      </w:r>
      <w:r w:rsidRPr="00630A45">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21</w:t>
      </w:r>
      <w:r w:rsidRPr="00630A45">
        <w:rPr>
          <w:rFonts w:ascii="Verdana" w:hAnsi="Verdana" w:cs="Calibri"/>
          <w:color w:val="767171" w:themeColor="background2" w:themeShade="80"/>
          <w:sz w:val="18"/>
          <w:szCs w:val="18"/>
        </w:rPr>
        <w:t xml:space="preserve"> r.</w:t>
      </w:r>
    </w:p>
    <w:p w14:paraId="5DDAC852" w14:textId="77777777" w:rsidR="00630A45" w:rsidRDefault="00630A45" w:rsidP="008B0AE6">
      <w:pPr>
        <w:spacing w:after="0"/>
        <w:rPr>
          <w:rFonts w:ascii="Verdana" w:hAnsi="Verdana" w:cs="Calibri"/>
          <w:b/>
          <w:sz w:val="20"/>
          <w:szCs w:val="20"/>
          <w:u w:val="single"/>
        </w:rPr>
      </w:pPr>
    </w:p>
    <w:p w14:paraId="3424C77F" w14:textId="1A6EB54A" w:rsidR="00630A45" w:rsidRPr="006E23A1" w:rsidRDefault="00E648A2" w:rsidP="00630A45">
      <w:pPr>
        <w:spacing w:after="0"/>
        <w:rPr>
          <w:rFonts w:ascii="Verdana" w:hAnsi="Verdana" w:cs="Calibri"/>
          <w:b/>
          <w:sz w:val="20"/>
          <w:szCs w:val="20"/>
          <w:u w:val="single"/>
        </w:rPr>
      </w:pPr>
      <w:hyperlink r:id="rId79" w:history="1">
        <w:r w:rsidRPr="00E648A2">
          <w:rPr>
            <w:rStyle w:val="Hipercze"/>
            <w:rFonts w:ascii="Verdana" w:hAnsi="Verdana" w:cs="Calibri"/>
            <w:b/>
            <w:bCs/>
            <w:sz w:val="20"/>
            <w:szCs w:val="20"/>
          </w:rPr>
          <w:t xml:space="preserve">Goulandris </w:t>
        </w:r>
        <w:r>
          <w:rPr>
            <w:rStyle w:val="Hipercze"/>
            <w:rFonts w:ascii="Verdana" w:hAnsi="Verdana" w:cs="Calibri"/>
            <w:b/>
            <w:bCs/>
            <w:sz w:val="20"/>
            <w:szCs w:val="20"/>
          </w:rPr>
          <w:t>i</w:t>
        </w:r>
        <w:r w:rsidRPr="00E648A2">
          <w:rPr>
            <w:rStyle w:val="Hipercze"/>
            <w:rFonts w:ascii="Verdana" w:hAnsi="Verdana" w:cs="Calibri"/>
            <w:b/>
            <w:bCs/>
            <w:sz w:val="20"/>
            <w:szCs w:val="20"/>
          </w:rPr>
          <w:t xml:space="preserve"> Vardinogianni</w:t>
        </w:r>
        <w:r w:rsidR="00630A45" w:rsidRPr="00E648A2">
          <w:rPr>
            <w:rStyle w:val="Hipercze"/>
            <w:rFonts w:ascii="Verdana" w:hAnsi="Verdana" w:cs="Calibri"/>
            <w:b/>
            <w:bCs/>
            <w:sz w:val="20"/>
            <w:szCs w:val="20"/>
          </w:rPr>
          <w:t xml:space="preserve"> </w:t>
        </w:r>
        <w:r w:rsidR="00630A45" w:rsidRPr="00E648A2">
          <w:rPr>
            <w:rStyle w:val="Hipercze"/>
            <w:rFonts w:ascii="Verdana" w:hAnsi="Verdana" w:cs="Calibri"/>
            <w:b/>
            <w:sz w:val="20"/>
            <w:szCs w:val="20"/>
          </w:rPr>
          <w:t>przeciwko Grecji</w:t>
        </w:r>
      </w:hyperlink>
      <w:r w:rsidR="00630A45" w:rsidRPr="006E23A1">
        <w:rPr>
          <w:rFonts w:ascii="Verdana" w:hAnsi="Verdana" w:cs="Calibri"/>
          <w:b/>
          <w:sz w:val="20"/>
          <w:szCs w:val="20"/>
          <w:u w:val="single"/>
        </w:rPr>
        <w:br/>
      </w:r>
      <w:r w:rsidR="00630A45" w:rsidRPr="00630A45">
        <w:rPr>
          <w:rFonts w:ascii="Verdana" w:hAnsi="Verdana" w:cs="Calibri"/>
          <w:color w:val="767171" w:themeColor="background2" w:themeShade="80"/>
          <w:sz w:val="18"/>
          <w:szCs w:val="18"/>
        </w:rPr>
        <w:t>1</w:t>
      </w:r>
      <w:r w:rsidR="00630A45">
        <w:rPr>
          <w:rFonts w:ascii="Verdana" w:hAnsi="Verdana" w:cs="Calibri"/>
          <w:color w:val="767171" w:themeColor="background2" w:themeShade="80"/>
          <w:sz w:val="18"/>
          <w:szCs w:val="18"/>
        </w:rPr>
        <w:t>6</w:t>
      </w:r>
      <w:r w:rsidR="00630A45" w:rsidRPr="00630A45">
        <w:rPr>
          <w:rFonts w:ascii="Verdana" w:hAnsi="Verdana" w:cs="Calibri"/>
          <w:color w:val="767171" w:themeColor="background2" w:themeShade="80"/>
          <w:sz w:val="18"/>
          <w:szCs w:val="18"/>
        </w:rPr>
        <w:t xml:space="preserve"> </w:t>
      </w:r>
      <w:r>
        <w:rPr>
          <w:rFonts w:ascii="Verdana" w:hAnsi="Verdana" w:cs="Calibri"/>
          <w:color w:val="767171" w:themeColor="background2" w:themeShade="80"/>
          <w:sz w:val="18"/>
          <w:szCs w:val="18"/>
        </w:rPr>
        <w:t>czerwca</w:t>
      </w:r>
      <w:r w:rsidR="00630A45" w:rsidRPr="00630A45">
        <w:rPr>
          <w:rFonts w:ascii="Verdana" w:hAnsi="Verdana" w:cs="Calibri"/>
          <w:color w:val="767171" w:themeColor="background2" w:themeShade="80"/>
          <w:sz w:val="18"/>
          <w:szCs w:val="18"/>
        </w:rPr>
        <w:t xml:space="preserve"> 20</w:t>
      </w:r>
      <w:r>
        <w:rPr>
          <w:rFonts w:ascii="Verdana" w:hAnsi="Verdana" w:cs="Calibri"/>
          <w:color w:val="767171" w:themeColor="background2" w:themeShade="80"/>
          <w:sz w:val="18"/>
          <w:szCs w:val="18"/>
        </w:rPr>
        <w:t>22</w:t>
      </w:r>
      <w:r w:rsidR="00630A45" w:rsidRPr="00630A45">
        <w:rPr>
          <w:rFonts w:ascii="Verdana" w:hAnsi="Verdana" w:cs="Calibri"/>
          <w:color w:val="767171" w:themeColor="background2" w:themeShade="80"/>
          <w:sz w:val="18"/>
          <w:szCs w:val="18"/>
        </w:rPr>
        <w:t xml:space="preserve"> r.</w:t>
      </w:r>
    </w:p>
    <w:p w14:paraId="3472D366" w14:textId="77777777" w:rsidR="00630A45" w:rsidRPr="006E23A1" w:rsidRDefault="00630A45" w:rsidP="008B0AE6">
      <w:pPr>
        <w:spacing w:after="0"/>
        <w:rPr>
          <w:rFonts w:ascii="Verdana" w:hAnsi="Verdana" w:cs="Calibri"/>
          <w:b/>
          <w:sz w:val="20"/>
          <w:szCs w:val="20"/>
          <w:u w:val="single"/>
        </w:rPr>
      </w:pPr>
    </w:p>
    <w:p w14:paraId="7CD55937" w14:textId="77777777" w:rsidR="00450DDA" w:rsidRDefault="00450DDA" w:rsidP="008B0AE6">
      <w:pPr>
        <w:spacing w:after="0" w:line="0" w:lineRule="atLeast"/>
        <w:rPr>
          <w:rFonts w:ascii="Verdana" w:eastAsia="Verdana" w:hAnsi="Verdana" w:cs="Arial"/>
          <w:color w:val="2E74B5" w:themeColor="accent1" w:themeShade="BF"/>
          <w:sz w:val="20"/>
          <w:szCs w:val="20"/>
          <w:lang w:eastAsia="pl-PL"/>
        </w:rPr>
      </w:pPr>
    </w:p>
    <w:p w14:paraId="5B5C0110" w14:textId="378DCDBC" w:rsidR="00E648A2" w:rsidRPr="00E648A2" w:rsidRDefault="00E648A2" w:rsidP="00E648A2">
      <w:pPr>
        <w:rPr>
          <w:color w:val="0070C0"/>
          <w:sz w:val="20"/>
          <w:szCs w:val="20"/>
        </w:rPr>
      </w:pPr>
      <w:r w:rsidRPr="00E648A2">
        <w:rPr>
          <w:rFonts w:ascii="Verdana" w:eastAsia="Verdana" w:hAnsi="Verdana" w:cs="Verdana"/>
          <w:color w:val="0070C0"/>
          <w:sz w:val="28"/>
          <w:szCs w:val="28"/>
        </w:rPr>
        <w:t>Teksty i dokumenty</w:t>
      </w:r>
    </w:p>
    <w:p w14:paraId="117B8C57" w14:textId="7370FFD2" w:rsidR="00630A45" w:rsidRPr="000B5051" w:rsidRDefault="00E648A2" w:rsidP="000B5051">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14:anchorId="19F2451E" wp14:editId="00330F55">
                <wp:simplePos x="0" y="0"/>
                <wp:positionH relativeFrom="column">
                  <wp:posOffset>2701</wp:posOffset>
                </wp:positionH>
                <wp:positionV relativeFrom="paragraph">
                  <wp:posOffset>11652</wp:posOffset>
                </wp:positionV>
                <wp:extent cx="5768340" cy="0"/>
                <wp:effectExtent l="0" t="0" r="0" b="0"/>
                <wp:wrapNone/>
                <wp:docPr id="45969560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prstDash val="solid"/>
                          <a:miter lim="800000"/>
                          <a:headEnd/>
                          <a:tailEnd/>
                        </a:ln>
                      </wps:spPr>
                      <wps:bodyPr/>
                    </wps:wsp>
                  </a:graphicData>
                </a:graphic>
              </wp:anchor>
            </w:drawing>
          </mc:Choice>
          <mc:Fallback>
            <w:pict>
              <v:line w14:anchorId="451091C6" id="Shape 2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9pt" to="45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XdrwEAAHQDAAAOAAAAZHJzL2Uyb0RvYy54bWysU01vEzEQvSPxHyzfyW4DlO0qmx4awqWC&#10;SoUfMLG9WQt/yWOym3/P2JukLXCq8MHyfD2/eR6vbidr2EFF1N51/GpRc6ac8FK7fcd/fN++azjD&#10;BE6C8U51/KiQ367fvlmNoVVLP3gjVWQE4rAdQ8eHlEJbVSgGZQEXPihHwd5HC4nMuK9khJHQramW&#10;dX1djT7KEL1QiOTdzEG+Lvh9r0T61veoEjMdJ26p7LHsu7xX6xW0+whh0OJEA17BwoJ2dOkFagMJ&#10;2K+o/4KyWkSPvk8L4W3l+14LVXqgbq7qP7p5HCCo0guJg+EiE/4/WPH1cOceYqYuJvcY7r34iSRK&#10;NQZsL8FsYJjTpj7anE7c2VSEPF6EVFNigpwfP1037z+Q3uIcq6A9F4aI6YvyluVDx412uUdo4XCP&#10;KV8N7Tklu9EbLbfamGLE/e7ORHYAes9tWfkJqeRFmnFspGlslk1ToF8E8TnGTVn/wsgcNoDDfFdB&#10;mKfF6kQja7TteFPnNbsHBfKzk2WgEmgzn4mZcSc5ZwWzljsvjw/xLDM9bWnhNIZ5dp7bpfrps6x/&#10;AwAA//8DAFBLAwQUAAYACAAAACEAWHbidNYAAAAEAQAADwAAAGRycy9kb3ducmV2LnhtbEyOzU7D&#10;MBCE70i8g7VI3KjDj1AIcSoUqYeKU0wvvW3jbRIRr6PYbcPbs3CB287OaOYr14sf1ZnmOAQ2cL/K&#10;QBG3wQ3cGdh9bO5yUDEhOxwDk4EvirCurq9KLFy4cENnmzolJRwLNNCnNBVax7Ynj3EVJmLxjmH2&#10;mETOnXYzXqTcj/ohy561x4FloceJ6p7aT3vysvu+3eu2sbzHuq7tkWyTPw7G3N4sb6+gEi3pLww/&#10;+IIOlTAdwoldVKOBJ8nJV/DFfMlyOQ6/Wlel/g9ffQMAAP//AwBQSwECLQAUAAYACAAAACEAtoM4&#10;kv4AAADhAQAAEwAAAAAAAAAAAAAAAAAAAAAAW0NvbnRlbnRfVHlwZXNdLnhtbFBLAQItABQABgAI&#10;AAAAIQA4/SH/1gAAAJQBAAALAAAAAAAAAAAAAAAAAC8BAABfcmVscy8ucmVsc1BLAQItABQABgAI&#10;AAAAIQC369XdrwEAAHQDAAAOAAAAAAAAAAAAAAAAAC4CAABkcnMvZTJvRG9jLnhtbFBLAQItABQA&#10;BgAIAAAAIQBYduJ01gAAAAQBAAAPAAAAAAAAAAAAAAAAAAkEAABkcnMvZG93bnJldi54bWxQSwUG&#10;AAAAAAQABADzAAAADAUAAAAA&#10;" o:allowincell="f" filled="t" strokecolor="#999" strokeweight="1.44pt">
                <v:stroke joinstyle="miter"/>
                <o:lock v:ext="edit" shapetype="f"/>
              </v:line>
            </w:pict>
          </mc:Fallback>
        </mc:AlternateContent>
      </w:r>
    </w:p>
    <w:p w14:paraId="1FCC91B0" w14:textId="116FFEF1" w:rsidR="00F1211B" w:rsidRPr="006E23A1" w:rsidRDefault="004A34F2" w:rsidP="008B0AE6">
      <w:pPr>
        <w:spacing w:after="0"/>
        <w:jc w:val="both"/>
        <w:rPr>
          <w:rFonts w:ascii="Verdana" w:hAnsi="Verdana" w:cs="Calibri"/>
          <w:sz w:val="20"/>
          <w:szCs w:val="20"/>
        </w:rPr>
      </w:pPr>
      <w:r w:rsidRPr="006E23A1">
        <w:rPr>
          <w:rFonts w:ascii="Verdana" w:hAnsi="Verdana" w:cs="Calibri"/>
          <w:sz w:val="20"/>
          <w:szCs w:val="20"/>
        </w:rPr>
        <w:t>Zobacz</w:t>
      </w:r>
      <w:r w:rsidR="00F1211B" w:rsidRPr="006E23A1">
        <w:rPr>
          <w:rFonts w:ascii="Verdana" w:hAnsi="Verdana" w:cs="Calibri"/>
          <w:sz w:val="20"/>
          <w:szCs w:val="20"/>
        </w:rPr>
        <w:t xml:space="preserve"> w szczególności:</w:t>
      </w:r>
    </w:p>
    <w:p w14:paraId="3BD8D42D" w14:textId="77777777" w:rsidR="00E648A2" w:rsidRPr="00E648A2" w:rsidRDefault="00E648A2" w:rsidP="00E648A2">
      <w:pPr>
        <w:spacing w:after="0"/>
        <w:jc w:val="both"/>
        <w:rPr>
          <w:rFonts w:ascii="Verdana" w:hAnsi="Verdana" w:cs="Calibri"/>
          <w:color w:val="2E74B5" w:themeColor="accent1" w:themeShade="BF"/>
          <w:sz w:val="20"/>
          <w:szCs w:val="20"/>
        </w:rPr>
      </w:pPr>
    </w:p>
    <w:p w14:paraId="05FDC669" w14:textId="11287439" w:rsidR="00F1211B" w:rsidRPr="00E648A2" w:rsidRDefault="00F1211B" w:rsidP="00E648A2">
      <w:pPr>
        <w:pStyle w:val="Akapitzlist"/>
        <w:numPr>
          <w:ilvl w:val="0"/>
          <w:numId w:val="8"/>
        </w:numPr>
        <w:spacing w:after="0"/>
        <w:jc w:val="both"/>
        <w:rPr>
          <w:rFonts w:ascii="Verdana" w:hAnsi="Verdana" w:cs="Calibri"/>
          <w:color w:val="2E74B5" w:themeColor="accent1" w:themeShade="BF"/>
          <w:sz w:val="20"/>
          <w:szCs w:val="20"/>
        </w:rPr>
      </w:pPr>
      <w:hyperlink r:id="rId80" w:history="1">
        <w:r w:rsidRPr="00E648A2">
          <w:rPr>
            <w:rStyle w:val="Hipercze"/>
            <w:rFonts w:ascii="Verdana" w:hAnsi="Verdana" w:cs="Calibri"/>
            <w:b/>
            <w:bCs/>
            <w:color w:val="0070C0"/>
            <w:sz w:val="20"/>
            <w:szCs w:val="20"/>
          </w:rPr>
          <w:t xml:space="preserve">Przewodnik po art. 4 Protokołu </w:t>
        </w:r>
        <w:r w:rsidR="00E97A36" w:rsidRPr="00E648A2">
          <w:rPr>
            <w:rStyle w:val="Hipercze"/>
            <w:rFonts w:ascii="Verdana" w:hAnsi="Verdana" w:cs="Calibri"/>
            <w:b/>
            <w:bCs/>
            <w:color w:val="0070C0"/>
            <w:sz w:val="20"/>
            <w:szCs w:val="20"/>
          </w:rPr>
          <w:t>nr</w:t>
        </w:r>
        <w:r w:rsidRPr="00E648A2">
          <w:rPr>
            <w:rStyle w:val="Hipercze"/>
            <w:rFonts w:ascii="Verdana" w:hAnsi="Verdana" w:cs="Calibri"/>
            <w:b/>
            <w:bCs/>
            <w:color w:val="0070C0"/>
            <w:sz w:val="20"/>
            <w:szCs w:val="20"/>
          </w:rPr>
          <w:t xml:space="preserve"> 7 do Europejskiej Konwencji Praw Człowieka </w:t>
        </w:r>
        <w:r w:rsidR="00D62BC0" w:rsidRPr="00E648A2">
          <w:rPr>
            <w:rStyle w:val="Hipercze"/>
            <w:rFonts w:ascii="Verdana" w:hAnsi="Verdana" w:cs="Calibri"/>
            <w:b/>
            <w:bCs/>
            <w:color w:val="0070C0"/>
            <w:sz w:val="20"/>
            <w:szCs w:val="20"/>
          </w:rPr>
          <w:t>–</w:t>
        </w:r>
        <w:r w:rsidRPr="00E648A2">
          <w:rPr>
            <w:rStyle w:val="Hipercze"/>
            <w:rFonts w:ascii="Verdana" w:hAnsi="Verdana" w:cs="Calibri"/>
            <w:b/>
            <w:bCs/>
            <w:color w:val="0070C0"/>
            <w:sz w:val="20"/>
            <w:szCs w:val="20"/>
          </w:rPr>
          <w:t xml:space="preserve"> </w:t>
        </w:r>
        <w:r w:rsidR="00D62BC0" w:rsidRPr="00E648A2">
          <w:rPr>
            <w:rStyle w:val="Hipercze"/>
            <w:rFonts w:ascii="Verdana" w:hAnsi="Verdana" w:cs="Calibri"/>
            <w:b/>
            <w:bCs/>
            <w:color w:val="0070C0"/>
            <w:sz w:val="20"/>
            <w:szCs w:val="20"/>
          </w:rPr>
          <w:t>Zakaz podwójnego karania lub sądzenia</w:t>
        </w:r>
      </w:hyperlink>
      <w:r w:rsidRPr="00E648A2">
        <w:rPr>
          <w:rFonts w:ascii="Verdana" w:hAnsi="Verdana" w:cs="Calibri"/>
          <w:sz w:val="20"/>
          <w:szCs w:val="20"/>
        </w:rPr>
        <w:t xml:space="preserve">, </w:t>
      </w:r>
      <w:r w:rsidR="007A6FB4" w:rsidRPr="00E648A2">
        <w:rPr>
          <w:rFonts w:ascii="Verdana" w:hAnsi="Verdana" w:cs="Calibri"/>
          <w:sz w:val="20"/>
          <w:szCs w:val="20"/>
        </w:rPr>
        <w:t>Departament Prawny Trybunału</w:t>
      </w:r>
    </w:p>
    <w:p w14:paraId="5C82BE05" w14:textId="7D3970A6" w:rsidR="00E648A2" w:rsidRDefault="000B5051" w:rsidP="008B0AE6">
      <w:pPr>
        <w:spacing w:after="0"/>
        <w:jc w:val="center"/>
        <w:rPr>
          <w:rFonts w:ascii="Verdana" w:hAnsi="Verdana" w:cs="Calibri"/>
          <w:color w:val="767171" w:themeColor="background2" w:themeShade="80"/>
          <w:sz w:val="16"/>
          <w:szCs w:val="16"/>
        </w:rPr>
      </w:pPr>
      <w:r>
        <w:rPr>
          <w:noProof/>
          <w:sz w:val="20"/>
          <w:szCs w:val="20"/>
        </w:rPr>
        <mc:AlternateContent>
          <mc:Choice Requires="wps">
            <w:drawing>
              <wp:anchor distT="0" distB="0" distL="114300" distR="114300" simplePos="0" relativeHeight="251663360" behindDoc="1" locked="0" layoutInCell="0" allowOverlap="1" wp14:anchorId="257A3A19" wp14:editId="72460286">
                <wp:simplePos x="0" y="0"/>
                <wp:positionH relativeFrom="column">
                  <wp:posOffset>-13335</wp:posOffset>
                </wp:positionH>
                <wp:positionV relativeFrom="paragraph">
                  <wp:posOffset>127162</wp:posOffset>
                </wp:positionV>
                <wp:extent cx="5768340" cy="0"/>
                <wp:effectExtent l="0" t="0" r="0" b="0"/>
                <wp:wrapNone/>
                <wp:docPr id="2078548149"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prstDash val="solid"/>
                          <a:miter lim="800000"/>
                          <a:headEnd/>
                          <a:tailEnd/>
                        </a:ln>
                      </wps:spPr>
                      <wps:bodyPr/>
                    </wps:wsp>
                  </a:graphicData>
                </a:graphic>
              </wp:anchor>
            </w:drawing>
          </mc:Choice>
          <mc:Fallback>
            <w:pict>
              <v:line w14:anchorId="47F411EE" id="Shape 2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5pt,10pt" to="453.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9XdrwEAAHQDAAAOAAAAZHJzL2Uyb0RvYy54bWysU01vEzEQvSPxHyzfyW4DlO0qmx4awqWC&#10;SoUfMLG9WQt/yWOym3/P2JukLXCq8MHyfD2/eR6vbidr2EFF1N51/GpRc6ac8FK7fcd/fN++azjD&#10;BE6C8U51/KiQ367fvlmNoVVLP3gjVWQE4rAdQ8eHlEJbVSgGZQEXPihHwd5HC4nMuK9khJHQramW&#10;dX1djT7KEL1QiOTdzEG+Lvh9r0T61veoEjMdJ26p7LHsu7xX6xW0+whh0OJEA17BwoJ2dOkFagMJ&#10;2K+o/4KyWkSPvk8L4W3l+14LVXqgbq7qP7p5HCCo0guJg+EiE/4/WPH1cOceYqYuJvcY7r34iSRK&#10;NQZsL8FsYJjTpj7anE7c2VSEPF6EVFNigpwfP1037z+Q3uIcq6A9F4aI6YvyluVDx412uUdo4XCP&#10;KV8N7Tklu9EbLbfamGLE/e7ORHYAes9tWfkJqeRFmnFspGlslk1ToF8E8TnGTVn/wsgcNoDDfFdB&#10;mKfF6kQja7TteFPnNbsHBfKzk2WgEmgzn4mZcSc5ZwWzljsvjw/xLDM9bWnhNIZ5dp7bpfrps6x/&#10;AwAA//8DAFBLAwQUAAYACAAAACEAj13WmtoAAAAIAQAADwAAAGRycy9kb3ducmV2LnhtbEyPwU7D&#10;MBBE70j8g7VI3FqnrVS1IU6FInFAnGK49LaNt0lEvI5itw1/zyIOcNyd0byZ4jD7QV1pin1gA6tl&#10;Boq4Ca7n1sDH+8tiByomZIdDYDLwRREO5f1dgbkLN67palOrJIRjjga6lMZc69h05DEuw0gs2jlM&#10;HpOcU6vdhDcJ94NeZ9lWe+xZCB2OVHXUfNqLF+7b61E3teUjVlVlz2Tr3aY35vFhfn4ClWhOf2b4&#10;qS/VoZROp3BhF9VgYLFeidOAUECJvs+2G1Cn34cuC/1/QPkNAAD//wMAUEsBAi0AFAAGAAgAAAAh&#10;ALaDOJL+AAAA4QEAABMAAAAAAAAAAAAAAAAAAAAAAFtDb250ZW50X1R5cGVzXS54bWxQSwECLQAU&#10;AAYACAAAACEAOP0h/9YAAACUAQAACwAAAAAAAAAAAAAAAAAvAQAAX3JlbHMvLnJlbHNQSwECLQAU&#10;AAYACAAAACEAt+vV3a8BAAB0AwAADgAAAAAAAAAAAAAAAAAuAgAAZHJzL2Uyb0RvYy54bWxQSwEC&#10;LQAUAAYACAAAACEAj13WmtoAAAAIAQAADwAAAAAAAAAAAAAAAAAJBAAAZHJzL2Rvd25yZXYueG1s&#10;UEsFBgAAAAAEAAQA8wAAABAFAAAAAA==&#10;" o:allowincell="f" filled="t" strokecolor="#999" strokeweight="1.44pt">
                <v:stroke joinstyle="miter"/>
                <o:lock v:ext="edit" shapetype="f"/>
              </v:line>
            </w:pict>
          </mc:Fallback>
        </mc:AlternateContent>
      </w:r>
    </w:p>
    <w:p w14:paraId="7ABA7CC2" w14:textId="13068C1A" w:rsidR="00E648A2" w:rsidRDefault="00E648A2" w:rsidP="008B0AE6">
      <w:pPr>
        <w:spacing w:after="0"/>
        <w:jc w:val="center"/>
        <w:rPr>
          <w:rFonts w:ascii="Verdana" w:hAnsi="Verdana" w:cs="Calibri"/>
          <w:color w:val="767171" w:themeColor="background2" w:themeShade="80"/>
          <w:sz w:val="16"/>
          <w:szCs w:val="16"/>
        </w:rPr>
      </w:pPr>
    </w:p>
    <w:p w14:paraId="73B169D5" w14:textId="1056CA15" w:rsidR="00F1211B" w:rsidRPr="00816D61" w:rsidRDefault="004A34F2" w:rsidP="008B0AE6">
      <w:pPr>
        <w:spacing w:after="0"/>
        <w:jc w:val="center"/>
        <w:rPr>
          <w:rFonts w:ascii="Verdana" w:hAnsi="Verdana" w:cs="Calibri"/>
          <w:color w:val="767171" w:themeColor="background2" w:themeShade="80"/>
          <w:sz w:val="16"/>
          <w:szCs w:val="16"/>
        </w:rPr>
      </w:pPr>
      <w:r w:rsidRPr="00816D61">
        <w:rPr>
          <w:rFonts w:ascii="Verdana" w:hAnsi="Verdana" w:cs="Calibri"/>
          <w:color w:val="767171" w:themeColor="background2" w:themeShade="80"/>
          <w:sz w:val="16"/>
          <w:szCs w:val="16"/>
        </w:rPr>
        <w:t>Kontakt dla mediów</w:t>
      </w:r>
      <w:r w:rsidR="00F1211B" w:rsidRPr="00816D61">
        <w:rPr>
          <w:rFonts w:ascii="Verdana" w:hAnsi="Verdana" w:cs="Calibri"/>
          <w:color w:val="767171" w:themeColor="background2" w:themeShade="80"/>
          <w:sz w:val="16"/>
          <w:szCs w:val="16"/>
        </w:rPr>
        <w:t>:</w:t>
      </w:r>
      <w:r w:rsidRPr="00816D61">
        <w:rPr>
          <w:rFonts w:ascii="Verdana" w:hAnsi="Verdana" w:cs="Calibri"/>
          <w:color w:val="767171" w:themeColor="background2" w:themeShade="80"/>
          <w:sz w:val="16"/>
          <w:szCs w:val="16"/>
        </w:rPr>
        <w:br/>
      </w:r>
      <w:r w:rsidR="0033200C" w:rsidRPr="00816D61">
        <w:rPr>
          <w:rFonts w:ascii="Verdana" w:hAnsi="Verdana" w:cs="Calibri"/>
          <w:color w:val="767171" w:themeColor="background2" w:themeShade="80"/>
          <w:sz w:val="16"/>
          <w:szCs w:val="16"/>
        </w:rPr>
        <w:t>Tel.</w:t>
      </w:r>
      <w:r w:rsidR="00F1211B" w:rsidRPr="00816D61">
        <w:rPr>
          <w:rFonts w:ascii="Verdana" w:hAnsi="Verdana" w:cs="Calibri"/>
          <w:color w:val="767171" w:themeColor="background2" w:themeShade="80"/>
          <w:sz w:val="16"/>
          <w:szCs w:val="16"/>
        </w:rPr>
        <w:t>: +33 (0)3 90 21 42 08</w:t>
      </w:r>
    </w:p>
    <w:p w14:paraId="7835F95A" w14:textId="77777777" w:rsidR="00A36D2E" w:rsidRPr="00816D61" w:rsidRDefault="00A36D2E" w:rsidP="008B0AE6">
      <w:pPr>
        <w:spacing w:after="0"/>
        <w:jc w:val="both"/>
        <w:rPr>
          <w:rFonts w:ascii="Verdana" w:hAnsi="Verdana" w:cs="Calibri"/>
          <w:sz w:val="16"/>
          <w:szCs w:val="16"/>
        </w:rPr>
      </w:pPr>
    </w:p>
    <w:p w14:paraId="49ABDDF7" w14:textId="77777777" w:rsidR="00857E8F" w:rsidRPr="00816D61" w:rsidRDefault="00857E8F" w:rsidP="008B0AE6">
      <w:pPr>
        <w:spacing w:after="0"/>
        <w:jc w:val="both"/>
        <w:rPr>
          <w:rFonts w:ascii="Verdana" w:hAnsi="Verdana" w:cs="Calibri"/>
          <w:sz w:val="16"/>
          <w:szCs w:val="16"/>
        </w:rPr>
      </w:pPr>
    </w:p>
    <w:p w14:paraId="616F38B3" w14:textId="77777777" w:rsidR="00B55ABE" w:rsidRPr="00816D61" w:rsidRDefault="00B55ABE" w:rsidP="008B0AE6">
      <w:pPr>
        <w:spacing w:after="0"/>
        <w:jc w:val="both"/>
        <w:rPr>
          <w:rFonts w:ascii="Verdana" w:hAnsi="Verdana" w:cs="Calibri"/>
          <w:sz w:val="16"/>
          <w:szCs w:val="16"/>
        </w:rPr>
      </w:pPr>
    </w:p>
    <w:p w14:paraId="02DF216B" w14:textId="77777777" w:rsidR="00B55ABE" w:rsidRPr="00816D61" w:rsidRDefault="00B55ABE" w:rsidP="008B0AE6">
      <w:pPr>
        <w:spacing w:after="0"/>
        <w:jc w:val="both"/>
        <w:rPr>
          <w:rFonts w:ascii="Verdana" w:hAnsi="Verdana" w:cs="Calibri"/>
          <w:sz w:val="16"/>
          <w:szCs w:val="16"/>
        </w:rPr>
      </w:pPr>
    </w:p>
    <w:p w14:paraId="4511B90C" w14:textId="77777777" w:rsidR="00B60ACA" w:rsidRPr="00816D61" w:rsidRDefault="00B60ACA" w:rsidP="008B0AE6">
      <w:pPr>
        <w:spacing w:after="0"/>
        <w:jc w:val="both"/>
        <w:rPr>
          <w:rFonts w:ascii="Verdana" w:hAnsi="Verdana" w:cs="Calibri"/>
          <w:sz w:val="16"/>
          <w:szCs w:val="16"/>
        </w:rPr>
      </w:pPr>
    </w:p>
    <w:sectPr w:rsidR="00B60ACA" w:rsidRPr="00816D61" w:rsidSect="00E745BD">
      <w:headerReference w:type="default" r:id="rId81"/>
      <w:pgSz w:w="11906" w:h="16838"/>
      <w:pgMar w:top="1417" w:right="1417" w:bottom="1417" w:left="141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6270" w14:textId="77777777" w:rsidR="00DA5591" w:rsidRDefault="00DA5591" w:rsidP="00003000">
      <w:pPr>
        <w:spacing w:after="0" w:line="240" w:lineRule="auto"/>
      </w:pPr>
      <w:r>
        <w:separator/>
      </w:r>
    </w:p>
  </w:endnote>
  <w:endnote w:type="continuationSeparator" w:id="0">
    <w:p w14:paraId="2D4B1C06" w14:textId="77777777" w:rsidR="00DA5591" w:rsidRDefault="00DA5591" w:rsidP="0000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0238" w14:textId="77777777" w:rsidR="00DA5591" w:rsidRDefault="00DA5591" w:rsidP="00003000">
      <w:pPr>
        <w:spacing w:after="0" w:line="240" w:lineRule="auto"/>
      </w:pPr>
      <w:r>
        <w:separator/>
      </w:r>
    </w:p>
  </w:footnote>
  <w:footnote w:type="continuationSeparator" w:id="0">
    <w:p w14:paraId="71D97C8F" w14:textId="77777777" w:rsidR="00DA5591" w:rsidRDefault="00DA5591" w:rsidP="00003000">
      <w:pPr>
        <w:spacing w:after="0" w:line="240" w:lineRule="auto"/>
      </w:pPr>
      <w:r>
        <w:continuationSeparator/>
      </w:r>
    </w:p>
  </w:footnote>
  <w:footnote w:id="1">
    <w:p w14:paraId="72E8AF76" w14:textId="048C31A6" w:rsidR="00593FCF" w:rsidRPr="00BF2884" w:rsidRDefault="00593FCF">
      <w:pPr>
        <w:pStyle w:val="Tekstprzypisudolnego"/>
        <w:rPr>
          <w:rFonts w:ascii="Verdana" w:hAnsi="Verdana"/>
          <w:sz w:val="16"/>
          <w:szCs w:val="16"/>
        </w:rPr>
      </w:pPr>
      <w:r w:rsidRPr="00BF2884">
        <w:rPr>
          <w:rStyle w:val="Odwoanieprzypisudolnego"/>
          <w:rFonts w:ascii="Verdana" w:hAnsi="Verdana"/>
          <w:sz w:val="16"/>
          <w:szCs w:val="16"/>
        </w:rPr>
        <w:footnoteRef/>
      </w:r>
      <w:r w:rsidRPr="00BF2884">
        <w:rPr>
          <w:rFonts w:ascii="Verdana" w:hAnsi="Verdana"/>
          <w:sz w:val="16"/>
          <w:szCs w:val="16"/>
        </w:rPr>
        <w:t xml:space="preserve"> Sprawdź </w:t>
      </w:r>
      <w:hyperlink r:id="rId1" w:history="1">
        <w:r w:rsidRPr="00590FCF">
          <w:rPr>
            <w:rStyle w:val="Hipercze"/>
            <w:rFonts w:ascii="Verdana" w:hAnsi="Verdana"/>
            <w:color w:val="0070C0"/>
            <w:sz w:val="16"/>
            <w:szCs w:val="16"/>
          </w:rPr>
          <w:t>tutaj</w:t>
        </w:r>
      </w:hyperlink>
      <w:r w:rsidRPr="00590FCF">
        <w:rPr>
          <w:rFonts w:ascii="Verdana" w:hAnsi="Verdana"/>
          <w:color w:val="0070C0"/>
          <w:sz w:val="16"/>
          <w:szCs w:val="16"/>
        </w:rPr>
        <w:t xml:space="preserve"> </w:t>
      </w:r>
      <w:r w:rsidRPr="00BF2884">
        <w:rPr>
          <w:rFonts w:ascii="Verdana" w:hAnsi="Verdana"/>
          <w:sz w:val="16"/>
          <w:szCs w:val="16"/>
        </w:rPr>
        <w:t>kartę sygnatariuszy i ratyfikacji do Protokołu 7 oraz szczegóły zastrzeżeń i deklaracji poczynionych przez Państwa Strony</w:t>
      </w:r>
    </w:p>
  </w:footnote>
  <w:footnote w:id="2">
    <w:p w14:paraId="64FB69A3" w14:textId="782196F9" w:rsidR="00A756D3" w:rsidRPr="00CF41EE" w:rsidRDefault="00A756D3" w:rsidP="00A756D3">
      <w:pPr>
        <w:pStyle w:val="Tekstprzypisudolnego"/>
      </w:pPr>
      <w:r w:rsidRPr="00BF2884">
        <w:rPr>
          <w:rStyle w:val="Odwoanieprzypisudolnego"/>
          <w:rFonts w:ascii="Verdana" w:hAnsi="Verdana"/>
          <w:sz w:val="16"/>
          <w:szCs w:val="16"/>
        </w:rPr>
        <w:footnoteRef/>
      </w:r>
      <w:r w:rsidRPr="00BF2884">
        <w:rPr>
          <w:rFonts w:ascii="Verdana" w:hAnsi="Verdana"/>
          <w:sz w:val="16"/>
          <w:szCs w:val="16"/>
        </w:rPr>
        <w:t xml:space="preserve"> Zobacz </w:t>
      </w:r>
      <w:hyperlink r:id="rId2" w:history="1">
        <w:r w:rsidRPr="00590FCF">
          <w:rPr>
            <w:rStyle w:val="Hipercze"/>
            <w:rFonts w:ascii="Verdana" w:hAnsi="Verdana"/>
            <w:b/>
            <w:bCs/>
            <w:i/>
            <w:color w:val="0070C0"/>
            <w:sz w:val="16"/>
            <w:szCs w:val="16"/>
          </w:rPr>
          <w:t>Engel i Inni przeciwko</w:t>
        </w:r>
        <w:r w:rsidR="008B0AE6" w:rsidRPr="00590FCF">
          <w:rPr>
            <w:rStyle w:val="Hipercze"/>
            <w:rFonts w:ascii="Verdana" w:hAnsi="Verdana"/>
            <w:b/>
            <w:bCs/>
            <w:i/>
            <w:color w:val="0070C0"/>
            <w:sz w:val="16"/>
            <w:szCs w:val="16"/>
          </w:rPr>
          <w:t xml:space="preserve"> Niderlandom</w:t>
        </w:r>
      </w:hyperlink>
      <w:r w:rsidRPr="008B0AE6">
        <w:rPr>
          <w:rFonts w:ascii="Verdana" w:hAnsi="Verdana"/>
          <w:sz w:val="16"/>
          <w:szCs w:val="16"/>
        </w:rPr>
        <w:t xml:space="preserve">, </w:t>
      </w:r>
      <w:r w:rsidRPr="00BF2884">
        <w:rPr>
          <w:rFonts w:ascii="Verdana" w:hAnsi="Verdana"/>
          <w:sz w:val="16"/>
          <w:szCs w:val="16"/>
        </w:rPr>
        <w:t>wyrok z 8 czerwca 1976 r.</w:t>
      </w:r>
      <w:r>
        <w:t xml:space="preserve"> </w:t>
      </w:r>
    </w:p>
  </w:footnote>
  <w:footnote w:id="3">
    <w:p w14:paraId="1AF74090" w14:textId="2BD2BCDE" w:rsidR="00CE7F5B" w:rsidRPr="008C1333" w:rsidRDefault="00CE7F5B" w:rsidP="008C1333">
      <w:pPr>
        <w:pStyle w:val="Tekstprzypisudolnego"/>
        <w:jc w:val="both"/>
        <w:rPr>
          <w:sz w:val="16"/>
          <w:szCs w:val="16"/>
        </w:rPr>
      </w:pPr>
      <w:r w:rsidRPr="008C1333">
        <w:rPr>
          <w:rStyle w:val="Odwoanieprzypisudolnego"/>
          <w:sz w:val="16"/>
          <w:szCs w:val="16"/>
        </w:rPr>
        <w:footnoteRef/>
      </w:r>
      <w:r w:rsidRPr="008C1333">
        <w:rPr>
          <w:sz w:val="16"/>
          <w:szCs w:val="16"/>
        </w:rPr>
        <w:t xml:space="preserve"> </w:t>
      </w:r>
      <w:r w:rsidRPr="008C1333">
        <w:rPr>
          <w:rFonts w:cstheme="minorHAnsi"/>
          <w:sz w:val="16"/>
          <w:szCs w:val="16"/>
        </w:rPr>
        <w:t>Razem z Europejskim Trybunałem Praw Człowieka oraz Komitetem Ministrów Rady Europy, Europejska Komisja Praw Człowieka, która miała swoją siedzibę od czerwca 1954 r. do października 1999 r. w Strasburgu, nadzorowały przestrzeganie przez Państwa Strony ich obowiązków wynikających z Europejskiej Konwencji Praw Człowieka. Komisja przestała istnieć z chwilą kiedy Trybunał stał się organem stałym</w:t>
      </w:r>
      <w:r w:rsidR="00350C86">
        <w:rPr>
          <w:rFonts w:cstheme="minorHAnsi"/>
          <w:sz w:val="16"/>
          <w:szCs w:val="16"/>
        </w:rPr>
        <w:t xml:space="preserve"> 1 listopada 1998 r</w:t>
      </w:r>
      <w:r w:rsidRPr="008C1333">
        <w:rPr>
          <w:rFonts w:cstheme="minorHAnsi"/>
          <w:sz w:val="16"/>
          <w:szCs w:val="16"/>
        </w:rPr>
        <w:t>.</w:t>
      </w:r>
      <w:r w:rsidRPr="008C1333">
        <w:rPr>
          <w:sz w:val="16"/>
          <w:szCs w:val="16"/>
        </w:rPr>
        <w:t xml:space="preserve">  </w:t>
      </w:r>
    </w:p>
  </w:footnote>
  <w:footnote w:id="4">
    <w:p w14:paraId="1A74907C" w14:textId="2C265439" w:rsidR="006517E7" w:rsidRPr="00EE1269" w:rsidRDefault="006517E7">
      <w:pPr>
        <w:pStyle w:val="Tekstprzypisudolnego"/>
        <w:rPr>
          <w:rFonts w:ascii="Verdana" w:hAnsi="Verdana"/>
          <w:sz w:val="16"/>
          <w:szCs w:val="16"/>
        </w:rPr>
      </w:pPr>
      <w:r w:rsidRPr="00EE1269">
        <w:rPr>
          <w:rStyle w:val="Odwoanieprzypisudolnego"/>
          <w:rFonts w:ascii="Verdana" w:hAnsi="Verdana"/>
          <w:sz w:val="16"/>
          <w:szCs w:val="16"/>
        </w:rPr>
        <w:footnoteRef/>
      </w:r>
      <w:r w:rsidRPr="00EE1269">
        <w:rPr>
          <w:rFonts w:ascii="Verdana" w:hAnsi="Verdana"/>
          <w:sz w:val="16"/>
          <w:szCs w:val="16"/>
        </w:rPr>
        <w:t xml:space="preserve"> „Consob” jest komisją zajmującą się</w:t>
      </w:r>
      <w:r w:rsidR="002525F4" w:rsidRPr="00EE1269">
        <w:rPr>
          <w:rFonts w:ascii="Verdana" w:hAnsi="Verdana"/>
          <w:sz w:val="16"/>
          <w:szCs w:val="16"/>
        </w:rPr>
        <w:t>,</w:t>
      </w:r>
      <w:r w:rsidRPr="00EE1269">
        <w:rPr>
          <w:rFonts w:ascii="Verdana" w:hAnsi="Verdana"/>
          <w:sz w:val="16"/>
          <w:szCs w:val="16"/>
        </w:rPr>
        <w:t xml:space="preserve"> w szczególności</w:t>
      </w:r>
      <w:r w:rsidR="002525F4" w:rsidRPr="00EE1269">
        <w:rPr>
          <w:rFonts w:ascii="Verdana" w:hAnsi="Verdana"/>
          <w:sz w:val="16"/>
          <w:szCs w:val="16"/>
        </w:rPr>
        <w:t>,</w:t>
      </w:r>
      <w:r w:rsidRPr="00EE1269">
        <w:rPr>
          <w:rFonts w:ascii="Verdana" w:hAnsi="Verdana"/>
          <w:sz w:val="16"/>
          <w:szCs w:val="16"/>
        </w:rPr>
        <w:t xml:space="preserve"> ochroną inwestorów oraz zapewnianiem</w:t>
      </w:r>
      <w:r w:rsidR="00EE1269" w:rsidRPr="00EE1269">
        <w:rPr>
          <w:rFonts w:ascii="Verdana" w:hAnsi="Verdana"/>
          <w:sz w:val="16"/>
          <w:szCs w:val="16"/>
        </w:rPr>
        <w:t xml:space="preserve"> </w:t>
      </w:r>
      <w:r w:rsidRPr="00EE1269">
        <w:rPr>
          <w:rFonts w:ascii="Verdana" w:hAnsi="Verdana"/>
          <w:sz w:val="16"/>
          <w:szCs w:val="16"/>
        </w:rPr>
        <w:t>transparentności</w:t>
      </w:r>
      <w:r w:rsidR="002525F4" w:rsidRPr="00EE1269">
        <w:rPr>
          <w:rFonts w:ascii="Verdana" w:hAnsi="Verdana"/>
          <w:sz w:val="16"/>
          <w:szCs w:val="16"/>
        </w:rPr>
        <w:t xml:space="preserve"> i</w:t>
      </w:r>
      <w:r w:rsidRPr="00EE1269">
        <w:rPr>
          <w:rFonts w:ascii="Verdana" w:hAnsi="Verdana"/>
          <w:sz w:val="16"/>
          <w:szCs w:val="16"/>
        </w:rPr>
        <w:t xml:space="preserve"> rozwoju rynku papierów wartościowych. </w:t>
      </w:r>
    </w:p>
  </w:footnote>
  <w:footnote w:id="5">
    <w:p w14:paraId="73FF2DC3" w14:textId="48D27B4F" w:rsidR="0038025D" w:rsidRDefault="0038025D">
      <w:pPr>
        <w:pStyle w:val="Tekstprzypisudolnego"/>
      </w:pPr>
      <w:r>
        <w:rPr>
          <w:rStyle w:val="Odwoanieprzypisudolnego"/>
        </w:rPr>
        <w:footnoteRef/>
      </w:r>
      <w:r>
        <w:rPr>
          <w:rFonts w:ascii="Verdana" w:hAnsi="Verdana"/>
          <w:sz w:val="16"/>
          <w:szCs w:val="16"/>
        </w:rPr>
        <w:t xml:space="preserve"> </w:t>
      </w:r>
      <w:r w:rsidRPr="0038025D">
        <w:rPr>
          <w:rFonts w:ascii="Verdana" w:hAnsi="Verdana"/>
          <w:sz w:val="16"/>
          <w:szCs w:val="16"/>
        </w:rPr>
        <w:t xml:space="preserve">W związku z powyższym Trybunał zwrócił uwagę na zbieżność swojej oceny z oceną Trybunału Sprawiedliwości Unii Europejskiej w odniesieniu do karnego charakteru kary (zob. pkt 73 </w:t>
      </w:r>
      <w:hyperlink r:id="rId3" w:history="1">
        <w:r w:rsidRPr="0038025D">
          <w:rPr>
            <w:rStyle w:val="Hipercze"/>
            <w:rFonts w:ascii="Verdana" w:hAnsi="Verdana"/>
            <w:sz w:val="16"/>
            <w:szCs w:val="16"/>
          </w:rPr>
          <w:t>wyroku</w:t>
        </w:r>
      </w:hyperlink>
      <w:r w:rsidRPr="0038025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1C2D" w14:textId="333099C1" w:rsidR="00CE7F5B" w:rsidRDefault="001A1851" w:rsidP="001A1851">
    <w:pPr>
      <w:pStyle w:val="Nagwek"/>
      <w:jc w:val="right"/>
    </w:pPr>
    <w:r>
      <w:rPr>
        <w:noProof/>
        <w:lang w:eastAsia="pl-PL"/>
      </w:rPr>
      <w:tab/>
    </w:r>
  </w:p>
  <w:p w14:paraId="0EC941D7" w14:textId="1B789484" w:rsidR="002D2D65" w:rsidRDefault="00EA372B" w:rsidP="00326994">
    <w:pPr>
      <w:pStyle w:val="Nagwek"/>
    </w:pPr>
    <w:r>
      <w:rPr>
        <w:rFonts w:ascii="Times New Roman"/>
        <w:noProof/>
        <w:lang w:eastAsia="pl-PL"/>
      </w:rPr>
      <w:drawing>
        <wp:anchor distT="0" distB="0" distL="114300" distR="114300" simplePos="0" relativeHeight="251658240" behindDoc="1" locked="0" layoutInCell="1" allowOverlap="1" wp14:anchorId="2745F139" wp14:editId="65F71B80">
          <wp:simplePos x="0" y="0"/>
          <wp:positionH relativeFrom="column">
            <wp:posOffset>4550979</wp:posOffset>
          </wp:positionH>
          <wp:positionV relativeFrom="paragraph">
            <wp:posOffset>126068</wp:posOffset>
          </wp:positionV>
          <wp:extent cx="1410970" cy="368300"/>
          <wp:effectExtent l="0" t="0" r="0" b="0"/>
          <wp:wrapTight wrapText="bothSides">
            <wp:wrapPolygon edited="0">
              <wp:start x="10499" y="0"/>
              <wp:lineTo x="3791" y="8938"/>
              <wp:lineTo x="2041" y="12290"/>
              <wp:lineTo x="2625" y="20110"/>
              <wp:lineTo x="21289" y="20110"/>
              <wp:lineTo x="21289" y="0"/>
              <wp:lineTo x="10499" y="0"/>
            </wp:wrapPolygon>
          </wp:wrapTight>
          <wp:docPr id="402280100" name="image1.png" descr="Obraz zawierający Czcionka, Grafika, tekst, typograf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Czcionka, Grafika, tekst, typografia&#10;&#10;Zawartość wygenerowana przez sztuczną inteligencję może być niepopraw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970" cy="368300"/>
                  </a:xfrm>
                  <a:prstGeom prst="rect">
                    <a:avLst/>
                  </a:prstGeom>
                </pic:spPr>
              </pic:pic>
            </a:graphicData>
          </a:graphic>
        </wp:anchor>
      </w:drawing>
    </w:r>
  </w:p>
  <w:p w14:paraId="4F07637F" w14:textId="77777777" w:rsidR="00EA372B" w:rsidRDefault="00EA372B" w:rsidP="002D2D65">
    <w:pPr>
      <w:pStyle w:val="Nagwek"/>
      <w:spacing w:after="20"/>
    </w:pPr>
  </w:p>
  <w:p w14:paraId="2A966141" w14:textId="6980EC28" w:rsidR="001A1851" w:rsidRPr="00EA372B" w:rsidRDefault="001A1851" w:rsidP="002D2D65">
    <w:pPr>
      <w:pStyle w:val="Nagwek"/>
      <w:spacing w:after="20"/>
      <w:rPr>
        <w:color w:val="000000" w:themeColor="text1"/>
      </w:rPr>
    </w:pPr>
    <w:r w:rsidRPr="00EA372B">
      <w:rPr>
        <w:color w:val="000000" w:themeColor="text1"/>
      </w:rPr>
      <w:t>Zestawienie – N</w:t>
    </w:r>
    <w:r w:rsidR="002D2D65" w:rsidRPr="00EA372B">
      <w:rPr>
        <w:color w:val="000000" w:themeColor="text1"/>
      </w:rPr>
      <w:t>e</w:t>
    </w:r>
    <w:r w:rsidRPr="00EA372B">
      <w:rPr>
        <w:color w:val="000000" w:themeColor="text1"/>
      </w:rPr>
      <w:t xml:space="preserve"> bis in idem</w:t>
    </w:r>
    <w:r w:rsidRPr="00EA372B">
      <w:rPr>
        <w:noProof/>
        <w:color w:val="000000" w:themeColor="text1"/>
      </w:rPr>
      <mc:AlternateContent>
        <mc:Choice Requires="wps">
          <w:drawing>
            <wp:anchor distT="0" distB="0" distL="114300" distR="114300" simplePos="0" relativeHeight="251655168" behindDoc="0" locked="0" layoutInCell="1" allowOverlap="1" wp14:anchorId="6C4D090F" wp14:editId="66605A99">
              <wp:simplePos x="0" y="0"/>
              <wp:positionH relativeFrom="column">
                <wp:posOffset>-117597</wp:posOffset>
              </wp:positionH>
              <wp:positionV relativeFrom="paragraph">
                <wp:posOffset>152132</wp:posOffset>
              </wp:positionV>
              <wp:extent cx="6070294" cy="0"/>
              <wp:effectExtent l="0" t="0" r="0" b="0"/>
              <wp:wrapNone/>
              <wp:docPr id="401581188" name="Łącznik prosty 1"/>
              <wp:cNvGraphicFramePr/>
              <a:graphic xmlns:a="http://schemas.openxmlformats.org/drawingml/2006/main">
                <a:graphicData uri="http://schemas.microsoft.com/office/word/2010/wordprocessingShape">
                  <wps:wsp>
                    <wps:cNvCnPr/>
                    <wps:spPr>
                      <a:xfrm>
                        <a:off x="0" y="0"/>
                        <a:ext cx="60702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2E5768" id="Łącznik prosty 1"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12pt" to="46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esgEAANQDAAAOAAAAZHJzL2Uyb0RvYy54bWysU01v2zAMvQ/YfxB0X+QEQ7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8Kq5bjYf33OmLndiAYaY8gOgY+XQcWt8mUO28vApZSpGqZeUEra+2ITW&#10;9PfG2uqUDYBbG9lB0tvlaV3einAvssgrSLG0Xk/5aOHE+gU0Mz01u67V61YtnFIp8PnCaz1lF5im&#10;DmZg82fgOb9AoW7c34BnRK2MPs9gZzzG31VfpNCn/IsCp7mLBM/YH+ujVmlodapy5zUvu/nSr/Dl&#10;Z9z9BAAA//8DAFBLAwQUAAYACAAAACEAqPDiwt8AAAAJAQAADwAAAGRycy9kb3ducmV2LnhtbEyP&#10;TU/CQBCG7yb+h82YeDGwBQSxdktMEy4eTKCGeFy6Q7exO9t0F1r+vWM86HHeefJ+ZJvRteKCfWg8&#10;KZhNExBIlTcN1Qo+yu1kDSJETUa3nlDBFQNs8tubTKfGD7TDyz7Wgk0opFqBjbFLpQyVRafD1HdI&#10;/Dv53unIZ19L0+uBzV0r50mykk43xAlWd1hYrL72Z6fgs35YbA8llUMR308rO14Pb8tCqfu78fUF&#10;RMQx/sHwU5+rQ86djv5MJohWwWS2XjKqYP7Imxh4XjyxcPwVZJ7J/wvybwAAAP//AwBQSwECLQAU&#10;AAYACAAAACEAtoM4kv4AAADhAQAAEwAAAAAAAAAAAAAAAAAAAAAAW0NvbnRlbnRfVHlwZXNdLnht&#10;bFBLAQItABQABgAIAAAAIQA4/SH/1gAAAJQBAAALAAAAAAAAAAAAAAAAAC8BAABfcmVscy8ucmVs&#10;c1BLAQItABQABgAIAAAAIQCzb+XesgEAANQDAAAOAAAAAAAAAAAAAAAAAC4CAABkcnMvZTJvRG9j&#10;LnhtbFBLAQItABQABgAIAAAAIQCo8OLC3wAAAAkBAAAPAAAAAAAAAAAAAAAAAAwEAABkcnMvZG93&#10;bnJldi54bWxQSwUGAAAAAAQABADzAAAAGA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AE0"/>
    <w:multiLevelType w:val="hybridMultilevel"/>
    <w:tmpl w:val="16E6E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6F5A46"/>
    <w:multiLevelType w:val="hybridMultilevel"/>
    <w:tmpl w:val="941806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310E28"/>
    <w:multiLevelType w:val="hybridMultilevel"/>
    <w:tmpl w:val="17C08E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4E2022"/>
    <w:multiLevelType w:val="hybridMultilevel"/>
    <w:tmpl w:val="09B0DE68"/>
    <w:lvl w:ilvl="0" w:tplc="66F09B8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 w15:restartNumberingAfterBreak="0">
    <w:nsid w:val="593C1FB5"/>
    <w:multiLevelType w:val="hybridMultilevel"/>
    <w:tmpl w:val="D0F6FF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CD1948"/>
    <w:multiLevelType w:val="hybridMultilevel"/>
    <w:tmpl w:val="0FC8B3F4"/>
    <w:lvl w:ilvl="0" w:tplc="AAF888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573842"/>
    <w:multiLevelType w:val="hybridMultilevel"/>
    <w:tmpl w:val="A41410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BB0AA3"/>
    <w:multiLevelType w:val="hybridMultilevel"/>
    <w:tmpl w:val="8EA031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906354">
    <w:abstractNumId w:val="1"/>
  </w:num>
  <w:num w:numId="2" w16cid:durableId="1286543035">
    <w:abstractNumId w:val="4"/>
  </w:num>
  <w:num w:numId="3" w16cid:durableId="1037697689">
    <w:abstractNumId w:val="2"/>
  </w:num>
  <w:num w:numId="4" w16cid:durableId="513496176">
    <w:abstractNumId w:val="6"/>
  </w:num>
  <w:num w:numId="5" w16cid:durableId="587621283">
    <w:abstractNumId w:val="3"/>
  </w:num>
  <w:num w:numId="6" w16cid:durableId="680814085">
    <w:abstractNumId w:val="0"/>
  </w:num>
  <w:num w:numId="7" w16cid:durableId="708184076">
    <w:abstractNumId w:val="7"/>
  </w:num>
  <w:num w:numId="8" w16cid:durableId="304896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ACA"/>
    <w:rsid w:val="00003000"/>
    <w:rsid w:val="00007ACB"/>
    <w:rsid w:val="0001424F"/>
    <w:rsid w:val="00030950"/>
    <w:rsid w:val="000335C3"/>
    <w:rsid w:val="00036A41"/>
    <w:rsid w:val="00037FA2"/>
    <w:rsid w:val="000412A1"/>
    <w:rsid w:val="00052EDB"/>
    <w:rsid w:val="00065254"/>
    <w:rsid w:val="0007276D"/>
    <w:rsid w:val="0008308D"/>
    <w:rsid w:val="00087D38"/>
    <w:rsid w:val="000900C3"/>
    <w:rsid w:val="00092A31"/>
    <w:rsid w:val="000A2CE9"/>
    <w:rsid w:val="000B5051"/>
    <w:rsid w:val="000B7114"/>
    <w:rsid w:val="000C00A9"/>
    <w:rsid w:val="000D6CF6"/>
    <w:rsid w:val="000E3DB9"/>
    <w:rsid w:val="000E5D31"/>
    <w:rsid w:val="00110919"/>
    <w:rsid w:val="00115938"/>
    <w:rsid w:val="00116764"/>
    <w:rsid w:val="001170ED"/>
    <w:rsid w:val="00121B53"/>
    <w:rsid w:val="001242B3"/>
    <w:rsid w:val="00127556"/>
    <w:rsid w:val="00133E50"/>
    <w:rsid w:val="0013727B"/>
    <w:rsid w:val="00144427"/>
    <w:rsid w:val="00164883"/>
    <w:rsid w:val="0017556A"/>
    <w:rsid w:val="001761D2"/>
    <w:rsid w:val="001766F3"/>
    <w:rsid w:val="00180FA5"/>
    <w:rsid w:val="0018579C"/>
    <w:rsid w:val="00186933"/>
    <w:rsid w:val="001870E2"/>
    <w:rsid w:val="00193D1D"/>
    <w:rsid w:val="00195A4D"/>
    <w:rsid w:val="001960D2"/>
    <w:rsid w:val="00196CF8"/>
    <w:rsid w:val="001A174A"/>
    <w:rsid w:val="001A1851"/>
    <w:rsid w:val="001A2FFE"/>
    <w:rsid w:val="001A6819"/>
    <w:rsid w:val="001B43B9"/>
    <w:rsid w:val="001C38F2"/>
    <w:rsid w:val="001C46C8"/>
    <w:rsid w:val="001D53AD"/>
    <w:rsid w:val="001E15B8"/>
    <w:rsid w:val="001F440C"/>
    <w:rsid w:val="001F6223"/>
    <w:rsid w:val="002012C8"/>
    <w:rsid w:val="002310BC"/>
    <w:rsid w:val="002525F4"/>
    <w:rsid w:val="002535BC"/>
    <w:rsid w:val="0025670E"/>
    <w:rsid w:val="00263A07"/>
    <w:rsid w:val="00281815"/>
    <w:rsid w:val="00294A7B"/>
    <w:rsid w:val="002A5BAC"/>
    <w:rsid w:val="002B3A27"/>
    <w:rsid w:val="002D025B"/>
    <w:rsid w:val="002D193F"/>
    <w:rsid w:val="002D2D65"/>
    <w:rsid w:val="002E5DE4"/>
    <w:rsid w:val="002F3597"/>
    <w:rsid w:val="00302F44"/>
    <w:rsid w:val="003267DF"/>
    <w:rsid w:val="00326994"/>
    <w:rsid w:val="0033100D"/>
    <w:rsid w:val="0033200C"/>
    <w:rsid w:val="00350C86"/>
    <w:rsid w:val="00355241"/>
    <w:rsid w:val="00355B5A"/>
    <w:rsid w:val="00366BA5"/>
    <w:rsid w:val="00376D97"/>
    <w:rsid w:val="00377213"/>
    <w:rsid w:val="0038025D"/>
    <w:rsid w:val="00387F05"/>
    <w:rsid w:val="003A3226"/>
    <w:rsid w:val="003A36F1"/>
    <w:rsid w:val="003B2B5E"/>
    <w:rsid w:val="003C0328"/>
    <w:rsid w:val="003E5304"/>
    <w:rsid w:val="00404E4F"/>
    <w:rsid w:val="0040719F"/>
    <w:rsid w:val="004107C3"/>
    <w:rsid w:val="00411C99"/>
    <w:rsid w:val="00422011"/>
    <w:rsid w:val="00433CE9"/>
    <w:rsid w:val="00445FE7"/>
    <w:rsid w:val="00450DDA"/>
    <w:rsid w:val="0046191F"/>
    <w:rsid w:val="00467B11"/>
    <w:rsid w:val="00490156"/>
    <w:rsid w:val="004942D8"/>
    <w:rsid w:val="004A34F2"/>
    <w:rsid w:val="004B03D1"/>
    <w:rsid w:val="004B1526"/>
    <w:rsid w:val="004C1D05"/>
    <w:rsid w:val="004C3736"/>
    <w:rsid w:val="004D149E"/>
    <w:rsid w:val="004E1837"/>
    <w:rsid w:val="004F2733"/>
    <w:rsid w:val="00503DB4"/>
    <w:rsid w:val="00560113"/>
    <w:rsid w:val="00575823"/>
    <w:rsid w:val="00582A32"/>
    <w:rsid w:val="00583082"/>
    <w:rsid w:val="00585603"/>
    <w:rsid w:val="00590FCF"/>
    <w:rsid w:val="00593FCF"/>
    <w:rsid w:val="005A279D"/>
    <w:rsid w:val="005A3E99"/>
    <w:rsid w:val="005C7254"/>
    <w:rsid w:val="005C76A1"/>
    <w:rsid w:val="005D02B1"/>
    <w:rsid w:val="005E26FB"/>
    <w:rsid w:val="005E2A5E"/>
    <w:rsid w:val="005E6480"/>
    <w:rsid w:val="005F56C1"/>
    <w:rsid w:val="00601527"/>
    <w:rsid w:val="00614BD1"/>
    <w:rsid w:val="006154E7"/>
    <w:rsid w:val="006175B6"/>
    <w:rsid w:val="00630A45"/>
    <w:rsid w:val="00631C5F"/>
    <w:rsid w:val="00641011"/>
    <w:rsid w:val="00642D06"/>
    <w:rsid w:val="00646629"/>
    <w:rsid w:val="006517E7"/>
    <w:rsid w:val="0065764D"/>
    <w:rsid w:val="006637F4"/>
    <w:rsid w:val="00663974"/>
    <w:rsid w:val="0067447B"/>
    <w:rsid w:val="00674EC0"/>
    <w:rsid w:val="006A00C1"/>
    <w:rsid w:val="006A0FD2"/>
    <w:rsid w:val="006A1425"/>
    <w:rsid w:val="006A42A3"/>
    <w:rsid w:val="006A7C55"/>
    <w:rsid w:val="006B37C1"/>
    <w:rsid w:val="006B3FCA"/>
    <w:rsid w:val="006C4297"/>
    <w:rsid w:val="006E23A1"/>
    <w:rsid w:val="006F49DB"/>
    <w:rsid w:val="00704A83"/>
    <w:rsid w:val="00707523"/>
    <w:rsid w:val="00722170"/>
    <w:rsid w:val="007235DA"/>
    <w:rsid w:val="00744D6C"/>
    <w:rsid w:val="00751719"/>
    <w:rsid w:val="0075402B"/>
    <w:rsid w:val="007718A0"/>
    <w:rsid w:val="00774FB3"/>
    <w:rsid w:val="00776695"/>
    <w:rsid w:val="0077794E"/>
    <w:rsid w:val="00780C87"/>
    <w:rsid w:val="00781AEC"/>
    <w:rsid w:val="0079793C"/>
    <w:rsid w:val="007A1E7D"/>
    <w:rsid w:val="007A6FB4"/>
    <w:rsid w:val="007B0723"/>
    <w:rsid w:val="007C1B5D"/>
    <w:rsid w:val="007D48DB"/>
    <w:rsid w:val="007E01ED"/>
    <w:rsid w:val="007F7A28"/>
    <w:rsid w:val="0080275A"/>
    <w:rsid w:val="008118E9"/>
    <w:rsid w:val="00812158"/>
    <w:rsid w:val="00814218"/>
    <w:rsid w:val="00816D61"/>
    <w:rsid w:val="00817E97"/>
    <w:rsid w:val="00823555"/>
    <w:rsid w:val="008345F8"/>
    <w:rsid w:val="00836B3E"/>
    <w:rsid w:val="00836F2E"/>
    <w:rsid w:val="00842642"/>
    <w:rsid w:val="00844027"/>
    <w:rsid w:val="008563EA"/>
    <w:rsid w:val="00857E8F"/>
    <w:rsid w:val="00863F16"/>
    <w:rsid w:val="00870624"/>
    <w:rsid w:val="00871FC3"/>
    <w:rsid w:val="00876059"/>
    <w:rsid w:val="00880819"/>
    <w:rsid w:val="008856EB"/>
    <w:rsid w:val="008948F1"/>
    <w:rsid w:val="008A114B"/>
    <w:rsid w:val="008B0AE6"/>
    <w:rsid w:val="008B35CB"/>
    <w:rsid w:val="008B7D62"/>
    <w:rsid w:val="008C1333"/>
    <w:rsid w:val="008C1DB6"/>
    <w:rsid w:val="008C5D0E"/>
    <w:rsid w:val="008C6712"/>
    <w:rsid w:val="008F1CAF"/>
    <w:rsid w:val="008F1D3C"/>
    <w:rsid w:val="008F2E34"/>
    <w:rsid w:val="008F2F3F"/>
    <w:rsid w:val="0090265C"/>
    <w:rsid w:val="00912A93"/>
    <w:rsid w:val="0091446B"/>
    <w:rsid w:val="00915384"/>
    <w:rsid w:val="00916779"/>
    <w:rsid w:val="00926950"/>
    <w:rsid w:val="009540F4"/>
    <w:rsid w:val="00956932"/>
    <w:rsid w:val="00957C5E"/>
    <w:rsid w:val="009617B3"/>
    <w:rsid w:val="00961B66"/>
    <w:rsid w:val="00961F2C"/>
    <w:rsid w:val="0096577C"/>
    <w:rsid w:val="00995E7D"/>
    <w:rsid w:val="009970CE"/>
    <w:rsid w:val="009B5FB5"/>
    <w:rsid w:val="009B7AF0"/>
    <w:rsid w:val="009C44E7"/>
    <w:rsid w:val="009C69F0"/>
    <w:rsid w:val="009D0810"/>
    <w:rsid w:val="009D73EA"/>
    <w:rsid w:val="009E4CBB"/>
    <w:rsid w:val="009F1C56"/>
    <w:rsid w:val="00A0534B"/>
    <w:rsid w:val="00A07B24"/>
    <w:rsid w:val="00A21E43"/>
    <w:rsid w:val="00A325E2"/>
    <w:rsid w:val="00A33E19"/>
    <w:rsid w:val="00A36D2E"/>
    <w:rsid w:val="00A46E71"/>
    <w:rsid w:val="00A54047"/>
    <w:rsid w:val="00A57B42"/>
    <w:rsid w:val="00A634FF"/>
    <w:rsid w:val="00A6414B"/>
    <w:rsid w:val="00A756D3"/>
    <w:rsid w:val="00A80A98"/>
    <w:rsid w:val="00A80FE4"/>
    <w:rsid w:val="00A8400C"/>
    <w:rsid w:val="00A865A5"/>
    <w:rsid w:val="00A8670B"/>
    <w:rsid w:val="00AA01D8"/>
    <w:rsid w:val="00AA04BF"/>
    <w:rsid w:val="00AA3D1D"/>
    <w:rsid w:val="00AA4C05"/>
    <w:rsid w:val="00AB1D4A"/>
    <w:rsid w:val="00B14E3D"/>
    <w:rsid w:val="00B207EA"/>
    <w:rsid w:val="00B22028"/>
    <w:rsid w:val="00B364F4"/>
    <w:rsid w:val="00B37BBA"/>
    <w:rsid w:val="00B4525D"/>
    <w:rsid w:val="00B4662B"/>
    <w:rsid w:val="00B55ABE"/>
    <w:rsid w:val="00B60ACA"/>
    <w:rsid w:val="00B62AA1"/>
    <w:rsid w:val="00B66536"/>
    <w:rsid w:val="00B7381A"/>
    <w:rsid w:val="00B806EE"/>
    <w:rsid w:val="00B86419"/>
    <w:rsid w:val="00B90619"/>
    <w:rsid w:val="00BA31F4"/>
    <w:rsid w:val="00BB4B96"/>
    <w:rsid w:val="00BB53BE"/>
    <w:rsid w:val="00BE591F"/>
    <w:rsid w:val="00BF2884"/>
    <w:rsid w:val="00BF2BAE"/>
    <w:rsid w:val="00BF33EE"/>
    <w:rsid w:val="00C0238C"/>
    <w:rsid w:val="00C02F52"/>
    <w:rsid w:val="00C0511E"/>
    <w:rsid w:val="00C114A8"/>
    <w:rsid w:val="00C17677"/>
    <w:rsid w:val="00C332E4"/>
    <w:rsid w:val="00C3337A"/>
    <w:rsid w:val="00C40585"/>
    <w:rsid w:val="00C43A38"/>
    <w:rsid w:val="00C4526A"/>
    <w:rsid w:val="00C45D61"/>
    <w:rsid w:val="00C60631"/>
    <w:rsid w:val="00C77D3E"/>
    <w:rsid w:val="00C905CC"/>
    <w:rsid w:val="00C91DDC"/>
    <w:rsid w:val="00CA30A1"/>
    <w:rsid w:val="00CB0D0E"/>
    <w:rsid w:val="00CE48E6"/>
    <w:rsid w:val="00CE7F5B"/>
    <w:rsid w:val="00CF1A03"/>
    <w:rsid w:val="00CF3F6B"/>
    <w:rsid w:val="00CF41EE"/>
    <w:rsid w:val="00D16D9C"/>
    <w:rsid w:val="00D247CF"/>
    <w:rsid w:val="00D27801"/>
    <w:rsid w:val="00D52010"/>
    <w:rsid w:val="00D62BC0"/>
    <w:rsid w:val="00D63F9C"/>
    <w:rsid w:val="00D70037"/>
    <w:rsid w:val="00D93247"/>
    <w:rsid w:val="00D95267"/>
    <w:rsid w:val="00DA1334"/>
    <w:rsid w:val="00DA423D"/>
    <w:rsid w:val="00DA4C09"/>
    <w:rsid w:val="00DA5591"/>
    <w:rsid w:val="00DB5316"/>
    <w:rsid w:val="00DC1671"/>
    <w:rsid w:val="00DE560E"/>
    <w:rsid w:val="00E065B3"/>
    <w:rsid w:val="00E47E9D"/>
    <w:rsid w:val="00E50B1D"/>
    <w:rsid w:val="00E5447F"/>
    <w:rsid w:val="00E5639B"/>
    <w:rsid w:val="00E648A2"/>
    <w:rsid w:val="00E745BD"/>
    <w:rsid w:val="00E7776E"/>
    <w:rsid w:val="00E92546"/>
    <w:rsid w:val="00E97A36"/>
    <w:rsid w:val="00EA372B"/>
    <w:rsid w:val="00EB3D81"/>
    <w:rsid w:val="00EB4C9F"/>
    <w:rsid w:val="00EC761C"/>
    <w:rsid w:val="00EE01C5"/>
    <w:rsid w:val="00EE07CB"/>
    <w:rsid w:val="00EE1269"/>
    <w:rsid w:val="00EE4696"/>
    <w:rsid w:val="00EE514E"/>
    <w:rsid w:val="00EE6B3B"/>
    <w:rsid w:val="00F00DE3"/>
    <w:rsid w:val="00F1211B"/>
    <w:rsid w:val="00F137AF"/>
    <w:rsid w:val="00F45BAF"/>
    <w:rsid w:val="00F519FC"/>
    <w:rsid w:val="00F56321"/>
    <w:rsid w:val="00F655EA"/>
    <w:rsid w:val="00F728DE"/>
    <w:rsid w:val="00F86864"/>
    <w:rsid w:val="00FA6071"/>
    <w:rsid w:val="00FA76FB"/>
    <w:rsid w:val="00FB5524"/>
    <w:rsid w:val="00FC457E"/>
    <w:rsid w:val="00FC5079"/>
    <w:rsid w:val="00FD263C"/>
    <w:rsid w:val="00FD42D3"/>
    <w:rsid w:val="00FD7F6A"/>
    <w:rsid w:val="00FE6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076A"/>
  <w15:docId w15:val="{22E89708-283F-4114-BB43-277C190C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56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5BAC"/>
    <w:pPr>
      <w:ind w:left="720"/>
      <w:contextualSpacing/>
    </w:pPr>
  </w:style>
  <w:style w:type="paragraph" w:styleId="Tekstprzypisukocowego">
    <w:name w:val="endnote text"/>
    <w:basedOn w:val="Normalny"/>
    <w:link w:val="TekstprzypisukocowegoZnak"/>
    <w:uiPriority w:val="99"/>
    <w:semiHidden/>
    <w:unhideWhenUsed/>
    <w:rsid w:val="000030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3000"/>
    <w:rPr>
      <w:sz w:val="20"/>
      <w:szCs w:val="20"/>
    </w:rPr>
  </w:style>
  <w:style w:type="character" w:styleId="Odwoanieprzypisukocowego">
    <w:name w:val="endnote reference"/>
    <w:basedOn w:val="Domylnaczcionkaakapitu"/>
    <w:uiPriority w:val="99"/>
    <w:semiHidden/>
    <w:unhideWhenUsed/>
    <w:rsid w:val="00003000"/>
    <w:rPr>
      <w:vertAlign w:val="superscript"/>
    </w:rPr>
  </w:style>
  <w:style w:type="paragraph" w:styleId="Nagwek">
    <w:name w:val="header"/>
    <w:basedOn w:val="Normalny"/>
    <w:link w:val="NagwekZnak"/>
    <w:uiPriority w:val="99"/>
    <w:unhideWhenUsed/>
    <w:rsid w:val="00F121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211B"/>
  </w:style>
  <w:style w:type="paragraph" w:styleId="Stopka">
    <w:name w:val="footer"/>
    <w:basedOn w:val="Normalny"/>
    <w:link w:val="StopkaZnak"/>
    <w:uiPriority w:val="99"/>
    <w:unhideWhenUsed/>
    <w:rsid w:val="00F121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211B"/>
  </w:style>
  <w:style w:type="paragraph" w:styleId="Tekstprzypisudolnego">
    <w:name w:val="footnote text"/>
    <w:basedOn w:val="Normalny"/>
    <w:link w:val="TekstprzypisudolnegoZnak"/>
    <w:uiPriority w:val="99"/>
    <w:semiHidden/>
    <w:unhideWhenUsed/>
    <w:rsid w:val="00CF41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41EE"/>
    <w:rPr>
      <w:sz w:val="20"/>
      <w:szCs w:val="20"/>
    </w:rPr>
  </w:style>
  <w:style w:type="character" w:styleId="Odwoanieprzypisudolnego">
    <w:name w:val="footnote reference"/>
    <w:basedOn w:val="Domylnaczcionkaakapitu"/>
    <w:uiPriority w:val="99"/>
    <w:semiHidden/>
    <w:unhideWhenUsed/>
    <w:rsid w:val="00CF41EE"/>
    <w:rPr>
      <w:vertAlign w:val="superscript"/>
    </w:rPr>
  </w:style>
  <w:style w:type="paragraph" w:styleId="Tekstdymka">
    <w:name w:val="Balloon Text"/>
    <w:basedOn w:val="Normalny"/>
    <w:link w:val="TekstdymkaZnak"/>
    <w:uiPriority w:val="99"/>
    <w:semiHidden/>
    <w:unhideWhenUsed/>
    <w:rsid w:val="000652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5254"/>
    <w:rPr>
      <w:rFonts w:ascii="Tahoma" w:hAnsi="Tahoma" w:cs="Tahoma"/>
      <w:sz w:val="16"/>
      <w:szCs w:val="16"/>
    </w:rPr>
  </w:style>
  <w:style w:type="character" w:styleId="Odwoaniedokomentarza">
    <w:name w:val="annotation reference"/>
    <w:basedOn w:val="Domylnaczcionkaakapitu"/>
    <w:uiPriority w:val="99"/>
    <w:semiHidden/>
    <w:unhideWhenUsed/>
    <w:rsid w:val="001170ED"/>
    <w:rPr>
      <w:sz w:val="16"/>
      <w:szCs w:val="16"/>
    </w:rPr>
  </w:style>
  <w:style w:type="paragraph" w:styleId="Tekstkomentarza">
    <w:name w:val="annotation text"/>
    <w:basedOn w:val="Normalny"/>
    <w:link w:val="TekstkomentarzaZnak"/>
    <w:uiPriority w:val="99"/>
    <w:semiHidden/>
    <w:unhideWhenUsed/>
    <w:rsid w:val="001170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70ED"/>
    <w:rPr>
      <w:sz w:val="20"/>
      <w:szCs w:val="20"/>
    </w:rPr>
  </w:style>
  <w:style w:type="paragraph" w:styleId="Tematkomentarza">
    <w:name w:val="annotation subject"/>
    <w:basedOn w:val="Tekstkomentarza"/>
    <w:next w:val="Tekstkomentarza"/>
    <w:link w:val="TematkomentarzaZnak"/>
    <w:uiPriority w:val="99"/>
    <w:semiHidden/>
    <w:unhideWhenUsed/>
    <w:rsid w:val="001170ED"/>
    <w:rPr>
      <w:b/>
      <w:bCs/>
    </w:rPr>
  </w:style>
  <w:style w:type="character" w:customStyle="1" w:styleId="TematkomentarzaZnak">
    <w:name w:val="Temat komentarza Znak"/>
    <w:basedOn w:val="TekstkomentarzaZnak"/>
    <w:link w:val="Tematkomentarza"/>
    <w:uiPriority w:val="99"/>
    <w:semiHidden/>
    <w:rsid w:val="001170ED"/>
    <w:rPr>
      <w:b/>
      <w:bCs/>
      <w:sz w:val="20"/>
      <w:szCs w:val="20"/>
    </w:rPr>
  </w:style>
  <w:style w:type="paragraph" w:styleId="Poprawka">
    <w:name w:val="Revision"/>
    <w:hidden/>
    <w:uiPriority w:val="99"/>
    <w:semiHidden/>
    <w:rsid w:val="00F45BAF"/>
    <w:pPr>
      <w:spacing w:after="0" w:line="240" w:lineRule="auto"/>
    </w:pPr>
  </w:style>
  <w:style w:type="paragraph" w:styleId="Tekstpodstawowy">
    <w:name w:val="Body Text"/>
    <w:basedOn w:val="Normalny"/>
    <w:link w:val="TekstpodstawowyZnak"/>
    <w:uiPriority w:val="1"/>
    <w:qFormat/>
    <w:rsid w:val="00196CF8"/>
    <w:pPr>
      <w:widowControl w:val="0"/>
      <w:autoSpaceDE w:val="0"/>
      <w:autoSpaceDN w:val="0"/>
      <w:spacing w:after="0" w:line="240" w:lineRule="auto"/>
      <w:ind w:left="860"/>
      <w:jc w:val="both"/>
    </w:pPr>
    <w:rPr>
      <w:rFonts w:ascii="Verdana" w:eastAsia="Verdana" w:hAnsi="Verdana" w:cs="Verdana"/>
      <w:sz w:val="20"/>
      <w:szCs w:val="20"/>
      <w:lang w:bidi="en-US"/>
    </w:rPr>
  </w:style>
  <w:style w:type="character" w:customStyle="1" w:styleId="TekstpodstawowyZnak">
    <w:name w:val="Tekst podstawowy Znak"/>
    <w:basedOn w:val="Domylnaczcionkaakapitu"/>
    <w:link w:val="Tekstpodstawowy"/>
    <w:uiPriority w:val="1"/>
    <w:rsid w:val="00196CF8"/>
    <w:rPr>
      <w:rFonts w:ascii="Verdana" w:eastAsia="Verdana" w:hAnsi="Verdana" w:cs="Verdana"/>
      <w:sz w:val="20"/>
      <w:szCs w:val="20"/>
      <w:lang w:bidi="en-US"/>
    </w:rPr>
  </w:style>
  <w:style w:type="character" w:styleId="Hipercze">
    <w:name w:val="Hyperlink"/>
    <w:basedOn w:val="Domylnaczcionkaakapitu"/>
    <w:uiPriority w:val="99"/>
    <w:unhideWhenUsed/>
    <w:rsid w:val="00196CF8"/>
    <w:rPr>
      <w:color w:val="0563C1" w:themeColor="hyperlink"/>
      <w:u w:val="single"/>
    </w:rPr>
  </w:style>
  <w:style w:type="character" w:styleId="Nierozpoznanawzmianka">
    <w:name w:val="Unresolved Mention"/>
    <w:basedOn w:val="Domylnaczcionkaakapitu"/>
    <w:uiPriority w:val="99"/>
    <w:semiHidden/>
    <w:unhideWhenUsed/>
    <w:rsid w:val="005D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290">
      <w:bodyDiv w:val="1"/>
      <w:marLeft w:val="0"/>
      <w:marRight w:val="0"/>
      <w:marTop w:val="0"/>
      <w:marBottom w:val="0"/>
      <w:divBdr>
        <w:top w:val="none" w:sz="0" w:space="0" w:color="auto"/>
        <w:left w:val="none" w:sz="0" w:space="0" w:color="auto"/>
        <w:bottom w:val="none" w:sz="0" w:space="0" w:color="auto"/>
        <w:right w:val="none" w:sz="0" w:space="0" w:color="auto"/>
      </w:divBdr>
    </w:div>
    <w:div w:id="109978987">
      <w:bodyDiv w:val="1"/>
      <w:marLeft w:val="0"/>
      <w:marRight w:val="0"/>
      <w:marTop w:val="0"/>
      <w:marBottom w:val="0"/>
      <w:divBdr>
        <w:top w:val="none" w:sz="0" w:space="0" w:color="auto"/>
        <w:left w:val="none" w:sz="0" w:space="0" w:color="auto"/>
        <w:bottom w:val="none" w:sz="0" w:space="0" w:color="auto"/>
        <w:right w:val="none" w:sz="0" w:space="0" w:color="auto"/>
      </w:divBdr>
      <w:divsChild>
        <w:div w:id="540823446">
          <w:marLeft w:val="0"/>
          <w:marRight w:val="0"/>
          <w:marTop w:val="0"/>
          <w:marBottom w:val="0"/>
          <w:divBdr>
            <w:top w:val="none" w:sz="0" w:space="0" w:color="auto"/>
            <w:left w:val="none" w:sz="0" w:space="0" w:color="auto"/>
            <w:bottom w:val="none" w:sz="0" w:space="0" w:color="auto"/>
            <w:right w:val="none" w:sz="0" w:space="0" w:color="auto"/>
          </w:divBdr>
        </w:div>
        <w:div w:id="1220242901">
          <w:marLeft w:val="0"/>
          <w:marRight w:val="0"/>
          <w:marTop w:val="0"/>
          <w:marBottom w:val="0"/>
          <w:divBdr>
            <w:top w:val="none" w:sz="0" w:space="0" w:color="auto"/>
            <w:left w:val="none" w:sz="0" w:space="0" w:color="auto"/>
            <w:bottom w:val="none" w:sz="0" w:space="0" w:color="auto"/>
            <w:right w:val="none" w:sz="0" w:space="0" w:color="auto"/>
          </w:divBdr>
        </w:div>
        <w:div w:id="918028464">
          <w:marLeft w:val="0"/>
          <w:marRight w:val="0"/>
          <w:marTop w:val="0"/>
          <w:marBottom w:val="0"/>
          <w:divBdr>
            <w:top w:val="none" w:sz="0" w:space="0" w:color="auto"/>
            <w:left w:val="none" w:sz="0" w:space="0" w:color="auto"/>
            <w:bottom w:val="none" w:sz="0" w:space="0" w:color="auto"/>
            <w:right w:val="none" w:sz="0" w:space="0" w:color="auto"/>
          </w:divBdr>
        </w:div>
        <w:div w:id="1486701470">
          <w:marLeft w:val="0"/>
          <w:marRight w:val="0"/>
          <w:marTop w:val="0"/>
          <w:marBottom w:val="0"/>
          <w:divBdr>
            <w:top w:val="none" w:sz="0" w:space="0" w:color="auto"/>
            <w:left w:val="none" w:sz="0" w:space="0" w:color="auto"/>
            <w:bottom w:val="none" w:sz="0" w:space="0" w:color="auto"/>
            <w:right w:val="none" w:sz="0" w:space="0" w:color="auto"/>
          </w:divBdr>
        </w:div>
        <w:div w:id="449204083">
          <w:marLeft w:val="0"/>
          <w:marRight w:val="0"/>
          <w:marTop w:val="0"/>
          <w:marBottom w:val="0"/>
          <w:divBdr>
            <w:top w:val="none" w:sz="0" w:space="0" w:color="auto"/>
            <w:left w:val="none" w:sz="0" w:space="0" w:color="auto"/>
            <w:bottom w:val="none" w:sz="0" w:space="0" w:color="auto"/>
            <w:right w:val="none" w:sz="0" w:space="0" w:color="auto"/>
          </w:divBdr>
        </w:div>
        <w:div w:id="562764886">
          <w:marLeft w:val="0"/>
          <w:marRight w:val="0"/>
          <w:marTop w:val="0"/>
          <w:marBottom w:val="0"/>
          <w:divBdr>
            <w:top w:val="none" w:sz="0" w:space="0" w:color="auto"/>
            <w:left w:val="none" w:sz="0" w:space="0" w:color="auto"/>
            <w:bottom w:val="none" w:sz="0" w:space="0" w:color="auto"/>
            <w:right w:val="none" w:sz="0" w:space="0" w:color="auto"/>
          </w:divBdr>
        </w:div>
        <w:div w:id="513421147">
          <w:marLeft w:val="0"/>
          <w:marRight w:val="0"/>
          <w:marTop w:val="0"/>
          <w:marBottom w:val="0"/>
          <w:divBdr>
            <w:top w:val="none" w:sz="0" w:space="0" w:color="auto"/>
            <w:left w:val="none" w:sz="0" w:space="0" w:color="auto"/>
            <w:bottom w:val="none" w:sz="0" w:space="0" w:color="auto"/>
            <w:right w:val="none" w:sz="0" w:space="0" w:color="auto"/>
          </w:divBdr>
        </w:div>
        <w:div w:id="1251964847">
          <w:marLeft w:val="0"/>
          <w:marRight w:val="0"/>
          <w:marTop w:val="0"/>
          <w:marBottom w:val="0"/>
          <w:divBdr>
            <w:top w:val="none" w:sz="0" w:space="0" w:color="auto"/>
            <w:left w:val="none" w:sz="0" w:space="0" w:color="auto"/>
            <w:bottom w:val="none" w:sz="0" w:space="0" w:color="auto"/>
            <w:right w:val="none" w:sz="0" w:space="0" w:color="auto"/>
          </w:divBdr>
        </w:div>
        <w:div w:id="257173822">
          <w:marLeft w:val="0"/>
          <w:marRight w:val="0"/>
          <w:marTop w:val="0"/>
          <w:marBottom w:val="0"/>
          <w:divBdr>
            <w:top w:val="none" w:sz="0" w:space="0" w:color="auto"/>
            <w:left w:val="none" w:sz="0" w:space="0" w:color="auto"/>
            <w:bottom w:val="none" w:sz="0" w:space="0" w:color="auto"/>
            <w:right w:val="none" w:sz="0" w:space="0" w:color="auto"/>
          </w:divBdr>
        </w:div>
        <w:div w:id="979844116">
          <w:marLeft w:val="0"/>
          <w:marRight w:val="0"/>
          <w:marTop w:val="0"/>
          <w:marBottom w:val="0"/>
          <w:divBdr>
            <w:top w:val="none" w:sz="0" w:space="0" w:color="auto"/>
            <w:left w:val="none" w:sz="0" w:space="0" w:color="auto"/>
            <w:bottom w:val="none" w:sz="0" w:space="0" w:color="auto"/>
            <w:right w:val="none" w:sz="0" w:space="0" w:color="auto"/>
          </w:divBdr>
        </w:div>
        <w:div w:id="1675570128">
          <w:marLeft w:val="0"/>
          <w:marRight w:val="0"/>
          <w:marTop w:val="0"/>
          <w:marBottom w:val="0"/>
          <w:divBdr>
            <w:top w:val="none" w:sz="0" w:space="0" w:color="auto"/>
            <w:left w:val="none" w:sz="0" w:space="0" w:color="auto"/>
            <w:bottom w:val="none" w:sz="0" w:space="0" w:color="auto"/>
            <w:right w:val="none" w:sz="0" w:space="0" w:color="auto"/>
          </w:divBdr>
        </w:div>
        <w:div w:id="1613125848">
          <w:marLeft w:val="0"/>
          <w:marRight w:val="0"/>
          <w:marTop w:val="0"/>
          <w:marBottom w:val="0"/>
          <w:divBdr>
            <w:top w:val="none" w:sz="0" w:space="0" w:color="auto"/>
            <w:left w:val="none" w:sz="0" w:space="0" w:color="auto"/>
            <w:bottom w:val="none" w:sz="0" w:space="0" w:color="auto"/>
            <w:right w:val="none" w:sz="0" w:space="0" w:color="auto"/>
          </w:divBdr>
        </w:div>
        <w:div w:id="1857034633">
          <w:marLeft w:val="0"/>
          <w:marRight w:val="0"/>
          <w:marTop w:val="0"/>
          <w:marBottom w:val="0"/>
          <w:divBdr>
            <w:top w:val="none" w:sz="0" w:space="0" w:color="auto"/>
            <w:left w:val="none" w:sz="0" w:space="0" w:color="auto"/>
            <w:bottom w:val="none" w:sz="0" w:space="0" w:color="auto"/>
            <w:right w:val="none" w:sz="0" w:space="0" w:color="auto"/>
          </w:divBdr>
        </w:div>
        <w:div w:id="621308464">
          <w:marLeft w:val="0"/>
          <w:marRight w:val="0"/>
          <w:marTop w:val="0"/>
          <w:marBottom w:val="0"/>
          <w:divBdr>
            <w:top w:val="none" w:sz="0" w:space="0" w:color="auto"/>
            <w:left w:val="none" w:sz="0" w:space="0" w:color="auto"/>
            <w:bottom w:val="none" w:sz="0" w:space="0" w:color="auto"/>
            <w:right w:val="none" w:sz="0" w:space="0" w:color="auto"/>
          </w:divBdr>
        </w:div>
        <w:div w:id="1770661136">
          <w:marLeft w:val="0"/>
          <w:marRight w:val="0"/>
          <w:marTop w:val="0"/>
          <w:marBottom w:val="0"/>
          <w:divBdr>
            <w:top w:val="none" w:sz="0" w:space="0" w:color="auto"/>
            <w:left w:val="none" w:sz="0" w:space="0" w:color="auto"/>
            <w:bottom w:val="none" w:sz="0" w:space="0" w:color="auto"/>
            <w:right w:val="none" w:sz="0" w:space="0" w:color="auto"/>
          </w:divBdr>
        </w:div>
        <w:div w:id="1508867217">
          <w:marLeft w:val="0"/>
          <w:marRight w:val="0"/>
          <w:marTop w:val="0"/>
          <w:marBottom w:val="0"/>
          <w:divBdr>
            <w:top w:val="none" w:sz="0" w:space="0" w:color="auto"/>
            <w:left w:val="none" w:sz="0" w:space="0" w:color="auto"/>
            <w:bottom w:val="none" w:sz="0" w:space="0" w:color="auto"/>
            <w:right w:val="none" w:sz="0" w:space="0" w:color="auto"/>
          </w:divBdr>
        </w:div>
        <w:div w:id="54934212">
          <w:marLeft w:val="0"/>
          <w:marRight w:val="0"/>
          <w:marTop w:val="0"/>
          <w:marBottom w:val="0"/>
          <w:divBdr>
            <w:top w:val="none" w:sz="0" w:space="0" w:color="auto"/>
            <w:left w:val="none" w:sz="0" w:space="0" w:color="auto"/>
            <w:bottom w:val="none" w:sz="0" w:space="0" w:color="auto"/>
            <w:right w:val="none" w:sz="0" w:space="0" w:color="auto"/>
          </w:divBdr>
        </w:div>
        <w:div w:id="2036155738">
          <w:marLeft w:val="0"/>
          <w:marRight w:val="0"/>
          <w:marTop w:val="0"/>
          <w:marBottom w:val="0"/>
          <w:divBdr>
            <w:top w:val="none" w:sz="0" w:space="0" w:color="auto"/>
            <w:left w:val="none" w:sz="0" w:space="0" w:color="auto"/>
            <w:bottom w:val="none" w:sz="0" w:space="0" w:color="auto"/>
            <w:right w:val="none" w:sz="0" w:space="0" w:color="auto"/>
          </w:divBdr>
        </w:div>
        <w:div w:id="595753428">
          <w:marLeft w:val="0"/>
          <w:marRight w:val="0"/>
          <w:marTop w:val="0"/>
          <w:marBottom w:val="0"/>
          <w:divBdr>
            <w:top w:val="none" w:sz="0" w:space="0" w:color="auto"/>
            <w:left w:val="none" w:sz="0" w:space="0" w:color="auto"/>
            <w:bottom w:val="none" w:sz="0" w:space="0" w:color="auto"/>
            <w:right w:val="none" w:sz="0" w:space="0" w:color="auto"/>
          </w:divBdr>
        </w:div>
        <w:div w:id="1535383361">
          <w:marLeft w:val="0"/>
          <w:marRight w:val="0"/>
          <w:marTop w:val="0"/>
          <w:marBottom w:val="0"/>
          <w:divBdr>
            <w:top w:val="none" w:sz="0" w:space="0" w:color="auto"/>
            <w:left w:val="none" w:sz="0" w:space="0" w:color="auto"/>
            <w:bottom w:val="none" w:sz="0" w:space="0" w:color="auto"/>
            <w:right w:val="none" w:sz="0" w:space="0" w:color="auto"/>
          </w:divBdr>
        </w:div>
        <w:div w:id="911157448">
          <w:marLeft w:val="0"/>
          <w:marRight w:val="0"/>
          <w:marTop w:val="0"/>
          <w:marBottom w:val="0"/>
          <w:divBdr>
            <w:top w:val="none" w:sz="0" w:space="0" w:color="auto"/>
            <w:left w:val="none" w:sz="0" w:space="0" w:color="auto"/>
            <w:bottom w:val="none" w:sz="0" w:space="0" w:color="auto"/>
            <w:right w:val="none" w:sz="0" w:space="0" w:color="auto"/>
          </w:divBdr>
        </w:div>
        <w:div w:id="376588346">
          <w:marLeft w:val="0"/>
          <w:marRight w:val="0"/>
          <w:marTop w:val="0"/>
          <w:marBottom w:val="0"/>
          <w:divBdr>
            <w:top w:val="none" w:sz="0" w:space="0" w:color="auto"/>
            <w:left w:val="none" w:sz="0" w:space="0" w:color="auto"/>
            <w:bottom w:val="none" w:sz="0" w:space="0" w:color="auto"/>
            <w:right w:val="none" w:sz="0" w:space="0" w:color="auto"/>
          </w:divBdr>
        </w:div>
        <w:div w:id="1944608080">
          <w:marLeft w:val="0"/>
          <w:marRight w:val="0"/>
          <w:marTop w:val="0"/>
          <w:marBottom w:val="0"/>
          <w:divBdr>
            <w:top w:val="none" w:sz="0" w:space="0" w:color="auto"/>
            <w:left w:val="none" w:sz="0" w:space="0" w:color="auto"/>
            <w:bottom w:val="none" w:sz="0" w:space="0" w:color="auto"/>
            <w:right w:val="none" w:sz="0" w:space="0" w:color="auto"/>
          </w:divBdr>
        </w:div>
        <w:div w:id="1914965778">
          <w:marLeft w:val="0"/>
          <w:marRight w:val="0"/>
          <w:marTop w:val="0"/>
          <w:marBottom w:val="0"/>
          <w:divBdr>
            <w:top w:val="none" w:sz="0" w:space="0" w:color="auto"/>
            <w:left w:val="none" w:sz="0" w:space="0" w:color="auto"/>
            <w:bottom w:val="none" w:sz="0" w:space="0" w:color="auto"/>
            <w:right w:val="none" w:sz="0" w:space="0" w:color="auto"/>
          </w:divBdr>
        </w:div>
        <w:div w:id="657150053">
          <w:marLeft w:val="0"/>
          <w:marRight w:val="0"/>
          <w:marTop w:val="0"/>
          <w:marBottom w:val="0"/>
          <w:divBdr>
            <w:top w:val="none" w:sz="0" w:space="0" w:color="auto"/>
            <w:left w:val="none" w:sz="0" w:space="0" w:color="auto"/>
            <w:bottom w:val="none" w:sz="0" w:space="0" w:color="auto"/>
            <w:right w:val="none" w:sz="0" w:space="0" w:color="auto"/>
          </w:divBdr>
        </w:div>
        <w:div w:id="1161432796">
          <w:marLeft w:val="0"/>
          <w:marRight w:val="0"/>
          <w:marTop w:val="0"/>
          <w:marBottom w:val="0"/>
          <w:divBdr>
            <w:top w:val="none" w:sz="0" w:space="0" w:color="auto"/>
            <w:left w:val="none" w:sz="0" w:space="0" w:color="auto"/>
            <w:bottom w:val="none" w:sz="0" w:space="0" w:color="auto"/>
            <w:right w:val="none" w:sz="0" w:space="0" w:color="auto"/>
          </w:divBdr>
        </w:div>
        <w:div w:id="233664360">
          <w:marLeft w:val="0"/>
          <w:marRight w:val="0"/>
          <w:marTop w:val="0"/>
          <w:marBottom w:val="0"/>
          <w:divBdr>
            <w:top w:val="none" w:sz="0" w:space="0" w:color="auto"/>
            <w:left w:val="none" w:sz="0" w:space="0" w:color="auto"/>
            <w:bottom w:val="none" w:sz="0" w:space="0" w:color="auto"/>
            <w:right w:val="none" w:sz="0" w:space="0" w:color="auto"/>
          </w:divBdr>
        </w:div>
        <w:div w:id="294650985">
          <w:marLeft w:val="0"/>
          <w:marRight w:val="0"/>
          <w:marTop w:val="0"/>
          <w:marBottom w:val="0"/>
          <w:divBdr>
            <w:top w:val="none" w:sz="0" w:space="0" w:color="auto"/>
            <w:left w:val="none" w:sz="0" w:space="0" w:color="auto"/>
            <w:bottom w:val="none" w:sz="0" w:space="0" w:color="auto"/>
            <w:right w:val="none" w:sz="0" w:space="0" w:color="auto"/>
          </w:divBdr>
        </w:div>
        <w:div w:id="1060707288">
          <w:marLeft w:val="0"/>
          <w:marRight w:val="0"/>
          <w:marTop w:val="0"/>
          <w:marBottom w:val="0"/>
          <w:divBdr>
            <w:top w:val="none" w:sz="0" w:space="0" w:color="auto"/>
            <w:left w:val="none" w:sz="0" w:space="0" w:color="auto"/>
            <w:bottom w:val="none" w:sz="0" w:space="0" w:color="auto"/>
            <w:right w:val="none" w:sz="0" w:space="0" w:color="auto"/>
          </w:divBdr>
        </w:div>
        <w:div w:id="1091045175">
          <w:marLeft w:val="0"/>
          <w:marRight w:val="0"/>
          <w:marTop w:val="0"/>
          <w:marBottom w:val="0"/>
          <w:divBdr>
            <w:top w:val="none" w:sz="0" w:space="0" w:color="auto"/>
            <w:left w:val="none" w:sz="0" w:space="0" w:color="auto"/>
            <w:bottom w:val="none" w:sz="0" w:space="0" w:color="auto"/>
            <w:right w:val="none" w:sz="0" w:space="0" w:color="auto"/>
          </w:divBdr>
        </w:div>
        <w:div w:id="1484853114">
          <w:marLeft w:val="0"/>
          <w:marRight w:val="0"/>
          <w:marTop w:val="0"/>
          <w:marBottom w:val="0"/>
          <w:divBdr>
            <w:top w:val="none" w:sz="0" w:space="0" w:color="auto"/>
            <w:left w:val="none" w:sz="0" w:space="0" w:color="auto"/>
            <w:bottom w:val="none" w:sz="0" w:space="0" w:color="auto"/>
            <w:right w:val="none" w:sz="0" w:space="0" w:color="auto"/>
          </w:divBdr>
        </w:div>
        <w:div w:id="1204558393">
          <w:marLeft w:val="0"/>
          <w:marRight w:val="0"/>
          <w:marTop w:val="0"/>
          <w:marBottom w:val="0"/>
          <w:divBdr>
            <w:top w:val="none" w:sz="0" w:space="0" w:color="auto"/>
            <w:left w:val="none" w:sz="0" w:space="0" w:color="auto"/>
            <w:bottom w:val="none" w:sz="0" w:space="0" w:color="auto"/>
            <w:right w:val="none" w:sz="0" w:space="0" w:color="auto"/>
          </w:divBdr>
        </w:div>
        <w:div w:id="330330127">
          <w:marLeft w:val="0"/>
          <w:marRight w:val="0"/>
          <w:marTop w:val="0"/>
          <w:marBottom w:val="0"/>
          <w:divBdr>
            <w:top w:val="none" w:sz="0" w:space="0" w:color="auto"/>
            <w:left w:val="none" w:sz="0" w:space="0" w:color="auto"/>
            <w:bottom w:val="none" w:sz="0" w:space="0" w:color="auto"/>
            <w:right w:val="none" w:sz="0" w:space="0" w:color="auto"/>
          </w:divBdr>
        </w:div>
        <w:div w:id="396174074">
          <w:marLeft w:val="0"/>
          <w:marRight w:val="0"/>
          <w:marTop w:val="0"/>
          <w:marBottom w:val="0"/>
          <w:divBdr>
            <w:top w:val="none" w:sz="0" w:space="0" w:color="auto"/>
            <w:left w:val="none" w:sz="0" w:space="0" w:color="auto"/>
            <w:bottom w:val="none" w:sz="0" w:space="0" w:color="auto"/>
            <w:right w:val="none" w:sz="0" w:space="0" w:color="auto"/>
          </w:divBdr>
        </w:div>
        <w:div w:id="1402676387">
          <w:marLeft w:val="0"/>
          <w:marRight w:val="0"/>
          <w:marTop w:val="0"/>
          <w:marBottom w:val="0"/>
          <w:divBdr>
            <w:top w:val="none" w:sz="0" w:space="0" w:color="auto"/>
            <w:left w:val="none" w:sz="0" w:space="0" w:color="auto"/>
            <w:bottom w:val="none" w:sz="0" w:space="0" w:color="auto"/>
            <w:right w:val="none" w:sz="0" w:space="0" w:color="auto"/>
          </w:divBdr>
        </w:div>
        <w:div w:id="351106205">
          <w:marLeft w:val="0"/>
          <w:marRight w:val="0"/>
          <w:marTop w:val="0"/>
          <w:marBottom w:val="0"/>
          <w:divBdr>
            <w:top w:val="none" w:sz="0" w:space="0" w:color="auto"/>
            <w:left w:val="none" w:sz="0" w:space="0" w:color="auto"/>
            <w:bottom w:val="none" w:sz="0" w:space="0" w:color="auto"/>
            <w:right w:val="none" w:sz="0" w:space="0" w:color="auto"/>
          </w:divBdr>
        </w:div>
        <w:div w:id="1721052211">
          <w:marLeft w:val="0"/>
          <w:marRight w:val="0"/>
          <w:marTop w:val="0"/>
          <w:marBottom w:val="0"/>
          <w:divBdr>
            <w:top w:val="none" w:sz="0" w:space="0" w:color="auto"/>
            <w:left w:val="none" w:sz="0" w:space="0" w:color="auto"/>
            <w:bottom w:val="none" w:sz="0" w:space="0" w:color="auto"/>
            <w:right w:val="none" w:sz="0" w:space="0" w:color="auto"/>
          </w:divBdr>
        </w:div>
        <w:div w:id="721488078">
          <w:marLeft w:val="0"/>
          <w:marRight w:val="0"/>
          <w:marTop w:val="0"/>
          <w:marBottom w:val="0"/>
          <w:divBdr>
            <w:top w:val="none" w:sz="0" w:space="0" w:color="auto"/>
            <w:left w:val="none" w:sz="0" w:space="0" w:color="auto"/>
            <w:bottom w:val="none" w:sz="0" w:space="0" w:color="auto"/>
            <w:right w:val="none" w:sz="0" w:space="0" w:color="auto"/>
          </w:divBdr>
        </w:div>
        <w:div w:id="1203831296">
          <w:marLeft w:val="0"/>
          <w:marRight w:val="0"/>
          <w:marTop w:val="0"/>
          <w:marBottom w:val="0"/>
          <w:divBdr>
            <w:top w:val="none" w:sz="0" w:space="0" w:color="auto"/>
            <w:left w:val="none" w:sz="0" w:space="0" w:color="auto"/>
            <w:bottom w:val="none" w:sz="0" w:space="0" w:color="auto"/>
            <w:right w:val="none" w:sz="0" w:space="0" w:color="auto"/>
          </w:divBdr>
        </w:div>
        <w:div w:id="940576189">
          <w:marLeft w:val="0"/>
          <w:marRight w:val="0"/>
          <w:marTop w:val="0"/>
          <w:marBottom w:val="0"/>
          <w:divBdr>
            <w:top w:val="none" w:sz="0" w:space="0" w:color="auto"/>
            <w:left w:val="none" w:sz="0" w:space="0" w:color="auto"/>
            <w:bottom w:val="none" w:sz="0" w:space="0" w:color="auto"/>
            <w:right w:val="none" w:sz="0" w:space="0" w:color="auto"/>
          </w:divBdr>
        </w:div>
        <w:div w:id="308554924">
          <w:marLeft w:val="0"/>
          <w:marRight w:val="0"/>
          <w:marTop w:val="0"/>
          <w:marBottom w:val="0"/>
          <w:divBdr>
            <w:top w:val="none" w:sz="0" w:space="0" w:color="auto"/>
            <w:left w:val="none" w:sz="0" w:space="0" w:color="auto"/>
            <w:bottom w:val="none" w:sz="0" w:space="0" w:color="auto"/>
            <w:right w:val="none" w:sz="0" w:space="0" w:color="auto"/>
          </w:divBdr>
        </w:div>
        <w:div w:id="1397045662">
          <w:marLeft w:val="0"/>
          <w:marRight w:val="0"/>
          <w:marTop w:val="0"/>
          <w:marBottom w:val="0"/>
          <w:divBdr>
            <w:top w:val="none" w:sz="0" w:space="0" w:color="auto"/>
            <w:left w:val="none" w:sz="0" w:space="0" w:color="auto"/>
            <w:bottom w:val="none" w:sz="0" w:space="0" w:color="auto"/>
            <w:right w:val="none" w:sz="0" w:space="0" w:color="auto"/>
          </w:divBdr>
        </w:div>
        <w:div w:id="1986465726">
          <w:marLeft w:val="0"/>
          <w:marRight w:val="0"/>
          <w:marTop w:val="0"/>
          <w:marBottom w:val="0"/>
          <w:divBdr>
            <w:top w:val="none" w:sz="0" w:space="0" w:color="auto"/>
            <w:left w:val="none" w:sz="0" w:space="0" w:color="auto"/>
            <w:bottom w:val="none" w:sz="0" w:space="0" w:color="auto"/>
            <w:right w:val="none" w:sz="0" w:space="0" w:color="auto"/>
          </w:divBdr>
        </w:div>
        <w:div w:id="145363040">
          <w:marLeft w:val="0"/>
          <w:marRight w:val="0"/>
          <w:marTop w:val="0"/>
          <w:marBottom w:val="0"/>
          <w:divBdr>
            <w:top w:val="none" w:sz="0" w:space="0" w:color="auto"/>
            <w:left w:val="none" w:sz="0" w:space="0" w:color="auto"/>
            <w:bottom w:val="none" w:sz="0" w:space="0" w:color="auto"/>
            <w:right w:val="none" w:sz="0" w:space="0" w:color="auto"/>
          </w:divBdr>
        </w:div>
        <w:div w:id="826287700">
          <w:marLeft w:val="0"/>
          <w:marRight w:val="0"/>
          <w:marTop w:val="0"/>
          <w:marBottom w:val="0"/>
          <w:divBdr>
            <w:top w:val="none" w:sz="0" w:space="0" w:color="auto"/>
            <w:left w:val="none" w:sz="0" w:space="0" w:color="auto"/>
            <w:bottom w:val="none" w:sz="0" w:space="0" w:color="auto"/>
            <w:right w:val="none" w:sz="0" w:space="0" w:color="auto"/>
          </w:divBdr>
        </w:div>
        <w:div w:id="81951178">
          <w:marLeft w:val="0"/>
          <w:marRight w:val="0"/>
          <w:marTop w:val="0"/>
          <w:marBottom w:val="0"/>
          <w:divBdr>
            <w:top w:val="none" w:sz="0" w:space="0" w:color="auto"/>
            <w:left w:val="none" w:sz="0" w:space="0" w:color="auto"/>
            <w:bottom w:val="none" w:sz="0" w:space="0" w:color="auto"/>
            <w:right w:val="none" w:sz="0" w:space="0" w:color="auto"/>
          </w:divBdr>
        </w:div>
        <w:div w:id="1732343580">
          <w:marLeft w:val="0"/>
          <w:marRight w:val="0"/>
          <w:marTop w:val="0"/>
          <w:marBottom w:val="0"/>
          <w:divBdr>
            <w:top w:val="none" w:sz="0" w:space="0" w:color="auto"/>
            <w:left w:val="none" w:sz="0" w:space="0" w:color="auto"/>
            <w:bottom w:val="none" w:sz="0" w:space="0" w:color="auto"/>
            <w:right w:val="none" w:sz="0" w:space="0" w:color="auto"/>
          </w:divBdr>
        </w:div>
        <w:div w:id="496967622">
          <w:marLeft w:val="0"/>
          <w:marRight w:val="0"/>
          <w:marTop w:val="0"/>
          <w:marBottom w:val="0"/>
          <w:divBdr>
            <w:top w:val="none" w:sz="0" w:space="0" w:color="auto"/>
            <w:left w:val="none" w:sz="0" w:space="0" w:color="auto"/>
            <w:bottom w:val="none" w:sz="0" w:space="0" w:color="auto"/>
            <w:right w:val="none" w:sz="0" w:space="0" w:color="auto"/>
          </w:divBdr>
        </w:div>
        <w:div w:id="288171846">
          <w:marLeft w:val="0"/>
          <w:marRight w:val="0"/>
          <w:marTop w:val="0"/>
          <w:marBottom w:val="0"/>
          <w:divBdr>
            <w:top w:val="none" w:sz="0" w:space="0" w:color="auto"/>
            <w:left w:val="none" w:sz="0" w:space="0" w:color="auto"/>
            <w:bottom w:val="none" w:sz="0" w:space="0" w:color="auto"/>
            <w:right w:val="none" w:sz="0" w:space="0" w:color="auto"/>
          </w:divBdr>
        </w:div>
        <w:div w:id="1116291187">
          <w:marLeft w:val="0"/>
          <w:marRight w:val="0"/>
          <w:marTop w:val="0"/>
          <w:marBottom w:val="0"/>
          <w:divBdr>
            <w:top w:val="none" w:sz="0" w:space="0" w:color="auto"/>
            <w:left w:val="none" w:sz="0" w:space="0" w:color="auto"/>
            <w:bottom w:val="none" w:sz="0" w:space="0" w:color="auto"/>
            <w:right w:val="none" w:sz="0" w:space="0" w:color="auto"/>
          </w:divBdr>
        </w:div>
      </w:divsChild>
    </w:div>
    <w:div w:id="251472800">
      <w:bodyDiv w:val="1"/>
      <w:marLeft w:val="0"/>
      <w:marRight w:val="0"/>
      <w:marTop w:val="0"/>
      <w:marBottom w:val="0"/>
      <w:divBdr>
        <w:top w:val="none" w:sz="0" w:space="0" w:color="auto"/>
        <w:left w:val="none" w:sz="0" w:space="0" w:color="auto"/>
        <w:bottom w:val="none" w:sz="0" w:space="0" w:color="auto"/>
        <w:right w:val="none" w:sz="0" w:space="0" w:color="auto"/>
      </w:divBdr>
      <w:divsChild>
        <w:div w:id="547306930">
          <w:marLeft w:val="0"/>
          <w:marRight w:val="0"/>
          <w:marTop w:val="0"/>
          <w:marBottom w:val="0"/>
          <w:divBdr>
            <w:top w:val="none" w:sz="0" w:space="0" w:color="auto"/>
            <w:left w:val="none" w:sz="0" w:space="0" w:color="auto"/>
            <w:bottom w:val="none" w:sz="0" w:space="0" w:color="auto"/>
            <w:right w:val="none" w:sz="0" w:space="0" w:color="auto"/>
          </w:divBdr>
        </w:div>
        <w:div w:id="53506635">
          <w:marLeft w:val="0"/>
          <w:marRight w:val="0"/>
          <w:marTop w:val="0"/>
          <w:marBottom w:val="0"/>
          <w:divBdr>
            <w:top w:val="none" w:sz="0" w:space="0" w:color="auto"/>
            <w:left w:val="none" w:sz="0" w:space="0" w:color="auto"/>
            <w:bottom w:val="none" w:sz="0" w:space="0" w:color="auto"/>
            <w:right w:val="none" w:sz="0" w:space="0" w:color="auto"/>
          </w:divBdr>
        </w:div>
        <w:div w:id="1330985737">
          <w:marLeft w:val="0"/>
          <w:marRight w:val="0"/>
          <w:marTop w:val="0"/>
          <w:marBottom w:val="0"/>
          <w:divBdr>
            <w:top w:val="none" w:sz="0" w:space="0" w:color="auto"/>
            <w:left w:val="none" w:sz="0" w:space="0" w:color="auto"/>
            <w:bottom w:val="none" w:sz="0" w:space="0" w:color="auto"/>
            <w:right w:val="none" w:sz="0" w:space="0" w:color="auto"/>
          </w:divBdr>
        </w:div>
        <w:div w:id="1838305118">
          <w:marLeft w:val="0"/>
          <w:marRight w:val="0"/>
          <w:marTop w:val="0"/>
          <w:marBottom w:val="0"/>
          <w:divBdr>
            <w:top w:val="none" w:sz="0" w:space="0" w:color="auto"/>
            <w:left w:val="none" w:sz="0" w:space="0" w:color="auto"/>
            <w:bottom w:val="none" w:sz="0" w:space="0" w:color="auto"/>
            <w:right w:val="none" w:sz="0" w:space="0" w:color="auto"/>
          </w:divBdr>
        </w:div>
        <w:div w:id="2069836917">
          <w:marLeft w:val="0"/>
          <w:marRight w:val="0"/>
          <w:marTop w:val="0"/>
          <w:marBottom w:val="0"/>
          <w:divBdr>
            <w:top w:val="none" w:sz="0" w:space="0" w:color="auto"/>
            <w:left w:val="none" w:sz="0" w:space="0" w:color="auto"/>
            <w:bottom w:val="none" w:sz="0" w:space="0" w:color="auto"/>
            <w:right w:val="none" w:sz="0" w:space="0" w:color="auto"/>
          </w:divBdr>
        </w:div>
      </w:divsChild>
    </w:div>
    <w:div w:id="346518676">
      <w:bodyDiv w:val="1"/>
      <w:marLeft w:val="0"/>
      <w:marRight w:val="0"/>
      <w:marTop w:val="0"/>
      <w:marBottom w:val="0"/>
      <w:divBdr>
        <w:top w:val="none" w:sz="0" w:space="0" w:color="auto"/>
        <w:left w:val="none" w:sz="0" w:space="0" w:color="auto"/>
        <w:bottom w:val="none" w:sz="0" w:space="0" w:color="auto"/>
        <w:right w:val="none" w:sz="0" w:space="0" w:color="auto"/>
      </w:divBdr>
      <w:divsChild>
        <w:div w:id="1096560674">
          <w:marLeft w:val="0"/>
          <w:marRight w:val="0"/>
          <w:marTop w:val="0"/>
          <w:marBottom w:val="0"/>
          <w:divBdr>
            <w:top w:val="none" w:sz="0" w:space="0" w:color="auto"/>
            <w:left w:val="none" w:sz="0" w:space="0" w:color="auto"/>
            <w:bottom w:val="none" w:sz="0" w:space="0" w:color="auto"/>
            <w:right w:val="none" w:sz="0" w:space="0" w:color="auto"/>
          </w:divBdr>
        </w:div>
      </w:divsChild>
    </w:div>
    <w:div w:id="946233349">
      <w:bodyDiv w:val="1"/>
      <w:marLeft w:val="0"/>
      <w:marRight w:val="0"/>
      <w:marTop w:val="0"/>
      <w:marBottom w:val="0"/>
      <w:divBdr>
        <w:top w:val="none" w:sz="0" w:space="0" w:color="auto"/>
        <w:left w:val="none" w:sz="0" w:space="0" w:color="auto"/>
        <w:bottom w:val="none" w:sz="0" w:space="0" w:color="auto"/>
        <w:right w:val="none" w:sz="0" w:space="0" w:color="auto"/>
      </w:divBdr>
    </w:div>
    <w:div w:id="1200780566">
      <w:bodyDiv w:val="1"/>
      <w:marLeft w:val="0"/>
      <w:marRight w:val="0"/>
      <w:marTop w:val="0"/>
      <w:marBottom w:val="0"/>
      <w:divBdr>
        <w:top w:val="none" w:sz="0" w:space="0" w:color="auto"/>
        <w:left w:val="none" w:sz="0" w:space="0" w:color="auto"/>
        <w:bottom w:val="none" w:sz="0" w:space="0" w:color="auto"/>
        <w:right w:val="none" w:sz="0" w:space="0" w:color="auto"/>
      </w:divBdr>
      <w:divsChild>
        <w:div w:id="1440416336">
          <w:marLeft w:val="0"/>
          <w:marRight w:val="0"/>
          <w:marTop w:val="0"/>
          <w:marBottom w:val="0"/>
          <w:divBdr>
            <w:top w:val="none" w:sz="0" w:space="0" w:color="auto"/>
            <w:left w:val="none" w:sz="0" w:space="0" w:color="auto"/>
            <w:bottom w:val="none" w:sz="0" w:space="0" w:color="auto"/>
            <w:right w:val="none" w:sz="0" w:space="0" w:color="auto"/>
          </w:divBdr>
        </w:div>
        <w:div w:id="747964871">
          <w:marLeft w:val="0"/>
          <w:marRight w:val="0"/>
          <w:marTop w:val="0"/>
          <w:marBottom w:val="0"/>
          <w:divBdr>
            <w:top w:val="none" w:sz="0" w:space="0" w:color="auto"/>
            <w:left w:val="none" w:sz="0" w:space="0" w:color="auto"/>
            <w:bottom w:val="none" w:sz="0" w:space="0" w:color="auto"/>
            <w:right w:val="none" w:sz="0" w:space="0" w:color="auto"/>
          </w:divBdr>
        </w:div>
        <w:div w:id="425882123">
          <w:marLeft w:val="0"/>
          <w:marRight w:val="0"/>
          <w:marTop w:val="0"/>
          <w:marBottom w:val="0"/>
          <w:divBdr>
            <w:top w:val="none" w:sz="0" w:space="0" w:color="auto"/>
            <w:left w:val="none" w:sz="0" w:space="0" w:color="auto"/>
            <w:bottom w:val="none" w:sz="0" w:space="0" w:color="auto"/>
            <w:right w:val="none" w:sz="0" w:space="0" w:color="auto"/>
          </w:divBdr>
        </w:div>
        <w:div w:id="735397302">
          <w:marLeft w:val="0"/>
          <w:marRight w:val="0"/>
          <w:marTop w:val="0"/>
          <w:marBottom w:val="0"/>
          <w:divBdr>
            <w:top w:val="none" w:sz="0" w:space="0" w:color="auto"/>
            <w:left w:val="none" w:sz="0" w:space="0" w:color="auto"/>
            <w:bottom w:val="none" w:sz="0" w:space="0" w:color="auto"/>
            <w:right w:val="none" w:sz="0" w:space="0" w:color="auto"/>
          </w:divBdr>
        </w:div>
        <w:div w:id="1986397963">
          <w:marLeft w:val="0"/>
          <w:marRight w:val="0"/>
          <w:marTop w:val="0"/>
          <w:marBottom w:val="0"/>
          <w:divBdr>
            <w:top w:val="none" w:sz="0" w:space="0" w:color="auto"/>
            <w:left w:val="none" w:sz="0" w:space="0" w:color="auto"/>
            <w:bottom w:val="none" w:sz="0" w:space="0" w:color="auto"/>
            <w:right w:val="none" w:sz="0" w:space="0" w:color="auto"/>
          </w:divBdr>
        </w:div>
      </w:divsChild>
    </w:div>
    <w:div w:id="1876232408">
      <w:bodyDiv w:val="1"/>
      <w:marLeft w:val="0"/>
      <w:marRight w:val="0"/>
      <w:marTop w:val="0"/>
      <w:marBottom w:val="0"/>
      <w:divBdr>
        <w:top w:val="none" w:sz="0" w:space="0" w:color="auto"/>
        <w:left w:val="none" w:sz="0" w:space="0" w:color="auto"/>
        <w:bottom w:val="none" w:sz="0" w:space="0" w:color="auto"/>
        <w:right w:val="none" w:sz="0" w:space="0" w:color="auto"/>
      </w:divBdr>
      <w:divsChild>
        <w:div w:id="376439667">
          <w:marLeft w:val="0"/>
          <w:marRight w:val="0"/>
          <w:marTop w:val="0"/>
          <w:marBottom w:val="0"/>
          <w:divBdr>
            <w:top w:val="none" w:sz="0" w:space="0" w:color="auto"/>
            <w:left w:val="none" w:sz="0" w:space="0" w:color="auto"/>
            <w:bottom w:val="none" w:sz="0" w:space="0" w:color="auto"/>
            <w:right w:val="none" w:sz="0" w:space="0" w:color="auto"/>
          </w:divBdr>
        </w:div>
        <w:div w:id="1218201620">
          <w:marLeft w:val="0"/>
          <w:marRight w:val="0"/>
          <w:marTop w:val="0"/>
          <w:marBottom w:val="0"/>
          <w:divBdr>
            <w:top w:val="none" w:sz="0" w:space="0" w:color="auto"/>
            <w:left w:val="none" w:sz="0" w:space="0" w:color="auto"/>
            <w:bottom w:val="none" w:sz="0" w:space="0" w:color="auto"/>
            <w:right w:val="none" w:sz="0" w:space="0" w:color="auto"/>
          </w:divBdr>
        </w:div>
        <w:div w:id="1038967767">
          <w:marLeft w:val="0"/>
          <w:marRight w:val="0"/>
          <w:marTop w:val="0"/>
          <w:marBottom w:val="0"/>
          <w:divBdr>
            <w:top w:val="none" w:sz="0" w:space="0" w:color="auto"/>
            <w:left w:val="none" w:sz="0" w:space="0" w:color="auto"/>
            <w:bottom w:val="none" w:sz="0" w:space="0" w:color="auto"/>
            <w:right w:val="none" w:sz="0" w:space="0" w:color="auto"/>
          </w:divBdr>
        </w:div>
        <w:div w:id="1733652916">
          <w:marLeft w:val="0"/>
          <w:marRight w:val="0"/>
          <w:marTop w:val="0"/>
          <w:marBottom w:val="0"/>
          <w:divBdr>
            <w:top w:val="none" w:sz="0" w:space="0" w:color="auto"/>
            <w:left w:val="none" w:sz="0" w:space="0" w:color="auto"/>
            <w:bottom w:val="none" w:sz="0" w:space="0" w:color="auto"/>
            <w:right w:val="none" w:sz="0" w:space="0" w:color="auto"/>
          </w:divBdr>
        </w:div>
        <w:div w:id="673336921">
          <w:marLeft w:val="0"/>
          <w:marRight w:val="0"/>
          <w:marTop w:val="0"/>
          <w:marBottom w:val="0"/>
          <w:divBdr>
            <w:top w:val="none" w:sz="0" w:space="0" w:color="auto"/>
            <w:left w:val="none" w:sz="0" w:space="0" w:color="auto"/>
            <w:bottom w:val="none" w:sz="0" w:space="0" w:color="auto"/>
            <w:right w:val="none" w:sz="0" w:space="0" w:color="auto"/>
          </w:divBdr>
        </w:div>
        <w:div w:id="1201095027">
          <w:marLeft w:val="0"/>
          <w:marRight w:val="0"/>
          <w:marTop w:val="0"/>
          <w:marBottom w:val="0"/>
          <w:divBdr>
            <w:top w:val="none" w:sz="0" w:space="0" w:color="auto"/>
            <w:left w:val="none" w:sz="0" w:space="0" w:color="auto"/>
            <w:bottom w:val="none" w:sz="0" w:space="0" w:color="auto"/>
            <w:right w:val="none" w:sz="0" w:space="0" w:color="auto"/>
          </w:divBdr>
        </w:div>
        <w:div w:id="2024434747">
          <w:marLeft w:val="0"/>
          <w:marRight w:val="0"/>
          <w:marTop w:val="0"/>
          <w:marBottom w:val="0"/>
          <w:divBdr>
            <w:top w:val="none" w:sz="0" w:space="0" w:color="auto"/>
            <w:left w:val="none" w:sz="0" w:space="0" w:color="auto"/>
            <w:bottom w:val="none" w:sz="0" w:space="0" w:color="auto"/>
            <w:right w:val="none" w:sz="0" w:space="0" w:color="auto"/>
          </w:divBdr>
        </w:div>
        <w:div w:id="1006520857">
          <w:marLeft w:val="0"/>
          <w:marRight w:val="0"/>
          <w:marTop w:val="0"/>
          <w:marBottom w:val="0"/>
          <w:divBdr>
            <w:top w:val="none" w:sz="0" w:space="0" w:color="auto"/>
            <w:left w:val="none" w:sz="0" w:space="0" w:color="auto"/>
            <w:bottom w:val="none" w:sz="0" w:space="0" w:color="auto"/>
            <w:right w:val="none" w:sz="0" w:space="0" w:color="auto"/>
          </w:divBdr>
        </w:div>
        <w:div w:id="990794406">
          <w:marLeft w:val="0"/>
          <w:marRight w:val="0"/>
          <w:marTop w:val="0"/>
          <w:marBottom w:val="0"/>
          <w:divBdr>
            <w:top w:val="none" w:sz="0" w:space="0" w:color="auto"/>
            <w:left w:val="none" w:sz="0" w:space="0" w:color="auto"/>
            <w:bottom w:val="none" w:sz="0" w:space="0" w:color="auto"/>
            <w:right w:val="none" w:sz="0" w:space="0" w:color="auto"/>
          </w:divBdr>
        </w:div>
        <w:div w:id="1147472312">
          <w:marLeft w:val="0"/>
          <w:marRight w:val="0"/>
          <w:marTop w:val="0"/>
          <w:marBottom w:val="0"/>
          <w:divBdr>
            <w:top w:val="none" w:sz="0" w:space="0" w:color="auto"/>
            <w:left w:val="none" w:sz="0" w:space="0" w:color="auto"/>
            <w:bottom w:val="none" w:sz="0" w:space="0" w:color="auto"/>
            <w:right w:val="none" w:sz="0" w:space="0" w:color="auto"/>
          </w:divBdr>
        </w:div>
        <w:div w:id="1930117004">
          <w:marLeft w:val="0"/>
          <w:marRight w:val="0"/>
          <w:marTop w:val="0"/>
          <w:marBottom w:val="0"/>
          <w:divBdr>
            <w:top w:val="none" w:sz="0" w:space="0" w:color="auto"/>
            <w:left w:val="none" w:sz="0" w:space="0" w:color="auto"/>
            <w:bottom w:val="none" w:sz="0" w:space="0" w:color="auto"/>
            <w:right w:val="none" w:sz="0" w:space="0" w:color="auto"/>
          </w:divBdr>
        </w:div>
        <w:div w:id="2126995392">
          <w:marLeft w:val="0"/>
          <w:marRight w:val="0"/>
          <w:marTop w:val="0"/>
          <w:marBottom w:val="0"/>
          <w:divBdr>
            <w:top w:val="none" w:sz="0" w:space="0" w:color="auto"/>
            <w:left w:val="none" w:sz="0" w:space="0" w:color="auto"/>
            <w:bottom w:val="none" w:sz="0" w:space="0" w:color="auto"/>
            <w:right w:val="none" w:sz="0" w:space="0" w:color="auto"/>
          </w:divBdr>
        </w:div>
        <w:div w:id="1944610192">
          <w:marLeft w:val="0"/>
          <w:marRight w:val="0"/>
          <w:marTop w:val="0"/>
          <w:marBottom w:val="0"/>
          <w:divBdr>
            <w:top w:val="none" w:sz="0" w:space="0" w:color="auto"/>
            <w:left w:val="none" w:sz="0" w:space="0" w:color="auto"/>
            <w:bottom w:val="none" w:sz="0" w:space="0" w:color="auto"/>
            <w:right w:val="none" w:sz="0" w:space="0" w:color="auto"/>
          </w:divBdr>
        </w:div>
        <w:div w:id="1931548046">
          <w:marLeft w:val="0"/>
          <w:marRight w:val="0"/>
          <w:marTop w:val="0"/>
          <w:marBottom w:val="0"/>
          <w:divBdr>
            <w:top w:val="none" w:sz="0" w:space="0" w:color="auto"/>
            <w:left w:val="none" w:sz="0" w:space="0" w:color="auto"/>
            <w:bottom w:val="none" w:sz="0" w:space="0" w:color="auto"/>
            <w:right w:val="none" w:sz="0" w:space="0" w:color="auto"/>
          </w:divBdr>
        </w:div>
      </w:divsChild>
    </w:div>
    <w:div w:id="2008559718">
      <w:bodyDiv w:val="1"/>
      <w:marLeft w:val="0"/>
      <w:marRight w:val="0"/>
      <w:marTop w:val="0"/>
      <w:marBottom w:val="0"/>
      <w:divBdr>
        <w:top w:val="none" w:sz="0" w:space="0" w:color="auto"/>
        <w:left w:val="none" w:sz="0" w:space="0" w:color="auto"/>
        <w:bottom w:val="none" w:sz="0" w:space="0" w:color="auto"/>
        <w:right w:val="none" w:sz="0" w:space="0" w:color="auto"/>
      </w:divBdr>
      <w:divsChild>
        <w:div w:id="1216620521">
          <w:marLeft w:val="0"/>
          <w:marRight w:val="0"/>
          <w:marTop w:val="0"/>
          <w:marBottom w:val="0"/>
          <w:divBdr>
            <w:top w:val="none" w:sz="0" w:space="0" w:color="auto"/>
            <w:left w:val="none" w:sz="0" w:space="0" w:color="auto"/>
            <w:bottom w:val="none" w:sz="0" w:space="0" w:color="auto"/>
            <w:right w:val="none" w:sz="0" w:space="0" w:color="auto"/>
          </w:divBdr>
        </w:div>
        <w:div w:id="755328324">
          <w:marLeft w:val="0"/>
          <w:marRight w:val="0"/>
          <w:marTop w:val="0"/>
          <w:marBottom w:val="0"/>
          <w:divBdr>
            <w:top w:val="none" w:sz="0" w:space="0" w:color="auto"/>
            <w:left w:val="none" w:sz="0" w:space="0" w:color="auto"/>
            <w:bottom w:val="none" w:sz="0" w:space="0" w:color="auto"/>
            <w:right w:val="none" w:sz="0" w:space="0" w:color="auto"/>
          </w:divBdr>
        </w:div>
        <w:div w:id="300767621">
          <w:marLeft w:val="0"/>
          <w:marRight w:val="0"/>
          <w:marTop w:val="0"/>
          <w:marBottom w:val="0"/>
          <w:divBdr>
            <w:top w:val="none" w:sz="0" w:space="0" w:color="auto"/>
            <w:left w:val="none" w:sz="0" w:space="0" w:color="auto"/>
            <w:bottom w:val="none" w:sz="0" w:space="0" w:color="auto"/>
            <w:right w:val="none" w:sz="0" w:space="0" w:color="auto"/>
          </w:divBdr>
        </w:div>
        <w:div w:id="1497379553">
          <w:marLeft w:val="0"/>
          <w:marRight w:val="0"/>
          <w:marTop w:val="0"/>
          <w:marBottom w:val="0"/>
          <w:divBdr>
            <w:top w:val="none" w:sz="0" w:space="0" w:color="auto"/>
            <w:left w:val="none" w:sz="0" w:space="0" w:color="auto"/>
            <w:bottom w:val="none" w:sz="0" w:space="0" w:color="auto"/>
            <w:right w:val="none" w:sz="0" w:space="0" w:color="auto"/>
          </w:divBdr>
        </w:div>
        <w:div w:id="78791311">
          <w:marLeft w:val="0"/>
          <w:marRight w:val="0"/>
          <w:marTop w:val="0"/>
          <w:marBottom w:val="0"/>
          <w:divBdr>
            <w:top w:val="none" w:sz="0" w:space="0" w:color="auto"/>
            <w:left w:val="none" w:sz="0" w:space="0" w:color="auto"/>
            <w:bottom w:val="none" w:sz="0" w:space="0" w:color="auto"/>
            <w:right w:val="none" w:sz="0" w:space="0" w:color="auto"/>
          </w:divBdr>
        </w:div>
        <w:div w:id="140731543">
          <w:marLeft w:val="0"/>
          <w:marRight w:val="0"/>
          <w:marTop w:val="0"/>
          <w:marBottom w:val="0"/>
          <w:divBdr>
            <w:top w:val="none" w:sz="0" w:space="0" w:color="auto"/>
            <w:left w:val="none" w:sz="0" w:space="0" w:color="auto"/>
            <w:bottom w:val="none" w:sz="0" w:space="0" w:color="auto"/>
            <w:right w:val="none" w:sz="0" w:space="0" w:color="auto"/>
          </w:divBdr>
        </w:div>
        <w:div w:id="231232701">
          <w:marLeft w:val="0"/>
          <w:marRight w:val="0"/>
          <w:marTop w:val="0"/>
          <w:marBottom w:val="0"/>
          <w:divBdr>
            <w:top w:val="none" w:sz="0" w:space="0" w:color="auto"/>
            <w:left w:val="none" w:sz="0" w:space="0" w:color="auto"/>
            <w:bottom w:val="none" w:sz="0" w:space="0" w:color="auto"/>
            <w:right w:val="none" w:sz="0" w:space="0" w:color="auto"/>
          </w:divBdr>
        </w:div>
        <w:div w:id="1870992283">
          <w:marLeft w:val="0"/>
          <w:marRight w:val="0"/>
          <w:marTop w:val="0"/>
          <w:marBottom w:val="0"/>
          <w:divBdr>
            <w:top w:val="none" w:sz="0" w:space="0" w:color="auto"/>
            <w:left w:val="none" w:sz="0" w:space="0" w:color="auto"/>
            <w:bottom w:val="none" w:sz="0" w:space="0" w:color="auto"/>
            <w:right w:val="none" w:sz="0" w:space="0" w:color="auto"/>
          </w:divBdr>
        </w:div>
        <w:div w:id="955403695">
          <w:marLeft w:val="0"/>
          <w:marRight w:val="0"/>
          <w:marTop w:val="0"/>
          <w:marBottom w:val="0"/>
          <w:divBdr>
            <w:top w:val="none" w:sz="0" w:space="0" w:color="auto"/>
            <w:left w:val="none" w:sz="0" w:space="0" w:color="auto"/>
            <w:bottom w:val="none" w:sz="0" w:space="0" w:color="auto"/>
            <w:right w:val="none" w:sz="0" w:space="0" w:color="auto"/>
          </w:divBdr>
        </w:div>
        <w:div w:id="1373529586">
          <w:marLeft w:val="0"/>
          <w:marRight w:val="0"/>
          <w:marTop w:val="0"/>
          <w:marBottom w:val="0"/>
          <w:divBdr>
            <w:top w:val="none" w:sz="0" w:space="0" w:color="auto"/>
            <w:left w:val="none" w:sz="0" w:space="0" w:color="auto"/>
            <w:bottom w:val="none" w:sz="0" w:space="0" w:color="auto"/>
            <w:right w:val="none" w:sz="0" w:space="0" w:color="auto"/>
          </w:divBdr>
        </w:div>
        <w:div w:id="780145401">
          <w:marLeft w:val="0"/>
          <w:marRight w:val="0"/>
          <w:marTop w:val="0"/>
          <w:marBottom w:val="0"/>
          <w:divBdr>
            <w:top w:val="none" w:sz="0" w:space="0" w:color="auto"/>
            <w:left w:val="none" w:sz="0" w:space="0" w:color="auto"/>
            <w:bottom w:val="none" w:sz="0" w:space="0" w:color="auto"/>
            <w:right w:val="none" w:sz="0" w:space="0" w:color="auto"/>
          </w:divBdr>
        </w:div>
        <w:div w:id="2057393366">
          <w:marLeft w:val="0"/>
          <w:marRight w:val="0"/>
          <w:marTop w:val="0"/>
          <w:marBottom w:val="0"/>
          <w:divBdr>
            <w:top w:val="none" w:sz="0" w:space="0" w:color="auto"/>
            <w:left w:val="none" w:sz="0" w:space="0" w:color="auto"/>
            <w:bottom w:val="none" w:sz="0" w:space="0" w:color="auto"/>
            <w:right w:val="none" w:sz="0" w:space="0" w:color="auto"/>
          </w:divBdr>
        </w:div>
        <w:div w:id="738329567">
          <w:marLeft w:val="0"/>
          <w:marRight w:val="0"/>
          <w:marTop w:val="0"/>
          <w:marBottom w:val="0"/>
          <w:divBdr>
            <w:top w:val="none" w:sz="0" w:space="0" w:color="auto"/>
            <w:left w:val="none" w:sz="0" w:space="0" w:color="auto"/>
            <w:bottom w:val="none" w:sz="0" w:space="0" w:color="auto"/>
            <w:right w:val="none" w:sz="0" w:space="0" w:color="auto"/>
          </w:divBdr>
        </w:div>
        <w:div w:id="174343399">
          <w:marLeft w:val="0"/>
          <w:marRight w:val="0"/>
          <w:marTop w:val="0"/>
          <w:marBottom w:val="0"/>
          <w:divBdr>
            <w:top w:val="none" w:sz="0" w:space="0" w:color="auto"/>
            <w:left w:val="none" w:sz="0" w:space="0" w:color="auto"/>
            <w:bottom w:val="none" w:sz="0" w:space="0" w:color="auto"/>
            <w:right w:val="none" w:sz="0" w:space="0" w:color="auto"/>
          </w:divBdr>
        </w:div>
        <w:div w:id="1893805561">
          <w:marLeft w:val="0"/>
          <w:marRight w:val="0"/>
          <w:marTop w:val="0"/>
          <w:marBottom w:val="0"/>
          <w:divBdr>
            <w:top w:val="none" w:sz="0" w:space="0" w:color="auto"/>
            <w:left w:val="none" w:sz="0" w:space="0" w:color="auto"/>
            <w:bottom w:val="none" w:sz="0" w:space="0" w:color="auto"/>
            <w:right w:val="none" w:sz="0" w:space="0" w:color="auto"/>
          </w:divBdr>
        </w:div>
        <w:div w:id="794564252">
          <w:marLeft w:val="0"/>
          <w:marRight w:val="0"/>
          <w:marTop w:val="0"/>
          <w:marBottom w:val="0"/>
          <w:divBdr>
            <w:top w:val="none" w:sz="0" w:space="0" w:color="auto"/>
            <w:left w:val="none" w:sz="0" w:space="0" w:color="auto"/>
            <w:bottom w:val="none" w:sz="0" w:space="0" w:color="auto"/>
            <w:right w:val="none" w:sz="0" w:space="0" w:color="auto"/>
          </w:divBdr>
        </w:div>
        <w:div w:id="1881630392">
          <w:marLeft w:val="0"/>
          <w:marRight w:val="0"/>
          <w:marTop w:val="0"/>
          <w:marBottom w:val="0"/>
          <w:divBdr>
            <w:top w:val="none" w:sz="0" w:space="0" w:color="auto"/>
            <w:left w:val="none" w:sz="0" w:space="0" w:color="auto"/>
            <w:bottom w:val="none" w:sz="0" w:space="0" w:color="auto"/>
            <w:right w:val="none" w:sz="0" w:space="0" w:color="auto"/>
          </w:divBdr>
        </w:div>
        <w:div w:id="1014186017">
          <w:marLeft w:val="0"/>
          <w:marRight w:val="0"/>
          <w:marTop w:val="0"/>
          <w:marBottom w:val="0"/>
          <w:divBdr>
            <w:top w:val="none" w:sz="0" w:space="0" w:color="auto"/>
            <w:left w:val="none" w:sz="0" w:space="0" w:color="auto"/>
            <w:bottom w:val="none" w:sz="0" w:space="0" w:color="auto"/>
            <w:right w:val="none" w:sz="0" w:space="0" w:color="auto"/>
          </w:divBdr>
        </w:div>
        <w:div w:id="1101560455">
          <w:marLeft w:val="0"/>
          <w:marRight w:val="0"/>
          <w:marTop w:val="0"/>
          <w:marBottom w:val="0"/>
          <w:divBdr>
            <w:top w:val="none" w:sz="0" w:space="0" w:color="auto"/>
            <w:left w:val="none" w:sz="0" w:space="0" w:color="auto"/>
            <w:bottom w:val="none" w:sz="0" w:space="0" w:color="auto"/>
            <w:right w:val="none" w:sz="0" w:space="0" w:color="auto"/>
          </w:divBdr>
        </w:div>
        <w:div w:id="961154378">
          <w:marLeft w:val="0"/>
          <w:marRight w:val="0"/>
          <w:marTop w:val="0"/>
          <w:marBottom w:val="0"/>
          <w:divBdr>
            <w:top w:val="none" w:sz="0" w:space="0" w:color="auto"/>
            <w:left w:val="none" w:sz="0" w:space="0" w:color="auto"/>
            <w:bottom w:val="none" w:sz="0" w:space="0" w:color="auto"/>
            <w:right w:val="none" w:sz="0" w:space="0" w:color="auto"/>
          </w:divBdr>
        </w:div>
        <w:div w:id="1830097407">
          <w:marLeft w:val="0"/>
          <w:marRight w:val="0"/>
          <w:marTop w:val="0"/>
          <w:marBottom w:val="0"/>
          <w:divBdr>
            <w:top w:val="none" w:sz="0" w:space="0" w:color="auto"/>
            <w:left w:val="none" w:sz="0" w:space="0" w:color="auto"/>
            <w:bottom w:val="none" w:sz="0" w:space="0" w:color="auto"/>
            <w:right w:val="none" w:sz="0" w:space="0" w:color="auto"/>
          </w:divBdr>
        </w:div>
        <w:div w:id="2065369507">
          <w:marLeft w:val="0"/>
          <w:marRight w:val="0"/>
          <w:marTop w:val="0"/>
          <w:marBottom w:val="0"/>
          <w:divBdr>
            <w:top w:val="none" w:sz="0" w:space="0" w:color="auto"/>
            <w:left w:val="none" w:sz="0" w:space="0" w:color="auto"/>
            <w:bottom w:val="none" w:sz="0" w:space="0" w:color="auto"/>
            <w:right w:val="none" w:sz="0" w:space="0" w:color="auto"/>
          </w:divBdr>
        </w:div>
        <w:div w:id="1148940334">
          <w:marLeft w:val="0"/>
          <w:marRight w:val="0"/>
          <w:marTop w:val="0"/>
          <w:marBottom w:val="0"/>
          <w:divBdr>
            <w:top w:val="none" w:sz="0" w:space="0" w:color="auto"/>
            <w:left w:val="none" w:sz="0" w:space="0" w:color="auto"/>
            <w:bottom w:val="none" w:sz="0" w:space="0" w:color="auto"/>
            <w:right w:val="none" w:sz="0" w:space="0" w:color="auto"/>
          </w:divBdr>
        </w:div>
        <w:div w:id="1191724673">
          <w:marLeft w:val="0"/>
          <w:marRight w:val="0"/>
          <w:marTop w:val="0"/>
          <w:marBottom w:val="0"/>
          <w:divBdr>
            <w:top w:val="none" w:sz="0" w:space="0" w:color="auto"/>
            <w:left w:val="none" w:sz="0" w:space="0" w:color="auto"/>
            <w:bottom w:val="none" w:sz="0" w:space="0" w:color="auto"/>
            <w:right w:val="none" w:sz="0" w:space="0" w:color="auto"/>
          </w:divBdr>
        </w:div>
        <w:div w:id="1614092437">
          <w:marLeft w:val="0"/>
          <w:marRight w:val="0"/>
          <w:marTop w:val="0"/>
          <w:marBottom w:val="0"/>
          <w:divBdr>
            <w:top w:val="none" w:sz="0" w:space="0" w:color="auto"/>
            <w:left w:val="none" w:sz="0" w:space="0" w:color="auto"/>
            <w:bottom w:val="none" w:sz="0" w:space="0" w:color="auto"/>
            <w:right w:val="none" w:sz="0" w:space="0" w:color="auto"/>
          </w:divBdr>
        </w:div>
        <w:div w:id="552087252">
          <w:marLeft w:val="0"/>
          <w:marRight w:val="0"/>
          <w:marTop w:val="0"/>
          <w:marBottom w:val="0"/>
          <w:divBdr>
            <w:top w:val="none" w:sz="0" w:space="0" w:color="auto"/>
            <w:left w:val="none" w:sz="0" w:space="0" w:color="auto"/>
            <w:bottom w:val="none" w:sz="0" w:space="0" w:color="auto"/>
            <w:right w:val="none" w:sz="0" w:space="0" w:color="auto"/>
          </w:divBdr>
        </w:div>
        <w:div w:id="80295980">
          <w:marLeft w:val="0"/>
          <w:marRight w:val="0"/>
          <w:marTop w:val="0"/>
          <w:marBottom w:val="0"/>
          <w:divBdr>
            <w:top w:val="none" w:sz="0" w:space="0" w:color="auto"/>
            <w:left w:val="none" w:sz="0" w:space="0" w:color="auto"/>
            <w:bottom w:val="none" w:sz="0" w:space="0" w:color="auto"/>
            <w:right w:val="none" w:sz="0" w:space="0" w:color="auto"/>
          </w:divBdr>
        </w:div>
        <w:div w:id="80029358">
          <w:marLeft w:val="0"/>
          <w:marRight w:val="0"/>
          <w:marTop w:val="0"/>
          <w:marBottom w:val="0"/>
          <w:divBdr>
            <w:top w:val="none" w:sz="0" w:space="0" w:color="auto"/>
            <w:left w:val="none" w:sz="0" w:space="0" w:color="auto"/>
            <w:bottom w:val="none" w:sz="0" w:space="0" w:color="auto"/>
            <w:right w:val="none" w:sz="0" w:space="0" w:color="auto"/>
          </w:divBdr>
        </w:div>
        <w:div w:id="2034304779">
          <w:marLeft w:val="0"/>
          <w:marRight w:val="0"/>
          <w:marTop w:val="0"/>
          <w:marBottom w:val="0"/>
          <w:divBdr>
            <w:top w:val="none" w:sz="0" w:space="0" w:color="auto"/>
            <w:left w:val="none" w:sz="0" w:space="0" w:color="auto"/>
            <w:bottom w:val="none" w:sz="0" w:space="0" w:color="auto"/>
            <w:right w:val="none" w:sz="0" w:space="0" w:color="auto"/>
          </w:divBdr>
        </w:div>
        <w:div w:id="904339189">
          <w:marLeft w:val="0"/>
          <w:marRight w:val="0"/>
          <w:marTop w:val="0"/>
          <w:marBottom w:val="0"/>
          <w:divBdr>
            <w:top w:val="none" w:sz="0" w:space="0" w:color="auto"/>
            <w:left w:val="none" w:sz="0" w:space="0" w:color="auto"/>
            <w:bottom w:val="none" w:sz="0" w:space="0" w:color="auto"/>
            <w:right w:val="none" w:sz="0" w:space="0" w:color="auto"/>
          </w:divBdr>
        </w:div>
        <w:div w:id="693456439">
          <w:marLeft w:val="0"/>
          <w:marRight w:val="0"/>
          <w:marTop w:val="0"/>
          <w:marBottom w:val="0"/>
          <w:divBdr>
            <w:top w:val="none" w:sz="0" w:space="0" w:color="auto"/>
            <w:left w:val="none" w:sz="0" w:space="0" w:color="auto"/>
            <w:bottom w:val="none" w:sz="0" w:space="0" w:color="auto"/>
            <w:right w:val="none" w:sz="0" w:space="0" w:color="auto"/>
          </w:divBdr>
        </w:div>
        <w:div w:id="699936167">
          <w:marLeft w:val="0"/>
          <w:marRight w:val="0"/>
          <w:marTop w:val="0"/>
          <w:marBottom w:val="0"/>
          <w:divBdr>
            <w:top w:val="none" w:sz="0" w:space="0" w:color="auto"/>
            <w:left w:val="none" w:sz="0" w:space="0" w:color="auto"/>
            <w:bottom w:val="none" w:sz="0" w:space="0" w:color="auto"/>
            <w:right w:val="none" w:sz="0" w:space="0" w:color="auto"/>
          </w:divBdr>
        </w:div>
        <w:div w:id="80413469">
          <w:marLeft w:val="0"/>
          <w:marRight w:val="0"/>
          <w:marTop w:val="0"/>
          <w:marBottom w:val="0"/>
          <w:divBdr>
            <w:top w:val="none" w:sz="0" w:space="0" w:color="auto"/>
            <w:left w:val="none" w:sz="0" w:space="0" w:color="auto"/>
            <w:bottom w:val="none" w:sz="0" w:space="0" w:color="auto"/>
            <w:right w:val="none" w:sz="0" w:space="0" w:color="auto"/>
          </w:divBdr>
        </w:div>
        <w:div w:id="1775977498">
          <w:marLeft w:val="0"/>
          <w:marRight w:val="0"/>
          <w:marTop w:val="0"/>
          <w:marBottom w:val="0"/>
          <w:divBdr>
            <w:top w:val="none" w:sz="0" w:space="0" w:color="auto"/>
            <w:left w:val="none" w:sz="0" w:space="0" w:color="auto"/>
            <w:bottom w:val="none" w:sz="0" w:space="0" w:color="auto"/>
            <w:right w:val="none" w:sz="0" w:space="0" w:color="auto"/>
          </w:divBdr>
        </w:div>
        <w:div w:id="1174109205">
          <w:marLeft w:val="0"/>
          <w:marRight w:val="0"/>
          <w:marTop w:val="0"/>
          <w:marBottom w:val="0"/>
          <w:divBdr>
            <w:top w:val="none" w:sz="0" w:space="0" w:color="auto"/>
            <w:left w:val="none" w:sz="0" w:space="0" w:color="auto"/>
            <w:bottom w:val="none" w:sz="0" w:space="0" w:color="auto"/>
            <w:right w:val="none" w:sz="0" w:space="0" w:color="auto"/>
          </w:divBdr>
        </w:div>
        <w:div w:id="1379822653">
          <w:marLeft w:val="0"/>
          <w:marRight w:val="0"/>
          <w:marTop w:val="0"/>
          <w:marBottom w:val="0"/>
          <w:divBdr>
            <w:top w:val="none" w:sz="0" w:space="0" w:color="auto"/>
            <w:left w:val="none" w:sz="0" w:space="0" w:color="auto"/>
            <w:bottom w:val="none" w:sz="0" w:space="0" w:color="auto"/>
            <w:right w:val="none" w:sz="0" w:space="0" w:color="auto"/>
          </w:divBdr>
        </w:div>
        <w:div w:id="43066821">
          <w:marLeft w:val="0"/>
          <w:marRight w:val="0"/>
          <w:marTop w:val="0"/>
          <w:marBottom w:val="0"/>
          <w:divBdr>
            <w:top w:val="none" w:sz="0" w:space="0" w:color="auto"/>
            <w:left w:val="none" w:sz="0" w:space="0" w:color="auto"/>
            <w:bottom w:val="none" w:sz="0" w:space="0" w:color="auto"/>
            <w:right w:val="none" w:sz="0" w:space="0" w:color="auto"/>
          </w:divBdr>
        </w:div>
        <w:div w:id="422653303">
          <w:marLeft w:val="0"/>
          <w:marRight w:val="0"/>
          <w:marTop w:val="0"/>
          <w:marBottom w:val="0"/>
          <w:divBdr>
            <w:top w:val="none" w:sz="0" w:space="0" w:color="auto"/>
            <w:left w:val="none" w:sz="0" w:space="0" w:color="auto"/>
            <w:bottom w:val="none" w:sz="0" w:space="0" w:color="auto"/>
            <w:right w:val="none" w:sz="0" w:space="0" w:color="auto"/>
          </w:divBdr>
        </w:div>
        <w:div w:id="862981067">
          <w:marLeft w:val="0"/>
          <w:marRight w:val="0"/>
          <w:marTop w:val="0"/>
          <w:marBottom w:val="0"/>
          <w:divBdr>
            <w:top w:val="none" w:sz="0" w:space="0" w:color="auto"/>
            <w:left w:val="none" w:sz="0" w:space="0" w:color="auto"/>
            <w:bottom w:val="none" w:sz="0" w:space="0" w:color="auto"/>
            <w:right w:val="none" w:sz="0" w:space="0" w:color="auto"/>
          </w:divBdr>
        </w:div>
        <w:div w:id="27486025">
          <w:marLeft w:val="0"/>
          <w:marRight w:val="0"/>
          <w:marTop w:val="0"/>
          <w:marBottom w:val="0"/>
          <w:divBdr>
            <w:top w:val="none" w:sz="0" w:space="0" w:color="auto"/>
            <w:left w:val="none" w:sz="0" w:space="0" w:color="auto"/>
            <w:bottom w:val="none" w:sz="0" w:space="0" w:color="auto"/>
            <w:right w:val="none" w:sz="0" w:space="0" w:color="auto"/>
          </w:divBdr>
        </w:div>
        <w:div w:id="135881500">
          <w:marLeft w:val="0"/>
          <w:marRight w:val="0"/>
          <w:marTop w:val="0"/>
          <w:marBottom w:val="0"/>
          <w:divBdr>
            <w:top w:val="none" w:sz="0" w:space="0" w:color="auto"/>
            <w:left w:val="none" w:sz="0" w:space="0" w:color="auto"/>
            <w:bottom w:val="none" w:sz="0" w:space="0" w:color="auto"/>
            <w:right w:val="none" w:sz="0" w:space="0" w:color="auto"/>
          </w:divBdr>
        </w:div>
        <w:div w:id="1230120081">
          <w:marLeft w:val="0"/>
          <w:marRight w:val="0"/>
          <w:marTop w:val="0"/>
          <w:marBottom w:val="0"/>
          <w:divBdr>
            <w:top w:val="none" w:sz="0" w:space="0" w:color="auto"/>
            <w:left w:val="none" w:sz="0" w:space="0" w:color="auto"/>
            <w:bottom w:val="none" w:sz="0" w:space="0" w:color="auto"/>
            <w:right w:val="none" w:sz="0" w:space="0" w:color="auto"/>
          </w:divBdr>
        </w:div>
        <w:div w:id="1884323800">
          <w:marLeft w:val="0"/>
          <w:marRight w:val="0"/>
          <w:marTop w:val="0"/>
          <w:marBottom w:val="0"/>
          <w:divBdr>
            <w:top w:val="none" w:sz="0" w:space="0" w:color="auto"/>
            <w:left w:val="none" w:sz="0" w:space="0" w:color="auto"/>
            <w:bottom w:val="none" w:sz="0" w:space="0" w:color="auto"/>
            <w:right w:val="none" w:sz="0" w:space="0" w:color="auto"/>
          </w:divBdr>
        </w:div>
        <w:div w:id="769619056">
          <w:marLeft w:val="0"/>
          <w:marRight w:val="0"/>
          <w:marTop w:val="0"/>
          <w:marBottom w:val="0"/>
          <w:divBdr>
            <w:top w:val="none" w:sz="0" w:space="0" w:color="auto"/>
            <w:left w:val="none" w:sz="0" w:space="0" w:color="auto"/>
            <w:bottom w:val="none" w:sz="0" w:space="0" w:color="auto"/>
            <w:right w:val="none" w:sz="0" w:space="0" w:color="auto"/>
          </w:divBdr>
        </w:div>
        <w:div w:id="631910598">
          <w:marLeft w:val="0"/>
          <w:marRight w:val="0"/>
          <w:marTop w:val="0"/>
          <w:marBottom w:val="0"/>
          <w:divBdr>
            <w:top w:val="none" w:sz="0" w:space="0" w:color="auto"/>
            <w:left w:val="none" w:sz="0" w:space="0" w:color="auto"/>
            <w:bottom w:val="none" w:sz="0" w:space="0" w:color="auto"/>
            <w:right w:val="none" w:sz="0" w:space="0" w:color="auto"/>
          </w:divBdr>
        </w:div>
        <w:div w:id="893656752">
          <w:marLeft w:val="0"/>
          <w:marRight w:val="0"/>
          <w:marTop w:val="0"/>
          <w:marBottom w:val="0"/>
          <w:divBdr>
            <w:top w:val="none" w:sz="0" w:space="0" w:color="auto"/>
            <w:left w:val="none" w:sz="0" w:space="0" w:color="auto"/>
            <w:bottom w:val="none" w:sz="0" w:space="0" w:color="auto"/>
            <w:right w:val="none" w:sz="0" w:space="0" w:color="auto"/>
          </w:divBdr>
        </w:div>
        <w:div w:id="1719160257">
          <w:marLeft w:val="0"/>
          <w:marRight w:val="0"/>
          <w:marTop w:val="0"/>
          <w:marBottom w:val="0"/>
          <w:divBdr>
            <w:top w:val="none" w:sz="0" w:space="0" w:color="auto"/>
            <w:left w:val="none" w:sz="0" w:space="0" w:color="auto"/>
            <w:bottom w:val="none" w:sz="0" w:space="0" w:color="auto"/>
            <w:right w:val="none" w:sz="0" w:space="0" w:color="auto"/>
          </w:divBdr>
        </w:div>
        <w:div w:id="367533436">
          <w:marLeft w:val="0"/>
          <w:marRight w:val="0"/>
          <w:marTop w:val="0"/>
          <w:marBottom w:val="0"/>
          <w:divBdr>
            <w:top w:val="none" w:sz="0" w:space="0" w:color="auto"/>
            <w:left w:val="none" w:sz="0" w:space="0" w:color="auto"/>
            <w:bottom w:val="none" w:sz="0" w:space="0" w:color="auto"/>
            <w:right w:val="none" w:sz="0" w:space="0" w:color="auto"/>
          </w:divBdr>
        </w:div>
        <w:div w:id="659576984">
          <w:marLeft w:val="0"/>
          <w:marRight w:val="0"/>
          <w:marTop w:val="0"/>
          <w:marBottom w:val="0"/>
          <w:divBdr>
            <w:top w:val="none" w:sz="0" w:space="0" w:color="auto"/>
            <w:left w:val="none" w:sz="0" w:space="0" w:color="auto"/>
            <w:bottom w:val="none" w:sz="0" w:space="0" w:color="auto"/>
            <w:right w:val="none" w:sz="0" w:space="0" w:color="auto"/>
          </w:divBdr>
        </w:div>
        <w:div w:id="1500347250">
          <w:marLeft w:val="0"/>
          <w:marRight w:val="0"/>
          <w:marTop w:val="0"/>
          <w:marBottom w:val="0"/>
          <w:divBdr>
            <w:top w:val="none" w:sz="0" w:space="0" w:color="auto"/>
            <w:left w:val="none" w:sz="0" w:space="0" w:color="auto"/>
            <w:bottom w:val="none" w:sz="0" w:space="0" w:color="auto"/>
            <w:right w:val="none" w:sz="0" w:space="0" w:color="auto"/>
          </w:divBdr>
        </w:div>
      </w:divsChild>
    </w:div>
    <w:div w:id="2059282439">
      <w:bodyDiv w:val="1"/>
      <w:marLeft w:val="0"/>
      <w:marRight w:val="0"/>
      <w:marTop w:val="0"/>
      <w:marBottom w:val="0"/>
      <w:divBdr>
        <w:top w:val="none" w:sz="0" w:space="0" w:color="auto"/>
        <w:left w:val="none" w:sz="0" w:space="0" w:color="auto"/>
        <w:bottom w:val="none" w:sz="0" w:space="0" w:color="auto"/>
        <w:right w:val="none" w:sz="0" w:space="0" w:color="auto"/>
      </w:divBdr>
      <w:divsChild>
        <w:div w:id="990526588">
          <w:marLeft w:val="0"/>
          <w:marRight w:val="0"/>
          <w:marTop w:val="0"/>
          <w:marBottom w:val="0"/>
          <w:divBdr>
            <w:top w:val="none" w:sz="0" w:space="0" w:color="auto"/>
            <w:left w:val="none" w:sz="0" w:space="0" w:color="auto"/>
            <w:bottom w:val="none" w:sz="0" w:space="0" w:color="auto"/>
            <w:right w:val="none" w:sz="0" w:space="0" w:color="auto"/>
          </w:divBdr>
        </w:div>
        <w:div w:id="1961379370">
          <w:marLeft w:val="0"/>
          <w:marRight w:val="0"/>
          <w:marTop w:val="0"/>
          <w:marBottom w:val="0"/>
          <w:divBdr>
            <w:top w:val="none" w:sz="0" w:space="0" w:color="auto"/>
            <w:left w:val="none" w:sz="0" w:space="0" w:color="auto"/>
            <w:bottom w:val="none" w:sz="0" w:space="0" w:color="auto"/>
            <w:right w:val="none" w:sz="0" w:space="0" w:color="auto"/>
          </w:divBdr>
        </w:div>
        <w:div w:id="1197816138">
          <w:marLeft w:val="0"/>
          <w:marRight w:val="0"/>
          <w:marTop w:val="0"/>
          <w:marBottom w:val="0"/>
          <w:divBdr>
            <w:top w:val="none" w:sz="0" w:space="0" w:color="auto"/>
            <w:left w:val="none" w:sz="0" w:space="0" w:color="auto"/>
            <w:bottom w:val="none" w:sz="0" w:space="0" w:color="auto"/>
            <w:right w:val="none" w:sz="0" w:space="0" w:color="auto"/>
          </w:divBdr>
        </w:div>
        <w:div w:id="1449664805">
          <w:marLeft w:val="0"/>
          <w:marRight w:val="0"/>
          <w:marTop w:val="0"/>
          <w:marBottom w:val="0"/>
          <w:divBdr>
            <w:top w:val="none" w:sz="0" w:space="0" w:color="auto"/>
            <w:left w:val="none" w:sz="0" w:space="0" w:color="auto"/>
            <w:bottom w:val="none" w:sz="0" w:space="0" w:color="auto"/>
            <w:right w:val="none" w:sz="0" w:space="0" w:color="auto"/>
          </w:divBdr>
        </w:div>
        <w:div w:id="457378060">
          <w:marLeft w:val="0"/>
          <w:marRight w:val="0"/>
          <w:marTop w:val="0"/>
          <w:marBottom w:val="0"/>
          <w:divBdr>
            <w:top w:val="none" w:sz="0" w:space="0" w:color="auto"/>
            <w:left w:val="none" w:sz="0" w:space="0" w:color="auto"/>
            <w:bottom w:val="none" w:sz="0" w:space="0" w:color="auto"/>
            <w:right w:val="none" w:sz="0" w:space="0" w:color="auto"/>
          </w:divBdr>
        </w:div>
        <w:div w:id="652179327">
          <w:marLeft w:val="0"/>
          <w:marRight w:val="0"/>
          <w:marTop w:val="0"/>
          <w:marBottom w:val="0"/>
          <w:divBdr>
            <w:top w:val="none" w:sz="0" w:space="0" w:color="auto"/>
            <w:left w:val="none" w:sz="0" w:space="0" w:color="auto"/>
            <w:bottom w:val="none" w:sz="0" w:space="0" w:color="auto"/>
            <w:right w:val="none" w:sz="0" w:space="0" w:color="auto"/>
          </w:divBdr>
        </w:div>
        <w:div w:id="2049915464">
          <w:marLeft w:val="0"/>
          <w:marRight w:val="0"/>
          <w:marTop w:val="0"/>
          <w:marBottom w:val="0"/>
          <w:divBdr>
            <w:top w:val="none" w:sz="0" w:space="0" w:color="auto"/>
            <w:left w:val="none" w:sz="0" w:space="0" w:color="auto"/>
            <w:bottom w:val="none" w:sz="0" w:space="0" w:color="auto"/>
            <w:right w:val="none" w:sz="0" w:space="0" w:color="auto"/>
          </w:divBdr>
        </w:div>
        <w:div w:id="128061465">
          <w:marLeft w:val="0"/>
          <w:marRight w:val="0"/>
          <w:marTop w:val="0"/>
          <w:marBottom w:val="0"/>
          <w:divBdr>
            <w:top w:val="none" w:sz="0" w:space="0" w:color="auto"/>
            <w:left w:val="none" w:sz="0" w:space="0" w:color="auto"/>
            <w:bottom w:val="none" w:sz="0" w:space="0" w:color="auto"/>
            <w:right w:val="none" w:sz="0" w:space="0" w:color="auto"/>
          </w:divBdr>
        </w:div>
        <w:div w:id="204368349">
          <w:marLeft w:val="0"/>
          <w:marRight w:val="0"/>
          <w:marTop w:val="0"/>
          <w:marBottom w:val="0"/>
          <w:divBdr>
            <w:top w:val="none" w:sz="0" w:space="0" w:color="auto"/>
            <w:left w:val="none" w:sz="0" w:space="0" w:color="auto"/>
            <w:bottom w:val="none" w:sz="0" w:space="0" w:color="auto"/>
            <w:right w:val="none" w:sz="0" w:space="0" w:color="auto"/>
          </w:divBdr>
        </w:div>
        <w:div w:id="2007702714">
          <w:marLeft w:val="0"/>
          <w:marRight w:val="0"/>
          <w:marTop w:val="0"/>
          <w:marBottom w:val="0"/>
          <w:divBdr>
            <w:top w:val="none" w:sz="0" w:space="0" w:color="auto"/>
            <w:left w:val="none" w:sz="0" w:space="0" w:color="auto"/>
            <w:bottom w:val="none" w:sz="0" w:space="0" w:color="auto"/>
            <w:right w:val="none" w:sz="0" w:space="0" w:color="auto"/>
          </w:divBdr>
        </w:div>
        <w:div w:id="196623176">
          <w:marLeft w:val="0"/>
          <w:marRight w:val="0"/>
          <w:marTop w:val="0"/>
          <w:marBottom w:val="0"/>
          <w:divBdr>
            <w:top w:val="none" w:sz="0" w:space="0" w:color="auto"/>
            <w:left w:val="none" w:sz="0" w:space="0" w:color="auto"/>
            <w:bottom w:val="none" w:sz="0" w:space="0" w:color="auto"/>
            <w:right w:val="none" w:sz="0" w:space="0" w:color="auto"/>
          </w:divBdr>
        </w:div>
        <w:div w:id="1345329412">
          <w:marLeft w:val="0"/>
          <w:marRight w:val="0"/>
          <w:marTop w:val="0"/>
          <w:marBottom w:val="0"/>
          <w:divBdr>
            <w:top w:val="none" w:sz="0" w:space="0" w:color="auto"/>
            <w:left w:val="none" w:sz="0" w:space="0" w:color="auto"/>
            <w:bottom w:val="none" w:sz="0" w:space="0" w:color="auto"/>
            <w:right w:val="none" w:sz="0" w:space="0" w:color="auto"/>
          </w:divBdr>
        </w:div>
        <w:div w:id="1032924624">
          <w:marLeft w:val="0"/>
          <w:marRight w:val="0"/>
          <w:marTop w:val="0"/>
          <w:marBottom w:val="0"/>
          <w:divBdr>
            <w:top w:val="none" w:sz="0" w:space="0" w:color="auto"/>
            <w:left w:val="none" w:sz="0" w:space="0" w:color="auto"/>
            <w:bottom w:val="none" w:sz="0" w:space="0" w:color="auto"/>
            <w:right w:val="none" w:sz="0" w:space="0" w:color="auto"/>
          </w:divBdr>
        </w:div>
        <w:div w:id="296254836">
          <w:marLeft w:val="0"/>
          <w:marRight w:val="0"/>
          <w:marTop w:val="0"/>
          <w:marBottom w:val="0"/>
          <w:divBdr>
            <w:top w:val="none" w:sz="0" w:space="0" w:color="auto"/>
            <w:left w:val="none" w:sz="0" w:space="0" w:color="auto"/>
            <w:bottom w:val="none" w:sz="0" w:space="0" w:color="auto"/>
            <w:right w:val="none" w:sz="0" w:space="0" w:color="auto"/>
          </w:divBdr>
        </w:div>
        <w:div w:id="2015263182">
          <w:marLeft w:val="0"/>
          <w:marRight w:val="0"/>
          <w:marTop w:val="0"/>
          <w:marBottom w:val="0"/>
          <w:divBdr>
            <w:top w:val="none" w:sz="0" w:space="0" w:color="auto"/>
            <w:left w:val="none" w:sz="0" w:space="0" w:color="auto"/>
            <w:bottom w:val="none" w:sz="0" w:space="0" w:color="auto"/>
            <w:right w:val="none" w:sz="0" w:space="0" w:color="auto"/>
          </w:divBdr>
        </w:div>
        <w:div w:id="219832969">
          <w:marLeft w:val="0"/>
          <w:marRight w:val="0"/>
          <w:marTop w:val="0"/>
          <w:marBottom w:val="0"/>
          <w:divBdr>
            <w:top w:val="none" w:sz="0" w:space="0" w:color="auto"/>
            <w:left w:val="none" w:sz="0" w:space="0" w:color="auto"/>
            <w:bottom w:val="none" w:sz="0" w:space="0" w:color="auto"/>
            <w:right w:val="none" w:sz="0" w:space="0" w:color="auto"/>
          </w:divBdr>
        </w:div>
        <w:div w:id="1144548327">
          <w:marLeft w:val="0"/>
          <w:marRight w:val="0"/>
          <w:marTop w:val="0"/>
          <w:marBottom w:val="0"/>
          <w:divBdr>
            <w:top w:val="none" w:sz="0" w:space="0" w:color="auto"/>
            <w:left w:val="none" w:sz="0" w:space="0" w:color="auto"/>
            <w:bottom w:val="none" w:sz="0" w:space="0" w:color="auto"/>
            <w:right w:val="none" w:sz="0" w:space="0" w:color="auto"/>
          </w:divBdr>
        </w:div>
        <w:div w:id="505361222">
          <w:marLeft w:val="0"/>
          <w:marRight w:val="0"/>
          <w:marTop w:val="0"/>
          <w:marBottom w:val="0"/>
          <w:divBdr>
            <w:top w:val="none" w:sz="0" w:space="0" w:color="auto"/>
            <w:left w:val="none" w:sz="0" w:space="0" w:color="auto"/>
            <w:bottom w:val="none" w:sz="0" w:space="0" w:color="auto"/>
            <w:right w:val="none" w:sz="0" w:space="0" w:color="auto"/>
          </w:divBdr>
        </w:div>
        <w:div w:id="182017101">
          <w:marLeft w:val="0"/>
          <w:marRight w:val="0"/>
          <w:marTop w:val="0"/>
          <w:marBottom w:val="0"/>
          <w:divBdr>
            <w:top w:val="none" w:sz="0" w:space="0" w:color="auto"/>
            <w:left w:val="none" w:sz="0" w:space="0" w:color="auto"/>
            <w:bottom w:val="none" w:sz="0" w:space="0" w:color="auto"/>
            <w:right w:val="none" w:sz="0" w:space="0" w:color="auto"/>
          </w:divBdr>
        </w:div>
        <w:div w:id="128909634">
          <w:marLeft w:val="0"/>
          <w:marRight w:val="0"/>
          <w:marTop w:val="0"/>
          <w:marBottom w:val="0"/>
          <w:divBdr>
            <w:top w:val="none" w:sz="0" w:space="0" w:color="auto"/>
            <w:left w:val="none" w:sz="0" w:space="0" w:color="auto"/>
            <w:bottom w:val="none" w:sz="0" w:space="0" w:color="auto"/>
            <w:right w:val="none" w:sz="0" w:space="0" w:color="auto"/>
          </w:divBdr>
        </w:div>
        <w:div w:id="1112440069">
          <w:marLeft w:val="0"/>
          <w:marRight w:val="0"/>
          <w:marTop w:val="0"/>
          <w:marBottom w:val="0"/>
          <w:divBdr>
            <w:top w:val="none" w:sz="0" w:space="0" w:color="auto"/>
            <w:left w:val="none" w:sz="0" w:space="0" w:color="auto"/>
            <w:bottom w:val="none" w:sz="0" w:space="0" w:color="auto"/>
            <w:right w:val="none" w:sz="0" w:space="0" w:color="auto"/>
          </w:divBdr>
        </w:div>
        <w:div w:id="1726761009">
          <w:marLeft w:val="0"/>
          <w:marRight w:val="0"/>
          <w:marTop w:val="0"/>
          <w:marBottom w:val="0"/>
          <w:divBdr>
            <w:top w:val="none" w:sz="0" w:space="0" w:color="auto"/>
            <w:left w:val="none" w:sz="0" w:space="0" w:color="auto"/>
            <w:bottom w:val="none" w:sz="0" w:space="0" w:color="auto"/>
            <w:right w:val="none" w:sz="0" w:space="0" w:color="auto"/>
          </w:divBdr>
        </w:div>
        <w:div w:id="668295160">
          <w:marLeft w:val="0"/>
          <w:marRight w:val="0"/>
          <w:marTop w:val="0"/>
          <w:marBottom w:val="0"/>
          <w:divBdr>
            <w:top w:val="none" w:sz="0" w:space="0" w:color="auto"/>
            <w:left w:val="none" w:sz="0" w:space="0" w:color="auto"/>
            <w:bottom w:val="none" w:sz="0" w:space="0" w:color="auto"/>
            <w:right w:val="none" w:sz="0" w:space="0" w:color="auto"/>
          </w:divBdr>
        </w:div>
        <w:div w:id="1153451272">
          <w:marLeft w:val="0"/>
          <w:marRight w:val="0"/>
          <w:marTop w:val="0"/>
          <w:marBottom w:val="0"/>
          <w:divBdr>
            <w:top w:val="none" w:sz="0" w:space="0" w:color="auto"/>
            <w:left w:val="none" w:sz="0" w:space="0" w:color="auto"/>
            <w:bottom w:val="none" w:sz="0" w:space="0" w:color="auto"/>
            <w:right w:val="none" w:sz="0" w:space="0" w:color="auto"/>
          </w:divBdr>
        </w:div>
        <w:div w:id="1565918100">
          <w:marLeft w:val="0"/>
          <w:marRight w:val="0"/>
          <w:marTop w:val="0"/>
          <w:marBottom w:val="0"/>
          <w:divBdr>
            <w:top w:val="none" w:sz="0" w:space="0" w:color="auto"/>
            <w:left w:val="none" w:sz="0" w:space="0" w:color="auto"/>
            <w:bottom w:val="none" w:sz="0" w:space="0" w:color="auto"/>
            <w:right w:val="none" w:sz="0" w:space="0" w:color="auto"/>
          </w:divBdr>
        </w:div>
        <w:div w:id="1326670738">
          <w:marLeft w:val="0"/>
          <w:marRight w:val="0"/>
          <w:marTop w:val="0"/>
          <w:marBottom w:val="0"/>
          <w:divBdr>
            <w:top w:val="none" w:sz="0" w:space="0" w:color="auto"/>
            <w:left w:val="none" w:sz="0" w:space="0" w:color="auto"/>
            <w:bottom w:val="none" w:sz="0" w:space="0" w:color="auto"/>
            <w:right w:val="none" w:sz="0" w:space="0" w:color="auto"/>
          </w:divBdr>
        </w:div>
        <w:div w:id="186604922">
          <w:marLeft w:val="0"/>
          <w:marRight w:val="0"/>
          <w:marTop w:val="0"/>
          <w:marBottom w:val="0"/>
          <w:divBdr>
            <w:top w:val="none" w:sz="0" w:space="0" w:color="auto"/>
            <w:left w:val="none" w:sz="0" w:space="0" w:color="auto"/>
            <w:bottom w:val="none" w:sz="0" w:space="0" w:color="auto"/>
            <w:right w:val="none" w:sz="0" w:space="0" w:color="auto"/>
          </w:divBdr>
        </w:div>
        <w:div w:id="620574720">
          <w:marLeft w:val="0"/>
          <w:marRight w:val="0"/>
          <w:marTop w:val="0"/>
          <w:marBottom w:val="0"/>
          <w:divBdr>
            <w:top w:val="none" w:sz="0" w:space="0" w:color="auto"/>
            <w:left w:val="none" w:sz="0" w:space="0" w:color="auto"/>
            <w:bottom w:val="none" w:sz="0" w:space="0" w:color="auto"/>
            <w:right w:val="none" w:sz="0" w:space="0" w:color="auto"/>
          </w:divBdr>
        </w:div>
        <w:div w:id="1912502189">
          <w:marLeft w:val="0"/>
          <w:marRight w:val="0"/>
          <w:marTop w:val="0"/>
          <w:marBottom w:val="0"/>
          <w:divBdr>
            <w:top w:val="none" w:sz="0" w:space="0" w:color="auto"/>
            <w:left w:val="none" w:sz="0" w:space="0" w:color="auto"/>
            <w:bottom w:val="none" w:sz="0" w:space="0" w:color="auto"/>
            <w:right w:val="none" w:sz="0" w:space="0" w:color="auto"/>
          </w:divBdr>
        </w:div>
        <w:div w:id="1690138459">
          <w:marLeft w:val="0"/>
          <w:marRight w:val="0"/>
          <w:marTop w:val="0"/>
          <w:marBottom w:val="0"/>
          <w:divBdr>
            <w:top w:val="none" w:sz="0" w:space="0" w:color="auto"/>
            <w:left w:val="none" w:sz="0" w:space="0" w:color="auto"/>
            <w:bottom w:val="none" w:sz="0" w:space="0" w:color="auto"/>
            <w:right w:val="none" w:sz="0" w:space="0" w:color="auto"/>
          </w:divBdr>
        </w:div>
        <w:div w:id="465004611">
          <w:marLeft w:val="0"/>
          <w:marRight w:val="0"/>
          <w:marTop w:val="0"/>
          <w:marBottom w:val="0"/>
          <w:divBdr>
            <w:top w:val="none" w:sz="0" w:space="0" w:color="auto"/>
            <w:left w:val="none" w:sz="0" w:space="0" w:color="auto"/>
            <w:bottom w:val="none" w:sz="0" w:space="0" w:color="auto"/>
            <w:right w:val="none" w:sz="0" w:space="0" w:color="auto"/>
          </w:divBdr>
        </w:div>
      </w:divsChild>
    </w:div>
    <w:div w:id="20884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press?i=003-4947329-6059149" TargetMode="External"/><Relationship Id="rId21" Type="http://schemas.openxmlformats.org/officeDocument/2006/relationships/hyperlink" Target="https://hudoc.echr.coe.int/-eng?i=001-146372" TargetMode="External"/><Relationship Id="rId42" Type="http://schemas.openxmlformats.org/officeDocument/2006/relationships/hyperlink" Target="https://hudoc.echr.coe.int/fre?i=002-3149" TargetMode="External"/><Relationship Id="rId47" Type="http://schemas.openxmlformats.org/officeDocument/2006/relationships/hyperlink" Target="https://hudoc.echr.coe.int/eng?i=001-91222" TargetMode="External"/><Relationship Id="rId63" Type="http://schemas.openxmlformats.org/officeDocument/2006/relationships/hyperlink" Target="https://hudoc.echr.coe.int/fre?i=001-163607" TargetMode="External"/><Relationship Id="rId68" Type="http://schemas.openxmlformats.org/officeDocument/2006/relationships/hyperlink" Target="https://hudoc.echr.coe.int/eng?i=001-215921" TargetMode="External"/><Relationship Id="rId16" Type="http://schemas.openxmlformats.org/officeDocument/2006/relationships/hyperlink" Target="https://hudoc.echr.coe.int/eng-press?i=003-6244411-8122824" TargetMode="External"/><Relationship Id="rId11" Type="http://schemas.openxmlformats.org/officeDocument/2006/relationships/hyperlink" Target="https://hudoc.echr.coe.int/fre?i=001-76941" TargetMode="External"/><Relationship Id="rId32" Type="http://schemas.openxmlformats.org/officeDocument/2006/relationships/hyperlink" Target="https://hudoc.echr.coe.int/eng?i=001-144276" TargetMode="External"/><Relationship Id="rId37" Type="http://schemas.openxmlformats.org/officeDocument/2006/relationships/hyperlink" Target="https://hudoc.echr.coe.int/fre?i=002-7020" TargetMode="External"/><Relationship Id="rId53" Type="http://schemas.openxmlformats.org/officeDocument/2006/relationships/hyperlink" Target="https://hudoc.echr.coe.int/eng?i=001-161001" TargetMode="External"/><Relationship Id="rId58" Type="http://schemas.openxmlformats.org/officeDocument/2006/relationships/hyperlink" Target="https://hudoc.echr.coe.int/fre?i=001-144113" TargetMode="External"/><Relationship Id="rId74" Type="http://schemas.openxmlformats.org/officeDocument/2006/relationships/hyperlink" Target="https://hudoc.echr.coe.int/eng-press?i=003-6818271-9123077" TargetMode="External"/><Relationship Id="rId79" Type="http://schemas.openxmlformats.org/officeDocument/2006/relationships/hyperlink" Target="https://hudoc.echr.coe.int/eng?i=002-13697" TargetMode="External"/><Relationship Id="rId5" Type="http://schemas.openxmlformats.org/officeDocument/2006/relationships/webSettings" Target="webSettings.xml"/><Relationship Id="rId61" Type="http://schemas.openxmlformats.org/officeDocument/2006/relationships/hyperlink" Target="https://hudoc.echr.coe.int/fre?i=001-152247" TargetMode="External"/><Relationship Id="rId82" Type="http://schemas.openxmlformats.org/officeDocument/2006/relationships/fontTable" Target="fontTable.xml"/><Relationship Id="rId19" Type="http://schemas.openxmlformats.org/officeDocument/2006/relationships/hyperlink" Target="https://hudoc.echr.coe.int/eng-press?i=003-6832172-9146796" TargetMode="External"/><Relationship Id="rId14" Type="http://schemas.openxmlformats.org/officeDocument/2006/relationships/hyperlink" Target="https://hudoc.echr.coe.int/eng?i=001-102617" TargetMode="External"/><Relationship Id="rId22" Type="http://schemas.openxmlformats.org/officeDocument/2006/relationships/hyperlink" Target="https://hudoc.echr.coe.int/eng-press?i=003-6045813-7770996" TargetMode="External"/><Relationship Id="rId27" Type="http://schemas.openxmlformats.org/officeDocument/2006/relationships/hyperlink" Target="https://hudoc.echr.coe.int/eng-press?i=003-5400950-6755613" TargetMode="External"/><Relationship Id="rId30" Type="http://schemas.openxmlformats.org/officeDocument/2006/relationships/hyperlink" Target="https://hudoc.echr.coe.int/eng?i=001-241386" TargetMode="External"/><Relationship Id="rId35" Type="http://schemas.openxmlformats.org/officeDocument/2006/relationships/hyperlink" Target="https://hudoc.echr.coe.int/fre?i=001-5637" TargetMode="External"/><Relationship Id="rId43" Type="http://schemas.openxmlformats.org/officeDocument/2006/relationships/hyperlink" Target="https://hudoc.echr.coe.int/fre?i=001-78395" TargetMode="External"/><Relationship Id="rId48" Type="http://schemas.openxmlformats.org/officeDocument/2006/relationships/hyperlink" Target="https://hudoc.echr.coe.int/fre?i=001-96671" TargetMode="External"/><Relationship Id="rId56" Type="http://schemas.openxmlformats.org/officeDocument/2006/relationships/hyperlink" Target="https://hudoc.echr.coe.int/fre?i=001-144110" TargetMode="External"/><Relationship Id="rId64" Type="http://schemas.openxmlformats.org/officeDocument/2006/relationships/hyperlink" Target="https://hudoc.echr.coe.int/eng-press?i=003-5506513-6921827" TargetMode="External"/><Relationship Id="rId69" Type="http://schemas.openxmlformats.org/officeDocument/2006/relationships/hyperlink" Target="https://hudoc.echr.coe.int/eng-press?i=003-6528123-8623475" TargetMode="External"/><Relationship Id="rId77" Type="http://schemas.openxmlformats.org/officeDocument/2006/relationships/hyperlink" Target="https://hudoc.echr.coe.int/eng?i=001-211660" TargetMode="External"/><Relationship Id="rId8" Type="http://schemas.openxmlformats.org/officeDocument/2006/relationships/image" Target="media/image1.png"/><Relationship Id="rId51" Type="http://schemas.openxmlformats.org/officeDocument/2006/relationships/hyperlink" Target="https://hudoc.echr.coe.int/fre?i=001-138916" TargetMode="External"/><Relationship Id="rId72" Type="http://schemas.openxmlformats.org/officeDocument/2006/relationships/hyperlink" Target="https://hudoc.echr.coe.int/eng-press?i=003-6425057-8445923" TargetMode="External"/><Relationship Id="rId80" Type="http://schemas.openxmlformats.org/officeDocument/2006/relationships/hyperlink" Target="https://ks.echr.coe.int/web/echr-ks/d/guide_art_4_protocol_7_eng" TargetMode="External"/><Relationship Id="rId3" Type="http://schemas.openxmlformats.org/officeDocument/2006/relationships/styles" Target="styles.xml"/><Relationship Id="rId12" Type="http://schemas.openxmlformats.org/officeDocument/2006/relationships/hyperlink" Target="https://hudoc.echr.coe.int/fre?i=002-2877" TargetMode="External"/><Relationship Id="rId17" Type="http://schemas.openxmlformats.org/officeDocument/2006/relationships/hyperlink" Target="https://hudoc.echr.coe.int/-eng?i=001-211042" TargetMode="External"/><Relationship Id="rId25" Type="http://schemas.openxmlformats.org/officeDocument/2006/relationships/hyperlink" Target="https://hudoc.echr.coe.int/eng?i=001-115919" TargetMode="External"/><Relationship Id="rId33" Type="http://schemas.openxmlformats.org/officeDocument/2006/relationships/hyperlink" Target="https://hudoc.echr.coe.int/fre?i=001-57958" TargetMode="External"/><Relationship Id="rId38" Type="http://schemas.openxmlformats.org/officeDocument/2006/relationships/hyperlink" Target="https://hudoc.echr.coe.int/fre?i=001-59475" TargetMode="External"/><Relationship Id="rId46" Type="http://schemas.openxmlformats.org/officeDocument/2006/relationships/hyperlink" Target="https://hudoc.echr.coe.int/fre?i=001-72028" TargetMode="External"/><Relationship Id="rId59" Type="http://schemas.openxmlformats.org/officeDocument/2006/relationships/hyperlink" Target="https://hudoc.echr.coe.int/fre?i=001-151000" TargetMode="External"/><Relationship Id="rId67" Type="http://schemas.openxmlformats.org/officeDocument/2006/relationships/hyperlink" Target="https://hudoc.echr.coe.int/eng-press?i=003-6927601-9310222" TargetMode="External"/><Relationship Id="rId20" Type="http://schemas.openxmlformats.org/officeDocument/2006/relationships/hyperlink" Target="https://hudoc.echr.coe.int/fre?i=001-80969" TargetMode="External"/><Relationship Id="rId41" Type="http://schemas.openxmlformats.org/officeDocument/2006/relationships/hyperlink" Target="https://hudoc.echr.coe.int/fre?i=001-66713" TargetMode="External"/><Relationship Id="rId54" Type="http://schemas.openxmlformats.org/officeDocument/2006/relationships/hyperlink" Target="https://hudoc.echr.coe.int/fre-press?i=003-4687386-5686720" TargetMode="External"/><Relationship Id="rId62" Type="http://schemas.openxmlformats.org/officeDocument/2006/relationships/hyperlink" Target="https://hudoc.echr.coe.int/fre?i=001-175342" TargetMode="External"/><Relationship Id="rId70" Type="http://schemas.openxmlformats.org/officeDocument/2006/relationships/hyperlink" Target="https://hudoc.echr.coe.int/eng-press?i=003-5546146-6986603" TargetMode="External"/><Relationship Id="rId75" Type="http://schemas.openxmlformats.org/officeDocument/2006/relationships/hyperlink" Target="https://hudoc.echr.coe.int/eng?i=001-21159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i=001-104953" TargetMode="External"/><Relationship Id="rId23" Type="http://schemas.openxmlformats.org/officeDocument/2006/relationships/hyperlink" Target="https://hudoc.echr.coe.int/eng?i=001-86563" TargetMode="External"/><Relationship Id="rId28" Type="http://schemas.openxmlformats.org/officeDocument/2006/relationships/hyperlink" Target="https://hudoc.echr.coe.int/fre?i=001-61928" TargetMode="External"/><Relationship Id="rId36" Type="http://schemas.openxmlformats.org/officeDocument/2006/relationships/hyperlink" Target="https://hudoc.echr.coe.int/eng?i=001-214601" TargetMode="External"/><Relationship Id="rId49" Type="http://schemas.openxmlformats.org/officeDocument/2006/relationships/hyperlink" Target="https://hudoc.echr.coe.int/eng-press?i=003-6985836-9409290" TargetMode="External"/><Relationship Id="rId57" Type="http://schemas.openxmlformats.org/officeDocument/2006/relationships/hyperlink" Target="https://hudoc.echr.coe.int/fre?i=001-144112" TargetMode="External"/><Relationship Id="rId10" Type="http://schemas.openxmlformats.org/officeDocument/2006/relationships/hyperlink" Target="https://www.echr.coe.int/documents/d/echr/convention_POL" TargetMode="External"/><Relationship Id="rId31" Type="http://schemas.openxmlformats.org/officeDocument/2006/relationships/hyperlink" Target="https://hudoc.echr.coe.int/fre?i=001-68815" TargetMode="External"/><Relationship Id="rId44" Type="http://schemas.openxmlformats.org/officeDocument/2006/relationships/hyperlink" Target="https://hudoc.echr.coe.int/fre?i=001-81922" TargetMode="External"/><Relationship Id="rId52" Type="http://schemas.openxmlformats.org/officeDocument/2006/relationships/hyperlink" Target="https://hudoc.echr.coe.int/fre?i=001-139988" TargetMode="External"/><Relationship Id="rId60" Type="http://schemas.openxmlformats.org/officeDocument/2006/relationships/hyperlink" Target="https://hudoc.echr.coe.int/fre?i=001-150997" TargetMode="External"/><Relationship Id="rId65" Type="http://schemas.openxmlformats.org/officeDocument/2006/relationships/hyperlink" Target="https://hudoc.echr.coe.int/eng-press?i=003-5957398-7613726" TargetMode="External"/><Relationship Id="rId73" Type="http://schemas.openxmlformats.org/officeDocument/2006/relationships/hyperlink" Target="https://hudoc.echr.coe.int/eng?i=001-203844" TargetMode="External"/><Relationship Id="rId78" Type="http://schemas.openxmlformats.org/officeDocument/2006/relationships/hyperlink" Target="https://hudoc.echr.coe.int/eng?i=001-211596"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udoc.echr.coe.int/fre?i=001-84166" TargetMode="External"/><Relationship Id="rId18" Type="http://schemas.openxmlformats.org/officeDocument/2006/relationships/hyperlink" Target="https://hudoc.echr.coe.int/-eng?i=001-205108" TargetMode="External"/><Relationship Id="rId39" Type="http://schemas.openxmlformats.org/officeDocument/2006/relationships/hyperlink" Target="https://hudoc.echr.coe.int/fre?i=001-23169" TargetMode="External"/><Relationship Id="rId34" Type="http://schemas.openxmlformats.org/officeDocument/2006/relationships/hyperlink" Target="https://hudoc.echr.coe.int/fre?i=001-58210" TargetMode="External"/><Relationship Id="rId50" Type="http://schemas.openxmlformats.org/officeDocument/2006/relationships/hyperlink" Target="https://hudoc.echr.coe.int/eng?i=001-107047" TargetMode="External"/><Relationship Id="rId55" Type="http://schemas.openxmlformats.org/officeDocument/2006/relationships/hyperlink" Target="https://hudoc.echr.coe.int/fre?i=001-144114" TargetMode="External"/><Relationship Id="rId76" Type="http://schemas.openxmlformats.org/officeDocument/2006/relationships/hyperlink" Target="https://hudoc.echr.coe.int/eng-press?i=003-6384702-8372242" TargetMode="External"/><Relationship Id="rId7" Type="http://schemas.openxmlformats.org/officeDocument/2006/relationships/endnotes" Target="endnotes.xml"/><Relationship Id="rId71" Type="http://schemas.openxmlformats.org/officeDocument/2006/relationships/hyperlink" Target="https://hudoc.echr.coe.int/eng-press?i=003-5722769-7265794" TargetMode="External"/><Relationship Id="rId2" Type="http://schemas.openxmlformats.org/officeDocument/2006/relationships/numbering" Target="numbering.xml"/><Relationship Id="rId29" Type="http://schemas.openxmlformats.org/officeDocument/2006/relationships/hyperlink" Target="https://hudoc.echr.coe.int/eng?i=002-3438" TargetMode="External"/><Relationship Id="rId24" Type="http://schemas.openxmlformats.org/officeDocument/2006/relationships/hyperlink" Target="https://hudoc.echr.coe.int/eng?i=001-5959" TargetMode="External"/><Relationship Id="rId40" Type="http://schemas.openxmlformats.org/officeDocument/2006/relationships/hyperlink" Target="https://hudoc.echr.coe.int/fre?i=001-66608" TargetMode="External"/><Relationship Id="rId45" Type="http://schemas.openxmlformats.org/officeDocument/2006/relationships/hyperlink" Target="https://hudoc.echr.coe.int/fre?i=001-85505" TargetMode="External"/><Relationship Id="rId66" Type="http://schemas.openxmlformats.org/officeDocument/2006/relationships/hyperlink" Target="https://hudoc.echr.coe.int/fre-press?i=003-6453761-849637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fre?i=001-175342" TargetMode="External"/><Relationship Id="rId2" Type="http://schemas.openxmlformats.org/officeDocument/2006/relationships/hyperlink" Target="https://hudoc.echr.coe.int/eng?i=001-57479" TargetMode="External"/><Relationship Id="rId1" Type="http://schemas.openxmlformats.org/officeDocument/2006/relationships/hyperlink" Target="https://www.coe.int/en/web/conventions/full-list?module=treaty-detail&amp;treatynum=1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B468F-D0C9-45CC-848F-7CE52355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11415</Words>
  <Characters>68491</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Natalka</dc:creator>
  <cp:lastModifiedBy>Szponar Paweł  (DWMPC)</cp:lastModifiedBy>
  <cp:revision>20</cp:revision>
  <dcterms:created xsi:type="dcterms:W3CDTF">2018-09-04T14:14:00Z</dcterms:created>
  <dcterms:modified xsi:type="dcterms:W3CDTF">2025-03-14T13:56:00Z</dcterms:modified>
</cp:coreProperties>
</file>