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10"/>
        </w:rPr>
        <w:t>Ministerstwo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20" w:line="202" w:lineRule="auto"/>
        <w:ind w:left="0" w:right="0" w:firstLine="0"/>
        <w:jc w:val="left"/>
      </w:pPr>
      <w:r>
        <w:rPr>
          <w:rStyle w:val="CharStyle10"/>
          <w:color w:val="1C1C1C"/>
        </w:rPr>
        <w:t xml:space="preserve">^ </w:t>
      </w:r>
      <w:r>
        <w:rPr>
          <w:rStyle w:val="CharStyle10"/>
        </w:rPr>
        <w:t>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/>
        <w:jc w:val="left"/>
        <w:rPr>
          <w:sz w:val="19"/>
          <w:szCs w:val="19"/>
        </w:rPr>
      </w:pPr>
      <w:r>
        <w:rPr>
          <w:rStyle w:val="CharStyle13"/>
          <w:sz w:val="19"/>
          <w:szCs w:val="19"/>
        </w:rPr>
        <w:t>Departament Odnawialnych Źródeł Energii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3"/>
        </w:rPr>
        <w:t>DOZE-</w:t>
      </w:r>
      <w:r>
        <w:rPr>
          <w:rStyle w:val="CharStyle13"/>
        </w:rPr>
        <w:t>I.053.5.2025.IL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3"/>
        </w:rPr>
        <w:t>4034494.16725152.13610334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left"/>
      </w:pPr>
      <w:r>
        <w:rPr>
          <w:rStyle w:val="CharStyle13"/>
        </w:rPr>
        <w:t>Warszawa, 22-12-2025 r.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3" w:name="bookmark3"/>
      <w:r>
        <w:rPr>
          <w:rStyle w:val="CharStyle16"/>
          <w:b/>
          <w:bCs/>
        </w:rPr>
        <w:t>Dotyczy: petycji z dnia 16 października 2025 r. w sprawie postulatu zmiany przepisów dotyczących poziomu autokonsumpcji w spółdzielniach energetycznych</w:t>
      </w:r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/>
        <w:jc w:val="left"/>
        <w:rPr>
          <w:sz w:val="19"/>
          <w:szCs w:val="19"/>
        </w:rPr>
      </w:pPr>
      <w:r>
        <w:rPr>
          <w:rStyle w:val="CharStyle13"/>
          <w:b/>
          <w:bCs/>
          <w:sz w:val="19"/>
          <w:szCs w:val="19"/>
        </w:rPr>
        <w:t>Pan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52" w:lineRule="auto"/>
        <w:ind w:left="0" w:right="0" w:firstLine="220"/>
        <w:jc w:val="left"/>
        <w:rPr>
          <w:sz w:val="20"/>
          <w:szCs w:val="20"/>
        </w:rPr>
      </w:pPr>
      <w:r>
        <w:rPr>
          <w:rStyle w:val="CharStyle19"/>
          <w:i/>
          <w:iCs/>
          <w:sz w:val="20"/>
          <w:szCs w:val="20"/>
        </w:rPr>
        <w:t>Szanowny Panie Przewodniczący,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9"/>
        </w:rPr>
        <w:t>w nawiązaniu do pisma z dnia 16 października 2025 r. w sprawie postulatu zmiany przepisów dotyczących poziomu autokonsumpcji w spółdzielniach energetycznych, proszę o przyjęcie poniższych wyjaśnień.</w:t>
      </w:r>
    </w:p>
    <w:p>
      <w:pPr>
        <w:pStyle w:val="Style1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30" w:val="left"/>
        </w:tabs>
        <w:bidi w:val="0"/>
        <w:spacing w:before="0"/>
        <w:ind w:left="940" w:right="0" w:hanging="360"/>
        <w:jc w:val="both"/>
      </w:pPr>
      <w:r>
        <w:rPr>
          <w:rStyle w:val="CharStyle19"/>
          <w:b/>
          <w:bCs/>
        </w:rPr>
        <w:t>Wydłużenie okresu obowiązywania przepisów umożliwiających zakładanie spółdzielni energetycznych przy poziomie autokonsumpcji 40% – co najmniej do końca 2026 roku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9"/>
        </w:rPr>
        <w:t>Na wstępie doprecyzować należy pojęcie oraz właściwe zrozumienie powyższego minimalnego progu, który nie stanowi poziomu autokonsumpcji.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9"/>
        </w:rPr>
        <w:t>Przepisy zawarte w ustawie o odnawialnych źródłach energii stanowią</w:t>
      </w:r>
      <w:r>
        <w:rPr>
          <w:rStyle w:val="CharStyle19"/>
          <w:vertAlign w:val="superscript"/>
        </w:rPr>
        <w:footnoteReference w:id="2"/>
      </w:r>
      <w:r>
        <w:rPr>
          <w:rStyle w:val="CharStyle19"/>
        </w:rPr>
        <w:t>, że w przypadku gdy przedmiotem działalności spółdzielni energetycznej jest wytwarzanie energii elektrycznej, łączna moc zainstalowana elektryczna wszystkich instalacji odnawialnego źródła energii nie przekracza 10 MW, a ich sprawność wytwarzania energii elektrycznej umożliwia pokrycie w ciągu roku nie mniej niż 70% potrzeb własnych spółdzielni energetycznej i jej członków. Jednocześnie, poprzez nowelizację ustawy o odnawialnych źródłach energii</w:t>
      </w:r>
      <w:r>
        <w:rPr>
          <w:rStyle w:val="CharStyle19"/>
          <w:vertAlign w:val="superscript"/>
        </w:rPr>
        <w:footnoteReference w:id="3"/>
      </w:r>
      <w:r>
        <w:rPr>
          <w:rStyle w:val="CharStyle19"/>
        </w:rPr>
        <w:t>, wprowadzono w 2023 roku odstępstwo od powyższej zasady, zgodnie z którą wartość 70% obniżona została do 40% dla spółdzielni, które uzyskają wpis w wykazie spółdzielni energetycznych Dyrektora Generalnego Krajowego Ośrodka Wsparcia Rolnictwa, dalej „wykaz spółdzielni energetycznych KOWR” do dnia 31 grudnia 2025 roku.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760"/>
        <w:ind w:left="220" w:right="0" w:firstLine="0"/>
        <w:jc w:val="both"/>
      </w:pPr>
      <w:r>
        <w:rPr>
          <w:rStyle w:val="CharStyle19"/>
        </w:rPr>
        <w:t>Mając na uwadze odnośne regulacje stwierdzić należy, że omawiany próg procentowy utożsamiany powinien być z poziomem samowystarczalności spółdzielni energetycznej, aniżeli z poziomem autokonsumpcji. Minimalny próg procentowy oznacza w tym przypadku udział energii elektrycznej wytwarzanej w ramach spółdzielni energetycznej, a następnie zużytej przez nią i jej członków, w stosunku do całkowitego zapotrzebowania spółdzielni na energię elektryczną.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3" w:val="left"/>
        </w:tabs>
        <w:bidi w:val="0"/>
        <w:spacing w:before="0" w:after="0" w:line="240" w:lineRule="auto"/>
        <w:ind w:left="220" w:right="0" w:firstLine="0"/>
        <w:jc w:val="left"/>
        <w:rPr>
          <w:sz w:val="18"/>
          <w:szCs w:val="18"/>
        </w:rPr>
      </w:pPr>
      <w:r>
        <w:rPr>
          <w:rStyle w:val="CharStyle19"/>
          <w:sz w:val="18"/>
          <w:szCs w:val="18"/>
        </w:rPr>
        <w:t xml:space="preserve">Art. 38e ust 1. pkt 3 lit. a ustawy z dnia 20 lutego 2015 r. </w:t>
      </w:r>
      <w:r>
        <w:rPr>
          <w:rStyle w:val="CharStyle19"/>
          <w:i/>
          <w:iCs/>
          <w:sz w:val="18"/>
          <w:szCs w:val="18"/>
        </w:rPr>
        <w:t>o odnawialnych źródłach energii</w:t>
      </w:r>
      <w:r>
        <w:rPr>
          <w:rStyle w:val="CharStyle19"/>
          <w:sz w:val="18"/>
          <w:szCs w:val="18"/>
        </w:rPr>
        <w:t xml:space="preserve"> (Dz.U. 2024 poz. 1361)</w:t>
      </w:r>
    </w:p>
    <w:p>
      <w:pPr>
        <w:pStyle w:val="Style1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58" w:val="left"/>
        </w:tabs>
        <w:bidi w:val="0"/>
        <w:spacing w:before="0" w:after="380" w:line="240" w:lineRule="auto"/>
        <w:ind w:left="220" w:right="0" w:firstLine="0"/>
        <w:jc w:val="left"/>
        <w:rPr>
          <w:sz w:val="18"/>
          <w:szCs w:val="18"/>
        </w:rPr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697" w:right="1956" w:bottom="483" w:left="1756" w:header="269" w:footer="55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508000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right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19999999999999pt;margin-top:40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right="0"/>
                        <w:jc w:val="left"/>
                      </w:pPr>
                      <w:r>
                        <w:rPr>
                          <w:rStyle w:val="CharStyle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876300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8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6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8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9"/>
          <w:sz w:val="18"/>
          <w:szCs w:val="18"/>
        </w:rPr>
        <w:t>Art. 41 ustawy z dnia 17 sierpnia 2023 r</w:t>
      </w:r>
      <w:r>
        <w:rPr>
          <w:rStyle w:val="CharStyle19"/>
          <w:i/>
          <w:iCs/>
          <w:sz w:val="18"/>
          <w:szCs w:val="18"/>
        </w:rPr>
        <w:t>. o zmianie ustawy o odnawialnych źródłach energii oraz niektórych innych ustaw</w:t>
      </w:r>
      <w:r>
        <w:rPr>
          <w:rStyle w:val="CharStyle19"/>
          <w:sz w:val="18"/>
          <w:szCs w:val="18"/>
        </w:rPr>
        <w:t xml:space="preserve"> (Dz.U. 2023 poz. 1762)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Zaproponowane czasowe rozwiązanie służyć miało zachęceniu społeczności lokalnych do tworzenia spółdzielni energetycznych. Na koniec 2023 roku, w którym w życie weszły przepisy nowelizacji ustawy OZE, w wykazie spółdzielni energetycznych KOWR wpis posiadało 19 spółdzielni energetycznych o łącznej mocy zainstalowanej nieco poniżej 5,3 MW</w:t>
      </w:r>
      <w:r>
        <w:rPr>
          <w:rStyle w:val="CharStyle19"/>
          <w:vertAlign w:val="superscript"/>
        </w:rPr>
        <w:footnoteReference w:id="4"/>
      </w:r>
      <w:r>
        <w:rPr>
          <w:rStyle w:val="CharStyle19"/>
        </w:rPr>
        <w:t>. Obecnie, w wykazie tym jest łącznie 386 spółdzielni energetycznych o łącznej mocy 322 MW (stan na 18 grudnia 2025 r.). Chociaż czasowo obniżony do 40% próg samowystarczalności niewątpliwie wsparł spopularyzowanie koncepcji lokalnego wytwarzania energii w formie spółdzielni energetycznych, nie był on jedynym czynnikiem, który przyczynił się do sukcesu spółdzielni energetycznych.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Należy podkreślić w tym miejscu rolę dedykowanego systemu rozliczeń polegającego na dokonywaniu przez sprzedawcę zobowiązanego rozliczenia ilości energii elektrycznej wprowadzonej do sieci dystrybucyjnej elektroenergetycznej wobec ilości energii pobranej z tej sieci w celu jej zużycia na potrzeby własne w stosunku ilościowym 1:0,6. Oznacza to, że za każdą 1 kWh energii wprowadzonej do systemu elektroenergetycznego, można później w ciągu 12 miesięcy odebrać tę energię w 60% bez dodatkowych opłat – tzw. net- metering. Ponadto, energia wygenerowana przez spółdzielnię energetyczną w instalacjach OZE, a następnie przez nią zużyta, zwolniona jest z opłat dystrybucyjnych zmiennych, opłaty OZE, mocowej i kogeneracyjnej oraz z podatku akcyzowego, o ile łączna zainstalowana moc elektryczna wszystkich zainstalowanych źródeł wytwórczych nie przekracza 1 MW.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Należy jednak podkreślić, że najkorzystniejszym modelem funkcjonowania spółdzielni energetycznej jest pokrycie 100% zapotrzebowania na energię elektryczną spółdzielni oraz jej członków. Wobec tego, nie jest rozważane wydłużenie czasu obowiązywania obecnego progu, wynoszącego 40%.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0" w:val="left"/>
        </w:tabs>
        <w:bidi w:val="0"/>
        <w:spacing w:before="0"/>
        <w:ind w:left="740" w:right="0" w:hanging="360"/>
        <w:jc w:val="both"/>
      </w:pPr>
      <w:r>
        <w:rPr>
          <w:rStyle w:val="CharStyle19"/>
          <w:b/>
          <w:bCs/>
        </w:rPr>
        <w:t>Uwzględnienie okresu przejściowego i etapowego dojścia do poziomu 70% autokonsumpcji, aby umożliwić spółdzielniom adaptację technologiczną i inwestycyjną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Biorąc pod uwagę powyższe wyjaśnienia, nie jest rozważane wprowadzenie okresu przejściowego.</w:t>
      </w:r>
    </w:p>
    <w:p>
      <w:pPr>
        <w:pStyle w:val="Style1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0" w:val="left"/>
        </w:tabs>
        <w:bidi w:val="0"/>
        <w:spacing w:before="0"/>
        <w:ind w:left="740" w:right="0" w:hanging="360"/>
        <w:jc w:val="both"/>
      </w:pPr>
      <w:r>
        <w:rPr>
          <w:rStyle w:val="CharStyle19"/>
          <w:b/>
          <w:bCs/>
        </w:rPr>
        <w:t>Uwzględnienie w przepisach szczególnego charakteru jednostek samorządu terytorialnego oraz instytucji publicznych, których profil zużycia energii jest zróżnicowany i nie zawsze możliwy do przewidzenia.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Z informacji, które docierają do Ministerstwa Klimatu i Środowiska, wynika, że znaczna większość spółdzielni energetycznych obecnych w wykazie KOWR stworzona została przez jednostki samorządu terytorialnego, w tym spółki tworzone przez te jednostki. Obecne przepisy dedykowane spółdzielniom energetycznym nie stanowią bariery do zakładania samorządowych spółdzielni energetycznych w kontekście bilansowania wytwarzanej energii.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Aby wesprzeć jednostki samorządu terytorialnego oraz zachęcić je do zakładania spółdzielni energetycznych, w ramach w projektu ustawy o zmianie ustawy o odnawialnych źródłach energii oraz niektórych innych ustaw, który został wpisany do wykazu prac legislacyjnych i programowych Rady Ministrów pod numerem UD332, zaproponowana została regulacja doprecyzowująca, które przepisy stosuje się do procesów zakładania, rejestracji, przystępowania członków, włączania punktów poboru energii do spółdzielni energetycznej, a także do późniejszego zarządzania energią elektryczną, jak również biogazem, biogazem rolniczym, biometanem i ciepłem, poprzez ich bilansowanie, rozliczanie, zakup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9"/>
        </w:rPr>
        <w:t>i dostarczanie, pomiędzy sprzedawcą, spółdzielnią energetyczną i poszczególnymi członkami. W szczególności, zaproponowane przepisy precyzują, że do powyższych procesów zastosowania nie mają przepisy ustawy – Prawo zamówień publicznych</w:t>
      </w:r>
      <w:r>
        <w:rPr>
          <w:rStyle w:val="CharStyle19"/>
          <w:vertAlign w:val="superscript"/>
        </w:rPr>
        <w:footnoteReference w:id="5"/>
      </w:r>
      <w:r>
        <w:rPr>
          <w:rStyle w:val="CharStyle19"/>
        </w:rPr>
        <w:t>. Zakres stosowania tej ustawy podnoszony był przez samorządy jako jedna z barier powstrzymujących zakładanie przez nie spółdzielni energetycznych i procedowanie wewnętrznych rozliczeń energii.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rStyle w:val="CharStyle19"/>
        </w:rPr>
        <w:t>Wszelkie postulaty zgłaszane do Ministerstwa Klimatu i Środowiska w kontekście spółdzielni energetycznych, zarówno te zgłaszane przez samorządy jak i inne podmioty oraz osoby, są analizowane, a następnie, jeśli zaobserwowano taką konieczność i realną możliwość, odpowiednio wdrażane. Zapewniam więc, że specyfika jednostek samorządu terytorialnego jest uwzględniana w prowadzonych pracach analitycznych oraz legislacyjnych.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rStyle w:val="CharStyle19"/>
        </w:rPr>
        <w:t>Z wyrazami szacunku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</w:rPr>
        <w:t>Zastępca Dyrektora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</w:rPr>
        <w:t>Departament Odnawialnych Źródeł Energii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</w:rPr>
        <w:t>Ministerstwo Klimatu i Środowiska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rStyle w:val="CharStyle19"/>
        </w:rPr>
        <w:t>/ – podpisany cyfrowo/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094" w:right="1954" w:bottom="1616" w:left="1949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10040620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Style w:val="CharStyle25"/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69999999999999pt;margin-top:790.60000000000002pt;width:3.8500000000000001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Style w:val="CharStyle25"/>
                          <w:rFonts w:ascii="Arial" w:eastAsia="Arial" w:hAnsi="Arial" w:cs="Arial"/>
                          <w:sz w:val="15"/>
                          <w:szCs w:val="15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5"/>
          <w:szCs w:val="15"/>
        </w:rPr>
      </w:pPr>
      <w:r>
        <w:rPr>
          <w:rStyle w:val="CharStyle3"/>
          <w:sz w:val="15"/>
          <w:szCs w:val="15"/>
        </w:rPr>
        <w:t>Telefon: (+48) 223-691-035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5"/>
          <w:szCs w:val="15"/>
        </w:rPr>
      </w:pPr>
      <w:r>
        <w:fldChar w:fldCharType="begin"/>
      </w:r>
      <w:r>
        <w:rPr/>
        <w:instrText> HYPERLINK "mailto:departament.odnawialnych.zrodel.energii@klimat.gov.pl" </w:instrText>
      </w:r>
      <w:r>
        <w:fldChar w:fldCharType="separate"/>
      </w:r>
      <w:r>
        <w:rPr>
          <w:rStyle w:val="CharStyle3"/>
          <w:sz w:val="15"/>
          <w:szCs w:val="15"/>
        </w:rPr>
        <w:t>departament.odnawialnych.zrodel.energii@klimat.gov.pl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5"/>
          <w:szCs w:val="15"/>
        </w:rPr>
      </w:pP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sz w:val="15"/>
          <w:szCs w:val="15"/>
        </w:rPr>
        <w:t>www.gov.pl/klimat</w:t>
      </w:r>
      <w:r>
        <w:fldChar w:fldCharType="end"/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podstawie danych z wykazu spółdzielni energetycznych KOWR sporządzonego w dniu 12 grudnia 2025 roku.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Ustawa z dnia 11 września 2019 r. – Prawo zamówień publicznych (Dz.U. 2024 poz. 1320)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/>
      </w:rPr>
    </w:lvl>
  </w:abstractNum>
  <w:abstractNum w:abstractNumId="4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Body text (3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Body text (4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0">
    <w:name w:val="Heading #1_"/>
    <w:basedOn w:val="DefaultParagraphFont"/>
    <w:link w:val="Style9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3">
    <w:name w:val="Body text (2)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Heading #2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Body text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Header or footer (2)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ind w:firstLine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auto"/>
      <w:spacing w:line="266" w:lineRule="auto"/>
      <w:ind w:left="300" w:hanging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Body text (4)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auto"/>
      <w:spacing w:after="26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12">
    <w:name w:val="Body text (2)"/>
    <w:basedOn w:val="Normal"/>
    <w:link w:val="CharStyle13"/>
    <w:pPr>
      <w:widowControl w:val="0"/>
      <w:shd w:val="clear" w:color="auto" w:fill="auto"/>
      <w:spacing w:after="380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auto"/>
      <w:spacing w:after="520" w:line="276" w:lineRule="auto"/>
      <w:ind w:left="2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Style18">
    <w:name w:val="Body text"/>
    <w:basedOn w:val="Normal"/>
    <w:link w:val="CharStyle19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Header or footer (2)"/>
    <w:basedOn w:val="Normal"/>
    <w:link w:val="CharStyle2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Prosty język. Uniwersalny szablondepartamentu/biura kolor</dc:title>
  <dc:subject/>
  <dc:creator>Kamińska Anna</dc:creator>
  <cp:keywords>PL, KOLOR</cp:keywords>
</cp:coreProperties>
</file>