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81BDE2" w14:textId="77777777" w:rsidR="00BE2489" w:rsidRPr="00BE2489" w:rsidRDefault="00BE2489" w:rsidP="00BE2489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1B1B1B"/>
          <w:sz w:val="24"/>
          <w:szCs w:val="24"/>
          <w:lang w:eastAsia="pl-PL"/>
        </w:rPr>
      </w:pPr>
      <w:r w:rsidRPr="00BE2489">
        <w:rPr>
          <w:rFonts w:ascii="inherit" w:eastAsia="Times New Roman" w:hAnsi="inherit" w:cs="Arial"/>
          <w:b/>
          <w:bCs/>
          <w:color w:val="1B1B1B"/>
          <w:sz w:val="24"/>
          <w:szCs w:val="24"/>
          <w:lang w:eastAsia="pl-PL"/>
        </w:rPr>
        <w:t>Merytoryczne kryteria włączenia do wykazu laboratoriów COVID opracowane przez Zespół do spraw koordynacji sieci laboratoriów COVID (aktualizacja 18.03.2021 r.)</w:t>
      </w:r>
    </w:p>
    <w:p w14:paraId="015E8762" w14:textId="77777777" w:rsidR="00BE2489" w:rsidRPr="00BE2489" w:rsidRDefault="00BE2489" w:rsidP="00BE2489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1B1B1B"/>
          <w:sz w:val="24"/>
          <w:szCs w:val="24"/>
          <w:lang w:eastAsia="pl-PL"/>
        </w:rPr>
      </w:pPr>
      <w:r w:rsidRPr="00BE2489">
        <w:rPr>
          <w:rFonts w:ascii="Arial" w:eastAsia="Times New Roman" w:hAnsi="Arial" w:cs="Arial"/>
          <w:color w:val="1B1B1B"/>
          <w:sz w:val="24"/>
          <w:szCs w:val="24"/>
          <w:lang w:eastAsia="pl-PL"/>
        </w:rPr>
        <w:t>Laboratorium spełniające wymogi zachowania środków hermetyczności grupy 2 zagrożenia (Rozporządzenie Ministra Zdrowia z dnia 22 kwietnia 2005 roku w sprawie szkodliwych czynników biologicznych dla zdrowia w środowisku pracy oraz ochrony zdrowia pracowników zawodowo narażonych na te czynniki).</w:t>
      </w:r>
    </w:p>
    <w:p w14:paraId="227C6CE1" w14:textId="77777777" w:rsidR="00BE2489" w:rsidRPr="00BE2489" w:rsidRDefault="00BE2489" w:rsidP="00BE2489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1B1B1B"/>
          <w:sz w:val="24"/>
          <w:szCs w:val="24"/>
          <w:lang w:eastAsia="pl-PL"/>
        </w:rPr>
      </w:pPr>
      <w:r w:rsidRPr="00BE2489">
        <w:rPr>
          <w:rFonts w:ascii="Arial" w:eastAsia="Times New Roman" w:hAnsi="Arial" w:cs="Arial"/>
          <w:color w:val="1B1B1B"/>
          <w:sz w:val="24"/>
          <w:szCs w:val="24"/>
          <w:lang w:eastAsia="pl-PL"/>
        </w:rPr>
        <w:t>Personel</w:t>
      </w:r>
      <w:r w:rsidRPr="00BE2489">
        <w:rPr>
          <w:rFonts w:ascii="Arial" w:eastAsia="Times New Roman" w:hAnsi="Arial" w:cs="Arial"/>
          <w:color w:val="1B1B1B"/>
          <w:sz w:val="24"/>
          <w:szCs w:val="24"/>
          <w:lang w:eastAsia="pl-PL"/>
        </w:rPr>
        <w:br/>
      </w:r>
      <w:r w:rsidRPr="00BE2489">
        <w:rPr>
          <w:rFonts w:ascii="Arial" w:eastAsia="Times New Roman" w:hAnsi="Arial" w:cs="Arial"/>
          <w:color w:val="1B1B1B"/>
          <w:sz w:val="24"/>
          <w:szCs w:val="24"/>
          <w:lang w:eastAsia="pl-PL"/>
        </w:rPr>
        <w:br/>
        <w:t xml:space="preserve">a) kierownik laboratorium posiada prawo wykonywania zawodu diagnosty laboratoryjnego oraz specjalizację w zakresie: laboratoryjnej diagnostyki medycznej; mikrobiologii medycznej; mikrobiologii, laboratoryjnej genetyki medycznej albo specjalizację lekarską z dziedziny diagnostyka laboratoryjna lub mikrobiologia lekarska lub, w przypadku laboratorium wieloprofilowego, tytuł specjalisty zgodny z profilem laboratorium np. </w:t>
      </w:r>
      <w:proofErr w:type="spellStart"/>
      <w:r w:rsidRPr="00BE2489">
        <w:rPr>
          <w:rFonts w:ascii="Arial" w:eastAsia="Times New Roman" w:hAnsi="Arial" w:cs="Arial"/>
          <w:color w:val="1B1B1B"/>
          <w:sz w:val="24"/>
          <w:szCs w:val="24"/>
          <w:lang w:eastAsia="pl-PL"/>
        </w:rPr>
        <w:t>RCKiK</w:t>
      </w:r>
      <w:proofErr w:type="spellEnd"/>
      <w:r w:rsidRPr="00BE2489">
        <w:rPr>
          <w:rFonts w:ascii="Arial" w:eastAsia="Times New Roman" w:hAnsi="Arial" w:cs="Arial"/>
          <w:color w:val="1B1B1B"/>
          <w:sz w:val="24"/>
          <w:szCs w:val="24"/>
          <w:lang w:eastAsia="pl-PL"/>
        </w:rPr>
        <w:t xml:space="preserve"> – laboratoryjna transfuzjologia medyczna;;</w:t>
      </w:r>
      <w:r w:rsidRPr="00BE2489">
        <w:rPr>
          <w:rFonts w:ascii="Arial" w:eastAsia="Times New Roman" w:hAnsi="Arial" w:cs="Arial"/>
          <w:color w:val="1B1B1B"/>
          <w:sz w:val="24"/>
          <w:szCs w:val="24"/>
          <w:lang w:eastAsia="pl-PL"/>
        </w:rPr>
        <w:br/>
        <w:t>b) kierownik laboratorium ubiegającego się o włączenie do wykazu laboratoriów COVID nie może pełnić funkcji kierownika w innym laboratorium COVID włączonym do wykazu;</w:t>
      </w:r>
      <w:r w:rsidRPr="00BE2489">
        <w:rPr>
          <w:rFonts w:ascii="Arial" w:eastAsia="Times New Roman" w:hAnsi="Arial" w:cs="Arial"/>
          <w:color w:val="1B1B1B"/>
          <w:sz w:val="24"/>
          <w:szCs w:val="24"/>
          <w:lang w:eastAsia="pl-PL"/>
        </w:rPr>
        <w:br/>
        <w:t>c) minimalny wymiar czasu pracy kierownika w laboratorium COVID wynosi 1 etat lub jego równoważnik;</w:t>
      </w:r>
      <w:r w:rsidRPr="00BE2489">
        <w:rPr>
          <w:rFonts w:ascii="Arial" w:eastAsia="Times New Roman" w:hAnsi="Arial" w:cs="Arial"/>
          <w:color w:val="1B1B1B"/>
          <w:sz w:val="24"/>
          <w:szCs w:val="24"/>
          <w:lang w:eastAsia="pl-PL"/>
        </w:rPr>
        <w:br/>
        <w:t>d) laboratorium deklaruje czy wykonuje diagnostykę 8h,12h czy 24h na dobę oraz informuje o tym, w jakim wymiarze czasu pracy zatrudnia każdego diagnostę laboratoryjnego i kierownika laboratorium. Minister Zdrowia może zażądać potwierdzenia deklarowanego czasu pracy od osób wskazanych przez wnioskodawcę jako personel laboratorium COVID;</w:t>
      </w:r>
      <w:r w:rsidRPr="00BE2489">
        <w:rPr>
          <w:rFonts w:ascii="Arial" w:eastAsia="Times New Roman" w:hAnsi="Arial" w:cs="Arial"/>
          <w:color w:val="1B1B1B"/>
          <w:sz w:val="24"/>
          <w:szCs w:val="24"/>
          <w:lang w:eastAsia="pl-PL"/>
        </w:rPr>
        <w:br/>
        <w:t>e) laboratoria deklarujące dostępność do badań w systemie 8 lub 12h, dla zapewnienia ciągłości wymagane jest minimum 3 etaty diagnosty laboratoryjnego, personel pomocniczy wg potrzeb jednostki;</w:t>
      </w:r>
      <w:r w:rsidRPr="00BE2489">
        <w:rPr>
          <w:rFonts w:ascii="Arial" w:eastAsia="Times New Roman" w:hAnsi="Arial" w:cs="Arial"/>
          <w:color w:val="1B1B1B"/>
          <w:sz w:val="24"/>
          <w:szCs w:val="24"/>
          <w:lang w:eastAsia="pl-PL"/>
        </w:rPr>
        <w:br/>
        <w:t>f) </w:t>
      </w:r>
      <w:proofErr w:type="spellStart"/>
      <w:r w:rsidRPr="00BE2489">
        <w:rPr>
          <w:rFonts w:ascii="Arial" w:eastAsia="Times New Roman" w:hAnsi="Arial" w:cs="Arial"/>
          <w:color w:val="1B1B1B"/>
          <w:sz w:val="24"/>
          <w:szCs w:val="24"/>
          <w:lang w:eastAsia="pl-PL"/>
        </w:rPr>
        <w:t>aboratoria</w:t>
      </w:r>
      <w:proofErr w:type="spellEnd"/>
      <w:r w:rsidRPr="00BE2489">
        <w:rPr>
          <w:rFonts w:ascii="Arial" w:eastAsia="Times New Roman" w:hAnsi="Arial" w:cs="Arial"/>
          <w:color w:val="1B1B1B"/>
          <w:sz w:val="24"/>
          <w:szCs w:val="24"/>
          <w:lang w:eastAsia="pl-PL"/>
        </w:rPr>
        <w:t xml:space="preserve"> deklarujące dostępność do badań w systemie 24h, dla zapewnienia ciągłości wymagane jest minimum 5,5 etatu diagnosty, personel pomocniczy wg potrzeb jednostki</w:t>
      </w:r>
    </w:p>
    <w:p w14:paraId="1A69C903" w14:textId="77777777" w:rsidR="00BE2489" w:rsidRPr="00BE2489" w:rsidRDefault="00BE2489" w:rsidP="00BE2489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1B1B1B"/>
          <w:sz w:val="24"/>
          <w:szCs w:val="24"/>
          <w:lang w:eastAsia="pl-PL"/>
        </w:rPr>
      </w:pPr>
      <w:r w:rsidRPr="00BE2489">
        <w:rPr>
          <w:rFonts w:ascii="Arial" w:eastAsia="Times New Roman" w:hAnsi="Arial" w:cs="Arial"/>
          <w:color w:val="1B1B1B"/>
          <w:sz w:val="24"/>
          <w:szCs w:val="24"/>
          <w:lang w:eastAsia="pl-PL"/>
        </w:rPr>
        <w:t>Wyposażenie – wykazana kompletna tabela z wniosku wg stosowanej metody. W przypadku wykonywania badań różnymi metodami wprowadzić kompletny wykaz aparatury w zakresie wskazanym we wniosku.</w:t>
      </w:r>
    </w:p>
    <w:p w14:paraId="67512BD3" w14:textId="77777777" w:rsidR="00BE2489" w:rsidRPr="00BE2489" w:rsidRDefault="00BE2489" w:rsidP="00BE2489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1B1B1B"/>
          <w:sz w:val="24"/>
          <w:szCs w:val="24"/>
          <w:lang w:eastAsia="pl-PL"/>
        </w:rPr>
      </w:pPr>
      <w:r w:rsidRPr="00BE2489">
        <w:rPr>
          <w:rFonts w:ascii="Arial" w:eastAsia="Times New Roman" w:hAnsi="Arial" w:cs="Arial"/>
          <w:color w:val="1B1B1B"/>
          <w:sz w:val="24"/>
          <w:szCs w:val="24"/>
          <w:lang w:eastAsia="pl-PL"/>
        </w:rPr>
        <w:t>Do wniosku należy dołączyć pozytywną opinię urzędu wojewódzkiego nt. potrzeby utworzenia laboratorium COVID na terenie województwa.</w:t>
      </w:r>
    </w:p>
    <w:p w14:paraId="300B3AE5" w14:textId="77777777" w:rsidR="00BE2489" w:rsidRPr="00BE2489" w:rsidRDefault="00BE2489" w:rsidP="00BE2489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1B1B1B"/>
          <w:sz w:val="24"/>
          <w:szCs w:val="24"/>
          <w:lang w:eastAsia="pl-PL"/>
        </w:rPr>
      </w:pPr>
      <w:r w:rsidRPr="00BE2489">
        <w:rPr>
          <w:rFonts w:ascii="Arial" w:eastAsia="Times New Roman" w:hAnsi="Arial" w:cs="Arial"/>
          <w:color w:val="1B1B1B"/>
          <w:sz w:val="24"/>
          <w:szCs w:val="24"/>
          <w:lang w:eastAsia="pl-PL"/>
        </w:rPr>
        <w:t>Prosimy o przesłanie dokumentów: </w:t>
      </w:r>
      <w:r w:rsidRPr="00BE2489">
        <w:rPr>
          <w:rFonts w:ascii="inherit" w:eastAsia="Times New Roman" w:hAnsi="inherit" w:cs="Arial"/>
          <w:b/>
          <w:bCs/>
          <w:color w:val="1B1B1B"/>
          <w:sz w:val="24"/>
          <w:szCs w:val="24"/>
          <w:lang w:eastAsia="pl-PL"/>
        </w:rPr>
        <w:t>wniosku (zarówno podpisanego jak i w wersji edytowalnej </w:t>
      </w:r>
      <w:proofErr w:type="spellStart"/>
      <w:r w:rsidRPr="00BE2489">
        <w:rPr>
          <w:rFonts w:ascii="inherit" w:eastAsia="Times New Roman" w:hAnsi="inherit" w:cs="Arial"/>
          <w:b/>
          <w:bCs/>
          <w:color w:val="1B1B1B"/>
          <w:sz w:val="24"/>
          <w:szCs w:val="24"/>
          <w:lang w:eastAsia="pl-PL"/>
        </w:rPr>
        <w:t>excel</w:t>
      </w:r>
      <w:proofErr w:type="spellEnd"/>
      <w:r w:rsidRPr="00BE2489">
        <w:rPr>
          <w:rFonts w:ascii="inherit" w:eastAsia="Times New Roman" w:hAnsi="inherit" w:cs="Arial"/>
          <w:b/>
          <w:bCs/>
          <w:color w:val="1B1B1B"/>
          <w:sz w:val="24"/>
          <w:szCs w:val="24"/>
          <w:lang w:eastAsia="pl-PL"/>
        </w:rPr>
        <w:t>) wraz z załącznikami (oświadczenia, opinia urzędu wojewódzkiego i KRS/ oświadczenie CEIDG) na adres: </w:t>
      </w:r>
      <w:hyperlink r:id="rId5" w:history="1">
        <w:r w:rsidRPr="00BE2489">
          <w:rPr>
            <w:rFonts w:ascii="inherit" w:eastAsia="Times New Roman" w:hAnsi="inherit" w:cs="Arial"/>
            <w:b/>
            <w:bCs/>
            <w:color w:val="0052A5"/>
            <w:sz w:val="24"/>
            <w:szCs w:val="24"/>
            <w:u w:val="single"/>
            <w:lang w:eastAsia="pl-PL"/>
          </w:rPr>
          <w:t>labcovid@mz.gov.pl</w:t>
        </w:r>
      </w:hyperlink>
      <w:r w:rsidRPr="00BE2489">
        <w:rPr>
          <w:rFonts w:ascii="inherit" w:eastAsia="Times New Roman" w:hAnsi="inherit" w:cs="Arial"/>
          <w:b/>
          <w:bCs/>
          <w:color w:val="1B1B1B"/>
          <w:sz w:val="24"/>
          <w:szCs w:val="24"/>
          <w:lang w:eastAsia="pl-PL"/>
        </w:rPr>
        <w:t>.</w:t>
      </w:r>
    </w:p>
    <w:p w14:paraId="39DF414D" w14:textId="77777777" w:rsidR="00BE2489" w:rsidRPr="00BE2489" w:rsidRDefault="00BE2489" w:rsidP="00BE2489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1B1B1B"/>
          <w:sz w:val="24"/>
          <w:szCs w:val="24"/>
          <w:lang w:eastAsia="pl-PL"/>
        </w:rPr>
      </w:pPr>
      <w:r w:rsidRPr="00BE2489">
        <w:rPr>
          <w:rFonts w:ascii="Arial" w:eastAsia="Times New Roman" w:hAnsi="Arial" w:cs="Arial"/>
          <w:color w:val="1B1B1B"/>
          <w:sz w:val="24"/>
          <w:szCs w:val="24"/>
          <w:lang w:eastAsia="pl-PL"/>
        </w:rPr>
        <w:t>Laboratoria wpisane na listę przed 31.12.2020 r. do 31 marca 2021 r. dostosują się do wymogów określonych w pkt 2 lit a-c.</w:t>
      </w:r>
    </w:p>
    <w:p w14:paraId="44D90635" w14:textId="77777777" w:rsidR="00BE2489" w:rsidRPr="00BE2489" w:rsidRDefault="00BE2489" w:rsidP="00BE2489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1B1B1B"/>
          <w:sz w:val="24"/>
          <w:szCs w:val="24"/>
          <w:lang w:eastAsia="pl-PL"/>
        </w:rPr>
      </w:pPr>
      <w:r w:rsidRPr="00BE2489">
        <w:rPr>
          <w:rFonts w:ascii="Arial" w:eastAsia="Times New Roman" w:hAnsi="Arial" w:cs="Arial"/>
          <w:color w:val="1B1B1B"/>
          <w:sz w:val="24"/>
          <w:szCs w:val="24"/>
          <w:lang w:eastAsia="pl-PL"/>
        </w:rPr>
        <w:t>W przypadku aktualizacji danych laboratorium należy przesłać zaktualizowany wniosek uzupełniony części dotyczącej danych laboratorium (pkt. 1, 2 i 3 w części I) oraz w częściach, w których następuje aktualizacja danych (zarówno podpisany jak</w:t>
      </w:r>
      <w:r w:rsidRPr="00BE2489">
        <w:rPr>
          <w:rFonts w:ascii="Arial" w:eastAsia="Times New Roman" w:hAnsi="Arial" w:cs="Arial"/>
          <w:color w:val="1B1B1B"/>
          <w:sz w:val="24"/>
          <w:szCs w:val="24"/>
          <w:lang w:eastAsia="pl-PL"/>
        </w:rPr>
        <w:br/>
        <w:t xml:space="preserve">i w wersji edytowalnej </w:t>
      </w:r>
      <w:proofErr w:type="spellStart"/>
      <w:r w:rsidRPr="00BE2489">
        <w:rPr>
          <w:rFonts w:ascii="Arial" w:eastAsia="Times New Roman" w:hAnsi="Arial" w:cs="Arial"/>
          <w:color w:val="1B1B1B"/>
          <w:sz w:val="24"/>
          <w:szCs w:val="24"/>
          <w:lang w:eastAsia="pl-PL"/>
        </w:rPr>
        <w:t>word</w:t>
      </w:r>
      <w:proofErr w:type="spellEnd"/>
      <w:r w:rsidRPr="00BE2489">
        <w:rPr>
          <w:rFonts w:ascii="Arial" w:eastAsia="Times New Roman" w:hAnsi="Arial" w:cs="Arial"/>
          <w:color w:val="1B1B1B"/>
          <w:sz w:val="24"/>
          <w:szCs w:val="24"/>
          <w:lang w:eastAsia="pl-PL"/>
        </w:rPr>
        <w:t>) na adres: </w:t>
      </w:r>
      <w:hyperlink r:id="rId6" w:history="1">
        <w:r w:rsidRPr="00BE2489">
          <w:rPr>
            <w:rFonts w:ascii="Arial" w:eastAsia="Times New Roman" w:hAnsi="Arial" w:cs="Arial"/>
            <w:color w:val="0052A5"/>
            <w:sz w:val="24"/>
            <w:szCs w:val="24"/>
            <w:u w:val="single"/>
            <w:lang w:eastAsia="pl-PL"/>
          </w:rPr>
          <w:t>labcovid@mz.gov.pl</w:t>
        </w:r>
      </w:hyperlink>
      <w:r w:rsidRPr="00BE2489">
        <w:rPr>
          <w:rFonts w:ascii="Arial" w:eastAsia="Times New Roman" w:hAnsi="Arial" w:cs="Arial"/>
          <w:color w:val="1B1B1B"/>
          <w:sz w:val="24"/>
          <w:szCs w:val="24"/>
          <w:lang w:eastAsia="pl-PL"/>
        </w:rPr>
        <w:t>.</w:t>
      </w:r>
    </w:p>
    <w:p w14:paraId="54CFF3EC" w14:textId="77777777" w:rsidR="00BE2489" w:rsidRPr="00BE2489" w:rsidRDefault="00BE2489" w:rsidP="00BE2489">
      <w:pPr>
        <w:shd w:val="clear" w:color="auto" w:fill="FFFFFF"/>
        <w:spacing w:before="408" w:after="144" w:line="240" w:lineRule="auto"/>
        <w:textAlignment w:val="baseline"/>
        <w:outlineLvl w:val="2"/>
        <w:rPr>
          <w:rFonts w:ascii="Arial" w:eastAsia="Times New Roman" w:hAnsi="Arial" w:cs="Arial"/>
          <w:b/>
          <w:bCs/>
          <w:color w:val="1B1B1B"/>
          <w:sz w:val="39"/>
          <w:szCs w:val="39"/>
          <w:lang w:eastAsia="pl-PL"/>
        </w:rPr>
      </w:pPr>
      <w:r w:rsidRPr="00BE2489">
        <w:rPr>
          <w:rFonts w:ascii="Arial" w:eastAsia="Times New Roman" w:hAnsi="Arial" w:cs="Arial"/>
          <w:b/>
          <w:bCs/>
          <w:color w:val="1B1B1B"/>
          <w:sz w:val="39"/>
          <w:szCs w:val="39"/>
          <w:lang w:eastAsia="pl-PL"/>
        </w:rPr>
        <w:lastRenderedPageBreak/>
        <w:t>Ustalenia w zakresie kontroli jakości badań w laboratoriach COVID</w:t>
      </w:r>
    </w:p>
    <w:p w14:paraId="48CD8850" w14:textId="77777777" w:rsidR="00BE2489" w:rsidRPr="00BE2489" w:rsidRDefault="00BE2489" w:rsidP="00BE2489">
      <w:pPr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1B1B1B"/>
          <w:sz w:val="24"/>
          <w:szCs w:val="24"/>
          <w:lang w:eastAsia="pl-PL"/>
        </w:rPr>
      </w:pPr>
      <w:r w:rsidRPr="00BE2489">
        <w:rPr>
          <w:rFonts w:ascii="Arial" w:eastAsia="Times New Roman" w:hAnsi="Arial" w:cs="Arial"/>
          <w:color w:val="1B1B1B"/>
          <w:sz w:val="24"/>
          <w:szCs w:val="24"/>
          <w:lang w:eastAsia="pl-PL"/>
        </w:rPr>
        <w:t>Do dnia 30.06.2021 r. Laboratoria COVID zobowiązane są do uzyskania certyfikatu potwierdzającego jakość badań laboratoryjnych w kierunku SARS-CoV-2 w materiale klinicznym od ludzi uzyskany w ramach udziału w zewnętrznych, ogólnodostępnych programach kontroli jakości badań (EQA) lub w programach organizowanych przez WHO lub ECDC.</w:t>
      </w:r>
    </w:p>
    <w:p w14:paraId="0FF34E44" w14:textId="77777777" w:rsidR="00BE2489" w:rsidRPr="00BE2489" w:rsidRDefault="00BE2489" w:rsidP="00BE2489">
      <w:pPr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1B1B1B"/>
          <w:sz w:val="24"/>
          <w:szCs w:val="24"/>
          <w:lang w:eastAsia="pl-PL"/>
        </w:rPr>
      </w:pPr>
      <w:r w:rsidRPr="00BE2489">
        <w:rPr>
          <w:rFonts w:ascii="Arial" w:eastAsia="Times New Roman" w:hAnsi="Arial" w:cs="Arial"/>
          <w:color w:val="1B1B1B"/>
          <w:sz w:val="24"/>
          <w:szCs w:val="24"/>
          <w:lang w:eastAsia="pl-PL"/>
        </w:rPr>
        <w:t>Certyfikat, o którym mowa w pkt. 1 pozostaje ważny przez 12 miesięcy od dnia wystawienia.</w:t>
      </w:r>
    </w:p>
    <w:p w14:paraId="040E3B15" w14:textId="77777777" w:rsidR="00BE2489" w:rsidRPr="00BE2489" w:rsidRDefault="00BE2489" w:rsidP="00BE2489">
      <w:pPr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1B1B1B"/>
          <w:sz w:val="24"/>
          <w:szCs w:val="24"/>
          <w:lang w:eastAsia="pl-PL"/>
        </w:rPr>
      </w:pPr>
      <w:r w:rsidRPr="00BE2489">
        <w:rPr>
          <w:rFonts w:ascii="Arial" w:eastAsia="Times New Roman" w:hAnsi="Arial" w:cs="Arial"/>
          <w:color w:val="1B1B1B"/>
          <w:sz w:val="24"/>
          <w:szCs w:val="24"/>
          <w:lang w:eastAsia="pl-PL"/>
        </w:rPr>
        <w:t>W przypadku nie wywiązania się z obowiązku, o którym mowa w pkt. 1, laboratorium niezwłocznie powiadamia Ministra Zdrowia oraz podaje przyczyny i dokumentuje podjęte działania zaradcze. Minister Zdrowia może warunkowo pozostawić laboratorium w wykazie, jednak nie dłużej niż określono w pkt. 5.</w:t>
      </w:r>
    </w:p>
    <w:p w14:paraId="30FD46D5" w14:textId="77777777" w:rsidR="00BE2489" w:rsidRPr="00BE2489" w:rsidRDefault="00BE2489" w:rsidP="00BE2489">
      <w:pPr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1B1B1B"/>
          <w:sz w:val="24"/>
          <w:szCs w:val="24"/>
          <w:lang w:eastAsia="pl-PL"/>
        </w:rPr>
      </w:pPr>
      <w:r w:rsidRPr="00BE2489">
        <w:rPr>
          <w:rFonts w:ascii="Arial" w:eastAsia="Times New Roman" w:hAnsi="Arial" w:cs="Arial"/>
          <w:color w:val="1B1B1B"/>
          <w:sz w:val="24"/>
          <w:szCs w:val="24"/>
          <w:lang w:eastAsia="pl-PL"/>
        </w:rPr>
        <w:t>Do dnia 31.03.2021r. laboratoria COVID, które nie uzyskały certyfikatu, o którym mowa w pkt. 1 lub nie poddały się dotychczas weryfikacji wyników badań laboratoryjnych w NIZP-PZH mogą przystąpić do weryfikacji na zasadach opisanych na stronie Instytutu (</w:t>
      </w:r>
      <w:hyperlink r:id="rId7" w:history="1">
        <w:r w:rsidRPr="00BE2489">
          <w:rPr>
            <w:rFonts w:ascii="Arial" w:eastAsia="Times New Roman" w:hAnsi="Arial" w:cs="Arial"/>
            <w:color w:val="0052A5"/>
            <w:sz w:val="24"/>
            <w:szCs w:val="24"/>
            <w:u w:val="single"/>
            <w:lang w:eastAsia="pl-PL"/>
          </w:rPr>
          <w:t>https://www.pzh.gov.pl/wp-content/uploads/2020/11/Wytyczne-do-weryfikacji-COVID-03.11.2020.docx</w:t>
        </w:r>
      </w:hyperlink>
      <w:r w:rsidRPr="00BE2489">
        <w:rPr>
          <w:rFonts w:ascii="Arial" w:eastAsia="Times New Roman" w:hAnsi="Arial" w:cs="Arial"/>
          <w:color w:val="1B1B1B"/>
          <w:sz w:val="24"/>
          <w:szCs w:val="24"/>
          <w:lang w:eastAsia="pl-PL"/>
        </w:rPr>
        <w:t>). Uwaga, po dniu 31.03.2021r. NIZP-PZH nie będzie przyjmował próbek do weryfikacji z wyjątkiem tych laboratoriów, którym Instytut zalecił przesłanie materiału w ramach rozpoczętego przed ww. dniem procesu weryfikacji.</w:t>
      </w:r>
    </w:p>
    <w:p w14:paraId="7F9327AD" w14:textId="77777777" w:rsidR="00BE2489" w:rsidRPr="00BE2489" w:rsidRDefault="00BE2489" w:rsidP="00BE2489">
      <w:pPr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1B1B1B"/>
          <w:sz w:val="24"/>
          <w:szCs w:val="24"/>
          <w:lang w:eastAsia="pl-PL"/>
        </w:rPr>
      </w:pPr>
      <w:r w:rsidRPr="00BE2489">
        <w:rPr>
          <w:rFonts w:ascii="Arial" w:eastAsia="Times New Roman" w:hAnsi="Arial" w:cs="Arial"/>
          <w:color w:val="1B1B1B"/>
          <w:sz w:val="24"/>
          <w:szCs w:val="24"/>
          <w:lang w:eastAsia="pl-PL"/>
        </w:rPr>
        <w:t>Laboratoria COVID, które do dnia 31.12.2021r. nie przedstawią Ministrowi Zdrowia certyfikatu, o którym mowa w pkt. 1, zostają usunięte z wykazu. Przesłanie skanów certyfikatów jest rejestrowane, bez odpowiedzi zwrotnej.</w:t>
      </w:r>
    </w:p>
    <w:p w14:paraId="4B6610EE" w14:textId="77777777" w:rsidR="00BE2489" w:rsidRPr="00BE2489" w:rsidRDefault="00BE2489" w:rsidP="00BE248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1B1B1B"/>
          <w:sz w:val="24"/>
          <w:szCs w:val="24"/>
          <w:lang w:eastAsia="pl-PL"/>
        </w:rPr>
      </w:pPr>
      <w:r w:rsidRPr="00BE2489">
        <w:rPr>
          <w:rFonts w:ascii="Arial" w:eastAsia="Times New Roman" w:hAnsi="Arial" w:cs="Arial"/>
          <w:color w:val="1B1B1B"/>
          <w:sz w:val="24"/>
          <w:szCs w:val="24"/>
          <w:lang w:eastAsia="pl-PL"/>
        </w:rPr>
        <w:t>Okres 30 czerwca - 31 grudnia 2021 r. jest przewidziany na przekazanie do MZ certyfikatów, które mogą być uzyskane z opóźnieniem wynikającym np. z przystąpienia laboratorium do EQA w maju lub w czerwcu 2021 r. Rozpoczęcie udziału w EQA przed 30.06.2021 r. uznaje się za wystarczające do pozostawienia laboratorium na liście laboratoriów COVID do dnia przekazania certyfikatu z pozytywnym wynikiem oceny nie później jednak niż do 31.12.2021 r.</w:t>
      </w:r>
    </w:p>
    <w:p w14:paraId="675EED9A" w14:textId="77777777" w:rsidR="0018697A" w:rsidRDefault="0018697A"/>
    <w:sectPr w:rsidR="0018697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A9654E"/>
    <w:multiLevelType w:val="multilevel"/>
    <w:tmpl w:val="741A7D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FE91187"/>
    <w:multiLevelType w:val="multilevel"/>
    <w:tmpl w:val="3AF65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2489"/>
    <w:rsid w:val="0018697A"/>
    <w:rsid w:val="00BE24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FB1246"/>
  <w15:chartTrackingRefBased/>
  <w15:docId w15:val="{9022209E-4ACC-4CFD-93DD-D763D1E591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3">
    <w:name w:val="heading 3"/>
    <w:basedOn w:val="Normalny"/>
    <w:link w:val="Nagwek3Znak"/>
    <w:uiPriority w:val="9"/>
    <w:qFormat/>
    <w:rsid w:val="00BE248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"/>
    <w:rsid w:val="00BE2489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BE24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BE2489"/>
    <w:rPr>
      <w:b/>
      <w:bCs/>
    </w:rPr>
  </w:style>
  <w:style w:type="character" w:styleId="Hipercze">
    <w:name w:val="Hyperlink"/>
    <w:basedOn w:val="Domylnaczcionkaakapitu"/>
    <w:uiPriority w:val="99"/>
    <w:semiHidden/>
    <w:unhideWhenUsed/>
    <w:rsid w:val="00BE248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909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8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49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pzh.gov.pl/wp-content/uploads/2020/11/Wytyczne-do-weryfikacji-COVID-03.11.2020.docx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labcovid@mz.gov.pl" TargetMode="External"/><Relationship Id="rId5" Type="http://schemas.openxmlformats.org/officeDocument/2006/relationships/hyperlink" Target="mailto:labcovid@mz.gov.p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725</Words>
  <Characters>4352</Characters>
  <Application>Microsoft Office Word</Application>
  <DocSecurity>0</DocSecurity>
  <Lines>36</Lines>
  <Paragraphs>10</Paragraphs>
  <ScaleCrop>false</ScaleCrop>
  <Company/>
  <LinksUpToDate>false</LinksUpToDate>
  <CharactersWithSpaces>5067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Burski Maciej</dc:creator>
  <cp:keywords/>
  <dc:description/>
  <cp:lastModifiedBy>Burski Maciej</cp:lastModifiedBy>
  <cp:revision>1</cp:revision>
  <dcterms:created xsi:type="dcterms:W3CDTF">2022-02-04T10:50:00Z</dcterms:created>
  <dcterms:modified xsi:type="dcterms:W3CDTF">2022-02-04T10:52:00Z</dcterms:modified>
</cp:coreProperties>
</file>