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C0E76" w14:textId="25A0115B" w:rsidR="00ED620F" w:rsidRPr="00C63E3C" w:rsidRDefault="003E57F4" w:rsidP="00C63E3C">
      <w:pPr>
        <w:tabs>
          <w:tab w:val="left" w:pos="4052"/>
        </w:tabs>
        <w:spacing w:line="360" w:lineRule="auto"/>
        <w:jc w:val="both"/>
        <w:rPr>
          <w:rFonts w:ascii="Arial" w:hAnsi="Arial" w:cs="Arial"/>
          <w:w w:val="100"/>
          <w:sz w:val="22"/>
          <w:szCs w:val="22"/>
        </w:rPr>
      </w:pPr>
      <w:r w:rsidRPr="00C63E3C">
        <w:rPr>
          <w:rFonts w:ascii="Arial" w:hAnsi="Arial" w:cs="Arial"/>
          <w:w w:val="100"/>
          <w:sz w:val="22"/>
          <w:szCs w:val="22"/>
        </w:rPr>
        <w:tab/>
      </w:r>
    </w:p>
    <w:p w14:paraId="68D36772" w14:textId="7783E302" w:rsidR="0039044F" w:rsidRPr="00C63E3C" w:rsidRDefault="007D4E84" w:rsidP="00C63E3C">
      <w:pPr>
        <w:pStyle w:val="Nagwek2"/>
        <w:tabs>
          <w:tab w:val="left" w:pos="6507"/>
        </w:tabs>
        <w:spacing w:line="360" w:lineRule="auto"/>
        <w:jc w:val="left"/>
        <w:rPr>
          <w:rFonts w:ascii="Arial" w:hAnsi="Arial" w:cs="Arial"/>
          <w:w w:val="100"/>
          <w:sz w:val="22"/>
          <w:szCs w:val="22"/>
        </w:rPr>
      </w:pPr>
      <w:r w:rsidRPr="00C63E3C">
        <w:rPr>
          <w:rFonts w:ascii="Arial" w:hAnsi="Arial" w:cs="Arial"/>
          <w:w w:val="100"/>
          <w:sz w:val="22"/>
          <w:szCs w:val="22"/>
        </w:rPr>
        <w:tab/>
      </w:r>
    </w:p>
    <w:p w14:paraId="113466CF" w14:textId="4F3D78F9" w:rsidR="00ED620F" w:rsidRPr="00C63E3C" w:rsidRDefault="000D2427" w:rsidP="00C63E3C">
      <w:pPr>
        <w:pStyle w:val="Nagwek2"/>
        <w:spacing w:line="360" w:lineRule="auto"/>
        <w:rPr>
          <w:rFonts w:ascii="Arial" w:hAnsi="Arial" w:cs="Arial"/>
          <w:w w:val="100"/>
          <w:sz w:val="22"/>
          <w:szCs w:val="22"/>
        </w:rPr>
      </w:pPr>
      <w:r w:rsidRPr="00C63E3C">
        <w:rPr>
          <w:rFonts w:ascii="Arial" w:hAnsi="Arial" w:cs="Arial"/>
          <w:w w:val="100"/>
          <w:sz w:val="22"/>
          <w:szCs w:val="22"/>
        </w:rPr>
        <w:t xml:space="preserve">OPINIA </w:t>
      </w:r>
    </w:p>
    <w:p w14:paraId="0DEA777D" w14:textId="1BBBE93A" w:rsidR="000D2427" w:rsidRPr="00C63E3C" w:rsidRDefault="000D2427" w:rsidP="00C63E3C">
      <w:pPr>
        <w:spacing w:line="360" w:lineRule="auto"/>
        <w:jc w:val="center"/>
        <w:rPr>
          <w:rFonts w:ascii="Arial" w:hAnsi="Arial" w:cs="Arial"/>
          <w:b/>
          <w:bCs/>
          <w:w w:val="100"/>
          <w:sz w:val="22"/>
          <w:szCs w:val="22"/>
        </w:rPr>
      </w:pPr>
      <w:r w:rsidRPr="00C63E3C">
        <w:rPr>
          <w:rFonts w:ascii="Arial" w:hAnsi="Arial" w:cs="Arial"/>
          <w:b/>
          <w:bCs/>
          <w:w w:val="100"/>
          <w:sz w:val="22"/>
          <w:szCs w:val="22"/>
        </w:rPr>
        <w:t>Komisji Kodyfikacyjnej Prawa Karnego</w:t>
      </w:r>
    </w:p>
    <w:p w14:paraId="122571F5" w14:textId="67FF33D2" w:rsidR="000D2427" w:rsidRPr="00C63E3C" w:rsidRDefault="000D2427" w:rsidP="00C63E3C">
      <w:pPr>
        <w:spacing w:line="360" w:lineRule="auto"/>
        <w:jc w:val="center"/>
        <w:rPr>
          <w:rFonts w:ascii="Arial" w:hAnsi="Arial" w:cs="Arial"/>
          <w:b/>
          <w:bCs/>
          <w:w w:val="100"/>
          <w:sz w:val="22"/>
          <w:szCs w:val="22"/>
        </w:rPr>
      </w:pPr>
      <w:r w:rsidRPr="00C63E3C">
        <w:rPr>
          <w:rFonts w:ascii="Arial" w:hAnsi="Arial" w:cs="Arial"/>
          <w:b/>
          <w:bCs/>
          <w:w w:val="100"/>
          <w:sz w:val="22"/>
          <w:szCs w:val="22"/>
        </w:rPr>
        <w:t xml:space="preserve">w sprawie postulatu </w:t>
      </w:r>
      <w:r w:rsidR="00810DAF" w:rsidRPr="00C63E3C">
        <w:rPr>
          <w:rFonts w:ascii="Arial" w:hAnsi="Arial" w:cs="Arial"/>
          <w:b/>
          <w:bCs/>
          <w:w w:val="100"/>
          <w:sz w:val="22"/>
          <w:szCs w:val="22"/>
        </w:rPr>
        <w:t xml:space="preserve">pełnej kryminalizacji i osobnej typizacji </w:t>
      </w:r>
      <w:r w:rsidR="00BE6125" w:rsidRPr="00C63E3C">
        <w:rPr>
          <w:rFonts w:ascii="Arial" w:hAnsi="Arial" w:cs="Arial"/>
          <w:b/>
          <w:bCs/>
          <w:w w:val="100"/>
          <w:sz w:val="22"/>
          <w:szCs w:val="22"/>
        </w:rPr>
        <w:t xml:space="preserve">czynów polegających na </w:t>
      </w:r>
      <w:r w:rsidR="00810DAF" w:rsidRPr="00C63E3C">
        <w:rPr>
          <w:rFonts w:ascii="Arial" w:hAnsi="Arial" w:cs="Arial"/>
          <w:b/>
          <w:bCs/>
          <w:w w:val="100"/>
          <w:sz w:val="22"/>
          <w:szCs w:val="22"/>
        </w:rPr>
        <w:t>stosowani</w:t>
      </w:r>
      <w:r w:rsidR="00BE6125" w:rsidRPr="00C63E3C">
        <w:rPr>
          <w:rFonts w:ascii="Arial" w:hAnsi="Arial" w:cs="Arial"/>
          <w:b/>
          <w:bCs/>
          <w:w w:val="100"/>
          <w:sz w:val="22"/>
          <w:szCs w:val="22"/>
        </w:rPr>
        <w:t>u</w:t>
      </w:r>
      <w:r w:rsidR="00810DAF" w:rsidRPr="00C63E3C">
        <w:rPr>
          <w:rFonts w:ascii="Arial" w:hAnsi="Arial" w:cs="Arial"/>
          <w:b/>
          <w:bCs/>
          <w:w w:val="100"/>
          <w:sz w:val="22"/>
          <w:szCs w:val="22"/>
        </w:rPr>
        <w:t xml:space="preserve"> tortur </w:t>
      </w:r>
    </w:p>
    <w:p w14:paraId="020A70C7" w14:textId="2F921ED9" w:rsidR="007821FB" w:rsidRPr="00C63E3C" w:rsidRDefault="007821FB" w:rsidP="00C63E3C">
      <w:pPr>
        <w:pStyle w:val="Nagwek2"/>
        <w:spacing w:line="360" w:lineRule="auto"/>
        <w:jc w:val="left"/>
        <w:rPr>
          <w:rFonts w:ascii="Arial" w:hAnsi="Arial" w:cs="Arial"/>
          <w:bCs/>
          <w:w w:val="100"/>
          <w:sz w:val="22"/>
          <w:szCs w:val="22"/>
        </w:rPr>
      </w:pPr>
    </w:p>
    <w:p w14:paraId="526F1946" w14:textId="77777777" w:rsidR="000D2427" w:rsidRPr="00C63E3C" w:rsidRDefault="000D2427" w:rsidP="00C63E3C">
      <w:pPr>
        <w:spacing w:line="360" w:lineRule="auto"/>
        <w:rPr>
          <w:rFonts w:ascii="Arial" w:hAnsi="Arial" w:cs="Arial"/>
          <w:w w:val="100"/>
          <w:sz w:val="22"/>
          <w:szCs w:val="22"/>
        </w:rPr>
      </w:pPr>
    </w:p>
    <w:p w14:paraId="28863882" w14:textId="0F1151E2" w:rsidR="007913ED" w:rsidRPr="00C63E3C" w:rsidRDefault="000D2427" w:rsidP="00C63E3C">
      <w:pPr>
        <w:spacing w:line="360" w:lineRule="auto"/>
        <w:jc w:val="both"/>
        <w:rPr>
          <w:rFonts w:ascii="Arial" w:hAnsi="Arial" w:cs="Arial"/>
          <w:w w:val="100"/>
          <w:sz w:val="22"/>
          <w:szCs w:val="22"/>
        </w:rPr>
      </w:pPr>
      <w:r w:rsidRPr="00C63E3C">
        <w:rPr>
          <w:rFonts w:ascii="Arial" w:hAnsi="Arial" w:cs="Arial"/>
          <w:w w:val="100"/>
          <w:sz w:val="22"/>
          <w:szCs w:val="22"/>
        </w:rPr>
        <w:t xml:space="preserve">1. </w:t>
      </w:r>
      <w:r w:rsidRPr="00C63E3C">
        <w:rPr>
          <w:rFonts w:ascii="Arial" w:hAnsi="Arial" w:cs="Arial"/>
          <w:w w:val="100"/>
          <w:sz w:val="22"/>
          <w:szCs w:val="22"/>
        </w:rPr>
        <w:tab/>
      </w:r>
      <w:r w:rsidR="00810DAF" w:rsidRPr="00C63E3C">
        <w:rPr>
          <w:rFonts w:ascii="Arial" w:hAnsi="Arial" w:cs="Arial"/>
          <w:w w:val="100"/>
          <w:sz w:val="22"/>
          <w:szCs w:val="22"/>
        </w:rPr>
        <w:t xml:space="preserve">Od dawna </w:t>
      </w:r>
      <w:r w:rsidR="004D5FAD" w:rsidRPr="00C63E3C">
        <w:rPr>
          <w:rFonts w:ascii="Arial" w:hAnsi="Arial" w:cs="Arial"/>
          <w:w w:val="100"/>
          <w:sz w:val="22"/>
          <w:szCs w:val="22"/>
        </w:rPr>
        <w:t xml:space="preserve">wysuwany </w:t>
      </w:r>
      <w:r w:rsidR="00810DAF" w:rsidRPr="00C63E3C">
        <w:rPr>
          <w:rFonts w:ascii="Arial" w:hAnsi="Arial" w:cs="Arial"/>
          <w:w w:val="100"/>
          <w:sz w:val="22"/>
          <w:szCs w:val="22"/>
        </w:rPr>
        <w:t xml:space="preserve">jest postulat </w:t>
      </w:r>
      <w:r w:rsidR="00810DAF" w:rsidRPr="00C63E3C">
        <w:rPr>
          <w:rFonts w:ascii="Arial" w:hAnsi="Arial" w:cs="Arial"/>
          <w:bCs/>
          <w:w w:val="100"/>
          <w:sz w:val="22"/>
          <w:szCs w:val="22"/>
        </w:rPr>
        <w:t>pełne</w:t>
      </w:r>
      <w:r w:rsidR="004D5FAD" w:rsidRPr="00C63E3C">
        <w:rPr>
          <w:rFonts w:ascii="Arial" w:hAnsi="Arial" w:cs="Arial"/>
          <w:bCs/>
          <w:w w:val="100"/>
          <w:sz w:val="22"/>
          <w:szCs w:val="22"/>
        </w:rPr>
        <w:t>go s</w:t>
      </w:r>
      <w:r w:rsidR="00810DAF" w:rsidRPr="00C63E3C">
        <w:rPr>
          <w:rFonts w:ascii="Arial" w:hAnsi="Arial" w:cs="Arial"/>
          <w:bCs/>
          <w:w w:val="100"/>
          <w:sz w:val="22"/>
          <w:szCs w:val="22"/>
        </w:rPr>
        <w:t>kryminaliz</w:t>
      </w:r>
      <w:r w:rsidR="004D5FAD" w:rsidRPr="00C63E3C">
        <w:rPr>
          <w:rFonts w:ascii="Arial" w:hAnsi="Arial" w:cs="Arial"/>
          <w:bCs/>
          <w:w w:val="100"/>
          <w:sz w:val="22"/>
          <w:szCs w:val="22"/>
        </w:rPr>
        <w:t>owania</w:t>
      </w:r>
      <w:r w:rsidR="00810DAF" w:rsidRPr="00C63E3C">
        <w:rPr>
          <w:rFonts w:ascii="Arial" w:hAnsi="Arial" w:cs="Arial"/>
          <w:bCs/>
          <w:w w:val="100"/>
          <w:sz w:val="22"/>
          <w:szCs w:val="22"/>
        </w:rPr>
        <w:t xml:space="preserve"> </w:t>
      </w:r>
      <w:r w:rsidR="00BE6125" w:rsidRPr="00C63E3C">
        <w:rPr>
          <w:rFonts w:ascii="Arial" w:hAnsi="Arial" w:cs="Arial"/>
          <w:bCs/>
          <w:w w:val="100"/>
          <w:sz w:val="22"/>
          <w:szCs w:val="22"/>
        </w:rPr>
        <w:t xml:space="preserve">aktów </w:t>
      </w:r>
      <w:r w:rsidR="00810DAF" w:rsidRPr="00C63E3C">
        <w:rPr>
          <w:rFonts w:ascii="Arial" w:hAnsi="Arial" w:cs="Arial"/>
          <w:bCs/>
          <w:w w:val="100"/>
          <w:sz w:val="22"/>
          <w:szCs w:val="22"/>
        </w:rPr>
        <w:t>stosowania tortur w naszym systemie prawnym</w:t>
      </w:r>
      <w:r w:rsidR="004D5FAD" w:rsidRPr="00C63E3C">
        <w:rPr>
          <w:rFonts w:ascii="Arial" w:hAnsi="Arial" w:cs="Arial"/>
          <w:bCs/>
          <w:w w:val="100"/>
          <w:sz w:val="22"/>
          <w:szCs w:val="22"/>
        </w:rPr>
        <w:t>, któremu n</w:t>
      </w:r>
      <w:r w:rsidR="00810DAF" w:rsidRPr="00C63E3C">
        <w:rPr>
          <w:rFonts w:ascii="Arial" w:hAnsi="Arial" w:cs="Arial"/>
          <w:bCs/>
          <w:w w:val="100"/>
          <w:sz w:val="22"/>
          <w:szCs w:val="22"/>
        </w:rPr>
        <w:t xml:space="preserve">a ogół towarzyszy postulat wprowadzenia osobnej typizacji </w:t>
      </w:r>
      <w:r w:rsidR="004D5FAD" w:rsidRPr="00C63E3C">
        <w:rPr>
          <w:rFonts w:ascii="Arial" w:hAnsi="Arial" w:cs="Arial"/>
          <w:bCs/>
          <w:w w:val="100"/>
          <w:sz w:val="22"/>
          <w:szCs w:val="22"/>
        </w:rPr>
        <w:t>czynów tego rodzaju</w:t>
      </w:r>
      <w:r w:rsidR="00810DAF" w:rsidRPr="00C63E3C">
        <w:rPr>
          <w:rFonts w:ascii="Arial" w:hAnsi="Arial" w:cs="Arial"/>
          <w:bCs/>
          <w:w w:val="100"/>
          <w:sz w:val="22"/>
          <w:szCs w:val="22"/>
        </w:rPr>
        <w:t>.</w:t>
      </w:r>
      <w:r w:rsidR="00810DAF" w:rsidRPr="00C63E3C">
        <w:rPr>
          <w:rFonts w:ascii="Arial" w:hAnsi="Arial" w:cs="Arial"/>
          <w:b/>
          <w:bCs/>
          <w:w w:val="100"/>
          <w:sz w:val="22"/>
          <w:szCs w:val="22"/>
        </w:rPr>
        <w:t xml:space="preserve"> </w:t>
      </w:r>
      <w:r w:rsidR="004D5FAD" w:rsidRPr="00C63E3C">
        <w:rPr>
          <w:rFonts w:ascii="Arial" w:hAnsi="Arial" w:cs="Arial"/>
          <w:bCs/>
          <w:w w:val="100"/>
          <w:sz w:val="22"/>
          <w:szCs w:val="22"/>
        </w:rPr>
        <w:t xml:space="preserve">Od lat oba postulaty zgłasza </w:t>
      </w:r>
      <w:r w:rsidR="007913ED" w:rsidRPr="00C63E3C">
        <w:rPr>
          <w:rFonts w:ascii="Arial" w:hAnsi="Arial" w:cs="Arial"/>
          <w:bCs/>
          <w:w w:val="100"/>
          <w:sz w:val="22"/>
          <w:szCs w:val="22"/>
        </w:rPr>
        <w:t xml:space="preserve">systematycznie </w:t>
      </w:r>
      <w:r w:rsidR="004D5FAD" w:rsidRPr="00C63E3C">
        <w:rPr>
          <w:rFonts w:ascii="Arial" w:hAnsi="Arial" w:cs="Arial"/>
          <w:bCs/>
          <w:w w:val="100"/>
          <w:sz w:val="22"/>
          <w:szCs w:val="22"/>
        </w:rPr>
        <w:t xml:space="preserve">w szczególności Rzecznik Praw Obywatelskich (zob. zwłaszcza niedawne wystąpienie tego organu do Ministra Sprawiedliwości </w:t>
      </w:r>
      <w:r w:rsidR="007913ED" w:rsidRPr="00C63E3C">
        <w:rPr>
          <w:rFonts w:ascii="Arial" w:hAnsi="Arial" w:cs="Arial"/>
          <w:bCs/>
          <w:w w:val="100"/>
          <w:sz w:val="22"/>
          <w:szCs w:val="22"/>
        </w:rPr>
        <w:t>–</w:t>
      </w:r>
      <w:r w:rsidR="004D5FAD" w:rsidRPr="00C63E3C">
        <w:rPr>
          <w:rFonts w:ascii="Arial" w:hAnsi="Arial" w:cs="Arial"/>
          <w:bCs/>
          <w:w w:val="100"/>
          <w:sz w:val="22"/>
          <w:szCs w:val="22"/>
        </w:rPr>
        <w:t xml:space="preserve"> </w:t>
      </w:r>
      <w:r w:rsidR="007913ED" w:rsidRPr="00C63E3C">
        <w:rPr>
          <w:rFonts w:ascii="Arial" w:hAnsi="Arial" w:cs="Arial"/>
          <w:bCs/>
          <w:w w:val="100"/>
          <w:sz w:val="22"/>
          <w:szCs w:val="22"/>
        </w:rPr>
        <w:t>pismo z 20.06.2024 r., znak: KMP.570.3.2018.JJ</w:t>
      </w:r>
      <w:r w:rsidR="004D5FAD" w:rsidRPr="00C63E3C">
        <w:rPr>
          <w:rFonts w:ascii="Arial" w:hAnsi="Arial" w:cs="Arial"/>
          <w:bCs/>
          <w:w w:val="100"/>
          <w:sz w:val="22"/>
          <w:szCs w:val="22"/>
        </w:rPr>
        <w:t xml:space="preserve">). Potrzebę uczynienia zadość </w:t>
      </w:r>
      <w:r w:rsidR="007913ED" w:rsidRPr="00C63E3C">
        <w:rPr>
          <w:rFonts w:ascii="Arial" w:hAnsi="Arial" w:cs="Arial"/>
          <w:bCs/>
          <w:w w:val="100"/>
          <w:sz w:val="22"/>
          <w:szCs w:val="22"/>
        </w:rPr>
        <w:t xml:space="preserve">tym postulatom dostrzegają także właściwe komórki organizacyjne Ministerstwa Sprawiedliwości (zob. </w:t>
      </w:r>
      <w:r w:rsidR="00E1453B">
        <w:rPr>
          <w:rFonts w:ascii="Arial" w:hAnsi="Arial" w:cs="Arial"/>
          <w:bCs/>
          <w:w w:val="100"/>
          <w:sz w:val="22"/>
          <w:szCs w:val="22"/>
        </w:rPr>
        <w:t>n</w:t>
      </w:r>
      <w:r w:rsidR="007913ED" w:rsidRPr="00C63E3C">
        <w:rPr>
          <w:rFonts w:ascii="Arial" w:hAnsi="Arial" w:cs="Arial"/>
          <w:bCs/>
          <w:w w:val="100"/>
          <w:sz w:val="22"/>
          <w:szCs w:val="22"/>
        </w:rPr>
        <w:t>otatka ws. zmian legislacyjnych z zakresu współpracy międzynarodowej i praw człowieka z 14.12.2023 r., sporządzona przez</w:t>
      </w:r>
      <w:r w:rsidR="007913ED" w:rsidRPr="00C63E3C">
        <w:rPr>
          <w:rFonts w:ascii="Arial" w:hAnsi="Arial" w:cs="Arial"/>
          <w:w w:val="100"/>
          <w:sz w:val="22"/>
          <w:szCs w:val="22"/>
        </w:rPr>
        <w:t xml:space="preserve"> Departament Współpracy Międzynarodowej i Praw Człowieka, </w:t>
      </w:r>
      <w:r w:rsidR="0090078E" w:rsidRPr="00C63E3C">
        <w:rPr>
          <w:rFonts w:ascii="Arial" w:hAnsi="Arial" w:cs="Arial"/>
          <w:w w:val="100"/>
          <w:sz w:val="22"/>
          <w:szCs w:val="22"/>
        </w:rPr>
        <w:t>znak: DWMPC</w:t>
      </w:r>
      <w:r w:rsidR="004D5FAD" w:rsidRPr="00C63E3C">
        <w:rPr>
          <w:rFonts w:ascii="Arial" w:hAnsi="Arial" w:cs="Arial"/>
          <w:w w:val="100"/>
          <w:sz w:val="22"/>
          <w:szCs w:val="22"/>
        </w:rPr>
        <w:t>-VI.8000.23.2023</w:t>
      </w:r>
      <w:r w:rsidR="007913ED" w:rsidRPr="00C63E3C">
        <w:rPr>
          <w:rFonts w:ascii="Arial" w:hAnsi="Arial" w:cs="Arial"/>
          <w:w w:val="100"/>
          <w:sz w:val="22"/>
          <w:szCs w:val="22"/>
        </w:rPr>
        <w:t xml:space="preserve">, pkt 3; pismo Dyrektora Departamentu Prawa Karnego Ministerstwa Sprawiedliwości z 16.08.2024 r., znak: DPK-I.053.3.2024). </w:t>
      </w:r>
    </w:p>
    <w:p w14:paraId="6F0D060D" w14:textId="77777777" w:rsidR="007913ED" w:rsidRPr="00C63E3C" w:rsidRDefault="007913ED" w:rsidP="00C63E3C">
      <w:pPr>
        <w:spacing w:line="360" w:lineRule="auto"/>
        <w:jc w:val="both"/>
        <w:rPr>
          <w:rFonts w:ascii="Arial" w:hAnsi="Arial" w:cs="Arial"/>
          <w:w w:val="100"/>
          <w:sz w:val="22"/>
          <w:szCs w:val="22"/>
        </w:rPr>
      </w:pPr>
    </w:p>
    <w:p w14:paraId="4AFE502A" w14:textId="67BF23CB" w:rsidR="004B47FC" w:rsidRPr="00C63E3C" w:rsidRDefault="007E62DB" w:rsidP="00C63E3C">
      <w:pPr>
        <w:autoSpaceDE w:val="0"/>
        <w:autoSpaceDN w:val="0"/>
        <w:adjustRightInd w:val="0"/>
        <w:spacing w:line="360" w:lineRule="auto"/>
        <w:jc w:val="both"/>
        <w:rPr>
          <w:rFonts w:ascii="Arial" w:hAnsi="Arial" w:cs="Arial"/>
          <w:w w:val="100"/>
          <w:sz w:val="22"/>
          <w:szCs w:val="22"/>
        </w:rPr>
      </w:pPr>
      <w:r w:rsidRPr="00C63E3C">
        <w:rPr>
          <w:rFonts w:ascii="Arial" w:hAnsi="Arial" w:cs="Arial"/>
          <w:w w:val="100"/>
          <w:sz w:val="22"/>
          <w:szCs w:val="22"/>
        </w:rPr>
        <w:t xml:space="preserve">2. </w:t>
      </w:r>
      <w:r w:rsidRPr="00C63E3C">
        <w:rPr>
          <w:rFonts w:ascii="Arial" w:hAnsi="Arial" w:cs="Arial"/>
          <w:w w:val="100"/>
          <w:sz w:val="22"/>
          <w:szCs w:val="22"/>
        </w:rPr>
        <w:tab/>
      </w:r>
      <w:r w:rsidR="005068C5" w:rsidRPr="00C63E3C">
        <w:rPr>
          <w:rFonts w:ascii="Arial" w:hAnsi="Arial" w:cs="Arial"/>
          <w:w w:val="100"/>
          <w:sz w:val="22"/>
          <w:szCs w:val="22"/>
        </w:rPr>
        <w:t xml:space="preserve">Obowiązek wprowadzenia </w:t>
      </w:r>
      <w:r w:rsidR="005068C5" w:rsidRPr="00C63E3C">
        <w:rPr>
          <w:rFonts w:ascii="Arial" w:hAnsi="Arial" w:cs="Arial"/>
          <w:bCs/>
          <w:w w:val="100"/>
          <w:sz w:val="22"/>
          <w:szCs w:val="22"/>
        </w:rPr>
        <w:t xml:space="preserve">pełnej kryminalizacji </w:t>
      </w:r>
      <w:r w:rsidR="00BE6125" w:rsidRPr="00C63E3C">
        <w:rPr>
          <w:rFonts w:ascii="Arial" w:hAnsi="Arial" w:cs="Arial"/>
          <w:bCs/>
          <w:w w:val="100"/>
          <w:sz w:val="22"/>
          <w:szCs w:val="22"/>
        </w:rPr>
        <w:t xml:space="preserve">czynów polegających na </w:t>
      </w:r>
      <w:r w:rsidR="005068C5" w:rsidRPr="00C63E3C">
        <w:rPr>
          <w:rFonts w:ascii="Arial" w:hAnsi="Arial" w:cs="Arial"/>
          <w:bCs/>
          <w:w w:val="100"/>
          <w:sz w:val="22"/>
          <w:szCs w:val="22"/>
        </w:rPr>
        <w:t>stosowani</w:t>
      </w:r>
      <w:r w:rsidR="00BE6125" w:rsidRPr="00C63E3C">
        <w:rPr>
          <w:rFonts w:ascii="Arial" w:hAnsi="Arial" w:cs="Arial"/>
          <w:bCs/>
          <w:w w:val="100"/>
          <w:sz w:val="22"/>
          <w:szCs w:val="22"/>
        </w:rPr>
        <w:t>u</w:t>
      </w:r>
      <w:r w:rsidR="005068C5" w:rsidRPr="00C63E3C">
        <w:rPr>
          <w:rFonts w:ascii="Arial" w:hAnsi="Arial" w:cs="Arial"/>
          <w:bCs/>
          <w:w w:val="100"/>
          <w:sz w:val="22"/>
          <w:szCs w:val="22"/>
        </w:rPr>
        <w:t xml:space="preserve"> tortur ciąży na Polsce </w:t>
      </w:r>
      <w:r w:rsidR="007913ED" w:rsidRPr="00C63E3C">
        <w:rPr>
          <w:rFonts w:ascii="Arial" w:hAnsi="Arial" w:cs="Arial"/>
          <w:bCs/>
          <w:w w:val="100"/>
          <w:sz w:val="22"/>
          <w:szCs w:val="22"/>
        </w:rPr>
        <w:t xml:space="preserve">z mocy </w:t>
      </w:r>
      <w:r w:rsidR="004B47FC" w:rsidRPr="00C63E3C">
        <w:rPr>
          <w:rFonts w:ascii="Arial" w:hAnsi="Arial" w:cs="Arial"/>
          <w:bCs/>
          <w:w w:val="100"/>
          <w:sz w:val="22"/>
          <w:szCs w:val="22"/>
        </w:rPr>
        <w:t xml:space="preserve">postanowień </w:t>
      </w:r>
      <w:r w:rsidR="007913ED" w:rsidRPr="00C63E3C">
        <w:rPr>
          <w:rFonts w:ascii="Arial" w:hAnsi="Arial" w:cs="Arial"/>
          <w:w w:val="100"/>
          <w:sz w:val="22"/>
          <w:szCs w:val="22"/>
        </w:rPr>
        <w:t>Konwencj</w:t>
      </w:r>
      <w:r w:rsidR="004B47FC" w:rsidRPr="00C63E3C">
        <w:rPr>
          <w:rFonts w:ascii="Arial" w:hAnsi="Arial" w:cs="Arial"/>
          <w:w w:val="100"/>
          <w:sz w:val="22"/>
          <w:szCs w:val="22"/>
        </w:rPr>
        <w:t>i</w:t>
      </w:r>
      <w:r w:rsidR="007913ED" w:rsidRPr="00C63E3C">
        <w:rPr>
          <w:rFonts w:ascii="Arial" w:hAnsi="Arial" w:cs="Arial"/>
          <w:w w:val="100"/>
          <w:sz w:val="22"/>
          <w:szCs w:val="22"/>
        </w:rPr>
        <w:t xml:space="preserve"> w sprawie zakazu stosowania tortur oraz innego</w:t>
      </w:r>
      <w:r w:rsidR="007B3085" w:rsidRPr="00C63E3C">
        <w:rPr>
          <w:rFonts w:ascii="Arial" w:hAnsi="Arial" w:cs="Arial"/>
          <w:w w:val="100"/>
          <w:sz w:val="22"/>
          <w:szCs w:val="22"/>
        </w:rPr>
        <w:t xml:space="preserve"> </w:t>
      </w:r>
      <w:r w:rsidR="007913ED" w:rsidRPr="00C63E3C">
        <w:rPr>
          <w:rFonts w:ascii="Arial" w:hAnsi="Arial" w:cs="Arial"/>
          <w:w w:val="100"/>
          <w:sz w:val="22"/>
          <w:szCs w:val="22"/>
        </w:rPr>
        <w:t>okrutnego, nieludzkiego lub poniżającego traktowania albo karania</w:t>
      </w:r>
      <w:r w:rsidR="007B3085" w:rsidRPr="00C63E3C">
        <w:rPr>
          <w:rFonts w:ascii="Arial" w:hAnsi="Arial" w:cs="Arial"/>
          <w:w w:val="100"/>
          <w:sz w:val="22"/>
          <w:szCs w:val="22"/>
        </w:rPr>
        <w:t>, przyjęt</w:t>
      </w:r>
      <w:r w:rsidR="00BE6125" w:rsidRPr="00C63E3C">
        <w:rPr>
          <w:rFonts w:ascii="Arial" w:hAnsi="Arial" w:cs="Arial"/>
          <w:w w:val="100"/>
          <w:sz w:val="22"/>
          <w:szCs w:val="22"/>
        </w:rPr>
        <w:t>ej</w:t>
      </w:r>
      <w:r w:rsidR="007B3085" w:rsidRPr="00C63E3C">
        <w:rPr>
          <w:rFonts w:ascii="Arial" w:hAnsi="Arial" w:cs="Arial"/>
          <w:w w:val="100"/>
          <w:sz w:val="22"/>
          <w:szCs w:val="22"/>
        </w:rPr>
        <w:t xml:space="preserve"> przez Zgromadzenie Ogólne Narodów Zjednoczonych w dniu </w:t>
      </w:r>
      <w:r w:rsidR="007913ED" w:rsidRPr="00C63E3C">
        <w:rPr>
          <w:rFonts w:ascii="Arial" w:hAnsi="Arial" w:cs="Arial"/>
          <w:w w:val="100"/>
          <w:sz w:val="22"/>
          <w:szCs w:val="22"/>
        </w:rPr>
        <w:t>10</w:t>
      </w:r>
      <w:r w:rsidR="004B47FC" w:rsidRPr="00C63E3C">
        <w:rPr>
          <w:rFonts w:ascii="Arial" w:hAnsi="Arial" w:cs="Arial"/>
          <w:w w:val="100"/>
          <w:sz w:val="22"/>
          <w:szCs w:val="22"/>
        </w:rPr>
        <w:t>.12.</w:t>
      </w:r>
      <w:r w:rsidR="007913ED" w:rsidRPr="00C63E3C">
        <w:rPr>
          <w:rFonts w:ascii="Arial" w:hAnsi="Arial" w:cs="Arial"/>
          <w:w w:val="100"/>
          <w:sz w:val="22"/>
          <w:szCs w:val="22"/>
        </w:rPr>
        <w:t>1984 r. (Dz.U. z 1989 r. Nr 63, poz. 378</w:t>
      </w:r>
      <w:r w:rsidR="004B47FC" w:rsidRPr="00C63E3C">
        <w:rPr>
          <w:rFonts w:ascii="Arial" w:hAnsi="Arial" w:cs="Arial"/>
          <w:w w:val="100"/>
          <w:sz w:val="22"/>
          <w:szCs w:val="22"/>
        </w:rPr>
        <w:t xml:space="preserve">; dalej „Konwencja”), której jest ona stroną. Zgodnie z art. 4 Konwencji każde państwo związane Konwencją jest obowiązane zapewnić, aby wszelkie akty </w:t>
      </w:r>
      <w:r w:rsidR="00E456C3">
        <w:rPr>
          <w:rFonts w:ascii="Arial" w:hAnsi="Arial" w:cs="Arial"/>
          <w:w w:val="100"/>
          <w:sz w:val="22"/>
          <w:szCs w:val="22"/>
        </w:rPr>
        <w:t xml:space="preserve">stosowania </w:t>
      </w:r>
      <w:r w:rsidR="004B47FC" w:rsidRPr="00C63E3C">
        <w:rPr>
          <w:rFonts w:ascii="Arial" w:hAnsi="Arial" w:cs="Arial"/>
          <w:w w:val="100"/>
          <w:sz w:val="22"/>
          <w:szCs w:val="22"/>
        </w:rPr>
        <w:t>tortur</w:t>
      </w:r>
      <w:r w:rsidR="007B3085" w:rsidRPr="00C63E3C">
        <w:rPr>
          <w:rFonts w:ascii="Arial" w:hAnsi="Arial" w:cs="Arial"/>
          <w:w w:val="100"/>
          <w:sz w:val="22"/>
          <w:szCs w:val="22"/>
        </w:rPr>
        <w:t xml:space="preserve"> </w:t>
      </w:r>
      <w:r w:rsidR="004B47FC" w:rsidRPr="00C63E3C">
        <w:rPr>
          <w:rFonts w:ascii="Arial" w:hAnsi="Arial" w:cs="Arial"/>
          <w:w w:val="100"/>
          <w:sz w:val="22"/>
          <w:szCs w:val="22"/>
        </w:rPr>
        <w:t>stanowiły przestępstwa w rozumieniu jego prawa karnego (co odnosi się również</w:t>
      </w:r>
      <w:r w:rsidR="007B3085" w:rsidRPr="00C63E3C">
        <w:rPr>
          <w:rFonts w:ascii="Arial" w:hAnsi="Arial" w:cs="Arial"/>
          <w:w w:val="100"/>
          <w:sz w:val="22"/>
          <w:szCs w:val="22"/>
        </w:rPr>
        <w:t xml:space="preserve"> </w:t>
      </w:r>
      <w:r w:rsidR="004B47FC" w:rsidRPr="00C63E3C">
        <w:rPr>
          <w:rFonts w:ascii="Arial" w:hAnsi="Arial" w:cs="Arial"/>
          <w:w w:val="100"/>
          <w:sz w:val="22"/>
          <w:szCs w:val="22"/>
        </w:rPr>
        <w:t>do usiłowania użycia tortur i do wszelkich czynów stanowiących współudział</w:t>
      </w:r>
      <w:r w:rsidR="007B3085" w:rsidRPr="00C63E3C">
        <w:rPr>
          <w:rFonts w:ascii="Arial" w:hAnsi="Arial" w:cs="Arial"/>
          <w:w w:val="100"/>
          <w:sz w:val="22"/>
          <w:szCs w:val="22"/>
        </w:rPr>
        <w:t xml:space="preserve"> </w:t>
      </w:r>
      <w:r w:rsidR="004B47FC" w:rsidRPr="00C63E3C">
        <w:rPr>
          <w:rFonts w:ascii="Arial" w:hAnsi="Arial" w:cs="Arial"/>
          <w:w w:val="100"/>
          <w:sz w:val="22"/>
          <w:szCs w:val="22"/>
        </w:rPr>
        <w:t xml:space="preserve">lub udział w stosowaniu tortur) oraz aby kary przewidziane za te przestępstwa uwzględniały ich poważny charakter. Konwencja definiuje, czym są tortury. W myśl jej art. 1 </w:t>
      </w:r>
      <w:r w:rsidR="007B3085" w:rsidRPr="00C63E3C">
        <w:rPr>
          <w:rFonts w:ascii="Arial" w:hAnsi="Arial" w:cs="Arial"/>
          <w:w w:val="100"/>
          <w:sz w:val="22"/>
          <w:szCs w:val="22"/>
        </w:rPr>
        <w:t xml:space="preserve">ust. 1 </w:t>
      </w:r>
      <w:r w:rsidR="004B47FC" w:rsidRPr="00C63E3C">
        <w:rPr>
          <w:rFonts w:ascii="Arial" w:hAnsi="Arial" w:cs="Arial"/>
          <w:w w:val="100"/>
          <w:sz w:val="22"/>
          <w:szCs w:val="22"/>
        </w:rPr>
        <w:t>określenie "tortury" oznacza „</w:t>
      </w:r>
      <w:r w:rsidR="007B3085" w:rsidRPr="00C63E3C">
        <w:rPr>
          <w:rFonts w:ascii="Arial" w:hAnsi="Arial" w:cs="Arial"/>
          <w:w w:val="100"/>
          <w:sz w:val="22"/>
          <w:szCs w:val="22"/>
        </w:rPr>
        <w:t xml:space="preserve">każde działanie, którym jakiejkolwiek osobie umyślnie zadaje się ostry ból lub cierpienie, fizyczne bądź psychiczne, w celu uzyskania od niej lub od osoby trzeciej informacji lub wyznania, w celu ukarania jej za czyn popełniony przez nią lub osobę trzecią albo o którego dokonanie jest ona podejrzana, a także w celu zastraszenia lub wywarcia nacisku na nią lub trzecią osobę albo w jakimkolwiek innym celu wynikającym z wszelkiej formy dyskryminacji, gdy taki ból lub cierpienie powodowane są przez funkcjonariusza państwowego lub inną osobę występującą w charakterze urzędowym lub z ich polecenia albo za wyraźną lub milczącą </w:t>
      </w:r>
      <w:r w:rsidR="007B3085" w:rsidRPr="00C63E3C">
        <w:rPr>
          <w:rFonts w:ascii="Arial" w:hAnsi="Arial" w:cs="Arial"/>
          <w:w w:val="100"/>
          <w:sz w:val="22"/>
          <w:szCs w:val="22"/>
        </w:rPr>
        <w:lastRenderedPageBreak/>
        <w:t>zgodą. Określenie to nie obejmuje bólu lub cierpienia wynikających jedynie ze zgodnych z prawem sankcji, nieodłącznie związanych z tymi sankcjami lub wywołanych przez nie przypadkowo”.</w:t>
      </w:r>
    </w:p>
    <w:p w14:paraId="6D00679F" w14:textId="77777777" w:rsidR="00BE6125" w:rsidRPr="00C63E3C" w:rsidRDefault="00BE6125" w:rsidP="00C63E3C">
      <w:pPr>
        <w:autoSpaceDE w:val="0"/>
        <w:autoSpaceDN w:val="0"/>
        <w:adjustRightInd w:val="0"/>
        <w:spacing w:line="360" w:lineRule="auto"/>
        <w:jc w:val="both"/>
        <w:rPr>
          <w:rFonts w:ascii="Arial" w:hAnsi="Arial" w:cs="Arial"/>
          <w:w w:val="100"/>
          <w:sz w:val="22"/>
          <w:szCs w:val="22"/>
        </w:rPr>
      </w:pPr>
    </w:p>
    <w:p w14:paraId="7704789F" w14:textId="077400FC" w:rsidR="00B83421" w:rsidRPr="00C63E3C" w:rsidRDefault="00F252E5" w:rsidP="00C63E3C">
      <w:pPr>
        <w:autoSpaceDE w:val="0"/>
        <w:autoSpaceDN w:val="0"/>
        <w:adjustRightInd w:val="0"/>
        <w:spacing w:line="360" w:lineRule="auto"/>
        <w:jc w:val="both"/>
        <w:rPr>
          <w:rFonts w:ascii="Arial" w:hAnsi="Arial" w:cs="Arial"/>
          <w:w w:val="100"/>
          <w:sz w:val="22"/>
          <w:szCs w:val="22"/>
        </w:rPr>
      </w:pPr>
      <w:r w:rsidRPr="00C63E3C">
        <w:rPr>
          <w:rFonts w:ascii="Arial" w:hAnsi="Arial" w:cs="Arial"/>
          <w:w w:val="100"/>
          <w:sz w:val="22"/>
          <w:szCs w:val="22"/>
        </w:rPr>
        <w:t xml:space="preserve">3. </w:t>
      </w:r>
      <w:r w:rsidRPr="00C63E3C">
        <w:rPr>
          <w:rFonts w:ascii="Arial" w:hAnsi="Arial" w:cs="Arial"/>
          <w:w w:val="100"/>
          <w:sz w:val="22"/>
          <w:szCs w:val="22"/>
        </w:rPr>
        <w:tab/>
        <w:t xml:space="preserve">Postulaty </w:t>
      </w:r>
      <w:r w:rsidRPr="00C63E3C">
        <w:rPr>
          <w:rFonts w:ascii="Arial" w:hAnsi="Arial" w:cs="Arial"/>
          <w:bCs/>
          <w:w w:val="100"/>
          <w:sz w:val="22"/>
          <w:szCs w:val="22"/>
        </w:rPr>
        <w:t xml:space="preserve">pełnego skryminalizowania </w:t>
      </w:r>
      <w:r w:rsidR="00BE6125" w:rsidRPr="00C63E3C">
        <w:rPr>
          <w:rFonts w:ascii="Arial" w:hAnsi="Arial" w:cs="Arial"/>
          <w:bCs/>
          <w:w w:val="100"/>
          <w:sz w:val="22"/>
          <w:szCs w:val="22"/>
        </w:rPr>
        <w:t xml:space="preserve">aktów </w:t>
      </w:r>
      <w:r w:rsidRPr="00C63E3C">
        <w:rPr>
          <w:rFonts w:ascii="Arial" w:hAnsi="Arial" w:cs="Arial"/>
          <w:bCs/>
          <w:w w:val="100"/>
          <w:sz w:val="22"/>
          <w:szCs w:val="22"/>
        </w:rPr>
        <w:t xml:space="preserve">stosowania tortur oraz wprowadzenia osobnej typizacji czynów tego rodzaju </w:t>
      </w:r>
      <w:r w:rsidRPr="00C63E3C">
        <w:rPr>
          <w:rFonts w:ascii="Arial" w:hAnsi="Arial" w:cs="Arial"/>
          <w:w w:val="100"/>
          <w:sz w:val="22"/>
          <w:szCs w:val="22"/>
        </w:rPr>
        <w:t>są ze sobą o tyle funkcjonalnie powiązane, że państwom, które zastosowały, tak jak Polska, technikę „rozproszonej” kryminalizacji czynów polegających na stosowaniu tortur, tj. kryminalizacji za pomocą wielu różnych przepisów typizujących nienastawionych wyłącznie na kryminalizację stosowania tortur (i</w:t>
      </w:r>
      <w:r w:rsidR="00A53B4E">
        <w:rPr>
          <w:rFonts w:ascii="Arial" w:hAnsi="Arial" w:cs="Arial"/>
          <w:w w:val="100"/>
          <w:sz w:val="22"/>
          <w:szCs w:val="22"/>
        </w:rPr>
        <w:t> </w:t>
      </w:r>
      <w:r w:rsidRPr="00C63E3C">
        <w:rPr>
          <w:rFonts w:ascii="Arial" w:hAnsi="Arial" w:cs="Arial"/>
          <w:w w:val="100"/>
          <w:sz w:val="22"/>
          <w:szCs w:val="22"/>
        </w:rPr>
        <w:t>kryminalizujących różne formy stosowania tortur niejako „przy okazji”) – bardzo trudno na ogół</w:t>
      </w:r>
      <w:r w:rsidR="00EE46FD" w:rsidRPr="00C63E3C">
        <w:rPr>
          <w:rFonts w:ascii="Arial" w:hAnsi="Arial" w:cs="Arial"/>
          <w:w w:val="100"/>
          <w:sz w:val="22"/>
          <w:szCs w:val="22"/>
        </w:rPr>
        <w:t>,</w:t>
      </w:r>
      <w:r w:rsidRPr="00C63E3C">
        <w:rPr>
          <w:rFonts w:ascii="Arial" w:hAnsi="Arial" w:cs="Arial"/>
          <w:w w:val="100"/>
          <w:sz w:val="22"/>
          <w:szCs w:val="22"/>
        </w:rPr>
        <w:t xml:space="preserve"> </w:t>
      </w:r>
      <w:r w:rsidR="00EE46FD" w:rsidRPr="00C63E3C">
        <w:rPr>
          <w:rFonts w:ascii="Arial" w:hAnsi="Arial" w:cs="Arial"/>
          <w:w w:val="100"/>
          <w:sz w:val="22"/>
          <w:szCs w:val="22"/>
        </w:rPr>
        <w:t xml:space="preserve">właśnie ze względu na istotę owej techniki, </w:t>
      </w:r>
      <w:r w:rsidRPr="00C63E3C">
        <w:rPr>
          <w:rFonts w:ascii="Arial" w:hAnsi="Arial" w:cs="Arial"/>
          <w:w w:val="100"/>
          <w:sz w:val="22"/>
          <w:szCs w:val="22"/>
        </w:rPr>
        <w:t xml:space="preserve">przekonać instytucje monitorujące przestrzeganie </w:t>
      </w:r>
      <w:r w:rsidR="00BE6125" w:rsidRPr="00C63E3C">
        <w:rPr>
          <w:rFonts w:ascii="Arial" w:hAnsi="Arial" w:cs="Arial"/>
          <w:w w:val="100"/>
          <w:sz w:val="22"/>
          <w:szCs w:val="22"/>
        </w:rPr>
        <w:t xml:space="preserve">postanowień </w:t>
      </w:r>
      <w:r w:rsidRPr="00C63E3C">
        <w:rPr>
          <w:rFonts w:ascii="Arial" w:hAnsi="Arial" w:cs="Arial"/>
          <w:w w:val="100"/>
          <w:sz w:val="22"/>
          <w:szCs w:val="22"/>
        </w:rPr>
        <w:t xml:space="preserve">Konwencji, że w pełni wypełniają </w:t>
      </w:r>
      <w:r w:rsidR="00BE6125" w:rsidRPr="00C63E3C">
        <w:rPr>
          <w:rFonts w:ascii="Arial" w:hAnsi="Arial" w:cs="Arial"/>
          <w:w w:val="100"/>
          <w:sz w:val="22"/>
          <w:szCs w:val="22"/>
        </w:rPr>
        <w:t xml:space="preserve">one </w:t>
      </w:r>
      <w:r w:rsidRPr="00C63E3C">
        <w:rPr>
          <w:rFonts w:ascii="Arial" w:hAnsi="Arial" w:cs="Arial"/>
          <w:w w:val="100"/>
          <w:sz w:val="22"/>
          <w:szCs w:val="22"/>
        </w:rPr>
        <w:t>obowiązek wynikający z  art. 4 ust. 1 Konwencji.</w:t>
      </w:r>
      <w:r w:rsidR="00B83421" w:rsidRPr="00C63E3C">
        <w:rPr>
          <w:rFonts w:ascii="Arial" w:hAnsi="Arial" w:cs="Arial"/>
          <w:w w:val="100"/>
          <w:sz w:val="22"/>
          <w:szCs w:val="22"/>
        </w:rPr>
        <w:t xml:space="preserve"> Jest to zapewne jeden z najistotniejszych powodów, dla których Komitet Przeciwko Torturom, odpowiedzialny za monitorowanie wdrażania Konwencji przez państwa-strony, konsekwentnie zaleca włączenie do prawa krajowego przestępstwa tortur jako odrębnego i szczególnego przestępstwa obejmującego swymi znamionami wszystkie czyny polegające na stosowaniu tortur w rozumieniu art. 1 Konwencji. Adresatem tego rodzaju zaleceń była również Polska. </w:t>
      </w:r>
    </w:p>
    <w:p w14:paraId="42B1F708" w14:textId="77777777" w:rsidR="00B83421" w:rsidRPr="00C63E3C" w:rsidRDefault="00B83421" w:rsidP="00C63E3C">
      <w:pPr>
        <w:autoSpaceDE w:val="0"/>
        <w:autoSpaceDN w:val="0"/>
        <w:adjustRightInd w:val="0"/>
        <w:spacing w:line="360" w:lineRule="auto"/>
        <w:jc w:val="both"/>
        <w:rPr>
          <w:rFonts w:ascii="Arial" w:hAnsi="Arial" w:cs="Arial"/>
          <w:color w:val="333333"/>
          <w:w w:val="100"/>
          <w:sz w:val="22"/>
          <w:szCs w:val="22"/>
          <w:shd w:val="clear" w:color="auto" w:fill="FFFFFF"/>
        </w:rPr>
      </w:pPr>
    </w:p>
    <w:p w14:paraId="54434E06" w14:textId="37965EBF" w:rsidR="00BE6125" w:rsidRPr="00C63E3C" w:rsidRDefault="00B83421" w:rsidP="00C63E3C">
      <w:pPr>
        <w:autoSpaceDE w:val="0"/>
        <w:autoSpaceDN w:val="0"/>
        <w:adjustRightInd w:val="0"/>
        <w:spacing w:line="360" w:lineRule="auto"/>
        <w:jc w:val="both"/>
        <w:rPr>
          <w:rFonts w:ascii="Arial" w:hAnsi="Arial" w:cs="Arial"/>
          <w:w w:val="100"/>
          <w:sz w:val="22"/>
          <w:szCs w:val="22"/>
        </w:rPr>
      </w:pPr>
      <w:r w:rsidRPr="00C63E3C">
        <w:rPr>
          <w:rFonts w:ascii="Arial" w:hAnsi="Arial" w:cs="Arial"/>
          <w:w w:val="100"/>
          <w:sz w:val="22"/>
          <w:szCs w:val="22"/>
        </w:rPr>
        <w:t xml:space="preserve">4. </w:t>
      </w:r>
      <w:r w:rsidRPr="00C63E3C">
        <w:rPr>
          <w:rFonts w:ascii="Arial" w:hAnsi="Arial" w:cs="Arial"/>
          <w:w w:val="100"/>
          <w:sz w:val="22"/>
          <w:szCs w:val="22"/>
        </w:rPr>
        <w:tab/>
      </w:r>
      <w:r w:rsidR="00F252E5" w:rsidRPr="00C63E3C">
        <w:rPr>
          <w:rFonts w:ascii="Arial" w:hAnsi="Arial" w:cs="Arial"/>
          <w:w w:val="100"/>
          <w:sz w:val="22"/>
          <w:szCs w:val="22"/>
        </w:rPr>
        <w:t xml:space="preserve">Zestawienie </w:t>
      </w:r>
      <w:r w:rsidR="00694E42" w:rsidRPr="00C63E3C">
        <w:rPr>
          <w:rFonts w:ascii="Arial" w:hAnsi="Arial" w:cs="Arial"/>
          <w:w w:val="100"/>
          <w:sz w:val="22"/>
          <w:szCs w:val="22"/>
        </w:rPr>
        <w:t xml:space="preserve">definicji tortur zawartej w art. 1 ust. 1 Konwencji z przepisami naszego ustawodawstwa karnego prowadzi do wniosku, że </w:t>
      </w:r>
      <w:r w:rsidR="00EE46FD" w:rsidRPr="00C63E3C">
        <w:rPr>
          <w:rFonts w:ascii="Arial" w:hAnsi="Arial" w:cs="Arial"/>
          <w:w w:val="100"/>
          <w:sz w:val="22"/>
          <w:szCs w:val="22"/>
        </w:rPr>
        <w:t xml:space="preserve">próba </w:t>
      </w:r>
      <w:r w:rsidR="00694E42" w:rsidRPr="00C63E3C">
        <w:rPr>
          <w:rFonts w:ascii="Arial" w:hAnsi="Arial" w:cs="Arial"/>
          <w:w w:val="100"/>
          <w:sz w:val="22"/>
          <w:szCs w:val="22"/>
        </w:rPr>
        <w:t>skuteczn</w:t>
      </w:r>
      <w:r w:rsidR="00EE46FD" w:rsidRPr="00C63E3C">
        <w:rPr>
          <w:rFonts w:ascii="Arial" w:hAnsi="Arial" w:cs="Arial"/>
          <w:w w:val="100"/>
          <w:sz w:val="22"/>
          <w:szCs w:val="22"/>
        </w:rPr>
        <w:t>ego</w:t>
      </w:r>
      <w:r w:rsidR="00694E42" w:rsidRPr="00C63E3C">
        <w:rPr>
          <w:rFonts w:ascii="Arial" w:hAnsi="Arial" w:cs="Arial"/>
          <w:w w:val="100"/>
          <w:sz w:val="22"/>
          <w:szCs w:val="22"/>
        </w:rPr>
        <w:t xml:space="preserve"> podważ</w:t>
      </w:r>
      <w:r w:rsidR="00EE46FD" w:rsidRPr="00C63E3C">
        <w:rPr>
          <w:rFonts w:ascii="Arial" w:hAnsi="Arial" w:cs="Arial"/>
          <w:w w:val="100"/>
          <w:sz w:val="22"/>
          <w:szCs w:val="22"/>
        </w:rPr>
        <w:t xml:space="preserve">enia </w:t>
      </w:r>
      <w:r w:rsidR="00694E42" w:rsidRPr="00C63E3C">
        <w:rPr>
          <w:rFonts w:ascii="Arial" w:hAnsi="Arial" w:cs="Arial"/>
          <w:w w:val="100"/>
          <w:sz w:val="22"/>
          <w:szCs w:val="22"/>
        </w:rPr>
        <w:t>ocen</w:t>
      </w:r>
      <w:r w:rsidR="00EE46FD" w:rsidRPr="00C63E3C">
        <w:rPr>
          <w:rFonts w:ascii="Arial" w:hAnsi="Arial" w:cs="Arial"/>
          <w:w w:val="100"/>
          <w:sz w:val="22"/>
          <w:szCs w:val="22"/>
        </w:rPr>
        <w:t xml:space="preserve">y </w:t>
      </w:r>
      <w:r w:rsidR="00694E42" w:rsidRPr="00C63E3C">
        <w:rPr>
          <w:rFonts w:ascii="Arial" w:hAnsi="Arial" w:cs="Arial"/>
          <w:w w:val="100"/>
          <w:sz w:val="22"/>
          <w:szCs w:val="22"/>
        </w:rPr>
        <w:t>wytykając</w:t>
      </w:r>
      <w:r w:rsidR="00EE46FD" w:rsidRPr="00C63E3C">
        <w:rPr>
          <w:rFonts w:ascii="Arial" w:hAnsi="Arial" w:cs="Arial"/>
          <w:w w:val="100"/>
          <w:sz w:val="22"/>
          <w:szCs w:val="22"/>
        </w:rPr>
        <w:t>ej</w:t>
      </w:r>
      <w:r w:rsidR="00694E42" w:rsidRPr="00C63E3C">
        <w:rPr>
          <w:rFonts w:ascii="Arial" w:hAnsi="Arial" w:cs="Arial"/>
          <w:w w:val="100"/>
          <w:sz w:val="22"/>
          <w:szCs w:val="22"/>
        </w:rPr>
        <w:t>, że nie wszystkie możliwe formy i przejawy stosowania tortur w rozumieniu postanowień Konwencji zostały w Polsce skryminalizowane</w:t>
      </w:r>
      <w:r w:rsidR="00EE46FD" w:rsidRPr="00C63E3C">
        <w:rPr>
          <w:rStyle w:val="Odwoanieprzypisudolnego"/>
          <w:rFonts w:ascii="Arial" w:hAnsi="Arial" w:cs="Arial"/>
          <w:w w:val="100"/>
          <w:sz w:val="22"/>
          <w:szCs w:val="22"/>
        </w:rPr>
        <w:footnoteReference w:id="1"/>
      </w:r>
      <w:r w:rsidR="00BE6125" w:rsidRPr="00C63E3C">
        <w:rPr>
          <w:rFonts w:ascii="Arial" w:hAnsi="Arial" w:cs="Arial"/>
          <w:w w:val="100"/>
          <w:sz w:val="22"/>
          <w:szCs w:val="22"/>
        </w:rPr>
        <w:t xml:space="preserve"> – wymagałaby bardzo rozbudowanego wywodu, którego trafność w istotnym zakresie byłaby uzależniona od określonych rozstrzygnięć kwestii interpretacyjnych, często spornych, dotyczących wielu przepisów, w szczególności przepisów części ogólnej Kodeksu karnego o przestępnym współdziałaniu</w:t>
      </w:r>
      <w:r w:rsidR="00EE46FD" w:rsidRPr="00C63E3C">
        <w:rPr>
          <w:rFonts w:ascii="Arial" w:hAnsi="Arial" w:cs="Arial"/>
          <w:w w:val="100"/>
          <w:sz w:val="22"/>
          <w:szCs w:val="22"/>
        </w:rPr>
        <w:t>.</w:t>
      </w:r>
      <w:r w:rsidR="00BE6125" w:rsidRPr="00C63E3C">
        <w:rPr>
          <w:rFonts w:ascii="Arial" w:hAnsi="Arial" w:cs="Arial"/>
          <w:w w:val="100"/>
          <w:sz w:val="22"/>
          <w:szCs w:val="22"/>
        </w:rPr>
        <w:t xml:space="preserve"> Już ta konstatacja w wystarczającym stopniu uzasadnia </w:t>
      </w:r>
      <w:r w:rsidR="00E456C3">
        <w:rPr>
          <w:rFonts w:ascii="Arial" w:hAnsi="Arial" w:cs="Arial"/>
          <w:w w:val="100"/>
          <w:sz w:val="22"/>
          <w:szCs w:val="22"/>
        </w:rPr>
        <w:t>stanowisko</w:t>
      </w:r>
      <w:r w:rsidR="00BE6125" w:rsidRPr="00C63E3C">
        <w:rPr>
          <w:rFonts w:ascii="Arial" w:hAnsi="Arial" w:cs="Arial"/>
          <w:w w:val="100"/>
          <w:sz w:val="22"/>
          <w:szCs w:val="22"/>
        </w:rPr>
        <w:t>, że postulat wprowadzenia odrębnej typizacji aktów stosowania tortur</w:t>
      </w:r>
      <w:r w:rsidRPr="00C63E3C">
        <w:rPr>
          <w:rFonts w:ascii="Arial" w:hAnsi="Arial" w:cs="Arial"/>
          <w:w w:val="100"/>
          <w:sz w:val="22"/>
          <w:szCs w:val="22"/>
        </w:rPr>
        <w:t>, obejmującej swym zakresem wszelkie czyny odpowiadające definicji zawartej w art. 1 ust. 1 Konwencji</w:t>
      </w:r>
      <w:r w:rsidR="00E456C3">
        <w:rPr>
          <w:rFonts w:ascii="Arial" w:hAnsi="Arial" w:cs="Arial"/>
          <w:w w:val="100"/>
          <w:sz w:val="22"/>
          <w:szCs w:val="22"/>
        </w:rPr>
        <w:t>,</w:t>
      </w:r>
      <w:r w:rsidRPr="00C63E3C">
        <w:rPr>
          <w:rFonts w:ascii="Arial" w:hAnsi="Arial" w:cs="Arial"/>
          <w:w w:val="100"/>
          <w:sz w:val="22"/>
          <w:szCs w:val="22"/>
        </w:rPr>
        <w:t xml:space="preserve"> </w:t>
      </w:r>
      <w:r w:rsidR="00BE6125" w:rsidRPr="00C63E3C">
        <w:rPr>
          <w:rFonts w:ascii="Arial" w:hAnsi="Arial" w:cs="Arial"/>
          <w:w w:val="100"/>
          <w:sz w:val="22"/>
          <w:szCs w:val="22"/>
        </w:rPr>
        <w:t xml:space="preserve">należy uznać za zasadny. </w:t>
      </w:r>
      <w:r w:rsidR="00AD3E91" w:rsidRPr="00C63E3C">
        <w:rPr>
          <w:rFonts w:ascii="Arial" w:hAnsi="Arial" w:cs="Arial"/>
          <w:w w:val="100"/>
          <w:sz w:val="22"/>
          <w:szCs w:val="22"/>
        </w:rPr>
        <w:t>Albowiem gdyby nawet założyć, że nasze obecne ustawodawstwo krajowe zapewnia pełn</w:t>
      </w:r>
      <w:r w:rsidR="00E1453B">
        <w:rPr>
          <w:rFonts w:ascii="Arial" w:hAnsi="Arial" w:cs="Arial"/>
          <w:w w:val="100"/>
          <w:sz w:val="22"/>
          <w:szCs w:val="22"/>
        </w:rPr>
        <w:t>ą</w:t>
      </w:r>
      <w:r w:rsidR="00AD3E91" w:rsidRPr="00C63E3C">
        <w:rPr>
          <w:rFonts w:ascii="Arial" w:hAnsi="Arial" w:cs="Arial"/>
          <w:w w:val="100"/>
          <w:sz w:val="22"/>
          <w:szCs w:val="22"/>
        </w:rPr>
        <w:t xml:space="preserve"> kryminalizację aktów stosowania tortur w rozumieniu art. 1 ust. 1 Konwencji</w:t>
      </w:r>
      <w:r w:rsidR="00C63E3C">
        <w:rPr>
          <w:rFonts w:ascii="Arial" w:hAnsi="Arial" w:cs="Arial"/>
          <w:w w:val="100"/>
          <w:sz w:val="22"/>
          <w:szCs w:val="22"/>
        </w:rPr>
        <w:t xml:space="preserve"> (</w:t>
      </w:r>
      <w:r w:rsidR="0090078E" w:rsidRPr="00C63E3C">
        <w:rPr>
          <w:rFonts w:ascii="Arial" w:hAnsi="Arial" w:cs="Arial"/>
          <w:w w:val="100"/>
          <w:sz w:val="22"/>
          <w:szCs w:val="22"/>
        </w:rPr>
        <w:t>a byłoby</w:t>
      </w:r>
      <w:r w:rsidR="00AD3E91" w:rsidRPr="00C63E3C">
        <w:rPr>
          <w:rFonts w:ascii="Arial" w:hAnsi="Arial" w:cs="Arial"/>
          <w:w w:val="100"/>
          <w:sz w:val="22"/>
          <w:szCs w:val="22"/>
        </w:rPr>
        <w:t xml:space="preserve"> to założenie co najmniej wysoce wątpliwe</w:t>
      </w:r>
      <w:r w:rsidR="00C63E3C">
        <w:rPr>
          <w:rFonts w:ascii="Arial" w:hAnsi="Arial" w:cs="Arial"/>
          <w:w w:val="100"/>
          <w:sz w:val="22"/>
          <w:szCs w:val="22"/>
        </w:rPr>
        <w:t>)</w:t>
      </w:r>
      <w:r w:rsidR="00AD3E91" w:rsidRPr="00C63E3C">
        <w:rPr>
          <w:rFonts w:ascii="Arial" w:hAnsi="Arial" w:cs="Arial"/>
          <w:w w:val="100"/>
          <w:sz w:val="22"/>
          <w:szCs w:val="22"/>
        </w:rPr>
        <w:t xml:space="preserve">, to i tak z uwagi na potrzebę </w:t>
      </w:r>
      <w:r w:rsidR="00E1453B">
        <w:rPr>
          <w:rFonts w:ascii="Arial" w:hAnsi="Arial" w:cs="Arial"/>
          <w:w w:val="100"/>
          <w:sz w:val="22"/>
          <w:szCs w:val="22"/>
        </w:rPr>
        <w:t xml:space="preserve">usunięcia </w:t>
      </w:r>
      <w:r w:rsidR="00AD3E91" w:rsidRPr="00C63E3C">
        <w:rPr>
          <w:rFonts w:ascii="Arial" w:hAnsi="Arial" w:cs="Arial"/>
          <w:w w:val="100"/>
          <w:sz w:val="22"/>
          <w:szCs w:val="22"/>
        </w:rPr>
        <w:t xml:space="preserve">poważnych </w:t>
      </w:r>
      <w:r w:rsidR="003E719C" w:rsidRPr="00C63E3C">
        <w:rPr>
          <w:rFonts w:ascii="Arial" w:hAnsi="Arial" w:cs="Arial"/>
          <w:w w:val="100"/>
          <w:sz w:val="22"/>
          <w:szCs w:val="22"/>
        </w:rPr>
        <w:t>wątpliwości</w:t>
      </w:r>
      <w:r w:rsidR="00AD3E91" w:rsidRPr="00C63E3C">
        <w:rPr>
          <w:rFonts w:ascii="Arial" w:hAnsi="Arial" w:cs="Arial"/>
          <w:w w:val="100"/>
          <w:sz w:val="22"/>
          <w:szCs w:val="22"/>
        </w:rPr>
        <w:t xml:space="preserve"> odnośnie do tego</w:t>
      </w:r>
      <w:r w:rsidR="003E719C" w:rsidRPr="00C63E3C">
        <w:rPr>
          <w:rFonts w:ascii="Arial" w:hAnsi="Arial" w:cs="Arial"/>
          <w:w w:val="100"/>
          <w:sz w:val="22"/>
          <w:szCs w:val="22"/>
        </w:rPr>
        <w:t xml:space="preserve"> </w:t>
      </w:r>
      <w:r w:rsidR="00AD3E91" w:rsidRPr="00C63E3C">
        <w:rPr>
          <w:rFonts w:ascii="Arial" w:hAnsi="Arial" w:cs="Arial"/>
          <w:w w:val="100"/>
          <w:sz w:val="22"/>
          <w:szCs w:val="22"/>
        </w:rPr>
        <w:t xml:space="preserve">przeprowadzenie odpowiednich zmian </w:t>
      </w:r>
      <w:r w:rsidR="00AD3E91" w:rsidRPr="00C63E3C">
        <w:rPr>
          <w:rFonts w:ascii="Arial" w:hAnsi="Arial" w:cs="Arial"/>
          <w:w w:val="100"/>
          <w:sz w:val="22"/>
          <w:szCs w:val="22"/>
        </w:rPr>
        <w:lastRenderedPageBreak/>
        <w:t xml:space="preserve">legislacyjnych w rozważanym zakresie </w:t>
      </w:r>
      <w:r w:rsidR="003E719C" w:rsidRPr="00C63E3C">
        <w:rPr>
          <w:rFonts w:ascii="Arial" w:hAnsi="Arial" w:cs="Arial"/>
          <w:w w:val="100"/>
          <w:sz w:val="22"/>
          <w:szCs w:val="22"/>
        </w:rPr>
        <w:t xml:space="preserve">byłoby niewątpliwie </w:t>
      </w:r>
      <w:r w:rsidR="00AD3E91" w:rsidRPr="00C63E3C">
        <w:rPr>
          <w:rFonts w:ascii="Arial" w:hAnsi="Arial" w:cs="Arial"/>
          <w:w w:val="100"/>
          <w:sz w:val="22"/>
          <w:szCs w:val="22"/>
        </w:rPr>
        <w:t>pożądane</w:t>
      </w:r>
      <w:r w:rsidR="003E719C" w:rsidRPr="00C63E3C">
        <w:rPr>
          <w:rFonts w:ascii="Arial" w:hAnsi="Arial" w:cs="Arial"/>
          <w:w w:val="100"/>
          <w:sz w:val="22"/>
          <w:szCs w:val="22"/>
        </w:rPr>
        <w:t xml:space="preserve">. </w:t>
      </w:r>
      <w:r w:rsidR="00C63E3C">
        <w:rPr>
          <w:rFonts w:ascii="Arial" w:hAnsi="Arial" w:cs="Arial"/>
          <w:w w:val="100"/>
          <w:sz w:val="22"/>
          <w:szCs w:val="22"/>
        </w:rPr>
        <w:t>W wypadku czynów tak karygodnych, które powinny być karane ze względu na zobowiązania prawnomiędzynarodowe Polski</w:t>
      </w:r>
      <w:r w:rsidR="00E1453B">
        <w:rPr>
          <w:rFonts w:ascii="Arial" w:hAnsi="Arial" w:cs="Arial"/>
          <w:w w:val="100"/>
          <w:sz w:val="22"/>
          <w:szCs w:val="22"/>
        </w:rPr>
        <w:t xml:space="preserve">, nie powinno się tolerować stanu, w którym tego rodzaju wątpliwości istnieją. </w:t>
      </w:r>
      <w:r w:rsidR="00AD3E91" w:rsidRPr="00C63E3C">
        <w:rPr>
          <w:rFonts w:ascii="Arial" w:hAnsi="Arial" w:cs="Arial"/>
          <w:w w:val="100"/>
          <w:sz w:val="22"/>
          <w:szCs w:val="22"/>
        </w:rPr>
        <w:t xml:space="preserve"> </w:t>
      </w:r>
    </w:p>
    <w:p w14:paraId="3A4959CA" w14:textId="77777777" w:rsidR="00BE6125" w:rsidRPr="00C63E3C" w:rsidRDefault="00BE6125" w:rsidP="00C63E3C">
      <w:pPr>
        <w:autoSpaceDE w:val="0"/>
        <w:autoSpaceDN w:val="0"/>
        <w:adjustRightInd w:val="0"/>
        <w:spacing w:line="360" w:lineRule="auto"/>
        <w:jc w:val="both"/>
        <w:rPr>
          <w:rFonts w:ascii="Arial" w:hAnsi="Arial" w:cs="Arial"/>
          <w:w w:val="100"/>
          <w:sz w:val="22"/>
          <w:szCs w:val="22"/>
        </w:rPr>
      </w:pPr>
    </w:p>
    <w:p w14:paraId="4A1763BE" w14:textId="2B36928F" w:rsidR="00C63E3C" w:rsidRPr="00C63E3C" w:rsidRDefault="003E719C" w:rsidP="00C63E3C">
      <w:pPr>
        <w:autoSpaceDE w:val="0"/>
        <w:autoSpaceDN w:val="0"/>
        <w:adjustRightInd w:val="0"/>
        <w:spacing w:line="360" w:lineRule="auto"/>
        <w:jc w:val="both"/>
        <w:rPr>
          <w:rFonts w:ascii="Arial" w:hAnsi="Arial" w:cs="Arial"/>
          <w:w w:val="100"/>
          <w:sz w:val="22"/>
          <w:szCs w:val="22"/>
        </w:rPr>
      </w:pPr>
      <w:r w:rsidRPr="00C63E3C">
        <w:rPr>
          <w:rFonts w:ascii="Arial" w:hAnsi="Arial" w:cs="Arial"/>
          <w:w w:val="100"/>
          <w:sz w:val="22"/>
          <w:szCs w:val="22"/>
        </w:rPr>
        <w:t xml:space="preserve">5. </w:t>
      </w:r>
      <w:r w:rsidRPr="00C63E3C">
        <w:rPr>
          <w:rFonts w:ascii="Arial" w:hAnsi="Arial" w:cs="Arial"/>
          <w:w w:val="100"/>
          <w:sz w:val="22"/>
          <w:szCs w:val="22"/>
        </w:rPr>
        <w:tab/>
        <w:t>Kwestią przede wszystkim techniczną jest sposób ewentualnego wprowadzenia zmian, o których mowa wyżej. W dokumentacji przedstawionej Komisji pojawiają się dwie konkurencyjne propozycje: pierwsza zakłada posłużenie się rozbudowanym przepisem typizującym</w:t>
      </w:r>
      <w:r w:rsidR="00E1453B">
        <w:rPr>
          <w:rFonts w:ascii="Arial" w:hAnsi="Arial" w:cs="Arial"/>
          <w:w w:val="100"/>
          <w:sz w:val="22"/>
          <w:szCs w:val="22"/>
        </w:rPr>
        <w:t xml:space="preserve">, który </w:t>
      </w:r>
      <w:r w:rsidRPr="00C63E3C">
        <w:rPr>
          <w:rFonts w:ascii="Arial" w:hAnsi="Arial" w:cs="Arial"/>
          <w:w w:val="100"/>
          <w:sz w:val="22"/>
          <w:szCs w:val="22"/>
        </w:rPr>
        <w:t>zawiera</w:t>
      </w:r>
      <w:r w:rsidR="00E1453B">
        <w:rPr>
          <w:rFonts w:ascii="Arial" w:hAnsi="Arial" w:cs="Arial"/>
          <w:w w:val="100"/>
          <w:sz w:val="22"/>
          <w:szCs w:val="22"/>
        </w:rPr>
        <w:t xml:space="preserve">łby </w:t>
      </w:r>
      <w:r w:rsidRPr="00C63E3C">
        <w:rPr>
          <w:rFonts w:ascii="Arial" w:hAnsi="Arial" w:cs="Arial"/>
          <w:w w:val="100"/>
          <w:sz w:val="22"/>
          <w:szCs w:val="22"/>
        </w:rPr>
        <w:t xml:space="preserve">opis cech </w:t>
      </w:r>
      <w:r w:rsidR="00E1453B" w:rsidRPr="00C63E3C">
        <w:rPr>
          <w:rFonts w:ascii="Arial" w:hAnsi="Arial" w:cs="Arial"/>
          <w:w w:val="100"/>
          <w:sz w:val="22"/>
          <w:szCs w:val="22"/>
        </w:rPr>
        <w:t>konstytutywnych</w:t>
      </w:r>
      <w:r w:rsidRPr="00C63E3C">
        <w:rPr>
          <w:rFonts w:ascii="Arial" w:hAnsi="Arial" w:cs="Arial"/>
          <w:w w:val="100"/>
          <w:sz w:val="22"/>
          <w:szCs w:val="22"/>
        </w:rPr>
        <w:t xml:space="preserve"> tortur odpowiadający konwencyjnej definicji określenia „tortury”, druga zaś wprowadzenie do tzw. słowniczka wyrażeń ustawowych zawartego w Kodeksie karnym definicji legalnej określenia „tortury” równoważnej definicji tego określenia zawartej w art. 1 ust.1 Konwencji i posłużenie się zwięzłymi przepisami typizującymi odsyłającymi do owej definicji.  To drugie rozwiązanie wydaje się z różnych powodów lepsze, </w:t>
      </w:r>
      <w:r w:rsidR="00C63E3C" w:rsidRPr="00C63E3C">
        <w:rPr>
          <w:rFonts w:ascii="Arial" w:hAnsi="Arial" w:cs="Arial"/>
          <w:w w:val="100"/>
          <w:sz w:val="22"/>
          <w:szCs w:val="22"/>
        </w:rPr>
        <w:t xml:space="preserve">chociażby </w:t>
      </w:r>
      <w:r w:rsidRPr="00C63E3C">
        <w:rPr>
          <w:rFonts w:ascii="Arial" w:hAnsi="Arial" w:cs="Arial"/>
          <w:w w:val="100"/>
          <w:sz w:val="22"/>
          <w:szCs w:val="22"/>
        </w:rPr>
        <w:t xml:space="preserve">dlatego, że </w:t>
      </w:r>
      <w:r w:rsidR="00C63E3C" w:rsidRPr="00C63E3C">
        <w:rPr>
          <w:rFonts w:ascii="Arial" w:hAnsi="Arial" w:cs="Arial"/>
          <w:w w:val="100"/>
          <w:sz w:val="22"/>
          <w:szCs w:val="22"/>
        </w:rPr>
        <w:t xml:space="preserve">określenie „tortury” występują już </w:t>
      </w:r>
      <w:r w:rsidR="00E1453B">
        <w:rPr>
          <w:rFonts w:ascii="Arial" w:hAnsi="Arial" w:cs="Arial"/>
          <w:w w:val="100"/>
          <w:sz w:val="22"/>
          <w:szCs w:val="22"/>
        </w:rPr>
        <w:t xml:space="preserve">w Kodeksie karnym </w:t>
      </w:r>
      <w:r w:rsidR="00C63E3C" w:rsidRPr="00C63E3C">
        <w:rPr>
          <w:rFonts w:ascii="Arial" w:hAnsi="Arial" w:cs="Arial"/>
          <w:w w:val="100"/>
          <w:sz w:val="22"/>
          <w:szCs w:val="22"/>
        </w:rPr>
        <w:t xml:space="preserve">w dwóch przepisach typizujących przestępstwa przeciwko pokojowi i ludzkości oraz zbrodnie wojenne (zob. art. 118 § 2 pkt 3, art. 123 § 2 k.k.).  </w:t>
      </w:r>
    </w:p>
    <w:p w14:paraId="7DCE9772" w14:textId="77777777" w:rsidR="00C63E3C" w:rsidRPr="00C63E3C" w:rsidRDefault="00C63E3C" w:rsidP="00C63E3C">
      <w:pPr>
        <w:autoSpaceDE w:val="0"/>
        <w:autoSpaceDN w:val="0"/>
        <w:adjustRightInd w:val="0"/>
        <w:spacing w:line="360" w:lineRule="auto"/>
        <w:jc w:val="both"/>
        <w:rPr>
          <w:rFonts w:ascii="Arial" w:hAnsi="Arial" w:cs="Arial"/>
          <w:w w:val="100"/>
          <w:sz w:val="22"/>
          <w:szCs w:val="22"/>
        </w:rPr>
      </w:pPr>
    </w:p>
    <w:p w14:paraId="4EAAB1BD" w14:textId="77777777" w:rsidR="00A63832" w:rsidRPr="00C63E3C" w:rsidRDefault="00A63832" w:rsidP="00C63E3C">
      <w:pPr>
        <w:pStyle w:val="Tekstpodstawowywcity"/>
        <w:spacing w:line="360" w:lineRule="auto"/>
        <w:ind w:firstLine="0"/>
        <w:jc w:val="both"/>
        <w:rPr>
          <w:w w:val="100"/>
          <w:sz w:val="22"/>
          <w:szCs w:val="22"/>
        </w:rPr>
      </w:pPr>
    </w:p>
    <w:p w14:paraId="6C01842C" w14:textId="77777777" w:rsidR="00A63832" w:rsidRPr="00C63E3C" w:rsidRDefault="00A63832" w:rsidP="00C63E3C">
      <w:pPr>
        <w:pStyle w:val="Tekstpodstawowywcity"/>
        <w:spacing w:line="360" w:lineRule="auto"/>
        <w:ind w:firstLine="0"/>
        <w:jc w:val="both"/>
        <w:rPr>
          <w:w w:val="100"/>
          <w:sz w:val="22"/>
          <w:szCs w:val="22"/>
        </w:rPr>
      </w:pPr>
    </w:p>
    <w:p w14:paraId="0C12618C" w14:textId="057170D0" w:rsidR="00F75ED8" w:rsidRPr="00C63E3C" w:rsidRDefault="000D2427" w:rsidP="00C63E3C">
      <w:pPr>
        <w:pStyle w:val="Tekstpodstawowywcity"/>
        <w:spacing w:line="360" w:lineRule="auto"/>
        <w:ind w:firstLine="0"/>
        <w:jc w:val="both"/>
        <w:rPr>
          <w:w w:val="100"/>
          <w:sz w:val="22"/>
          <w:szCs w:val="22"/>
        </w:rPr>
      </w:pPr>
      <w:r w:rsidRPr="00C63E3C">
        <w:rPr>
          <w:w w:val="100"/>
          <w:sz w:val="22"/>
          <w:szCs w:val="22"/>
        </w:rPr>
        <w:t>projekt opinii przygotował</w:t>
      </w:r>
    </w:p>
    <w:p w14:paraId="41469FD3" w14:textId="65767C27" w:rsidR="000D2427" w:rsidRPr="00C63E3C" w:rsidRDefault="00410105" w:rsidP="00C63E3C">
      <w:pPr>
        <w:pStyle w:val="Tekstpodstawowywcity"/>
        <w:spacing w:line="360" w:lineRule="auto"/>
        <w:ind w:firstLine="0"/>
        <w:jc w:val="both"/>
        <w:rPr>
          <w:b/>
          <w:w w:val="100"/>
          <w:sz w:val="22"/>
          <w:szCs w:val="22"/>
        </w:rPr>
      </w:pPr>
      <w:r>
        <w:rPr>
          <w:w w:val="100"/>
          <w:sz w:val="22"/>
          <w:szCs w:val="22"/>
        </w:rPr>
        <w:t xml:space="preserve">prof. dr hab. </w:t>
      </w:r>
      <w:r w:rsidR="000D2427" w:rsidRPr="00C63E3C">
        <w:rPr>
          <w:w w:val="100"/>
          <w:sz w:val="22"/>
          <w:szCs w:val="22"/>
        </w:rPr>
        <w:t xml:space="preserve">Jarosław Majewski </w:t>
      </w:r>
    </w:p>
    <w:sectPr w:rsidR="000D2427" w:rsidRPr="00C63E3C">
      <w:footerReference w:type="even" r:id="rId8"/>
      <w:footerReference w:type="default" r:id="rId9"/>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69FBC" w14:textId="77777777" w:rsidR="00F2504D" w:rsidRDefault="00F2504D">
      <w:r>
        <w:separator/>
      </w:r>
    </w:p>
  </w:endnote>
  <w:endnote w:type="continuationSeparator" w:id="0">
    <w:p w14:paraId="011828FE" w14:textId="77777777" w:rsidR="00F2504D" w:rsidRDefault="00F2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EF7A" w14:textId="77777777" w:rsidR="00E77251" w:rsidRDefault="00E7725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592F4A2" w14:textId="77777777" w:rsidR="00E77251" w:rsidRDefault="00E772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384246"/>
      <w:docPartObj>
        <w:docPartGallery w:val="Page Numbers (Bottom of Page)"/>
        <w:docPartUnique/>
      </w:docPartObj>
    </w:sdtPr>
    <w:sdtContent>
      <w:p w14:paraId="5C402A17" w14:textId="5ABDDF8D" w:rsidR="004D4837" w:rsidRDefault="004D4837">
        <w:pPr>
          <w:pStyle w:val="Stopka"/>
          <w:jc w:val="center"/>
        </w:pPr>
        <w:r>
          <w:fldChar w:fldCharType="begin"/>
        </w:r>
        <w:r>
          <w:instrText>PAGE   \* MERGEFORMAT</w:instrText>
        </w:r>
        <w:r>
          <w:fldChar w:fldCharType="separate"/>
        </w:r>
        <w:r w:rsidR="005068C5">
          <w:rPr>
            <w:noProof/>
          </w:rPr>
          <w:t>4</w:t>
        </w:r>
        <w:r>
          <w:fldChar w:fldCharType="end"/>
        </w:r>
      </w:p>
    </w:sdtContent>
  </w:sdt>
  <w:p w14:paraId="12F4B6F8" w14:textId="77777777" w:rsidR="004D4837" w:rsidRDefault="004D48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3F8C9" w14:textId="77777777" w:rsidR="00F2504D" w:rsidRDefault="00F2504D">
      <w:r>
        <w:separator/>
      </w:r>
    </w:p>
  </w:footnote>
  <w:footnote w:type="continuationSeparator" w:id="0">
    <w:p w14:paraId="1CA2E54B" w14:textId="77777777" w:rsidR="00F2504D" w:rsidRDefault="00F2504D">
      <w:r>
        <w:continuationSeparator/>
      </w:r>
    </w:p>
  </w:footnote>
  <w:footnote w:id="1">
    <w:p w14:paraId="08FB4F45" w14:textId="1EBDA3B9" w:rsidR="00EE46FD" w:rsidRPr="00C63E3C" w:rsidRDefault="00EE46FD" w:rsidP="00C63E3C">
      <w:pPr>
        <w:pStyle w:val="Tekstprzypisudolnego"/>
        <w:jc w:val="both"/>
        <w:rPr>
          <w:rFonts w:ascii="Arial" w:hAnsi="Arial" w:cs="Arial"/>
          <w:w w:val="100"/>
          <w:sz w:val="22"/>
          <w:szCs w:val="22"/>
        </w:rPr>
      </w:pPr>
      <w:r w:rsidRPr="00C63E3C">
        <w:rPr>
          <w:rStyle w:val="Odwoanieprzypisudolnego"/>
          <w:rFonts w:ascii="Arial" w:hAnsi="Arial" w:cs="Arial"/>
          <w:w w:val="100"/>
          <w:sz w:val="22"/>
          <w:szCs w:val="22"/>
        </w:rPr>
        <w:footnoteRef/>
      </w:r>
      <w:r w:rsidRPr="00C63E3C">
        <w:rPr>
          <w:rFonts w:ascii="Arial" w:hAnsi="Arial" w:cs="Arial"/>
          <w:w w:val="100"/>
          <w:sz w:val="22"/>
          <w:szCs w:val="22"/>
        </w:rPr>
        <w:t xml:space="preserve"> </w:t>
      </w:r>
      <w:r w:rsidR="00BE6125" w:rsidRPr="00C63E3C">
        <w:rPr>
          <w:rFonts w:ascii="Arial" w:hAnsi="Arial" w:cs="Arial"/>
          <w:w w:val="100"/>
          <w:sz w:val="22"/>
          <w:szCs w:val="22"/>
        </w:rPr>
        <w:t xml:space="preserve">Jednym z podawanych przykładów czynów </w:t>
      </w:r>
      <w:r w:rsidRPr="00C63E3C">
        <w:rPr>
          <w:rFonts w:ascii="Arial" w:hAnsi="Arial" w:cs="Arial"/>
          <w:w w:val="100"/>
          <w:sz w:val="22"/>
          <w:szCs w:val="22"/>
        </w:rPr>
        <w:t xml:space="preserve">nieskryminalizowanych </w:t>
      </w:r>
      <w:r w:rsidR="00BE6125" w:rsidRPr="00C63E3C">
        <w:rPr>
          <w:rFonts w:ascii="Arial" w:hAnsi="Arial" w:cs="Arial"/>
          <w:w w:val="100"/>
          <w:sz w:val="22"/>
          <w:szCs w:val="22"/>
        </w:rPr>
        <w:t xml:space="preserve">są </w:t>
      </w:r>
      <w:r w:rsidRPr="00C63E3C">
        <w:rPr>
          <w:rFonts w:ascii="Arial" w:hAnsi="Arial" w:cs="Arial"/>
          <w:w w:val="100"/>
          <w:sz w:val="22"/>
          <w:szCs w:val="22"/>
        </w:rPr>
        <w:t>niektór</w:t>
      </w:r>
      <w:r w:rsidR="00BE6125" w:rsidRPr="00C63E3C">
        <w:rPr>
          <w:rFonts w:ascii="Arial" w:hAnsi="Arial" w:cs="Arial"/>
          <w:w w:val="100"/>
          <w:sz w:val="22"/>
          <w:szCs w:val="22"/>
        </w:rPr>
        <w:t>e</w:t>
      </w:r>
      <w:r w:rsidRPr="00C63E3C">
        <w:rPr>
          <w:rFonts w:ascii="Arial" w:hAnsi="Arial" w:cs="Arial"/>
          <w:w w:val="100"/>
          <w:sz w:val="22"/>
          <w:szCs w:val="22"/>
        </w:rPr>
        <w:t xml:space="preserve"> akt</w:t>
      </w:r>
      <w:r w:rsidR="00BE6125" w:rsidRPr="00C63E3C">
        <w:rPr>
          <w:rFonts w:ascii="Arial" w:hAnsi="Arial" w:cs="Arial"/>
          <w:w w:val="100"/>
          <w:sz w:val="22"/>
          <w:szCs w:val="22"/>
        </w:rPr>
        <w:t>y</w:t>
      </w:r>
      <w:r w:rsidRPr="00C63E3C">
        <w:rPr>
          <w:rFonts w:ascii="Arial" w:hAnsi="Arial" w:cs="Arial"/>
          <w:w w:val="100"/>
          <w:sz w:val="22"/>
          <w:szCs w:val="22"/>
        </w:rPr>
        <w:t xml:space="preserve"> stosowania tortur przez inną niż funkcjonariusz publiczny osobę występującą w charakterze urzędowym </w:t>
      </w:r>
      <w:r w:rsidR="00E456C3">
        <w:rPr>
          <w:rFonts w:ascii="Arial" w:hAnsi="Arial" w:cs="Arial"/>
          <w:w w:val="100"/>
          <w:sz w:val="22"/>
          <w:szCs w:val="22"/>
        </w:rPr>
        <w:t>lub</w:t>
      </w:r>
      <w:r w:rsidRPr="00C63E3C">
        <w:rPr>
          <w:rFonts w:ascii="Arial" w:hAnsi="Arial" w:cs="Arial"/>
          <w:w w:val="100"/>
          <w:sz w:val="22"/>
          <w:szCs w:val="22"/>
        </w:rPr>
        <w:t xml:space="preserve"> kogoś działającego z polecenia albo za wyraźną lub milczącą zgodą takiej osoby</w:t>
      </w:r>
      <w:r w:rsidR="00BE6125" w:rsidRPr="00C63E3C">
        <w:rPr>
          <w:rFonts w:ascii="Arial" w:hAnsi="Arial" w:cs="Arial"/>
          <w:w w:val="100"/>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04029"/>
    <w:multiLevelType w:val="hybridMultilevel"/>
    <w:tmpl w:val="3DE27514"/>
    <w:lvl w:ilvl="0" w:tplc="0DBE6DDE">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E2B7EEC"/>
    <w:multiLevelType w:val="hybridMultilevel"/>
    <w:tmpl w:val="21B45636"/>
    <w:lvl w:ilvl="0" w:tplc="D7DA44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9526F5E"/>
    <w:multiLevelType w:val="hybridMultilevel"/>
    <w:tmpl w:val="B0BC9328"/>
    <w:lvl w:ilvl="0" w:tplc="69FEC17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D5B3638"/>
    <w:multiLevelType w:val="hybridMultilevel"/>
    <w:tmpl w:val="6AEC3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1F612E"/>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4C883927"/>
    <w:multiLevelType w:val="hybridMultilevel"/>
    <w:tmpl w:val="0E10EACA"/>
    <w:lvl w:ilvl="0" w:tplc="BF747B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B047A5"/>
    <w:multiLevelType w:val="hybridMultilevel"/>
    <w:tmpl w:val="9F669AF4"/>
    <w:lvl w:ilvl="0" w:tplc="20187D92">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 w15:restartNumberingAfterBreak="0">
    <w:nsid w:val="5AD026D5"/>
    <w:multiLevelType w:val="singleLevel"/>
    <w:tmpl w:val="04150017"/>
    <w:lvl w:ilvl="0">
      <w:start w:val="1"/>
      <w:numFmt w:val="lowerLetter"/>
      <w:lvlText w:val="%1)"/>
      <w:lvlJc w:val="left"/>
      <w:pPr>
        <w:tabs>
          <w:tab w:val="num" w:pos="360"/>
        </w:tabs>
        <w:ind w:left="360" w:hanging="360"/>
      </w:pPr>
      <w:rPr>
        <w:rFonts w:hint="default"/>
      </w:rPr>
    </w:lvl>
  </w:abstractNum>
  <w:abstractNum w:abstractNumId="8" w15:restartNumberingAfterBreak="0">
    <w:nsid w:val="700711E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8F7EDE"/>
    <w:multiLevelType w:val="hybridMultilevel"/>
    <w:tmpl w:val="A1C6C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994806">
    <w:abstractNumId w:val="4"/>
  </w:num>
  <w:num w:numId="2" w16cid:durableId="1890073367">
    <w:abstractNumId w:val="7"/>
  </w:num>
  <w:num w:numId="3" w16cid:durableId="216740713">
    <w:abstractNumId w:val="8"/>
  </w:num>
  <w:num w:numId="4" w16cid:durableId="741412193">
    <w:abstractNumId w:val="6"/>
  </w:num>
  <w:num w:numId="5" w16cid:durableId="1286539973">
    <w:abstractNumId w:val="0"/>
  </w:num>
  <w:num w:numId="6" w16cid:durableId="1636136083">
    <w:abstractNumId w:val="1"/>
  </w:num>
  <w:num w:numId="7" w16cid:durableId="1642299341">
    <w:abstractNumId w:val="2"/>
  </w:num>
  <w:num w:numId="8" w16cid:durableId="709569679">
    <w:abstractNumId w:val="9"/>
  </w:num>
  <w:num w:numId="9" w16cid:durableId="302582694">
    <w:abstractNumId w:val="3"/>
  </w:num>
  <w:num w:numId="10" w16cid:durableId="1016733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9"/>
    <w:rsid w:val="000040F5"/>
    <w:rsid w:val="0000526A"/>
    <w:rsid w:val="00007C5B"/>
    <w:rsid w:val="0001582C"/>
    <w:rsid w:val="00016450"/>
    <w:rsid w:val="000164D3"/>
    <w:rsid w:val="0002190F"/>
    <w:rsid w:val="00023FBF"/>
    <w:rsid w:val="0003197A"/>
    <w:rsid w:val="00033628"/>
    <w:rsid w:val="00045052"/>
    <w:rsid w:val="0005775C"/>
    <w:rsid w:val="000650FA"/>
    <w:rsid w:val="00065D04"/>
    <w:rsid w:val="0007237D"/>
    <w:rsid w:val="0007241A"/>
    <w:rsid w:val="000734AD"/>
    <w:rsid w:val="00073DE5"/>
    <w:rsid w:val="000845F4"/>
    <w:rsid w:val="00084D75"/>
    <w:rsid w:val="000874B6"/>
    <w:rsid w:val="0009576C"/>
    <w:rsid w:val="000A2201"/>
    <w:rsid w:val="000B192E"/>
    <w:rsid w:val="000B24B9"/>
    <w:rsid w:val="000B3ED5"/>
    <w:rsid w:val="000B76C7"/>
    <w:rsid w:val="000C16AF"/>
    <w:rsid w:val="000C571B"/>
    <w:rsid w:val="000C5A88"/>
    <w:rsid w:val="000D00FA"/>
    <w:rsid w:val="000D2427"/>
    <w:rsid w:val="000D6CCF"/>
    <w:rsid w:val="000F0959"/>
    <w:rsid w:val="000F6509"/>
    <w:rsid w:val="000F78C6"/>
    <w:rsid w:val="000F7B66"/>
    <w:rsid w:val="001027E7"/>
    <w:rsid w:val="00104DAB"/>
    <w:rsid w:val="0010537A"/>
    <w:rsid w:val="0011381B"/>
    <w:rsid w:val="0011436F"/>
    <w:rsid w:val="0011535B"/>
    <w:rsid w:val="00121B71"/>
    <w:rsid w:val="001254F8"/>
    <w:rsid w:val="00131D0E"/>
    <w:rsid w:val="00132E39"/>
    <w:rsid w:val="001373E2"/>
    <w:rsid w:val="00140DF5"/>
    <w:rsid w:val="00152190"/>
    <w:rsid w:val="00165D7F"/>
    <w:rsid w:val="0016775C"/>
    <w:rsid w:val="001708A1"/>
    <w:rsid w:val="001727DD"/>
    <w:rsid w:val="00183E06"/>
    <w:rsid w:val="00184CDD"/>
    <w:rsid w:val="001A5AB7"/>
    <w:rsid w:val="001B16B7"/>
    <w:rsid w:val="001B610B"/>
    <w:rsid w:val="001B74C4"/>
    <w:rsid w:val="001C1BD2"/>
    <w:rsid w:val="001C20B8"/>
    <w:rsid w:val="001C4643"/>
    <w:rsid w:val="001D6AA3"/>
    <w:rsid w:val="001D7080"/>
    <w:rsid w:val="001E02B8"/>
    <w:rsid w:val="001E59F7"/>
    <w:rsid w:val="001E7402"/>
    <w:rsid w:val="00202A57"/>
    <w:rsid w:val="00211B00"/>
    <w:rsid w:val="00214D59"/>
    <w:rsid w:val="00226A18"/>
    <w:rsid w:val="00226EFB"/>
    <w:rsid w:val="00232456"/>
    <w:rsid w:val="00237009"/>
    <w:rsid w:val="002408E4"/>
    <w:rsid w:val="00240AE8"/>
    <w:rsid w:val="0024355B"/>
    <w:rsid w:val="00245781"/>
    <w:rsid w:val="00252A1B"/>
    <w:rsid w:val="00253FB7"/>
    <w:rsid w:val="002636DD"/>
    <w:rsid w:val="00271F63"/>
    <w:rsid w:val="00275556"/>
    <w:rsid w:val="002758A0"/>
    <w:rsid w:val="00286A0D"/>
    <w:rsid w:val="0028778B"/>
    <w:rsid w:val="002910E2"/>
    <w:rsid w:val="002A165E"/>
    <w:rsid w:val="002A3150"/>
    <w:rsid w:val="002B3C2B"/>
    <w:rsid w:val="002B6417"/>
    <w:rsid w:val="002B759D"/>
    <w:rsid w:val="002B7D19"/>
    <w:rsid w:val="002C2D21"/>
    <w:rsid w:val="002F704E"/>
    <w:rsid w:val="002F7BF1"/>
    <w:rsid w:val="0030009A"/>
    <w:rsid w:val="00302B35"/>
    <w:rsid w:val="00307AE4"/>
    <w:rsid w:val="0031111A"/>
    <w:rsid w:val="003117BD"/>
    <w:rsid w:val="003157BC"/>
    <w:rsid w:val="00324C8F"/>
    <w:rsid w:val="003325F2"/>
    <w:rsid w:val="00332696"/>
    <w:rsid w:val="00342579"/>
    <w:rsid w:val="003442AB"/>
    <w:rsid w:val="003508E0"/>
    <w:rsid w:val="00350C92"/>
    <w:rsid w:val="00354C9B"/>
    <w:rsid w:val="00354CCF"/>
    <w:rsid w:val="00362727"/>
    <w:rsid w:val="00363047"/>
    <w:rsid w:val="00373FAA"/>
    <w:rsid w:val="00384CD5"/>
    <w:rsid w:val="0039044F"/>
    <w:rsid w:val="003A183F"/>
    <w:rsid w:val="003A588A"/>
    <w:rsid w:val="003B2D9F"/>
    <w:rsid w:val="003B3884"/>
    <w:rsid w:val="003D0F7C"/>
    <w:rsid w:val="003D2EAF"/>
    <w:rsid w:val="003D3BF1"/>
    <w:rsid w:val="003D4532"/>
    <w:rsid w:val="003D5D3F"/>
    <w:rsid w:val="003D679C"/>
    <w:rsid w:val="003E3928"/>
    <w:rsid w:val="003E57F4"/>
    <w:rsid w:val="003E6954"/>
    <w:rsid w:val="003E719C"/>
    <w:rsid w:val="003F12E3"/>
    <w:rsid w:val="003F2CA3"/>
    <w:rsid w:val="003F5871"/>
    <w:rsid w:val="003F6965"/>
    <w:rsid w:val="0040484D"/>
    <w:rsid w:val="00405EF1"/>
    <w:rsid w:val="00410105"/>
    <w:rsid w:val="00413045"/>
    <w:rsid w:val="00422465"/>
    <w:rsid w:val="00424B79"/>
    <w:rsid w:val="004359C3"/>
    <w:rsid w:val="00437094"/>
    <w:rsid w:val="004427CC"/>
    <w:rsid w:val="0044506C"/>
    <w:rsid w:val="0044784A"/>
    <w:rsid w:val="004479C7"/>
    <w:rsid w:val="00453C3B"/>
    <w:rsid w:val="004573D6"/>
    <w:rsid w:val="0047017C"/>
    <w:rsid w:val="00471900"/>
    <w:rsid w:val="004777F7"/>
    <w:rsid w:val="0048588A"/>
    <w:rsid w:val="0048762D"/>
    <w:rsid w:val="004911E7"/>
    <w:rsid w:val="004A681B"/>
    <w:rsid w:val="004B47FC"/>
    <w:rsid w:val="004B6BC9"/>
    <w:rsid w:val="004C0911"/>
    <w:rsid w:val="004D0A50"/>
    <w:rsid w:val="004D1372"/>
    <w:rsid w:val="004D3B06"/>
    <w:rsid w:val="004D4837"/>
    <w:rsid w:val="004D5FAD"/>
    <w:rsid w:val="004E1F6C"/>
    <w:rsid w:val="004F1658"/>
    <w:rsid w:val="005008A1"/>
    <w:rsid w:val="005068C5"/>
    <w:rsid w:val="00510D9E"/>
    <w:rsid w:val="00516E5C"/>
    <w:rsid w:val="00520449"/>
    <w:rsid w:val="00520519"/>
    <w:rsid w:val="0053167C"/>
    <w:rsid w:val="005346E8"/>
    <w:rsid w:val="00543107"/>
    <w:rsid w:val="005509D8"/>
    <w:rsid w:val="00553C71"/>
    <w:rsid w:val="00563B1C"/>
    <w:rsid w:val="00564611"/>
    <w:rsid w:val="00567DD2"/>
    <w:rsid w:val="00570F51"/>
    <w:rsid w:val="00570FD3"/>
    <w:rsid w:val="00577118"/>
    <w:rsid w:val="00580DDC"/>
    <w:rsid w:val="00590924"/>
    <w:rsid w:val="00591149"/>
    <w:rsid w:val="00592F66"/>
    <w:rsid w:val="00597E13"/>
    <w:rsid w:val="005A1000"/>
    <w:rsid w:val="005A4DF5"/>
    <w:rsid w:val="005B2E1D"/>
    <w:rsid w:val="005C1E3B"/>
    <w:rsid w:val="005C206A"/>
    <w:rsid w:val="005C58F5"/>
    <w:rsid w:val="005D2B3A"/>
    <w:rsid w:val="005D794A"/>
    <w:rsid w:val="005F665A"/>
    <w:rsid w:val="00600807"/>
    <w:rsid w:val="00601525"/>
    <w:rsid w:val="0060584B"/>
    <w:rsid w:val="00614F6D"/>
    <w:rsid w:val="006167A5"/>
    <w:rsid w:val="00620EFB"/>
    <w:rsid w:val="00631D25"/>
    <w:rsid w:val="00634633"/>
    <w:rsid w:val="00636EB0"/>
    <w:rsid w:val="00643670"/>
    <w:rsid w:val="006439FA"/>
    <w:rsid w:val="00652099"/>
    <w:rsid w:val="00652E26"/>
    <w:rsid w:val="006738E5"/>
    <w:rsid w:val="006767F4"/>
    <w:rsid w:val="006808DB"/>
    <w:rsid w:val="00694E42"/>
    <w:rsid w:val="006A3A79"/>
    <w:rsid w:val="006A3B93"/>
    <w:rsid w:val="006A64C8"/>
    <w:rsid w:val="006B6426"/>
    <w:rsid w:val="006C4262"/>
    <w:rsid w:val="006C4788"/>
    <w:rsid w:val="006C7209"/>
    <w:rsid w:val="006D0F7E"/>
    <w:rsid w:val="006E53A1"/>
    <w:rsid w:val="007014A4"/>
    <w:rsid w:val="00714765"/>
    <w:rsid w:val="007177EE"/>
    <w:rsid w:val="00721F7A"/>
    <w:rsid w:val="00723BC6"/>
    <w:rsid w:val="007267B6"/>
    <w:rsid w:val="007310B6"/>
    <w:rsid w:val="00760DC2"/>
    <w:rsid w:val="00764287"/>
    <w:rsid w:val="00766E37"/>
    <w:rsid w:val="0076729D"/>
    <w:rsid w:val="00774660"/>
    <w:rsid w:val="007821FB"/>
    <w:rsid w:val="00782342"/>
    <w:rsid w:val="007913ED"/>
    <w:rsid w:val="00791460"/>
    <w:rsid w:val="00795A9B"/>
    <w:rsid w:val="007A5BC2"/>
    <w:rsid w:val="007B1709"/>
    <w:rsid w:val="007B3085"/>
    <w:rsid w:val="007C14B3"/>
    <w:rsid w:val="007C49C1"/>
    <w:rsid w:val="007D0D68"/>
    <w:rsid w:val="007D1D3D"/>
    <w:rsid w:val="007D4E84"/>
    <w:rsid w:val="007E610D"/>
    <w:rsid w:val="007E62DB"/>
    <w:rsid w:val="007F00A8"/>
    <w:rsid w:val="007F48D2"/>
    <w:rsid w:val="00803B9D"/>
    <w:rsid w:val="00803C1C"/>
    <w:rsid w:val="00810DAF"/>
    <w:rsid w:val="00825B7E"/>
    <w:rsid w:val="00837B9E"/>
    <w:rsid w:val="0087550D"/>
    <w:rsid w:val="00876833"/>
    <w:rsid w:val="0088225E"/>
    <w:rsid w:val="00891501"/>
    <w:rsid w:val="0089394F"/>
    <w:rsid w:val="008942AB"/>
    <w:rsid w:val="008A335C"/>
    <w:rsid w:val="008B02B0"/>
    <w:rsid w:val="008B0BBD"/>
    <w:rsid w:val="008B49EF"/>
    <w:rsid w:val="008B6A22"/>
    <w:rsid w:val="008C3B9C"/>
    <w:rsid w:val="008D5D49"/>
    <w:rsid w:val="008D68EA"/>
    <w:rsid w:val="008D6AA3"/>
    <w:rsid w:val="008E13AF"/>
    <w:rsid w:val="0090078E"/>
    <w:rsid w:val="00904377"/>
    <w:rsid w:val="00905388"/>
    <w:rsid w:val="009132C2"/>
    <w:rsid w:val="00951328"/>
    <w:rsid w:val="009575C6"/>
    <w:rsid w:val="009653BC"/>
    <w:rsid w:val="00970641"/>
    <w:rsid w:val="0097191B"/>
    <w:rsid w:val="00976E71"/>
    <w:rsid w:val="0098329D"/>
    <w:rsid w:val="00985C54"/>
    <w:rsid w:val="009932FB"/>
    <w:rsid w:val="009A19A4"/>
    <w:rsid w:val="009A7395"/>
    <w:rsid w:val="009A76FD"/>
    <w:rsid w:val="009B6E9F"/>
    <w:rsid w:val="009C2774"/>
    <w:rsid w:val="009D04CC"/>
    <w:rsid w:val="009D1DC5"/>
    <w:rsid w:val="009F5CDE"/>
    <w:rsid w:val="00A03834"/>
    <w:rsid w:val="00A14DBA"/>
    <w:rsid w:val="00A209A0"/>
    <w:rsid w:val="00A24A70"/>
    <w:rsid w:val="00A2712A"/>
    <w:rsid w:val="00A441B3"/>
    <w:rsid w:val="00A44510"/>
    <w:rsid w:val="00A52DFA"/>
    <w:rsid w:val="00A53B4E"/>
    <w:rsid w:val="00A63832"/>
    <w:rsid w:val="00A63BDD"/>
    <w:rsid w:val="00A63F71"/>
    <w:rsid w:val="00A71A4B"/>
    <w:rsid w:val="00A82E53"/>
    <w:rsid w:val="00A840E9"/>
    <w:rsid w:val="00A84D73"/>
    <w:rsid w:val="00A85B9B"/>
    <w:rsid w:val="00A96DEE"/>
    <w:rsid w:val="00AB0A1A"/>
    <w:rsid w:val="00AB190D"/>
    <w:rsid w:val="00AC30EA"/>
    <w:rsid w:val="00AD28FB"/>
    <w:rsid w:val="00AD3E91"/>
    <w:rsid w:val="00AE4C08"/>
    <w:rsid w:val="00AE50D4"/>
    <w:rsid w:val="00B03B78"/>
    <w:rsid w:val="00B1394E"/>
    <w:rsid w:val="00B13D60"/>
    <w:rsid w:val="00B14E0A"/>
    <w:rsid w:val="00B24063"/>
    <w:rsid w:val="00B2788B"/>
    <w:rsid w:val="00B370A0"/>
    <w:rsid w:val="00B41B39"/>
    <w:rsid w:val="00B570A1"/>
    <w:rsid w:val="00B662A4"/>
    <w:rsid w:val="00B715A0"/>
    <w:rsid w:val="00B769A8"/>
    <w:rsid w:val="00B76D78"/>
    <w:rsid w:val="00B774A3"/>
    <w:rsid w:val="00B83421"/>
    <w:rsid w:val="00B83440"/>
    <w:rsid w:val="00B914C4"/>
    <w:rsid w:val="00BA191F"/>
    <w:rsid w:val="00BB6E74"/>
    <w:rsid w:val="00BB7F94"/>
    <w:rsid w:val="00BC446E"/>
    <w:rsid w:val="00BC4818"/>
    <w:rsid w:val="00BD17CB"/>
    <w:rsid w:val="00BD525B"/>
    <w:rsid w:val="00BD7C1B"/>
    <w:rsid w:val="00BE6125"/>
    <w:rsid w:val="00BF2C22"/>
    <w:rsid w:val="00BF4873"/>
    <w:rsid w:val="00C075E1"/>
    <w:rsid w:val="00C07CDE"/>
    <w:rsid w:val="00C27093"/>
    <w:rsid w:val="00C509AF"/>
    <w:rsid w:val="00C6280E"/>
    <w:rsid w:val="00C63E3C"/>
    <w:rsid w:val="00C83A83"/>
    <w:rsid w:val="00C83ACB"/>
    <w:rsid w:val="00C91B86"/>
    <w:rsid w:val="00C91F83"/>
    <w:rsid w:val="00C93785"/>
    <w:rsid w:val="00CB2E01"/>
    <w:rsid w:val="00CC3381"/>
    <w:rsid w:val="00CD6930"/>
    <w:rsid w:val="00CE0302"/>
    <w:rsid w:val="00CE10CA"/>
    <w:rsid w:val="00CE7367"/>
    <w:rsid w:val="00CF3B0C"/>
    <w:rsid w:val="00CF3D32"/>
    <w:rsid w:val="00D04832"/>
    <w:rsid w:val="00D068BE"/>
    <w:rsid w:val="00D07636"/>
    <w:rsid w:val="00D159F5"/>
    <w:rsid w:val="00D23413"/>
    <w:rsid w:val="00D26E3B"/>
    <w:rsid w:val="00D30B15"/>
    <w:rsid w:val="00D44FBA"/>
    <w:rsid w:val="00D524EA"/>
    <w:rsid w:val="00D526A8"/>
    <w:rsid w:val="00D53DB9"/>
    <w:rsid w:val="00D63949"/>
    <w:rsid w:val="00D73C8A"/>
    <w:rsid w:val="00D90C87"/>
    <w:rsid w:val="00D91342"/>
    <w:rsid w:val="00D954E8"/>
    <w:rsid w:val="00D95C77"/>
    <w:rsid w:val="00D97F81"/>
    <w:rsid w:val="00DC11B2"/>
    <w:rsid w:val="00DC2649"/>
    <w:rsid w:val="00DD4AA7"/>
    <w:rsid w:val="00DF394F"/>
    <w:rsid w:val="00E01862"/>
    <w:rsid w:val="00E138E5"/>
    <w:rsid w:val="00E1453B"/>
    <w:rsid w:val="00E2171E"/>
    <w:rsid w:val="00E31D0A"/>
    <w:rsid w:val="00E31D6A"/>
    <w:rsid w:val="00E3751E"/>
    <w:rsid w:val="00E436C8"/>
    <w:rsid w:val="00E456C3"/>
    <w:rsid w:val="00E531AA"/>
    <w:rsid w:val="00E61AF7"/>
    <w:rsid w:val="00E63576"/>
    <w:rsid w:val="00E676E9"/>
    <w:rsid w:val="00E7201E"/>
    <w:rsid w:val="00E73D5B"/>
    <w:rsid w:val="00E75398"/>
    <w:rsid w:val="00E77251"/>
    <w:rsid w:val="00E9443A"/>
    <w:rsid w:val="00E97B70"/>
    <w:rsid w:val="00EA29DC"/>
    <w:rsid w:val="00EA6AF8"/>
    <w:rsid w:val="00EC5272"/>
    <w:rsid w:val="00EC5304"/>
    <w:rsid w:val="00ED0F48"/>
    <w:rsid w:val="00ED620F"/>
    <w:rsid w:val="00EE46FD"/>
    <w:rsid w:val="00EE62A3"/>
    <w:rsid w:val="00EF2FB4"/>
    <w:rsid w:val="00EF679B"/>
    <w:rsid w:val="00F0011B"/>
    <w:rsid w:val="00F074C7"/>
    <w:rsid w:val="00F1141D"/>
    <w:rsid w:val="00F136BA"/>
    <w:rsid w:val="00F14FF7"/>
    <w:rsid w:val="00F23373"/>
    <w:rsid w:val="00F2504D"/>
    <w:rsid w:val="00F252E5"/>
    <w:rsid w:val="00F26FA2"/>
    <w:rsid w:val="00F30459"/>
    <w:rsid w:val="00F31DC9"/>
    <w:rsid w:val="00F4571D"/>
    <w:rsid w:val="00F52F61"/>
    <w:rsid w:val="00F55FD7"/>
    <w:rsid w:val="00F75540"/>
    <w:rsid w:val="00F75ED8"/>
    <w:rsid w:val="00F76296"/>
    <w:rsid w:val="00F80F3D"/>
    <w:rsid w:val="00F817CA"/>
    <w:rsid w:val="00F85002"/>
    <w:rsid w:val="00F90C7A"/>
    <w:rsid w:val="00F93DE8"/>
    <w:rsid w:val="00F964A4"/>
    <w:rsid w:val="00FB3A10"/>
    <w:rsid w:val="00FD533F"/>
    <w:rsid w:val="00FE3A88"/>
    <w:rsid w:val="00FE4468"/>
    <w:rsid w:val="00FF0E7B"/>
    <w:rsid w:val="00FF5628"/>
    <w:rsid w:val="00FF6239"/>
    <w:rsid w:val="00FF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1C058"/>
  <w15:docId w15:val="{A1C427C6-2426-44F7-A186-CAE7916C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w w:val="90"/>
      <w:sz w:val="28"/>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b/>
      <w:sz w:val="32"/>
    </w:rPr>
  </w:style>
  <w:style w:type="paragraph" w:styleId="Nagwek3">
    <w:name w:val="heading 3"/>
    <w:basedOn w:val="Normalny"/>
    <w:next w:val="Normalny"/>
    <w:qFormat/>
    <w:pPr>
      <w:keepNext/>
      <w:jc w:val="center"/>
      <w:outlineLvl w:val="2"/>
    </w:pPr>
    <w:rPr>
      <w:b/>
    </w:rPr>
  </w:style>
  <w:style w:type="paragraph" w:styleId="Nagwek4">
    <w:name w:val="heading 4"/>
    <w:basedOn w:val="Normalny"/>
    <w:next w:val="Normalny"/>
    <w:link w:val="Nagwek4Znak"/>
    <w:semiHidden/>
    <w:unhideWhenUsed/>
    <w:qFormat/>
    <w:rsid w:val="00C63E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b/>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2">
    <w:name w:val="Body Text 2"/>
    <w:basedOn w:val="Normalny"/>
    <w:pPr>
      <w:jc w:val="center"/>
    </w:pPr>
    <w:rPr>
      <w:b/>
      <w:sz w:val="32"/>
    </w:rPr>
  </w:style>
  <w:style w:type="paragraph" w:styleId="Tekstpodstawowywcity">
    <w:name w:val="Body Text Indent"/>
    <w:basedOn w:val="Normalny"/>
    <w:link w:val="TekstpodstawowywcityZnak"/>
    <w:pPr>
      <w:ind w:firstLine="480"/>
      <w:textAlignment w:val="top"/>
    </w:pPr>
    <w:rPr>
      <w:rFonts w:ascii="Arial" w:hAnsi="Arial" w:cs="Arial"/>
      <w:bCs/>
      <w:sz w:val="24"/>
    </w:rPr>
  </w:style>
  <w:style w:type="paragraph" w:styleId="Tekstpodstawowywcity2">
    <w:name w:val="Body Text Indent 2"/>
    <w:basedOn w:val="Normalny"/>
    <w:pPr>
      <w:ind w:firstLine="708"/>
      <w:jc w:val="both"/>
    </w:pPr>
  </w:style>
  <w:style w:type="paragraph" w:styleId="Tekstprzypisudolnego">
    <w:name w:val="footnote text"/>
    <w:basedOn w:val="Normalny"/>
    <w:link w:val="TekstprzypisudolnegoZnak"/>
    <w:semiHidden/>
    <w:rsid w:val="00152190"/>
    <w:rPr>
      <w:sz w:val="20"/>
    </w:rPr>
  </w:style>
  <w:style w:type="character" w:styleId="Odwoanieprzypisudolnego">
    <w:name w:val="footnote reference"/>
    <w:semiHidden/>
    <w:rsid w:val="00152190"/>
    <w:rPr>
      <w:vertAlign w:val="superscript"/>
    </w:rPr>
  </w:style>
  <w:style w:type="paragraph" w:styleId="Tekstdymka">
    <w:name w:val="Balloon Text"/>
    <w:basedOn w:val="Normalny"/>
    <w:semiHidden/>
    <w:rsid w:val="00A44510"/>
    <w:rPr>
      <w:rFonts w:ascii="Tahoma" w:hAnsi="Tahoma" w:cs="Tahoma"/>
      <w:sz w:val="16"/>
      <w:szCs w:val="16"/>
    </w:rPr>
  </w:style>
  <w:style w:type="character" w:styleId="Odwoaniedokomentarza">
    <w:name w:val="annotation reference"/>
    <w:basedOn w:val="Domylnaczcionkaakapitu"/>
    <w:rsid w:val="00183E06"/>
    <w:rPr>
      <w:sz w:val="16"/>
      <w:szCs w:val="16"/>
    </w:rPr>
  </w:style>
  <w:style w:type="paragraph" w:styleId="Tekstkomentarza">
    <w:name w:val="annotation text"/>
    <w:basedOn w:val="Normalny"/>
    <w:link w:val="TekstkomentarzaZnak"/>
    <w:rsid w:val="00183E06"/>
    <w:rPr>
      <w:sz w:val="20"/>
    </w:rPr>
  </w:style>
  <w:style w:type="character" w:customStyle="1" w:styleId="TekstkomentarzaZnak">
    <w:name w:val="Tekst komentarza Znak"/>
    <w:basedOn w:val="Domylnaczcionkaakapitu"/>
    <w:link w:val="Tekstkomentarza"/>
    <w:rsid w:val="00183E06"/>
    <w:rPr>
      <w:w w:val="90"/>
    </w:rPr>
  </w:style>
  <w:style w:type="paragraph" w:styleId="Tematkomentarza">
    <w:name w:val="annotation subject"/>
    <w:basedOn w:val="Tekstkomentarza"/>
    <w:next w:val="Tekstkomentarza"/>
    <w:link w:val="TematkomentarzaZnak"/>
    <w:rsid w:val="00183E06"/>
    <w:rPr>
      <w:b/>
      <w:bCs/>
    </w:rPr>
  </w:style>
  <w:style w:type="character" w:customStyle="1" w:styleId="TematkomentarzaZnak">
    <w:name w:val="Temat komentarza Znak"/>
    <w:basedOn w:val="TekstkomentarzaZnak"/>
    <w:link w:val="Tematkomentarza"/>
    <w:rsid w:val="00183E06"/>
    <w:rPr>
      <w:b/>
      <w:bCs/>
      <w:w w:val="90"/>
    </w:rPr>
  </w:style>
  <w:style w:type="character" w:customStyle="1" w:styleId="TekstprzypisudolnegoZnak">
    <w:name w:val="Tekst przypisu dolnego Znak"/>
    <w:link w:val="Tekstprzypisudolnego"/>
    <w:semiHidden/>
    <w:rsid w:val="00211B00"/>
    <w:rPr>
      <w:w w:val="90"/>
    </w:rPr>
  </w:style>
  <w:style w:type="character" w:customStyle="1" w:styleId="Znakiprzypiswdolnych">
    <w:name w:val="Znaki przypisów dolnych"/>
    <w:rsid w:val="00211B00"/>
    <w:rPr>
      <w:vertAlign w:val="superscript"/>
    </w:rPr>
  </w:style>
  <w:style w:type="paragraph" w:customStyle="1" w:styleId="Default">
    <w:name w:val="Default"/>
    <w:rsid w:val="002A165E"/>
    <w:pPr>
      <w:autoSpaceDE w:val="0"/>
      <w:autoSpaceDN w:val="0"/>
      <w:adjustRightInd w:val="0"/>
    </w:pPr>
    <w:rPr>
      <w:color w:val="000000"/>
      <w:sz w:val="24"/>
      <w:szCs w:val="24"/>
    </w:rPr>
  </w:style>
  <w:style w:type="paragraph" w:styleId="Akapitzlist">
    <w:name w:val="List Paragraph"/>
    <w:basedOn w:val="Normalny"/>
    <w:uiPriority w:val="34"/>
    <w:qFormat/>
    <w:rsid w:val="00BB6E74"/>
    <w:pPr>
      <w:ind w:left="720"/>
      <w:contextualSpacing/>
    </w:pPr>
  </w:style>
  <w:style w:type="character" w:customStyle="1" w:styleId="ng-binding">
    <w:name w:val="ng-binding"/>
    <w:basedOn w:val="Domylnaczcionkaakapitu"/>
    <w:rsid w:val="00F0011B"/>
  </w:style>
  <w:style w:type="paragraph" w:styleId="Tekstprzypisukocowego">
    <w:name w:val="endnote text"/>
    <w:basedOn w:val="Normalny"/>
    <w:link w:val="TekstprzypisukocowegoZnak"/>
    <w:rsid w:val="00791460"/>
    <w:rPr>
      <w:sz w:val="20"/>
    </w:rPr>
  </w:style>
  <w:style w:type="character" w:customStyle="1" w:styleId="TekstprzypisukocowegoZnak">
    <w:name w:val="Tekst przypisu końcowego Znak"/>
    <w:basedOn w:val="Domylnaczcionkaakapitu"/>
    <w:link w:val="Tekstprzypisukocowego"/>
    <w:rsid w:val="00791460"/>
    <w:rPr>
      <w:w w:val="90"/>
    </w:rPr>
  </w:style>
  <w:style w:type="character" w:styleId="Odwoanieprzypisukocowego">
    <w:name w:val="endnote reference"/>
    <w:basedOn w:val="Domylnaczcionkaakapitu"/>
    <w:rsid w:val="00791460"/>
    <w:rPr>
      <w:vertAlign w:val="superscript"/>
    </w:rPr>
  </w:style>
  <w:style w:type="paragraph" w:styleId="Nagwek">
    <w:name w:val="header"/>
    <w:basedOn w:val="Normalny"/>
    <w:link w:val="NagwekZnak"/>
    <w:unhideWhenUsed/>
    <w:rsid w:val="003E57F4"/>
    <w:pPr>
      <w:tabs>
        <w:tab w:val="center" w:pos="4536"/>
        <w:tab w:val="right" w:pos="9072"/>
      </w:tabs>
    </w:pPr>
  </w:style>
  <w:style w:type="character" w:customStyle="1" w:styleId="NagwekZnak">
    <w:name w:val="Nagłówek Znak"/>
    <w:basedOn w:val="Domylnaczcionkaakapitu"/>
    <w:link w:val="Nagwek"/>
    <w:rsid w:val="003E57F4"/>
    <w:rPr>
      <w:w w:val="90"/>
      <w:sz w:val="28"/>
    </w:rPr>
  </w:style>
  <w:style w:type="paragraph" w:styleId="Poprawka">
    <w:name w:val="Revision"/>
    <w:hidden/>
    <w:uiPriority w:val="99"/>
    <w:semiHidden/>
    <w:rsid w:val="000D2427"/>
    <w:rPr>
      <w:w w:val="90"/>
      <w:sz w:val="28"/>
    </w:rPr>
  </w:style>
  <w:style w:type="character" w:styleId="Hipercze">
    <w:name w:val="Hyperlink"/>
    <w:basedOn w:val="Domylnaczcionkaakapitu"/>
    <w:uiPriority w:val="99"/>
    <w:semiHidden/>
    <w:unhideWhenUsed/>
    <w:rsid w:val="001E02B8"/>
    <w:rPr>
      <w:color w:val="0000FF"/>
      <w:u w:val="single"/>
    </w:rPr>
  </w:style>
  <w:style w:type="paragraph" w:customStyle="1" w:styleId="abcczegodotyczyzmiana">
    <w:name w:val="abcczegodotyczyzmiana"/>
    <w:basedOn w:val="Normalny"/>
    <w:rsid w:val="00D23413"/>
    <w:pPr>
      <w:spacing w:before="100" w:beforeAutospacing="1" w:after="100" w:afterAutospacing="1"/>
    </w:pPr>
    <w:rPr>
      <w:w w:val="100"/>
      <w:sz w:val="24"/>
      <w:szCs w:val="24"/>
    </w:rPr>
  </w:style>
  <w:style w:type="paragraph" w:customStyle="1" w:styleId="abcobowiazywanie">
    <w:name w:val="abcobowiazywanie"/>
    <w:basedOn w:val="Normalny"/>
    <w:rsid w:val="00D23413"/>
    <w:pPr>
      <w:spacing w:before="100" w:beforeAutospacing="1" w:after="100" w:afterAutospacing="1"/>
    </w:pPr>
    <w:rPr>
      <w:w w:val="100"/>
      <w:sz w:val="24"/>
      <w:szCs w:val="24"/>
    </w:rPr>
  </w:style>
  <w:style w:type="paragraph" w:styleId="NormalnyWeb">
    <w:name w:val="Normal (Web)"/>
    <w:basedOn w:val="Normalny"/>
    <w:uiPriority w:val="99"/>
    <w:semiHidden/>
    <w:unhideWhenUsed/>
    <w:rsid w:val="00C93785"/>
    <w:pPr>
      <w:spacing w:before="100" w:beforeAutospacing="1" w:after="100" w:afterAutospacing="1"/>
    </w:pPr>
    <w:rPr>
      <w:w w:val="100"/>
      <w:sz w:val="24"/>
      <w:szCs w:val="24"/>
    </w:rPr>
  </w:style>
  <w:style w:type="character" w:customStyle="1" w:styleId="StopkaZnak">
    <w:name w:val="Stopka Znak"/>
    <w:basedOn w:val="Domylnaczcionkaakapitu"/>
    <w:link w:val="Stopka"/>
    <w:uiPriority w:val="99"/>
    <w:rsid w:val="004D4837"/>
    <w:rPr>
      <w:w w:val="90"/>
      <w:sz w:val="28"/>
    </w:rPr>
  </w:style>
  <w:style w:type="character" w:customStyle="1" w:styleId="TekstpodstawowywcityZnak">
    <w:name w:val="Tekst podstawowy wcięty Znak"/>
    <w:basedOn w:val="Domylnaczcionkaakapitu"/>
    <w:link w:val="Tekstpodstawowywcity"/>
    <w:rsid w:val="00FB3A10"/>
    <w:rPr>
      <w:rFonts w:ascii="Arial" w:hAnsi="Arial" w:cs="Arial"/>
      <w:bCs/>
      <w:w w:val="90"/>
      <w:sz w:val="24"/>
    </w:rPr>
  </w:style>
  <w:style w:type="character" w:customStyle="1" w:styleId="Nagwek4Znak">
    <w:name w:val="Nagłówek 4 Znak"/>
    <w:basedOn w:val="Domylnaczcionkaakapitu"/>
    <w:link w:val="Nagwek4"/>
    <w:semiHidden/>
    <w:rsid w:val="00C63E3C"/>
    <w:rPr>
      <w:rFonts w:asciiTheme="majorHAnsi" w:eastAsiaTheme="majorEastAsia" w:hAnsiTheme="majorHAnsi" w:cstheme="majorBidi"/>
      <w:i/>
      <w:iCs/>
      <w:color w:val="2E74B5" w:themeColor="accent1" w:themeShade="BF"/>
      <w:w w:val="9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6182">
      <w:bodyDiv w:val="1"/>
      <w:marLeft w:val="0"/>
      <w:marRight w:val="0"/>
      <w:marTop w:val="0"/>
      <w:marBottom w:val="0"/>
      <w:divBdr>
        <w:top w:val="none" w:sz="0" w:space="0" w:color="auto"/>
        <w:left w:val="none" w:sz="0" w:space="0" w:color="auto"/>
        <w:bottom w:val="none" w:sz="0" w:space="0" w:color="auto"/>
        <w:right w:val="none" w:sz="0" w:space="0" w:color="auto"/>
      </w:divBdr>
      <w:divsChild>
        <w:div w:id="667751883">
          <w:marLeft w:val="360"/>
          <w:marRight w:val="0"/>
          <w:marTop w:val="0"/>
          <w:marBottom w:val="72"/>
          <w:divBdr>
            <w:top w:val="none" w:sz="0" w:space="0" w:color="auto"/>
            <w:left w:val="none" w:sz="0" w:space="0" w:color="auto"/>
            <w:bottom w:val="none" w:sz="0" w:space="0" w:color="auto"/>
            <w:right w:val="none" w:sz="0" w:space="0" w:color="auto"/>
          </w:divBdr>
          <w:divsChild>
            <w:div w:id="199779389">
              <w:marLeft w:val="0"/>
              <w:marRight w:val="0"/>
              <w:marTop w:val="0"/>
              <w:marBottom w:val="0"/>
              <w:divBdr>
                <w:top w:val="none" w:sz="0" w:space="0" w:color="auto"/>
                <w:left w:val="none" w:sz="0" w:space="0" w:color="auto"/>
                <w:bottom w:val="none" w:sz="0" w:space="0" w:color="auto"/>
                <w:right w:val="none" w:sz="0" w:space="0" w:color="auto"/>
              </w:divBdr>
            </w:div>
          </w:divsChild>
        </w:div>
        <w:div w:id="1931968334">
          <w:marLeft w:val="360"/>
          <w:marRight w:val="0"/>
          <w:marTop w:val="0"/>
          <w:marBottom w:val="72"/>
          <w:divBdr>
            <w:top w:val="none" w:sz="0" w:space="0" w:color="auto"/>
            <w:left w:val="none" w:sz="0" w:space="0" w:color="auto"/>
            <w:bottom w:val="none" w:sz="0" w:space="0" w:color="auto"/>
            <w:right w:val="none" w:sz="0" w:space="0" w:color="auto"/>
          </w:divBdr>
          <w:divsChild>
            <w:div w:id="4068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1193">
      <w:bodyDiv w:val="1"/>
      <w:marLeft w:val="0"/>
      <w:marRight w:val="0"/>
      <w:marTop w:val="0"/>
      <w:marBottom w:val="0"/>
      <w:divBdr>
        <w:top w:val="none" w:sz="0" w:space="0" w:color="auto"/>
        <w:left w:val="none" w:sz="0" w:space="0" w:color="auto"/>
        <w:bottom w:val="none" w:sz="0" w:space="0" w:color="auto"/>
        <w:right w:val="none" w:sz="0" w:space="0" w:color="auto"/>
      </w:divBdr>
      <w:divsChild>
        <w:div w:id="507260384">
          <w:marLeft w:val="0"/>
          <w:marRight w:val="0"/>
          <w:marTop w:val="72"/>
          <w:marBottom w:val="0"/>
          <w:divBdr>
            <w:top w:val="none" w:sz="0" w:space="0" w:color="auto"/>
            <w:left w:val="none" w:sz="0" w:space="0" w:color="auto"/>
            <w:bottom w:val="none" w:sz="0" w:space="0" w:color="auto"/>
            <w:right w:val="none" w:sz="0" w:space="0" w:color="auto"/>
          </w:divBdr>
          <w:divsChild>
            <w:div w:id="2096196296">
              <w:marLeft w:val="0"/>
              <w:marRight w:val="0"/>
              <w:marTop w:val="0"/>
              <w:marBottom w:val="0"/>
              <w:divBdr>
                <w:top w:val="none" w:sz="0" w:space="0" w:color="auto"/>
                <w:left w:val="none" w:sz="0" w:space="0" w:color="auto"/>
                <w:bottom w:val="none" w:sz="0" w:space="0" w:color="auto"/>
                <w:right w:val="none" w:sz="0" w:space="0" w:color="auto"/>
              </w:divBdr>
            </w:div>
          </w:divsChild>
        </w:div>
        <w:div w:id="137187324">
          <w:marLeft w:val="0"/>
          <w:marRight w:val="0"/>
          <w:marTop w:val="72"/>
          <w:marBottom w:val="0"/>
          <w:divBdr>
            <w:top w:val="none" w:sz="0" w:space="0" w:color="auto"/>
            <w:left w:val="none" w:sz="0" w:space="0" w:color="auto"/>
            <w:bottom w:val="none" w:sz="0" w:space="0" w:color="auto"/>
            <w:right w:val="none" w:sz="0" w:space="0" w:color="auto"/>
          </w:divBdr>
          <w:divsChild>
            <w:div w:id="2012949310">
              <w:marLeft w:val="0"/>
              <w:marRight w:val="0"/>
              <w:marTop w:val="0"/>
              <w:marBottom w:val="0"/>
              <w:divBdr>
                <w:top w:val="none" w:sz="0" w:space="0" w:color="auto"/>
                <w:left w:val="none" w:sz="0" w:space="0" w:color="auto"/>
                <w:bottom w:val="none" w:sz="0" w:space="0" w:color="auto"/>
                <w:right w:val="none" w:sz="0" w:space="0" w:color="auto"/>
              </w:divBdr>
            </w:div>
          </w:divsChild>
        </w:div>
        <w:div w:id="1283922683">
          <w:marLeft w:val="0"/>
          <w:marRight w:val="0"/>
          <w:marTop w:val="72"/>
          <w:marBottom w:val="0"/>
          <w:divBdr>
            <w:top w:val="none" w:sz="0" w:space="0" w:color="auto"/>
            <w:left w:val="none" w:sz="0" w:space="0" w:color="auto"/>
            <w:bottom w:val="none" w:sz="0" w:space="0" w:color="auto"/>
            <w:right w:val="none" w:sz="0" w:space="0" w:color="auto"/>
          </w:divBdr>
          <w:divsChild>
            <w:div w:id="513344311">
              <w:marLeft w:val="0"/>
              <w:marRight w:val="0"/>
              <w:marTop w:val="0"/>
              <w:marBottom w:val="0"/>
              <w:divBdr>
                <w:top w:val="none" w:sz="0" w:space="0" w:color="auto"/>
                <w:left w:val="none" w:sz="0" w:space="0" w:color="auto"/>
                <w:bottom w:val="none" w:sz="0" w:space="0" w:color="auto"/>
                <w:right w:val="none" w:sz="0" w:space="0" w:color="auto"/>
              </w:divBdr>
            </w:div>
          </w:divsChild>
        </w:div>
        <w:div w:id="74907705">
          <w:marLeft w:val="0"/>
          <w:marRight w:val="0"/>
          <w:marTop w:val="72"/>
          <w:marBottom w:val="0"/>
          <w:divBdr>
            <w:top w:val="none" w:sz="0" w:space="0" w:color="auto"/>
            <w:left w:val="none" w:sz="0" w:space="0" w:color="auto"/>
            <w:bottom w:val="none" w:sz="0" w:space="0" w:color="auto"/>
            <w:right w:val="none" w:sz="0" w:space="0" w:color="auto"/>
          </w:divBdr>
          <w:divsChild>
            <w:div w:id="447815232">
              <w:marLeft w:val="0"/>
              <w:marRight w:val="0"/>
              <w:marTop w:val="0"/>
              <w:marBottom w:val="0"/>
              <w:divBdr>
                <w:top w:val="none" w:sz="0" w:space="0" w:color="auto"/>
                <w:left w:val="none" w:sz="0" w:space="0" w:color="auto"/>
                <w:bottom w:val="none" w:sz="0" w:space="0" w:color="auto"/>
                <w:right w:val="none" w:sz="0" w:space="0" w:color="auto"/>
              </w:divBdr>
            </w:div>
          </w:divsChild>
        </w:div>
        <w:div w:id="401565910">
          <w:marLeft w:val="0"/>
          <w:marRight w:val="0"/>
          <w:marTop w:val="72"/>
          <w:marBottom w:val="0"/>
          <w:divBdr>
            <w:top w:val="none" w:sz="0" w:space="0" w:color="auto"/>
            <w:left w:val="none" w:sz="0" w:space="0" w:color="auto"/>
            <w:bottom w:val="none" w:sz="0" w:space="0" w:color="auto"/>
            <w:right w:val="none" w:sz="0" w:space="0" w:color="auto"/>
          </w:divBdr>
          <w:divsChild>
            <w:div w:id="2055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084">
      <w:bodyDiv w:val="1"/>
      <w:marLeft w:val="0"/>
      <w:marRight w:val="0"/>
      <w:marTop w:val="0"/>
      <w:marBottom w:val="0"/>
      <w:divBdr>
        <w:top w:val="none" w:sz="0" w:space="0" w:color="auto"/>
        <w:left w:val="none" w:sz="0" w:space="0" w:color="auto"/>
        <w:bottom w:val="none" w:sz="0" w:space="0" w:color="auto"/>
        <w:right w:val="none" w:sz="0" w:space="0" w:color="auto"/>
      </w:divBdr>
      <w:divsChild>
        <w:div w:id="2044088498">
          <w:marLeft w:val="0"/>
          <w:marRight w:val="0"/>
          <w:marTop w:val="72"/>
          <w:marBottom w:val="0"/>
          <w:divBdr>
            <w:top w:val="none" w:sz="0" w:space="0" w:color="auto"/>
            <w:left w:val="none" w:sz="0" w:space="0" w:color="auto"/>
            <w:bottom w:val="none" w:sz="0" w:space="0" w:color="auto"/>
            <w:right w:val="none" w:sz="0" w:space="0" w:color="auto"/>
          </w:divBdr>
          <w:divsChild>
            <w:div w:id="474107169">
              <w:marLeft w:val="0"/>
              <w:marRight w:val="0"/>
              <w:marTop w:val="0"/>
              <w:marBottom w:val="0"/>
              <w:divBdr>
                <w:top w:val="none" w:sz="0" w:space="0" w:color="auto"/>
                <w:left w:val="none" w:sz="0" w:space="0" w:color="auto"/>
                <w:bottom w:val="none" w:sz="0" w:space="0" w:color="auto"/>
                <w:right w:val="none" w:sz="0" w:space="0" w:color="auto"/>
              </w:divBdr>
            </w:div>
          </w:divsChild>
        </w:div>
        <w:div w:id="538054598">
          <w:marLeft w:val="0"/>
          <w:marRight w:val="0"/>
          <w:marTop w:val="72"/>
          <w:marBottom w:val="0"/>
          <w:divBdr>
            <w:top w:val="none" w:sz="0" w:space="0" w:color="auto"/>
            <w:left w:val="none" w:sz="0" w:space="0" w:color="auto"/>
            <w:bottom w:val="none" w:sz="0" w:space="0" w:color="auto"/>
            <w:right w:val="none" w:sz="0" w:space="0" w:color="auto"/>
          </w:divBdr>
          <w:divsChild>
            <w:div w:id="1559780192">
              <w:marLeft w:val="0"/>
              <w:marRight w:val="0"/>
              <w:marTop w:val="0"/>
              <w:marBottom w:val="0"/>
              <w:divBdr>
                <w:top w:val="none" w:sz="0" w:space="0" w:color="auto"/>
                <w:left w:val="none" w:sz="0" w:space="0" w:color="auto"/>
                <w:bottom w:val="none" w:sz="0" w:space="0" w:color="auto"/>
                <w:right w:val="none" w:sz="0" w:space="0" w:color="auto"/>
              </w:divBdr>
            </w:div>
          </w:divsChild>
        </w:div>
        <w:div w:id="1177647575">
          <w:marLeft w:val="0"/>
          <w:marRight w:val="0"/>
          <w:marTop w:val="72"/>
          <w:marBottom w:val="0"/>
          <w:divBdr>
            <w:top w:val="none" w:sz="0" w:space="0" w:color="auto"/>
            <w:left w:val="none" w:sz="0" w:space="0" w:color="auto"/>
            <w:bottom w:val="none" w:sz="0" w:space="0" w:color="auto"/>
            <w:right w:val="none" w:sz="0" w:space="0" w:color="auto"/>
          </w:divBdr>
          <w:divsChild>
            <w:div w:id="954602716">
              <w:marLeft w:val="0"/>
              <w:marRight w:val="0"/>
              <w:marTop w:val="0"/>
              <w:marBottom w:val="0"/>
              <w:divBdr>
                <w:top w:val="none" w:sz="0" w:space="0" w:color="auto"/>
                <w:left w:val="none" w:sz="0" w:space="0" w:color="auto"/>
                <w:bottom w:val="none" w:sz="0" w:space="0" w:color="auto"/>
                <w:right w:val="none" w:sz="0" w:space="0" w:color="auto"/>
              </w:divBdr>
            </w:div>
          </w:divsChild>
        </w:div>
        <w:div w:id="1058241261">
          <w:marLeft w:val="0"/>
          <w:marRight w:val="0"/>
          <w:marTop w:val="72"/>
          <w:marBottom w:val="0"/>
          <w:divBdr>
            <w:top w:val="none" w:sz="0" w:space="0" w:color="auto"/>
            <w:left w:val="none" w:sz="0" w:space="0" w:color="auto"/>
            <w:bottom w:val="none" w:sz="0" w:space="0" w:color="auto"/>
            <w:right w:val="none" w:sz="0" w:space="0" w:color="auto"/>
          </w:divBdr>
          <w:divsChild>
            <w:div w:id="17668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8518">
      <w:bodyDiv w:val="1"/>
      <w:marLeft w:val="0"/>
      <w:marRight w:val="0"/>
      <w:marTop w:val="0"/>
      <w:marBottom w:val="0"/>
      <w:divBdr>
        <w:top w:val="none" w:sz="0" w:space="0" w:color="auto"/>
        <w:left w:val="none" w:sz="0" w:space="0" w:color="auto"/>
        <w:bottom w:val="none" w:sz="0" w:space="0" w:color="auto"/>
        <w:right w:val="none" w:sz="0" w:space="0" w:color="auto"/>
      </w:divBdr>
    </w:div>
    <w:div w:id="502548239">
      <w:bodyDiv w:val="1"/>
      <w:marLeft w:val="0"/>
      <w:marRight w:val="0"/>
      <w:marTop w:val="0"/>
      <w:marBottom w:val="0"/>
      <w:divBdr>
        <w:top w:val="none" w:sz="0" w:space="0" w:color="auto"/>
        <w:left w:val="none" w:sz="0" w:space="0" w:color="auto"/>
        <w:bottom w:val="none" w:sz="0" w:space="0" w:color="auto"/>
        <w:right w:val="none" w:sz="0" w:space="0" w:color="auto"/>
      </w:divBdr>
    </w:div>
    <w:div w:id="531843108">
      <w:bodyDiv w:val="1"/>
      <w:marLeft w:val="0"/>
      <w:marRight w:val="0"/>
      <w:marTop w:val="0"/>
      <w:marBottom w:val="0"/>
      <w:divBdr>
        <w:top w:val="none" w:sz="0" w:space="0" w:color="auto"/>
        <w:left w:val="none" w:sz="0" w:space="0" w:color="auto"/>
        <w:bottom w:val="none" w:sz="0" w:space="0" w:color="auto"/>
        <w:right w:val="none" w:sz="0" w:space="0" w:color="auto"/>
      </w:divBdr>
      <w:divsChild>
        <w:div w:id="612254070">
          <w:marLeft w:val="0"/>
          <w:marRight w:val="0"/>
          <w:marTop w:val="0"/>
          <w:marBottom w:val="0"/>
          <w:divBdr>
            <w:top w:val="none" w:sz="0" w:space="0" w:color="auto"/>
            <w:left w:val="none" w:sz="0" w:space="0" w:color="auto"/>
            <w:bottom w:val="none" w:sz="0" w:space="0" w:color="auto"/>
            <w:right w:val="none" w:sz="0" w:space="0" w:color="auto"/>
          </w:divBdr>
        </w:div>
        <w:div w:id="1695836648">
          <w:marLeft w:val="0"/>
          <w:marRight w:val="0"/>
          <w:marTop w:val="72"/>
          <w:marBottom w:val="0"/>
          <w:divBdr>
            <w:top w:val="none" w:sz="0" w:space="0" w:color="auto"/>
            <w:left w:val="none" w:sz="0" w:space="0" w:color="auto"/>
            <w:bottom w:val="none" w:sz="0" w:space="0" w:color="auto"/>
            <w:right w:val="none" w:sz="0" w:space="0" w:color="auto"/>
          </w:divBdr>
          <w:divsChild>
            <w:div w:id="1498230299">
              <w:marLeft w:val="0"/>
              <w:marRight w:val="0"/>
              <w:marTop w:val="0"/>
              <w:marBottom w:val="0"/>
              <w:divBdr>
                <w:top w:val="none" w:sz="0" w:space="0" w:color="auto"/>
                <w:left w:val="none" w:sz="0" w:space="0" w:color="auto"/>
                <w:bottom w:val="none" w:sz="0" w:space="0" w:color="auto"/>
                <w:right w:val="none" w:sz="0" w:space="0" w:color="auto"/>
              </w:divBdr>
            </w:div>
          </w:divsChild>
        </w:div>
        <w:div w:id="1837572461">
          <w:marLeft w:val="0"/>
          <w:marRight w:val="0"/>
          <w:marTop w:val="72"/>
          <w:marBottom w:val="0"/>
          <w:divBdr>
            <w:top w:val="none" w:sz="0" w:space="0" w:color="auto"/>
            <w:left w:val="none" w:sz="0" w:space="0" w:color="auto"/>
            <w:bottom w:val="none" w:sz="0" w:space="0" w:color="auto"/>
            <w:right w:val="none" w:sz="0" w:space="0" w:color="auto"/>
          </w:divBdr>
          <w:divsChild>
            <w:div w:id="470051627">
              <w:marLeft w:val="0"/>
              <w:marRight w:val="0"/>
              <w:marTop w:val="0"/>
              <w:marBottom w:val="0"/>
              <w:divBdr>
                <w:top w:val="none" w:sz="0" w:space="0" w:color="auto"/>
                <w:left w:val="none" w:sz="0" w:space="0" w:color="auto"/>
                <w:bottom w:val="none" w:sz="0" w:space="0" w:color="auto"/>
                <w:right w:val="none" w:sz="0" w:space="0" w:color="auto"/>
              </w:divBdr>
            </w:div>
          </w:divsChild>
        </w:div>
        <w:div w:id="2075160325">
          <w:marLeft w:val="0"/>
          <w:marRight w:val="0"/>
          <w:marTop w:val="72"/>
          <w:marBottom w:val="0"/>
          <w:divBdr>
            <w:top w:val="none" w:sz="0" w:space="0" w:color="auto"/>
            <w:left w:val="none" w:sz="0" w:space="0" w:color="auto"/>
            <w:bottom w:val="none" w:sz="0" w:space="0" w:color="auto"/>
            <w:right w:val="none" w:sz="0" w:space="0" w:color="auto"/>
          </w:divBdr>
          <w:divsChild>
            <w:div w:id="1759516190">
              <w:marLeft w:val="0"/>
              <w:marRight w:val="0"/>
              <w:marTop w:val="0"/>
              <w:marBottom w:val="0"/>
              <w:divBdr>
                <w:top w:val="none" w:sz="0" w:space="0" w:color="auto"/>
                <w:left w:val="none" w:sz="0" w:space="0" w:color="auto"/>
                <w:bottom w:val="none" w:sz="0" w:space="0" w:color="auto"/>
                <w:right w:val="none" w:sz="0" w:space="0" w:color="auto"/>
              </w:divBdr>
            </w:div>
          </w:divsChild>
        </w:div>
        <w:div w:id="1662655527">
          <w:marLeft w:val="0"/>
          <w:marRight w:val="0"/>
          <w:marTop w:val="72"/>
          <w:marBottom w:val="0"/>
          <w:divBdr>
            <w:top w:val="none" w:sz="0" w:space="0" w:color="auto"/>
            <w:left w:val="none" w:sz="0" w:space="0" w:color="auto"/>
            <w:bottom w:val="none" w:sz="0" w:space="0" w:color="auto"/>
            <w:right w:val="none" w:sz="0" w:space="0" w:color="auto"/>
          </w:divBdr>
          <w:divsChild>
            <w:div w:id="1305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423">
      <w:bodyDiv w:val="1"/>
      <w:marLeft w:val="0"/>
      <w:marRight w:val="0"/>
      <w:marTop w:val="0"/>
      <w:marBottom w:val="0"/>
      <w:divBdr>
        <w:top w:val="none" w:sz="0" w:space="0" w:color="auto"/>
        <w:left w:val="none" w:sz="0" w:space="0" w:color="auto"/>
        <w:bottom w:val="none" w:sz="0" w:space="0" w:color="auto"/>
        <w:right w:val="none" w:sz="0" w:space="0" w:color="auto"/>
      </w:divBdr>
      <w:divsChild>
        <w:div w:id="697661339">
          <w:marLeft w:val="360"/>
          <w:marRight w:val="0"/>
          <w:marTop w:val="72"/>
          <w:marBottom w:val="72"/>
          <w:divBdr>
            <w:top w:val="none" w:sz="0" w:space="0" w:color="auto"/>
            <w:left w:val="none" w:sz="0" w:space="0" w:color="auto"/>
            <w:bottom w:val="none" w:sz="0" w:space="0" w:color="auto"/>
            <w:right w:val="none" w:sz="0" w:space="0" w:color="auto"/>
          </w:divBdr>
          <w:divsChild>
            <w:div w:id="9681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1980">
      <w:bodyDiv w:val="1"/>
      <w:marLeft w:val="0"/>
      <w:marRight w:val="0"/>
      <w:marTop w:val="0"/>
      <w:marBottom w:val="0"/>
      <w:divBdr>
        <w:top w:val="none" w:sz="0" w:space="0" w:color="auto"/>
        <w:left w:val="none" w:sz="0" w:space="0" w:color="auto"/>
        <w:bottom w:val="none" w:sz="0" w:space="0" w:color="auto"/>
        <w:right w:val="none" w:sz="0" w:space="0" w:color="auto"/>
      </w:divBdr>
      <w:divsChild>
        <w:div w:id="524101599">
          <w:marLeft w:val="360"/>
          <w:marRight w:val="0"/>
          <w:marTop w:val="72"/>
          <w:marBottom w:val="72"/>
          <w:divBdr>
            <w:top w:val="none" w:sz="0" w:space="0" w:color="auto"/>
            <w:left w:val="none" w:sz="0" w:space="0" w:color="auto"/>
            <w:bottom w:val="none" w:sz="0" w:space="0" w:color="auto"/>
            <w:right w:val="none" w:sz="0" w:space="0" w:color="auto"/>
          </w:divBdr>
        </w:div>
        <w:div w:id="2146312160">
          <w:marLeft w:val="360"/>
          <w:marRight w:val="0"/>
          <w:marTop w:val="0"/>
          <w:marBottom w:val="72"/>
          <w:divBdr>
            <w:top w:val="none" w:sz="0" w:space="0" w:color="auto"/>
            <w:left w:val="none" w:sz="0" w:space="0" w:color="auto"/>
            <w:bottom w:val="none" w:sz="0" w:space="0" w:color="auto"/>
            <w:right w:val="none" w:sz="0" w:space="0" w:color="auto"/>
          </w:divBdr>
          <w:divsChild>
            <w:div w:id="778793798">
              <w:marLeft w:val="0"/>
              <w:marRight w:val="0"/>
              <w:marTop w:val="0"/>
              <w:marBottom w:val="0"/>
              <w:divBdr>
                <w:top w:val="none" w:sz="0" w:space="0" w:color="auto"/>
                <w:left w:val="none" w:sz="0" w:space="0" w:color="auto"/>
                <w:bottom w:val="none" w:sz="0" w:space="0" w:color="auto"/>
                <w:right w:val="none" w:sz="0" w:space="0" w:color="auto"/>
              </w:divBdr>
            </w:div>
          </w:divsChild>
        </w:div>
        <w:div w:id="1211261753">
          <w:marLeft w:val="360"/>
          <w:marRight w:val="0"/>
          <w:marTop w:val="0"/>
          <w:marBottom w:val="72"/>
          <w:divBdr>
            <w:top w:val="none" w:sz="0" w:space="0" w:color="auto"/>
            <w:left w:val="none" w:sz="0" w:space="0" w:color="auto"/>
            <w:bottom w:val="none" w:sz="0" w:space="0" w:color="auto"/>
            <w:right w:val="none" w:sz="0" w:space="0" w:color="auto"/>
          </w:divBdr>
          <w:divsChild>
            <w:div w:id="1807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8875">
      <w:bodyDiv w:val="1"/>
      <w:marLeft w:val="0"/>
      <w:marRight w:val="0"/>
      <w:marTop w:val="0"/>
      <w:marBottom w:val="0"/>
      <w:divBdr>
        <w:top w:val="none" w:sz="0" w:space="0" w:color="auto"/>
        <w:left w:val="none" w:sz="0" w:space="0" w:color="auto"/>
        <w:bottom w:val="none" w:sz="0" w:space="0" w:color="auto"/>
        <w:right w:val="none" w:sz="0" w:space="0" w:color="auto"/>
      </w:divBdr>
    </w:div>
    <w:div w:id="1303345710">
      <w:bodyDiv w:val="1"/>
      <w:marLeft w:val="0"/>
      <w:marRight w:val="0"/>
      <w:marTop w:val="0"/>
      <w:marBottom w:val="0"/>
      <w:divBdr>
        <w:top w:val="none" w:sz="0" w:space="0" w:color="auto"/>
        <w:left w:val="none" w:sz="0" w:space="0" w:color="auto"/>
        <w:bottom w:val="none" w:sz="0" w:space="0" w:color="auto"/>
        <w:right w:val="none" w:sz="0" w:space="0" w:color="auto"/>
      </w:divBdr>
      <w:divsChild>
        <w:div w:id="1668287411">
          <w:marLeft w:val="0"/>
          <w:marRight w:val="0"/>
          <w:marTop w:val="0"/>
          <w:marBottom w:val="0"/>
          <w:divBdr>
            <w:top w:val="none" w:sz="0" w:space="0" w:color="auto"/>
            <w:left w:val="none" w:sz="0" w:space="0" w:color="auto"/>
            <w:bottom w:val="none" w:sz="0" w:space="0" w:color="auto"/>
            <w:right w:val="none" w:sz="0" w:space="0" w:color="auto"/>
          </w:divBdr>
        </w:div>
        <w:div w:id="2126151237">
          <w:marLeft w:val="0"/>
          <w:marRight w:val="0"/>
          <w:marTop w:val="72"/>
          <w:marBottom w:val="0"/>
          <w:divBdr>
            <w:top w:val="none" w:sz="0" w:space="0" w:color="auto"/>
            <w:left w:val="none" w:sz="0" w:space="0" w:color="auto"/>
            <w:bottom w:val="none" w:sz="0" w:space="0" w:color="auto"/>
            <w:right w:val="none" w:sz="0" w:space="0" w:color="auto"/>
          </w:divBdr>
          <w:divsChild>
            <w:div w:id="1381593760">
              <w:marLeft w:val="0"/>
              <w:marRight w:val="0"/>
              <w:marTop w:val="0"/>
              <w:marBottom w:val="0"/>
              <w:divBdr>
                <w:top w:val="none" w:sz="0" w:space="0" w:color="auto"/>
                <w:left w:val="none" w:sz="0" w:space="0" w:color="auto"/>
                <w:bottom w:val="none" w:sz="0" w:space="0" w:color="auto"/>
                <w:right w:val="none" w:sz="0" w:space="0" w:color="auto"/>
              </w:divBdr>
            </w:div>
          </w:divsChild>
        </w:div>
        <w:div w:id="54283716">
          <w:marLeft w:val="0"/>
          <w:marRight w:val="0"/>
          <w:marTop w:val="72"/>
          <w:marBottom w:val="0"/>
          <w:divBdr>
            <w:top w:val="none" w:sz="0" w:space="0" w:color="auto"/>
            <w:left w:val="none" w:sz="0" w:space="0" w:color="auto"/>
            <w:bottom w:val="none" w:sz="0" w:space="0" w:color="auto"/>
            <w:right w:val="none" w:sz="0" w:space="0" w:color="auto"/>
          </w:divBdr>
          <w:divsChild>
            <w:div w:id="1555577063">
              <w:marLeft w:val="0"/>
              <w:marRight w:val="0"/>
              <w:marTop w:val="0"/>
              <w:marBottom w:val="0"/>
              <w:divBdr>
                <w:top w:val="none" w:sz="0" w:space="0" w:color="auto"/>
                <w:left w:val="none" w:sz="0" w:space="0" w:color="auto"/>
                <w:bottom w:val="none" w:sz="0" w:space="0" w:color="auto"/>
                <w:right w:val="none" w:sz="0" w:space="0" w:color="auto"/>
              </w:divBdr>
            </w:div>
          </w:divsChild>
        </w:div>
        <w:div w:id="952131442">
          <w:marLeft w:val="0"/>
          <w:marRight w:val="0"/>
          <w:marTop w:val="72"/>
          <w:marBottom w:val="0"/>
          <w:divBdr>
            <w:top w:val="none" w:sz="0" w:space="0" w:color="auto"/>
            <w:left w:val="none" w:sz="0" w:space="0" w:color="auto"/>
            <w:bottom w:val="none" w:sz="0" w:space="0" w:color="auto"/>
            <w:right w:val="none" w:sz="0" w:space="0" w:color="auto"/>
          </w:divBdr>
          <w:divsChild>
            <w:div w:id="19280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431">
      <w:bodyDiv w:val="1"/>
      <w:marLeft w:val="0"/>
      <w:marRight w:val="0"/>
      <w:marTop w:val="0"/>
      <w:marBottom w:val="0"/>
      <w:divBdr>
        <w:top w:val="none" w:sz="0" w:space="0" w:color="auto"/>
        <w:left w:val="none" w:sz="0" w:space="0" w:color="auto"/>
        <w:bottom w:val="none" w:sz="0" w:space="0" w:color="auto"/>
        <w:right w:val="none" w:sz="0" w:space="0" w:color="auto"/>
      </w:divBdr>
      <w:divsChild>
        <w:div w:id="359666174">
          <w:marLeft w:val="0"/>
          <w:marRight w:val="0"/>
          <w:marTop w:val="72"/>
          <w:marBottom w:val="0"/>
          <w:divBdr>
            <w:top w:val="none" w:sz="0" w:space="0" w:color="auto"/>
            <w:left w:val="none" w:sz="0" w:space="0" w:color="auto"/>
            <w:bottom w:val="none" w:sz="0" w:space="0" w:color="auto"/>
            <w:right w:val="none" w:sz="0" w:space="0" w:color="auto"/>
          </w:divBdr>
          <w:divsChild>
            <w:div w:id="775440336">
              <w:marLeft w:val="0"/>
              <w:marRight w:val="0"/>
              <w:marTop w:val="0"/>
              <w:marBottom w:val="0"/>
              <w:divBdr>
                <w:top w:val="none" w:sz="0" w:space="0" w:color="auto"/>
                <w:left w:val="none" w:sz="0" w:space="0" w:color="auto"/>
                <w:bottom w:val="none" w:sz="0" w:space="0" w:color="auto"/>
                <w:right w:val="none" w:sz="0" w:space="0" w:color="auto"/>
              </w:divBdr>
            </w:div>
            <w:div w:id="1941185222">
              <w:marLeft w:val="360"/>
              <w:marRight w:val="0"/>
              <w:marTop w:val="72"/>
              <w:marBottom w:val="72"/>
              <w:divBdr>
                <w:top w:val="none" w:sz="0" w:space="0" w:color="auto"/>
                <w:left w:val="none" w:sz="0" w:space="0" w:color="auto"/>
                <w:bottom w:val="none" w:sz="0" w:space="0" w:color="auto"/>
                <w:right w:val="none" w:sz="0" w:space="0" w:color="auto"/>
              </w:divBdr>
              <w:divsChild>
                <w:div w:id="173612250">
                  <w:marLeft w:val="0"/>
                  <w:marRight w:val="0"/>
                  <w:marTop w:val="0"/>
                  <w:marBottom w:val="0"/>
                  <w:divBdr>
                    <w:top w:val="none" w:sz="0" w:space="0" w:color="auto"/>
                    <w:left w:val="none" w:sz="0" w:space="0" w:color="auto"/>
                    <w:bottom w:val="none" w:sz="0" w:space="0" w:color="auto"/>
                    <w:right w:val="none" w:sz="0" w:space="0" w:color="auto"/>
                  </w:divBdr>
                </w:div>
              </w:divsChild>
            </w:div>
            <w:div w:id="1676959831">
              <w:marLeft w:val="360"/>
              <w:marRight w:val="0"/>
              <w:marTop w:val="0"/>
              <w:marBottom w:val="72"/>
              <w:divBdr>
                <w:top w:val="none" w:sz="0" w:space="0" w:color="auto"/>
                <w:left w:val="none" w:sz="0" w:space="0" w:color="auto"/>
                <w:bottom w:val="none" w:sz="0" w:space="0" w:color="auto"/>
                <w:right w:val="none" w:sz="0" w:space="0" w:color="auto"/>
              </w:divBdr>
              <w:divsChild>
                <w:div w:id="461533715">
                  <w:marLeft w:val="0"/>
                  <w:marRight w:val="0"/>
                  <w:marTop w:val="0"/>
                  <w:marBottom w:val="0"/>
                  <w:divBdr>
                    <w:top w:val="none" w:sz="0" w:space="0" w:color="auto"/>
                    <w:left w:val="none" w:sz="0" w:space="0" w:color="auto"/>
                    <w:bottom w:val="none" w:sz="0" w:space="0" w:color="auto"/>
                    <w:right w:val="none" w:sz="0" w:space="0" w:color="auto"/>
                  </w:divBdr>
                </w:div>
              </w:divsChild>
            </w:div>
            <w:div w:id="1454637977">
              <w:marLeft w:val="360"/>
              <w:marRight w:val="0"/>
              <w:marTop w:val="0"/>
              <w:marBottom w:val="72"/>
              <w:divBdr>
                <w:top w:val="none" w:sz="0" w:space="0" w:color="auto"/>
                <w:left w:val="none" w:sz="0" w:space="0" w:color="auto"/>
                <w:bottom w:val="none" w:sz="0" w:space="0" w:color="auto"/>
                <w:right w:val="none" w:sz="0" w:space="0" w:color="auto"/>
              </w:divBdr>
              <w:divsChild>
                <w:div w:id="374619976">
                  <w:marLeft w:val="0"/>
                  <w:marRight w:val="0"/>
                  <w:marTop w:val="0"/>
                  <w:marBottom w:val="0"/>
                  <w:divBdr>
                    <w:top w:val="none" w:sz="0" w:space="0" w:color="auto"/>
                    <w:left w:val="none" w:sz="0" w:space="0" w:color="auto"/>
                    <w:bottom w:val="none" w:sz="0" w:space="0" w:color="auto"/>
                    <w:right w:val="none" w:sz="0" w:space="0" w:color="auto"/>
                  </w:divBdr>
                </w:div>
              </w:divsChild>
            </w:div>
            <w:div w:id="839926872">
              <w:marLeft w:val="360"/>
              <w:marRight w:val="0"/>
              <w:marTop w:val="0"/>
              <w:marBottom w:val="72"/>
              <w:divBdr>
                <w:top w:val="none" w:sz="0" w:space="0" w:color="auto"/>
                <w:left w:val="none" w:sz="0" w:space="0" w:color="auto"/>
                <w:bottom w:val="none" w:sz="0" w:space="0" w:color="auto"/>
                <w:right w:val="none" w:sz="0" w:space="0" w:color="auto"/>
              </w:divBdr>
              <w:divsChild>
                <w:div w:id="439107393">
                  <w:marLeft w:val="0"/>
                  <w:marRight w:val="0"/>
                  <w:marTop w:val="0"/>
                  <w:marBottom w:val="0"/>
                  <w:divBdr>
                    <w:top w:val="none" w:sz="0" w:space="0" w:color="auto"/>
                    <w:left w:val="none" w:sz="0" w:space="0" w:color="auto"/>
                    <w:bottom w:val="none" w:sz="0" w:space="0" w:color="auto"/>
                    <w:right w:val="none" w:sz="0" w:space="0" w:color="auto"/>
                  </w:divBdr>
                </w:div>
              </w:divsChild>
            </w:div>
            <w:div w:id="2020158841">
              <w:marLeft w:val="360"/>
              <w:marRight w:val="0"/>
              <w:marTop w:val="0"/>
              <w:marBottom w:val="72"/>
              <w:divBdr>
                <w:top w:val="none" w:sz="0" w:space="0" w:color="auto"/>
                <w:left w:val="none" w:sz="0" w:space="0" w:color="auto"/>
                <w:bottom w:val="none" w:sz="0" w:space="0" w:color="auto"/>
                <w:right w:val="none" w:sz="0" w:space="0" w:color="auto"/>
              </w:divBdr>
              <w:divsChild>
                <w:div w:id="402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345">
      <w:bodyDiv w:val="1"/>
      <w:marLeft w:val="0"/>
      <w:marRight w:val="0"/>
      <w:marTop w:val="0"/>
      <w:marBottom w:val="0"/>
      <w:divBdr>
        <w:top w:val="none" w:sz="0" w:space="0" w:color="auto"/>
        <w:left w:val="none" w:sz="0" w:space="0" w:color="auto"/>
        <w:bottom w:val="none" w:sz="0" w:space="0" w:color="auto"/>
        <w:right w:val="none" w:sz="0" w:space="0" w:color="auto"/>
      </w:divBdr>
    </w:div>
    <w:div w:id="1583181153">
      <w:bodyDiv w:val="1"/>
      <w:marLeft w:val="0"/>
      <w:marRight w:val="0"/>
      <w:marTop w:val="0"/>
      <w:marBottom w:val="0"/>
      <w:divBdr>
        <w:top w:val="none" w:sz="0" w:space="0" w:color="auto"/>
        <w:left w:val="none" w:sz="0" w:space="0" w:color="auto"/>
        <w:bottom w:val="none" w:sz="0" w:space="0" w:color="auto"/>
        <w:right w:val="none" w:sz="0" w:space="0" w:color="auto"/>
      </w:divBdr>
    </w:div>
    <w:div w:id="1672217843">
      <w:bodyDiv w:val="1"/>
      <w:marLeft w:val="0"/>
      <w:marRight w:val="0"/>
      <w:marTop w:val="0"/>
      <w:marBottom w:val="0"/>
      <w:divBdr>
        <w:top w:val="none" w:sz="0" w:space="0" w:color="auto"/>
        <w:left w:val="none" w:sz="0" w:space="0" w:color="auto"/>
        <w:bottom w:val="none" w:sz="0" w:space="0" w:color="auto"/>
        <w:right w:val="none" w:sz="0" w:space="0" w:color="auto"/>
      </w:divBdr>
      <w:divsChild>
        <w:div w:id="47146635">
          <w:marLeft w:val="0"/>
          <w:marRight w:val="0"/>
          <w:marTop w:val="72"/>
          <w:marBottom w:val="0"/>
          <w:divBdr>
            <w:top w:val="none" w:sz="0" w:space="0" w:color="auto"/>
            <w:left w:val="none" w:sz="0" w:space="0" w:color="auto"/>
            <w:bottom w:val="none" w:sz="0" w:space="0" w:color="auto"/>
            <w:right w:val="none" w:sz="0" w:space="0" w:color="auto"/>
          </w:divBdr>
          <w:divsChild>
            <w:div w:id="164788986">
              <w:marLeft w:val="0"/>
              <w:marRight w:val="0"/>
              <w:marTop w:val="0"/>
              <w:marBottom w:val="0"/>
              <w:divBdr>
                <w:top w:val="none" w:sz="0" w:space="0" w:color="auto"/>
                <w:left w:val="none" w:sz="0" w:space="0" w:color="auto"/>
                <w:bottom w:val="none" w:sz="0" w:space="0" w:color="auto"/>
                <w:right w:val="none" w:sz="0" w:space="0" w:color="auto"/>
              </w:divBdr>
            </w:div>
          </w:divsChild>
        </w:div>
        <w:div w:id="767038746">
          <w:marLeft w:val="0"/>
          <w:marRight w:val="0"/>
          <w:marTop w:val="72"/>
          <w:marBottom w:val="0"/>
          <w:divBdr>
            <w:top w:val="none" w:sz="0" w:space="0" w:color="auto"/>
            <w:left w:val="none" w:sz="0" w:space="0" w:color="auto"/>
            <w:bottom w:val="none" w:sz="0" w:space="0" w:color="auto"/>
            <w:right w:val="none" w:sz="0" w:space="0" w:color="auto"/>
          </w:divBdr>
          <w:divsChild>
            <w:div w:id="153493651">
              <w:marLeft w:val="0"/>
              <w:marRight w:val="0"/>
              <w:marTop w:val="0"/>
              <w:marBottom w:val="0"/>
              <w:divBdr>
                <w:top w:val="none" w:sz="0" w:space="0" w:color="auto"/>
                <w:left w:val="none" w:sz="0" w:space="0" w:color="auto"/>
                <w:bottom w:val="none" w:sz="0" w:space="0" w:color="auto"/>
                <w:right w:val="none" w:sz="0" w:space="0" w:color="auto"/>
              </w:divBdr>
            </w:div>
          </w:divsChild>
        </w:div>
        <w:div w:id="1438134948">
          <w:marLeft w:val="0"/>
          <w:marRight w:val="0"/>
          <w:marTop w:val="72"/>
          <w:marBottom w:val="0"/>
          <w:divBdr>
            <w:top w:val="none" w:sz="0" w:space="0" w:color="auto"/>
            <w:left w:val="none" w:sz="0" w:space="0" w:color="auto"/>
            <w:bottom w:val="none" w:sz="0" w:space="0" w:color="auto"/>
            <w:right w:val="none" w:sz="0" w:space="0" w:color="auto"/>
          </w:divBdr>
          <w:divsChild>
            <w:div w:id="5984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5279">
      <w:bodyDiv w:val="1"/>
      <w:marLeft w:val="0"/>
      <w:marRight w:val="0"/>
      <w:marTop w:val="0"/>
      <w:marBottom w:val="0"/>
      <w:divBdr>
        <w:top w:val="none" w:sz="0" w:space="0" w:color="auto"/>
        <w:left w:val="none" w:sz="0" w:space="0" w:color="auto"/>
        <w:bottom w:val="none" w:sz="0" w:space="0" w:color="auto"/>
        <w:right w:val="none" w:sz="0" w:space="0" w:color="auto"/>
      </w:divBdr>
      <w:divsChild>
        <w:div w:id="1729843928">
          <w:marLeft w:val="0"/>
          <w:marRight w:val="0"/>
          <w:marTop w:val="0"/>
          <w:marBottom w:val="0"/>
          <w:divBdr>
            <w:top w:val="none" w:sz="0" w:space="0" w:color="auto"/>
            <w:left w:val="none" w:sz="0" w:space="0" w:color="auto"/>
            <w:bottom w:val="none" w:sz="0" w:space="0" w:color="auto"/>
            <w:right w:val="none" w:sz="0" w:space="0" w:color="auto"/>
          </w:divBdr>
        </w:div>
        <w:div w:id="360060546">
          <w:marLeft w:val="0"/>
          <w:marRight w:val="0"/>
          <w:marTop w:val="72"/>
          <w:marBottom w:val="0"/>
          <w:divBdr>
            <w:top w:val="none" w:sz="0" w:space="0" w:color="auto"/>
            <w:left w:val="none" w:sz="0" w:space="0" w:color="auto"/>
            <w:bottom w:val="none" w:sz="0" w:space="0" w:color="auto"/>
            <w:right w:val="none" w:sz="0" w:space="0" w:color="auto"/>
          </w:divBdr>
          <w:divsChild>
            <w:div w:id="1161460225">
              <w:marLeft w:val="0"/>
              <w:marRight w:val="0"/>
              <w:marTop w:val="0"/>
              <w:marBottom w:val="0"/>
              <w:divBdr>
                <w:top w:val="none" w:sz="0" w:space="0" w:color="auto"/>
                <w:left w:val="none" w:sz="0" w:space="0" w:color="auto"/>
                <w:bottom w:val="none" w:sz="0" w:space="0" w:color="auto"/>
                <w:right w:val="none" w:sz="0" w:space="0" w:color="auto"/>
              </w:divBdr>
            </w:div>
          </w:divsChild>
        </w:div>
        <w:div w:id="153499676">
          <w:marLeft w:val="0"/>
          <w:marRight w:val="0"/>
          <w:marTop w:val="72"/>
          <w:marBottom w:val="0"/>
          <w:divBdr>
            <w:top w:val="none" w:sz="0" w:space="0" w:color="auto"/>
            <w:left w:val="none" w:sz="0" w:space="0" w:color="auto"/>
            <w:bottom w:val="none" w:sz="0" w:space="0" w:color="auto"/>
            <w:right w:val="none" w:sz="0" w:space="0" w:color="auto"/>
          </w:divBdr>
          <w:divsChild>
            <w:div w:id="327635160">
              <w:marLeft w:val="0"/>
              <w:marRight w:val="0"/>
              <w:marTop w:val="0"/>
              <w:marBottom w:val="0"/>
              <w:divBdr>
                <w:top w:val="none" w:sz="0" w:space="0" w:color="auto"/>
                <w:left w:val="none" w:sz="0" w:space="0" w:color="auto"/>
                <w:bottom w:val="none" w:sz="0" w:space="0" w:color="auto"/>
                <w:right w:val="none" w:sz="0" w:space="0" w:color="auto"/>
              </w:divBdr>
            </w:div>
          </w:divsChild>
        </w:div>
        <w:div w:id="786899386">
          <w:marLeft w:val="0"/>
          <w:marRight w:val="0"/>
          <w:marTop w:val="72"/>
          <w:marBottom w:val="0"/>
          <w:divBdr>
            <w:top w:val="none" w:sz="0" w:space="0" w:color="auto"/>
            <w:left w:val="none" w:sz="0" w:space="0" w:color="auto"/>
            <w:bottom w:val="none" w:sz="0" w:space="0" w:color="auto"/>
            <w:right w:val="none" w:sz="0" w:space="0" w:color="auto"/>
          </w:divBdr>
          <w:divsChild>
            <w:div w:id="293948546">
              <w:marLeft w:val="0"/>
              <w:marRight w:val="0"/>
              <w:marTop w:val="0"/>
              <w:marBottom w:val="0"/>
              <w:divBdr>
                <w:top w:val="none" w:sz="0" w:space="0" w:color="auto"/>
                <w:left w:val="none" w:sz="0" w:space="0" w:color="auto"/>
                <w:bottom w:val="none" w:sz="0" w:space="0" w:color="auto"/>
                <w:right w:val="none" w:sz="0" w:space="0" w:color="auto"/>
              </w:divBdr>
            </w:div>
          </w:divsChild>
        </w:div>
        <w:div w:id="1161264867">
          <w:marLeft w:val="0"/>
          <w:marRight w:val="0"/>
          <w:marTop w:val="72"/>
          <w:marBottom w:val="0"/>
          <w:divBdr>
            <w:top w:val="none" w:sz="0" w:space="0" w:color="auto"/>
            <w:left w:val="none" w:sz="0" w:space="0" w:color="auto"/>
            <w:bottom w:val="none" w:sz="0" w:space="0" w:color="auto"/>
            <w:right w:val="none" w:sz="0" w:space="0" w:color="auto"/>
          </w:divBdr>
          <w:divsChild>
            <w:div w:id="18228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300">
      <w:bodyDiv w:val="1"/>
      <w:marLeft w:val="0"/>
      <w:marRight w:val="0"/>
      <w:marTop w:val="0"/>
      <w:marBottom w:val="0"/>
      <w:divBdr>
        <w:top w:val="none" w:sz="0" w:space="0" w:color="auto"/>
        <w:left w:val="none" w:sz="0" w:space="0" w:color="auto"/>
        <w:bottom w:val="none" w:sz="0" w:space="0" w:color="auto"/>
        <w:right w:val="none" w:sz="0" w:space="0" w:color="auto"/>
      </w:divBdr>
      <w:divsChild>
        <w:div w:id="559098048">
          <w:marLeft w:val="0"/>
          <w:marRight w:val="0"/>
          <w:marTop w:val="72"/>
          <w:marBottom w:val="0"/>
          <w:divBdr>
            <w:top w:val="none" w:sz="0" w:space="0" w:color="auto"/>
            <w:left w:val="none" w:sz="0" w:space="0" w:color="auto"/>
            <w:bottom w:val="none" w:sz="0" w:space="0" w:color="auto"/>
            <w:right w:val="none" w:sz="0" w:space="0" w:color="auto"/>
          </w:divBdr>
          <w:divsChild>
            <w:div w:id="2099253023">
              <w:marLeft w:val="0"/>
              <w:marRight w:val="0"/>
              <w:marTop w:val="0"/>
              <w:marBottom w:val="0"/>
              <w:divBdr>
                <w:top w:val="none" w:sz="0" w:space="0" w:color="auto"/>
                <w:left w:val="none" w:sz="0" w:space="0" w:color="auto"/>
                <w:bottom w:val="none" w:sz="0" w:space="0" w:color="auto"/>
                <w:right w:val="none" w:sz="0" w:space="0" w:color="auto"/>
              </w:divBdr>
            </w:div>
            <w:div w:id="947009580">
              <w:marLeft w:val="360"/>
              <w:marRight w:val="0"/>
              <w:marTop w:val="72"/>
              <w:marBottom w:val="72"/>
              <w:divBdr>
                <w:top w:val="none" w:sz="0" w:space="0" w:color="auto"/>
                <w:left w:val="none" w:sz="0" w:space="0" w:color="auto"/>
                <w:bottom w:val="none" w:sz="0" w:space="0" w:color="auto"/>
                <w:right w:val="none" w:sz="0" w:space="0" w:color="auto"/>
              </w:divBdr>
              <w:divsChild>
                <w:div w:id="907693646">
                  <w:marLeft w:val="0"/>
                  <w:marRight w:val="0"/>
                  <w:marTop w:val="0"/>
                  <w:marBottom w:val="0"/>
                  <w:divBdr>
                    <w:top w:val="none" w:sz="0" w:space="0" w:color="auto"/>
                    <w:left w:val="none" w:sz="0" w:space="0" w:color="auto"/>
                    <w:bottom w:val="none" w:sz="0" w:space="0" w:color="auto"/>
                    <w:right w:val="none" w:sz="0" w:space="0" w:color="auto"/>
                  </w:divBdr>
                </w:div>
              </w:divsChild>
            </w:div>
            <w:div w:id="1301300106">
              <w:marLeft w:val="360"/>
              <w:marRight w:val="0"/>
              <w:marTop w:val="0"/>
              <w:marBottom w:val="72"/>
              <w:divBdr>
                <w:top w:val="none" w:sz="0" w:space="0" w:color="auto"/>
                <w:left w:val="none" w:sz="0" w:space="0" w:color="auto"/>
                <w:bottom w:val="none" w:sz="0" w:space="0" w:color="auto"/>
                <w:right w:val="none" w:sz="0" w:space="0" w:color="auto"/>
              </w:divBdr>
              <w:divsChild>
                <w:div w:id="292058529">
                  <w:marLeft w:val="0"/>
                  <w:marRight w:val="0"/>
                  <w:marTop w:val="0"/>
                  <w:marBottom w:val="0"/>
                  <w:divBdr>
                    <w:top w:val="none" w:sz="0" w:space="0" w:color="auto"/>
                    <w:left w:val="none" w:sz="0" w:space="0" w:color="auto"/>
                    <w:bottom w:val="none" w:sz="0" w:space="0" w:color="auto"/>
                    <w:right w:val="none" w:sz="0" w:space="0" w:color="auto"/>
                  </w:divBdr>
                </w:div>
              </w:divsChild>
            </w:div>
            <w:div w:id="1914773177">
              <w:marLeft w:val="360"/>
              <w:marRight w:val="0"/>
              <w:marTop w:val="0"/>
              <w:marBottom w:val="72"/>
              <w:divBdr>
                <w:top w:val="none" w:sz="0" w:space="0" w:color="auto"/>
                <w:left w:val="none" w:sz="0" w:space="0" w:color="auto"/>
                <w:bottom w:val="none" w:sz="0" w:space="0" w:color="auto"/>
                <w:right w:val="none" w:sz="0" w:space="0" w:color="auto"/>
              </w:divBdr>
              <w:divsChild>
                <w:div w:id="7027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9950">
      <w:bodyDiv w:val="1"/>
      <w:marLeft w:val="0"/>
      <w:marRight w:val="0"/>
      <w:marTop w:val="0"/>
      <w:marBottom w:val="0"/>
      <w:divBdr>
        <w:top w:val="none" w:sz="0" w:space="0" w:color="auto"/>
        <w:left w:val="none" w:sz="0" w:space="0" w:color="auto"/>
        <w:bottom w:val="none" w:sz="0" w:space="0" w:color="auto"/>
        <w:right w:val="none" w:sz="0" w:space="0" w:color="auto"/>
      </w:divBdr>
    </w:div>
    <w:div w:id="193043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389C9-9266-48C3-960F-4BD4F249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5422</Characters>
  <DocSecurity>0</DocSecurity>
  <Lines>45</Lines>
  <Paragraphs>12</Paragraphs>
  <ScaleCrop>false</ScaleCrop>
  <HeadingPairs>
    <vt:vector size="2" baseType="variant">
      <vt:variant>
        <vt:lpstr>Tytuł</vt:lpstr>
      </vt:variant>
      <vt:variant>
        <vt:i4>1</vt:i4>
      </vt:variant>
    </vt:vector>
  </HeadingPairs>
  <TitlesOfParts>
    <vt:vector size="1" baseType="lpstr">
      <vt:lpstr>Prof</vt:lpstr>
    </vt:vector>
  </TitlesOfParts>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2024-10-07T10:05:00Z</cp:lastPrinted>
  <dcterms:created xsi:type="dcterms:W3CDTF">2024-10-09T09:18:00Z</dcterms:created>
  <dcterms:modified xsi:type="dcterms:W3CDTF">2024-10-09T09:25:00Z</dcterms:modified>
</cp:coreProperties>
</file>